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
        <w:tblpPr w:leftFromText="180" w:rightFromText="180" w:horzAnchor="margin" w:tblpY="213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80"/>
        <w:gridCol w:w="7380"/>
      </w:tblGrid>
      <w:tr w:rsidR="004F27A7" w:rsidRPr="00AF5172" w:rsidTr="004F27A7">
        <w:tc>
          <w:tcPr>
            <w:tcW w:w="1980" w:type="dxa"/>
            <w:tcMar>
              <w:top w:w="100" w:type="dxa"/>
              <w:left w:w="100" w:type="dxa"/>
              <w:bottom w:w="100" w:type="dxa"/>
              <w:right w:w="100" w:type="dxa"/>
            </w:tcMar>
          </w:tcPr>
          <w:p w:rsidR="004F27A7" w:rsidRPr="00AF5172" w:rsidRDefault="004F27A7" w:rsidP="004F27A7">
            <w:pPr>
              <w:spacing w:line="360" w:lineRule="auto"/>
              <w:jc w:val="both"/>
              <w:rPr>
                <w:rFonts w:eastAsia="Times New Roman"/>
                <w:sz w:val="24"/>
                <w:szCs w:val="24"/>
              </w:rPr>
            </w:pPr>
            <w:r w:rsidRPr="00AF5172">
              <w:rPr>
                <w:rFonts w:eastAsia="Times New Roman"/>
                <w:b/>
                <w:bCs/>
                <w:sz w:val="24"/>
                <w:szCs w:val="24"/>
              </w:rPr>
              <w:t>Student Name</w:t>
            </w:r>
          </w:p>
        </w:tc>
        <w:tc>
          <w:tcPr>
            <w:tcW w:w="7380" w:type="dxa"/>
            <w:tcMar>
              <w:top w:w="100" w:type="dxa"/>
              <w:left w:w="100" w:type="dxa"/>
              <w:bottom w:w="100" w:type="dxa"/>
              <w:right w:w="100" w:type="dxa"/>
            </w:tcMar>
          </w:tcPr>
          <w:p w:rsidR="004F27A7" w:rsidRPr="00AF5172" w:rsidRDefault="004F27A7" w:rsidP="004F27A7">
            <w:pPr>
              <w:widowControl w:val="0"/>
              <w:pBdr>
                <w:top w:val="nil"/>
                <w:left w:val="nil"/>
                <w:bottom w:val="nil"/>
                <w:right w:val="nil"/>
                <w:between w:val="nil"/>
              </w:pBdr>
              <w:spacing w:line="360" w:lineRule="auto"/>
              <w:jc w:val="both"/>
              <w:rPr>
                <w:rFonts w:eastAsia="Times New Roman"/>
                <w:b/>
                <w:sz w:val="24"/>
                <w:szCs w:val="24"/>
              </w:rPr>
            </w:pPr>
            <w:proofErr w:type="spellStart"/>
            <w:r w:rsidRPr="00AF5172">
              <w:rPr>
                <w:rFonts w:eastAsia="Times New Roman"/>
                <w:b/>
                <w:sz w:val="24"/>
                <w:szCs w:val="24"/>
              </w:rPr>
              <w:t>Aayushkumar</w:t>
            </w:r>
            <w:proofErr w:type="spellEnd"/>
            <w:r w:rsidRPr="00AF5172">
              <w:rPr>
                <w:rFonts w:eastAsia="Times New Roman"/>
                <w:b/>
                <w:sz w:val="24"/>
                <w:szCs w:val="24"/>
              </w:rPr>
              <w:t xml:space="preserve"> </w:t>
            </w:r>
            <w:proofErr w:type="spellStart"/>
            <w:r w:rsidRPr="00AF5172">
              <w:rPr>
                <w:rFonts w:eastAsia="Times New Roman"/>
                <w:b/>
                <w:sz w:val="24"/>
                <w:szCs w:val="24"/>
              </w:rPr>
              <w:t>Harishbhai</w:t>
            </w:r>
            <w:proofErr w:type="spellEnd"/>
            <w:r w:rsidRPr="00AF5172">
              <w:rPr>
                <w:rFonts w:eastAsia="Times New Roman"/>
                <w:b/>
                <w:sz w:val="24"/>
                <w:szCs w:val="24"/>
              </w:rPr>
              <w:t xml:space="preserve"> </w:t>
            </w:r>
            <w:proofErr w:type="spellStart"/>
            <w:r w:rsidRPr="00AF5172">
              <w:rPr>
                <w:rFonts w:eastAsia="Times New Roman"/>
                <w:b/>
                <w:sz w:val="24"/>
                <w:szCs w:val="24"/>
              </w:rPr>
              <w:t>Parmar</w:t>
            </w:r>
            <w:proofErr w:type="spellEnd"/>
          </w:p>
        </w:tc>
      </w:tr>
      <w:tr w:rsidR="004F27A7" w:rsidRPr="00AF5172" w:rsidTr="004F27A7">
        <w:tc>
          <w:tcPr>
            <w:tcW w:w="1980" w:type="dxa"/>
            <w:tcMar>
              <w:top w:w="100" w:type="dxa"/>
              <w:left w:w="100" w:type="dxa"/>
              <w:bottom w:w="100" w:type="dxa"/>
              <w:right w:w="100" w:type="dxa"/>
            </w:tcMar>
          </w:tcPr>
          <w:p w:rsidR="004F27A7" w:rsidRPr="00AF5172" w:rsidRDefault="004F27A7" w:rsidP="004F27A7">
            <w:pPr>
              <w:spacing w:line="360" w:lineRule="auto"/>
              <w:jc w:val="both"/>
              <w:rPr>
                <w:rFonts w:eastAsia="Times New Roman"/>
                <w:sz w:val="24"/>
                <w:szCs w:val="24"/>
              </w:rPr>
            </w:pPr>
            <w:r w:rsidRPr="00AF5172">
              <w:rPr>
                <w:rFonts w:eastAsia="Times New Roman"/>
                <w:b/>
                <w:bCs/>
                <w:sz w:val="24"/>
                <w:szCs w:val="24"/>
              </w:rPr>
              <w:t>Student ID</w:t>
            </w:r>
          </w:p>
        </w:tc>
        <w:tc>
          <w:tcPr>
            <w:tcW w:w="7380" w:type="dxa"/>
            <w:tcMar>
              <w:top w:w="100" w:type="dxa"/>
              <w:left w:w="100" w:type="dxa"/>
              <w:bottom w:w="100" w:type="dxa"/>
              <w:right w:w="100" w:type="dxa"/>
            </w:tcMar>
          </w:tcPr>
          <w:p w:rsidR="004F27A7" w:rsidRPr="00AF5172" w:rsidRDefault="004F27A7" w:rsidP="004F27A7">
            <w:pPr>
              <w:widowControl w:val="0"/>
              <w:pBdr>
                <w:top w:val="nil"/>
                <w:left w:val="nil"/>
                <w:bottom w:val="nil"/>
                <w:right w:val="nil"/>
                <w:between w:val="nil"/>
              </w:pBdr>
              <w:spacing w:line="360" w:lineRule="auto"/>
              <w:jc w:val="both"/>
              <w:rPr>
                <w:rFonts w:eastAsia="Times New Roman"/>
                <w:b/>
                <w:sz w:val="24"/>
                <w:szCs w:val="24"/>
              </w:rPr>
            </w:pPr>
            <w:r w:rsidRPr="00AF5172">
              <w:rPr>
                <w:rFonts w:eastAsia="Times New Roman"/>
                <w:b/>
                <w:sz w:val="24"/>
                <w:szCs w:val="24"/>
              </w:rPr>
              <w:t>2517971</w:t>
            </w:r>
          </w:p>
        </w:tc>
      </w:tr>
      <w:tr w:rsidR="004F27A7" w:rsidRPr="00AF5172" w:rsidTr="004F27A7">
        <w:tc>
          <w:tcPr>
            <w:tcW w:w="1980" w:type="dxa"/>
            <w:tcMar>
              <w:top w:w="100" w:type="dxa"/>
              <w:left w:w="100" w:type="dxa"/>
              <w:bottom w:w="100" w:type="dxa"/>
              <w:right w:w="100" w:type="dxa"/>
            </w:tcMar>
          </w:tcPr>
          <w:p w:rsidR="004F27A7" w:rsidRPr="00AF5172" w:rsidRDefault="004F27A7" w:rsidP="004F27A7">
            <w:pPr>
              <w:spacing w:line="360" w:lineRule="auto"/>
              <w:jc w:val="both"/>
              <w:rPr>
                <w:rFonts w:eastAsia="Times New Roman"/>
                <w:sz w:val="24"/>
                <w:szCs w:val="24"/>
              </w:rPr>
            </w:pPr>
            <w:r w:rsidRPr="00AF5172">
              <w:rPr>
                <w:rFonts w:eastAsia="Times New Roman"/>
                <w:b/>
                <w:bCs/>
                <w:sz w:val="24"/>
                <w:szCs w:val="24"/>
              </w:rPr>
              <w:t>Module Code</w:t>
            </w:r>
          </w:p>
        </w:tc>
        <w:tc>
          <w:tcPr>
            <w:tcW w:w="7380" w:type="dxa"/>
            <w:tcMar>
              <w:top w:w="100" w:type="dxa"/>
              <w:left w:w="100" w:type="dxa"/>
              <w:bottom w:w="100" w:type="dxa"/>
              <w:right w:w="100" w:type="dxa"/>
            </w:tcMar>
          </w:tcPr>
          <w:p w:rsidR="004F27A7" w:rsidRPr="00AF5172" w:rsidRDefault="004F27A7" w:rsidP="004F27A7">
            <w:pPr>
              <w:spacing w:line="360" w:lineRule="auto"/>
              <w:jc w:val="both"/>
              <w:rPr>
                <w:rFonts w:eastAsia="Times New Roman"/>
                <w:sz w:val="24"/>
                <w:szCs w:val="24"/>
              </w:rPr>
            </w:pPr>
            <w:r w:rsidRPr="004F27A7">
              <w:rPr>
                <w:rFonts w:eastAsia="Times New Roman"/>
                <w:b/>
                <w:bCs/>
                <w:sz w:val="24"/>
                <w:szCs w:val="24"/>
              </w:rPr>
              <w:t>LCHS7000</w:t>
            </w:r>
          </w:p>
        </w:tc>
      </w:tr>
      <w:tr w:rsidR="004F27A7" w:rsidRPr="00AF5172" w:rsidTr="004F27A7">
        <w:tc>
          <w:tcPr>
            <w:tcW w:w="1980" w:type="dxa"/>
            <w:tcMar>
              <w:top w:w="100" w:type="dxa"/>
              <w:left w:w="100" w:type="dxa"/>
              <w:bottom w:w="100" w:type="dxa"/>
              <w:right w:w="100" w:type="dxa"/>
            </w:tcMar>
          </w:tcPr>
          <w:p w:rsidR="004F27A7" w:rsidRPr="00AF5172" w:rsidRDefault="004F27A7" w:rsidP="004F27A7">
            <w:pPr>
              <w:spacing w:line="360" w:lineRule="auto"/>
              <w:jc w:val="both"/>
              <w:rPr>
                <w:rFonts w:eastAsia="Times New Roman"/>
                <w:sz w:val="24"/>
                <w:szCs w:val="24"/>
              </w:rPr>
            </w:pPr>
            <w:r w:rsidRPr="00AF5172">
              <w:rPr>
                <w:rFonts w:eastAsia="Times New Roman"/>
                <w:b/>
                <w:bCs/>
                <w:sz w:val="24"/>
                <w:szCs w:val="24"/>
              </w:rPr>
              <w:t>Module Title</w:t>
            </w:r>
          </w:p>
        </w:tc>
        <w:tc>
          <w:tcPr>
            <w:tcW w:w="7380" w:type="dxa"/>
            <w:tcMar>
              <w:top w:w="100" w:type="dxa"/>
              <w:left w:w="100" w:type="dxa"/>
              <w:bottom w:w="100" w:type="dxa"/>
              <w:right w:w="100" w:type="dxa"/>
            </w:tcMar>
          </w:tcPr>
          <w:p w:rsidR="004F27A7" w:rsidRPr="00AF5172" w:rsidRDefault="004F27A7" w:rsidP="004F27A7">
            <w:pPr>
              <w:spacing w:line="360" w:lineRule="auto"/>
              <w:jc w:val="both"/>
              <w:rPr>
                <w:rFonts w:eastAsia="Times New Roman"/>
                <w:sz w:val="24"/>
                <w:szCs w:val="24"/>
              </w:rPr>
            </w:pPr>
            <w:r w:rsidRPr="004F27A7">
              <w:rPr>
                <w:rFonts w:eastAsia="Times New Roman"/>
                <w:b/>
                <w:bCs/>
                <w:sz w:val="24"/>
                <w:szCs w:val="24"/>
              </w:rPr>
              <w:t>Social Epidemiology and Public Health Development</w:t>
            </w:r>
          </w:p>
        </w:tc>
      </w:tr>
      <w:tr w:rsidR="004F27A7" w:rsidRPr="00AF5172" w:rsidTr="004F27A7">
        <w:tc>
          <w:tcPr>
            <w:tcW w:w="1980" w:type="dxa"/>
            <w:tcMar>
              <w:top w:w="100" w:type="dxa"/>
              <w:left w:w="100" w:type="dxa"/>
              <w:bottom w:w="100" w:type="dxa"/>
              <w:right w:w="100" w:type="dxa"/>
            </w:tcMar>
          </w:tcPr>
          <w:p w:rsidR="004F27A7" w:rsidRPr="00AF5172" w:rsidRDefault="004F27A7" w:rsidP="004F27A7">
            <w:pPr>
              <w:spacing w:line="360" w:lineRule="auto"/>
              <w:jc w:val="both"/>
              <w:rPr>
                <w:rFonts w:eastAsia="Times New Roman"/>
                <w:sz w:val="24"/>
                <w:szCs w:val="24"/>
              </w:rPr>
            </w:pPr>
            <w:r w:rsidRPr="00AF5172">
              <w:rPr>
                <w:rFonts w:eastAsia="Times New Roman"/>
                <w:b/>
                <w:bCs/>
                <w:sz w:val="24"/>
                <w:szCs w:val="24"/>
              </w:rPr>
              <w:t>Lecturer’s Name</w:t>
            </w:r>
          </w:p>
        </w:tc>
        <w:tc>
          <w:tcPr>
            <w:tcW w:w="7380" w:type="dxa"/>
            <w:tcMar>
              <w:top w:w="100" w:type="dxa"/>
              <w:left w:w="100" w:type="dxa"/>
              <w:bottom w:w="100" w:type="dxa"/>
              <w:right w:w="100" w:type="dxa"/>
            </w:tcMar>
          </w:tcPr>
          <w:p w:rsidR="004F27A7" w:rsidRPr="00AF5172" w:rsidRDefault="004F27A7" w:rsidP="004F27A7">
            <w:pPr>
              <w:spacing w:line="360" w:lineRule="auto"/>
              <w:jc w:val="both"/>
              <w:rPr>
                <w:rFonts w:eastAsia="Times New Roman"/>
                <w:sz w:val="24"/>
                <w:szCs w:val="24"/>
              </w:rPr>
            </w:pPr>
            <w:proofErr w:type="spellStart"/>
            <w:r w:rsidRPr="004F27A7">
              <w:rPr>
                <w:rFonts w:eastAsia="Times New Roman"/>
                <w:b/>
                <w:bCs/>
                <w:sz w:val="24"/>
                <w:szCs w:val="24"/>
              </w:rPr>
              <w:t>Itse</w:t>
            </w:r>
            <w:proofErr w:type="spellEnd"/>
            <w:r w:rsidRPr="004F27A7">
              <w:rPr>
                <w:rFonts w:eastAsia="Times New Roman"/>
                <w:b/>
                <w:bCs/>
                <w:sz w:val="24"/>
                <w:szCs w:val="24"/>
              </w:rPr>
              <w:t xml:space="preserve"> </w:t>
            </w:r>
            <w:proofErr w:type="spellStart"/>
            <w:r w:rsidRPr="004F27A7">
              <w:rPr>
                <w:rFonts w:eastAsia="Times New Roman"/>
                <w:b/>
                <w:bCs/>
                <w:sz w:val="24"/>
                <w:szCs w:val="24"/>
              </w:rPr>
              <w:t>Olaoye</w:t>
            </w:r>
            <w:proofErr w:type="spellEnd"/>
          </w:p>
        </w:tc>
      </w:tr>
      <w:tr w:rsidR="004F27A7" w:rsidRPr="00AF5172" w:rsidTr="004F27A7">
        <w:tc>
          <w:tcPr>
            <w:tcW w:w="1980" w:type="dxa"/>
            <w:tcMar>
              <w:top w:w="100" w:type="dxa"/>
              <w:left w:w="100" w:type="dxa"/>
              <w:bottom w:w="100" w:type="dxa"/>
              <w:right w:w="100" w:type="dxa"/>
            </w:tcMar>
          </w:tcPr>
          <w:p w:rsidR="004F27A7" w:rsidRPr="00AF5172" w:rsidRDefault="004F27A7" w:rsidP="004F27A7">
            <w:pPr>
              <w:spacing w:line="360" w:lineRule="auto"/>
              <w:jc w:val="both"/>
              <w:rPr>
                <w:rFonts w:eastAsia="Times New Roman"/>
                <w:b/>
                <w:bCs/>
                <w:sz w:val="24"/>
                <w:szCs w:val="24"/>
              </w:rPr>
            </w:pPr>
            <w:r w:rsidRPr="00AF5172">
              <w:rPr>
                <w:rFonts w:eastAsia="Times New Roman"/>
                <w:b/>
                <w:bCs/>
                <w:sz w:val="24"/>
                <w:szCs w:val="24"/>
              </w:rPr>
              <w:t>Assignment Title</w:t>
            </w:r>
          </w:p>
        </w:tc>
        <w:tc>
          <w:tcPr>
            <w:tcW w:w="7380" w:type="dxa"/>
            <w:tcMar>
              <w:top w:w="100" w:type="dxa"/>
              <w:left w:w="100" w:type="dxa"/>
              <w:bottom w:w="100" w:type="dxa"/>
              <w:right w:w="100" w:type="dxa"/>
            </w:tcMar>
          </w:tcPr>
          <w:p w:rsidR="004F27A7" w:rsidRPr="004F27A7" w:rsidRDefault="004F27A7" w:rsidP="004F27A7">
            <w:pPr>
              <w:spacing w:line="360" w:lineRule="auto"/>
              <w:jc w:val="both"/>
              <w:rPr>
                <w:rFonts w:eastAsia="Times New Roman"/>
                <w:b/>
                <w:bCs/>
                <w:sz w:val="24"/>
                <w:szCs w:val="24"/>
              </w:rPr>
            </w:pPr>
            <w:r w:rsidRPr="004F27A7">
              <w:rPr>
                <w:b/>
              </w:rPr>
              <w:t>Component 2 Analytical Report</w:t>
            </w:r>
          </w:p>
        </w:tc>
      </w:tr>
    </w:tbl>
    <w:p w:rsidR="008B51E9" w:rsidRDefault="008B51E9">
      <w:pPr>
        <w:pageBreakBefore/>
      </w:pPr>
    </w:p>
    <w:p w:rsidR="008B51E9" w:rsidRPr="004F27A7" w:rsidRDefault="000C2C39" w:rsidP="004F27A7">
      <w:pPr>
        <w:pStyle w:val="Heading1"/>
        <w:spacing w:before="200"/>
        <w:jc w:val="center"/>
        <w:rPr>
          <w:sz w:val="32"/>
          <w:szCs w:val="32"/>
        </w:rPr>
      </w:pPr>
      <w:r w:rsidRPr="004F27A7">
        <w:rPr>
          <w:sz w:val="32"/>
          <w:szCs w:val="32"/>
        </w:rPr>
        <w:t>TAS</w:t>
      </w:r>
      <w:r w:rsidRPr="004F27A7">
        <w:rPr>
          <w:sz w:val="32"/>
          <w:szCs w:val="32"/>
        </w:rPr>
        <w:t>K 1: SOCIAL EPIDEMIOLOGICAL ANALYSIS</w:t>
      </w:r>
    </w:p>
    <w:p w:rsidR="008B51E9" w:rsidRPr="004F27A7" w:rsidRDefault="000C2C39" w:rsidP="004F27A7">
      <w:pPr>
        <w:spacing w:before="100" w:after="240"/>
        <w:jc w:val="center"/>
        <w:rPr>
          <w:sz w:val="32"/>
          <w:szCs w:val="32"/>
        </w:rPr>
      </w:pPr>
      <w:r w:rsidRPr="004F27A7">
        <w:rPr>
          <w:b/>
          <w:bCs/>
          <w:sz w:val="32"/>
          <w:szCs w:val="32"/>
        </w:rPr>
        <w:t xml:space="preserve">Title: Ethnicity and Health Inequalities: Disparities in Access, Outcomes, and Social Determinants </w:t>
      </w:r>
      <w:proofErr w:type="gramStart"/>
      <w:r w:rsidRPr="004F27A7">
        <w:rPr>
          <w:b/>
          <w:bCs/>
          <w:sz w:val="32"/>
          <w:szCs w:val="32"/>
        </w:rPr>
        <w:t>Among</w:t>
      </w:r>
      <w:proofErr w:type="gramEnd"/>
      <w:r w:rsidRPr="004F27A7">
        <w:rPr>
          <w:b/>
          <w:bCs/>
          <w:sz w:val="32"/>
          <w:szCs w:val="32"/>
        </w:rPr>
        <w:t xml:space="preserve"> Ethnic Minority Groups in the United Kingdom</w:t>
      </w:r>
    </w:p>
    <w:p w:rsidR="008B51E9" w:rsidRPr="004F27A7" w:rsidRDefault="000C2C39" w:rsidP="004F27A7">
      <w:pPr>
        <w:rPr>
          <w:b/>
          <w:sz w:val="28"/>
          <w:szCs w:val="28"/>
        </w:rPr>
      </w:pPr>
      <w:r w:rsidRPr="004F27A7">
        <w:rPr>
          <w:b/>
          <w:sz w:val="28"/>
          <w:szCs w:val="28"/>
        </w:rPr>
        <w:t>Introduction</w:t>
      </w:r>
    </w:p>
    <w:p w:rsidR="008B51E9" w:rsidRDefault="000C2C39">
      <w:pPr>
        <w:spacing w:before="80" w:after="160"/>
        <w:jc w:val="both"/>
      </w:pPr>
      <w:r>
        <w:t xml:space="preserve">Ethnic minority groups in the United Kingdom constitute </w:t>
      </w:r>
      <w:r>
        <w:t>a diverse and growing proportion of the population. According to the Office for National Statistics (ONS, 2021), approximately 18.3% of the population of England and Wales identified as belonging to an ethnic minority group in the 2021 Census, representing</w:t>
      </w:r>
      <w:r>
        <w:t xml:space="preserve"> a significant increase from 14.6% in 2011. Ethnic minority communities encompass individuals from South Asian, Black African, Black Caribbean, Chinese, Mixed, and other backgrounds, each experiencing distinct yet overlapping forms of structural disadvanta</w:t>
      </w:r>
      <w:r>
        <w:t>ge. These communities are disproportionately exposed to social, economic, and environmental determinants that place them at elevated risk of health inequalities (Marmot et al., 2020). Health inequalities are defined by the World Health Organization (WHO, 2</w:t>
      </w:r>
      <w:r>
        <w:t>023) as systematic differences in health outcomes between population groups that are avoidable, unfair, and unjust. For ethnic minority populations in the UK, such inequalities are deeply rooted in historical patterns of racism, social exclusion, and econo</w:t>
      </w:r>
      <w:r>
        <w:t xml:space="preserve">mic </w:t>
      </w:r>
      <w:proofErr w:type="spellStart"/>
      <w:r>
        <w:t>marginalisation</w:t>
      </w:r>
      <w:proofErr w:type="spellEnd"/>
      <w:r>
        <w:t xml:space="preserve"> (</w:t>
      </w:r>
      <w:proofErr w:type="spellStart"/>
      <w:r>
        <w:t>Nazroo</w:t>
      </w:r>
      <w:proofErr w:type="spellEnd"/>
      <w:r>
        <w:t>, 2020). The COVID-19 pandemic starkly illuminated these pre-existing disparities, with Public Health England (2020) reporting that Black and South Asian groups faced significantly higher rates of severe illness and mortality tha</w:t>
      </w:r>
      <w:r>
        <w:t>n their White counterparts. Understanding why ethnic minority groups are at heightened risk requires a holistic examination of disease burden, healthcare access, and social conditions.</w:t>
      </w:r>
      <w:r w:rsidR="004A202F">
        <w:br/>
      </w:r>
      <w:r w:rsidR="004A202F">
        <w:t xml:space="preserve">However, while ethnic health inequalities are well documented in the UK, there remains debate regarding whether these disparities are primarily driven by structural determinants such as deprivation and systemic racism, or individual </w:t>
      </w:r>
      <w:proofErr w:type="spellStart"/>
      <w:r w:rsidR="004A202F">
        <w:t>behavioural</w:t>
      </w:r>
      <w:proofErr w:type="spellEnd"/>
      <w:r w:rsidR="004A202F">
        <w:t xml:space="preserve"> risk factors (Marmot et al., 2020; Office for National Statistics, 2022).</w:t>
      </w:r>
    </w:p>
    <w:p w:rsidR="008B51E9" w:rsidRPr="004F27A7" w:rsidRDefault="000C2C39" w:rsidP="004F27A7">
      <w:pPr>
        <w:rPr>
          <w:b/>
          <w:sz w:val="28"/>
          <w:szCs w:val="28"/>
        </w:rPr>
      </w:pPr>
      <w:r w:rsidRPr="004F27A7">
        <w:rPr>
          <w:b/>
          <w:sz w:val="28"/>
          <w:szCs w:val="28"/>
        </w:rPr>
        <w:t>Contextual Background and Underlying Factors</w:t>
      </w:r>
    </w:p>
    <w:p w:rsidR="008B51E9" w:rsidRDefault="000C2C39">
      <w:pPr>
        <w:spacing w:before="200" w:after="100"/>
      </w:pPr>
      <w:r>
        <w:rPr>
          <w:b/>
          <w:bCs/>
          <w:u w:val="single"/>
        </w:rPr>
        <w:t>Disease/Illness Rates</w:t>
      </w:r>
    </w:p>
    <w:p w:rsidR="008B51E9" w:rsidRDefault="000C2C39">
      <w:pPr>
        <w:spacing w:before="200" w:after="100"/>
      </w:pPr>
      <w:r>
        <w:rPr>
          <w:b/>
          <w:bCs/>
          <w:u w:val="single"/>
        </w:rPr>
        <w:t>1. Higher Rates of Type 2 Diabetes</w:t>
      </w:r>
    </w:p>
    <w:p w:rsidR="008B51E9" w:rsidRDefault="000C2C39">
      <w:pPr>
        <w:spacing w:before="80" w:after="160"/>
        <w:jc w:val="both"/>
      </w:pPr>
      <w:r>
        <w:t>Type 2 diabetes disproportionately affects South Asian and Black ethnic minority communities in the UK. Diabetes UK (2023) reports that South Asian individuals are up to six times more likely to develop Type 2 diabetes co</w:t>
      </w:r>
      <w:r>
        <w:t>mpared to White Europeans, and Black African and Caribbean groups are up to three times more likely. NHS Digital (2022) data shows that South Asian individuals are diagnosed with diabetes at a younger age and at lower body mass indices, indicating that sta</w:t>
      </w:r>
      <w:r>
        <w:t>ndard clinical thresholds may underestimate risk in these populations. Risk factors include genetic predisposition, dietary patterns shaped by cultural norms, and physical inactivity driven partly by socioeconomic constraints. Furthermore, language barrier</w:t>
      </w:r>
      <w:r>
        <w:t>s and cultural stigma have been identified as obstacles to timely diagnosis and effective self-management (</w:t>
      </w:r>
      <w:proofErr w:type="spellStart"/>
      <w:r>
        <w:t>Greenhalgh</w:t>
      </w:r>
      <w:proofErr w:type="spellEnd"/>
      <w:r>
        <w:t xml:space="preserve"> et al., 2021). Prevention strategies must incorporate culturally tailored education </w:t>
      </w:r>
      <w:proofErr w:type="spellStart"/>
      <w:r>
        <w:t>programmes</w:t>
      </w:r>
      <w:proofErr w:type="spellEnd"/>
      <w:r>
        <w:t>, community health worker involvement, and t</w:t>
      </w:r>
      <w:r>
        <w:t>ranslation services to ensure equitable access to diabetes prevention and management (NHSE, 2022).</w:t>
      </w:r>
    </w:p>
    <w:p w:rsidR="008B51E9" w:rsidRDefault="000C2C39">
      <w:pPr>
        <w:spacing w:before="200" w:after="100"/>
      </w:pPr>
      <w:r>
        <w:rPr>
          <w:b/>
          <w:bCs/>
          <w:u w:val="single"/>
        </w:rPr>
        <w:t>2. Higher Rates of Cardiovascular Disease</w:t>
      </w:r>
    </w:p>
    <w:p w:rsidR="008B51E9" w:rsidRDefault="000C2C39">
      <w:pPr>
        <w:spacing w:before="80" w:after="160"/>
        <w:jc w:val="both"/>
      </w:pPr>
      <w:r>
        <w:lastRenderedPageBreak/>
        <w:t>Cardiovascular disease (CVD) represents a major source of health inequality among ethnic minorities. South Asian po</w:t>
      </w:r>
      <w:r>
        <w:t xml:space="preserve">pulations, particularly those of Pakistani and Bangladeshi heritage, experience substantially higher mortality from coronary heart disease than White British individuals (BHF, 2023). British Heart Foundation (2023) statistics indicate that South Asian men </w:t>
      </w:r>
      <w:r>
        <w:t>are 50% more likely to have a heart attack compared to the general population. Conversely, Black Caribbean and Black African groups face elevated risks of stroke and hypertension. The NHS Long Term Plan (2019) acknowledges that cardiovascular health inequa</w:t>
      </w:r>
      <w:r>
        <w:t xml:space="preserve">lities are compounded by socioeconomic deprivation, which is itself correlated with ethnicity in the UK. Structural racism, including differential treatment within primary care settings, contributes to delays in diagnosis and management. Solutions include </w:t>
      </w:r>
      <w:r>
        <w:t>culturally sensitive cardiovascular risk assessment tools, targeted public health campaigns, and equitable prescribing practices (NICE, 2023).</w:t>
      </w:r>
      <w:r w:rsidR="00221367" w:rsidRPr="00221367">
        <w:t xml:space="preserve"> </w:t>
      </w:r>
      <w:r w:rsidR="00221367">
        <w:t>However, despite national strategies such as the NHS Long Term Plan, evidence suggests that cardiovascular inequalities persist among ethnic minority groups due to variations in access, quality of care, and wider social determinants (NHS England, 2019; British Heart Foundation, 2023).</w:t>
      </w:r>
    </w:p>
    <w:p w:rsidR="008B51E9" w:rsidRDefault="000C2C39">
      <w:pPr>
        <w:spacing w:before="200" w:after="100"/>
      </w:pPr>
      <w:r>
        <w:rPr>
          <w:b/>
          <w:bCs/>
          <w:u w:val="single"/>
        </w:rPr>
        <w:t>3. Higher Rates of Mental Illness</w:t>
      </w:r>
    </w:p>
    <w:p w:rsidR="00221367" w:rsidRDefault="000C2C39" w:rsidP="00221367">
      <w:pPr>
        <w:pStyle w:val="NormalWeb"/>
      </w:pPr>
      <w:r>
        <w:rPr>
          <w:rFonts w:ascii="Arial" w:eastAsia="Arial" w:hAnsi="Arial" w:cs="Arial"/>
          <w:sz w:val="22"/>
          <w:szCs w:val="22"/>
        </w:rPr>
        <w:t>Ethnic minority communities in the UK experience elevated rates of severe menta</w:t>
      </w:r>
      <w:r>
        <w:rPr>
          <w:rFonts w:ascii="Arial" w:eastAsia="Arial" w:hAnsi="Arial" w:cs="Arial"/>
          <w:sz w:val="22"/>
          <w:szCs w:val="22"/>
        </w:rPr>
        <w:t>l illness, including schizophrenia and psychosis. NHS England (2022) reports that Black Caribbean individuals are up to nine times more likely to be diagnosed with schizophrenia compared to White British individuals. Detention under the Mental Health Act (</w:t>
      </w:r>
      <w:r>
        <w:rPr>
          <w:rFonts w:ascii="Arial" w:eastAsia="Arial" w:hAnsi="Arial" w:cs="Arial"/>
          <w:sz w:val="22"/>
          <w:szCs w:val="22"/>
        </w:rPr>
        <w:t>1983) disproportionately affects Black men, with NHS Digital (2023) data showing Black people are four times more likely to be detained than White people. These disparities are partly explained by the cumulative effects of racism, social exclusion, and tra</w:t>
      </w:r>
      <w:r>
        <w:rPr>
          <w:rFonts w:ascii="Arial" w:eastAsia="Arial" w:hAnsi="Arial" w:cs="Arial"/>
          <w:sz w:val="22"/>
          <w:szCs w:val="22"/>
        </w:rPr>
        <w:t>uma (</w:t>
      </w:r>
      <w:proofErr w:type="spellStart"/>
      <w:r>
        <w:rPr>
          <w:rFonts w:ascii="Arial" w:eastAsia="Arial" w:hAnsi="Arial" w:cs="Arial"/>
          <w:sz w:val="22"/>
          <w:szCs w:val="22"/>
        </w:rPr>
        <w:t>Bhui</w:t>
      </w:r>
      <w:proofErr w:type="spellEnd"/>
      <w:r>
        <w:rPr>
          <w:rFonts w:ascii="Arial" w:eastAsia="Arial" w:hAnsi="Arial" w:cs="Arial"/>
          <w:sz w:val="22"/>
          <w:szCs w:val="22"/>
        </w:rPr>
        <w:t xml:space="preserve"> et al., 2020).</w:t>
      </w:r>
      <w:r w:rsidR="00221367" w:rsidRPr="00221367">
        <w:t xml:space="preserve"> </w:t>
      </w:r>
      <w:r w:rsidR="00221367">
        <w:t>T</w:t>
      </w:r>
      <w:r w:rsidR="00221367">
        <w:t xml:space="preserve">hese disparities may also reflect structural issues within UK mental health services, including potential diagnostic bias and lack of culturally appropriate care, rather than solely increased prevalence (NHS Digital, 2023; </w:t>
      </w:r>
      <w:proofErr w:type="spellStart"/>
      <w:r w:rsidR="00221367">
        <w:t>Bhui</w:t>
      </w:r>
      <w:proofErr w:type="spellEnd"/>
      <w:r w:rsidR="00221367">
        <w:t xml:space="preserve"> et al., 2020).</w:t>
      </w:r>
    </w:p>
    <w:p w:rsidR="008B51E9" w:rsidRDefault="000C2C39">
      <w:pPr>
        <w:spacing w:before="80" w:after="160"/>
        <w:jc w:val="both"/>
      </w:pPr>
      <w:r>
        <w:t xml:space="preserve"> Structural inequalities within the mental health system, including diagnostic bias, cultural incompetence among clinicians, and lack of community-based support, further entrench disparities. Interventions such as culturally adapted</w:t>
      </w:r>
      <w:r>
        <w:t xml:space="preserve"> Cognitive </w:t>
      </w:r>
      <w:proofErr w:type="spellStart"/>
      <w:r>
        <w:t>Behavioural</w:t>
      </w:r>
      <w:proofErr w:type="spellEnd"/>
      <w:r>
        <w:t xml:space="preserve"> Therapy (CBT) and community mental health hubs have shown promise in improving access and outcomes for ethnic minority service users (Mind, 2022).</w:t>
      </w:r>
      <w:r w:rsidR="00221367" w:rsidRPr="00221367">
        <w:t xml:space="preserve"> </w:t>
      </w:r>
      <w:r w:rsidR="00221367">
        <w:t>Notably, these disparities are not uniform across all ethnic groups in the UK. South Asian populations tend to develop Type 2 diabetes at younger ages and lower BMI thresholds compared to Black populations, highlighting limitations in applying standard clinical thresholds across diverse populations (NICE, 2022; Diabetes UK, 2023).</w:t>
      </w:r>
    </w:p>
    <w:p w:rsidR="008B51E9" w:rsidRDefault="000C2C39">
      <w:pPr>
        <w:spacing w:before="200" w:after="100"/>
      </w:pPr>
      <w:r>
        <w:rPr>
          <w:b/>
          <w:bCs/>
          <w:u w:val="single"/>
        </w:rPr>
        <w:t>Social Issues</w:t>
      </w:r>
    </w:p>
    <w:p w:rsidR="008B51E9" w:rsidRDefault="000C2C39">
      <w:pPr>
        <w:spacing w:before="200" w:after="100"/>
      </w:pPr>
      <w:r>
        <w:rPr>
          <w:b/>
          <w:bCs/>
          <w:u w:val="single"/>
        </w:rPr>
        <w:t xml:space="preserve">4. Poverty and Economic </w:t>
      </w:r>
      <w:proofErr w:type="spellStart"/>
      <w:r>
        <w:rPr>
          <w:b/>
          <w:bCs/>
          <w:u w:val="single"/>
        </w:rPr>
        <w:t>Marginalisation</w:t>
      </w:r>
      <w:proofErr w:type="spellEnd"/>
    </w:p>
    <w:p w:rsidR="008B51E9" w:rsidRDefault="000C2C39">
      <w:pPr>
        <w:spacing w:before="80" w:after="160"/>
        <w:jc w:val="both"/>
      </w:pPr>
      <w:r>
        <w:t>Ethnic minority groups in the UK</w:t>
      </w:r>
      <w:r>
        <w:t xml:space="preserve"> are significantly over-represented in lower income brackets. The Runnymede Trust (2020) reports that 46% of Bangladeshi children and 41% of Pakistani children live in poverty, compared to 26% of White British children. The Joseph Rowntree Foundation (2023</w:t>
      </w:r>
      <w:r>
        <w:t>) highlights that employment discrimination, low-wage work, and barriers to career progression compound economic disadvantage across multiple generations. Poverty is a fundamental social determinant of health, associated with poor nutrition, overcrowded ho</w:t>
      </w:r>
      <w:r>
        <w:t>using, and restricted access to health-promoting resources. Addressing poverty among ethnic minorities requires targeted welfare policies, anti-discrimination legislation enforcement, and investment in community economic development.</w:t>
      </w:r>
    </w:p>
    <w:p w:rsidR="008B51E9" w:rsidRDefault="000C2C39">
      <w:pPr>
        <w:spacing w:before="200" w:after="100"/>
      </w:pPr>
      <w:r>
        <w:rPr>
          <w:b/>
          <w:bCs/>
          <w:u w:val="single"/>
        </w:rPr>
        <w:t>5. Housing Inequalitie</w:t>
      </w:r>
      <w:r>
        <w:rPr>
          <w:b/>
          <w:bCs/>
          <w:u w:val="single"/>
        </w:rPr>
        <w:t>s</w:t>
      </w:r>
    </w:p>
    <w:p w:rsidR="008B51E9" w:rsidRDefault="000C2C39">
      <w:pPr>
        <w:spacing w:before="80" w:after="160"/>
        <w:jc w:val="both"/>
      </w:pPr>
      <w:r>
        <w:lastRenderedPageBreak/>
        <w:t>Overcrowded and substandard housing disproportionately affects ethnic minority households. According to the Ministry of Housing, Communities and Local Government (MHCLG, 2022), Black and South Asian households are more than twice as likely to live in ove</w:t>
      </w:r>
      <w:r>
        <w:t>rcrowded conditions compared to White British households. The Chartered Institute of Housing (2021) identifies structural barriers in housing allocation policies and racial discrimination in private rental markets as key drivers. Poor housing conditions ar</w:t>
      </w:r>
      <w:r>
        <w:t>e directly linked to respiratory illness, mental health problems, and infectious disease transmission, all of which exacerbate existing health inequalities. Recommendations include anti-discriminatory housing policies, affordable social housing investment,</w:t>
      </w:r>
      <w:r>
        <w:t xml:space="preserve"> and enforcement of housing standards in deprived areas.</w:t>
      </w:r>
    </w:p>
    <w:p w:rsidR="008B51E9" w:rsidRDefault="000C2C39">
      <w:pPr>
        <w:spacing w:before="200" w:after="100"/>
      </w:pPr>
      <w:r>
        <w:rPr>
          <w:b/>
          <w:bCs/>
          <w:u w:val="single"/>
        </w:rPr>
        <w:t xml:space="preserve">6. </w:t>
      </w:r>
      <w:r>
        <w:rPr>
          <w:b/>
          <w:bCs/>
          <w:u w:val="single"/>
        </w:rPr>
        <w:t>Social Isolation and Discrimination</w:t>
      </w:r>
    </w:p>
    <w:p w:rsidR="008B51E9" w:rsidRDefault="000C2C39">
      <w:pPr>
        <w:spacing w:before="80" w:after="160"/>
        <w:jc w:val="both"/>
      </w:pPr>
      <w:r>
        <w:t>Racial discrimination and social exclusion profoundly affect the health and wellbeing of ethnic minority individuals. The Equality and Human Rights Commission (</w:t>
      </w:r>
      <w:r>
        <w:t xml:space="preserve">EHRC, 2022) reports that one in five ethnic minority adults in England has experienced racial harassment or discrimination in the past year. Chronic exposure to racism is associated with elevated cortisol levels, hypertension, and depression (Williams and </w:t>
      </w:r>
      <w:r>
        <w:t>Mohammed, 2009). Social isolation, exacerbated by language barriers and community fragmentation, further restricts access to social capital and mental health support. Community-based social prescribing initiatives and culturally inclusive services are vita</w:t>
      </w:r>
      <w:r>
        <w:t>l in addressing social isolation among ethnic minority populations.</w:t>
      </w:r>
      <w:r w:rsidR="00221367" w:rsidRPr="00221367">
        <w:t xml:space="preserve"> </w:t>
      </w:r>
      <w:r w:rsidR="00221367">
        <w:t>These patterns reflect the wider social determinants of health in the UK, where deprivation, housing conditions, and employment inequalities interact to produce cumulative health disadvantages across the life course (Marmot et al., 2020; UK Health Security Agency, 2023).</w:t>
      </w:r>
    </w:p>
    <w:p w:rsidR="008B51E9" w:rsidRPr="004F27A7" w:rsidRDefault="000C2C39" w:rsidP="004F27A7">
      <w:pPr>
        <w:rPr>
          <w:b/>
          <w:sz w:val="28"/>
          <w:szCs w:val="28"/>
        </w:rPr>
      </w:pPr>
      <w:r w:rsidRPr="004F27A7">
        <w:rPr>
          <w:b/>
          <w:sz w:val="28"/>
          <w:szCs w:val="28"/>
        </w:rPr>
        <w:t>National Response to Reduce Health Inequalities</w:t>
      </w:r>
    </w:p>
    <w:p w:rsidR="008B51E9" w:rsidRDefault="000C2C39">
      <w:pPr>
        <w:spacing w:before="80" w:after="160"/>
        <w:jc w:val="both"/>
      </w:pPr>
      <w:r>
        <w:t>The UK government has introduced several policy frameworks and initiatives aimed at reducing ethnic health inequalities. The NHS Race and He</w:t>
      </w:r>
      <w:r>
        <w:t>alth Observatory was established in 2021 to provide an independent, evidence-based analysis of health inequalities among ethnic minorities and to drive system-wide change (NHS Race and Health Observatory, 2021). The Observatory's landmark report in 2022 hi</w:t>
      </w:r>
      <w:r>
        <w:t>ghlighted systemic racism within the NHS and recommended mandatory workforce training on structural racism, culturally competent care models, and disaggregated ethnicity data collection to improve policy targeting.</w:t>
      </w:r>
    </w:p>
    <w:p w:rsidR="00221367" w:rsidRDefault="000C2C39" w:rsidP="00221367">
      <w:pPr>
        <w:pStyle w:val="NormalWeb"/>
      </w:pPr>
      <w:r>
        <w:rPr>
          <w:rFonts w:ascii="Arial" w:eastAsia="Arial" w:hAnsi="Arial" w:cs="Arial"/>
          <w:sz w:val="22"/>
          <w:szCs w:val="22"/>
        </w:rPr>
        <w:t>Additionally, the Core20PLUS5 framework d</w:t>
      </w:r>
      <w:r>
        <w:rPr>
          <w:rFonts w:ascii="Arial" w:eastAsia="Arial" w:hAnsi="Arial" w:cs="Arial"/>
          <w:sz w:val="22"/>
          <w:szCs w:val="22"/>
        </w:rPr>
        <w:t>eveloped by NHS England (2022) specifically addresses health inequalities by targeting the most deprived 20% of the population alongside particular ethnic minority groups, with a focus on five clinical areas including mental health, hypertension, and diabe</w:t>
      </w:r>
      <w:r>
        <w:rPr>
          <w:rFonts w:ascii="Arial" w:eastAsia="Arial" w:hAnsi="Arial" w:cs="Arial"/>
          <w:sz w:val="22"/>
          <w:szCs w:val="22"/>
        </w:rPr>
        <w:t>tes. This framework provides Integrated Care Systems with a structured approach to embedding equity into service delivery. The Marmot Review Ten Years On (2020) also reinforced the need for action across multiple social determinants, including income, educ</w:t>
      </w:r>
      <w:r>
        <w:rPr>
          <w:rFonts w:ascii="Arial" w:eastAsia="Arial" w:hAnsi="Arial" w:cs="Arial"/>
          <w:sz w:val="22"/>
          <w:szCs w:val="22"/>
        </w:rPr>
        <w:t>ation, and housing, as central to reducing ethnic health inequalities.</w:t>
      </w:r>
      <w:r w:rsidR="00221367" w:rsidRPr="00221367">
        <w:t xml:space="preserve"> </w:t>
      </w:r>
      <w:r w:rsidR="00221367">
        <w:t>However, evaluations of UK policy responses suggest that many interventions focus on downstream healthcare services rather than addressing upstream determinants such as poverty, housing, and structural inequality, limiting their long-term effectiveness (Marmot et al., 2020; The Health Foundation, 2021).</w:t>
      </w:r>
    </w:p>
    <w:p w:rsidR="008B51E9" w:rsidRPr="004F27A7" w:rsidRDefault="008B51E9" w:rsidP="004F27A7">
      <w:pPr>
        <w:rPr>
          <w:b/>
          <w:sz w:val="28"/>
          <w:szCs w:val="28"/>
        </w:rPr>
      </w:pPr>
    </w:p>
    <w:p w:rsidR="008B51E9" w:rsidRPr="004F27A7" w:rsidRDefault="000C2C39" w:rsidP="004F27A7">
      <w:pPr>
        <w:rPr>
          <w:b/>
          <w:sz w:val="28"/>
          <w:szCs w:val="28"/>
        </w:rPr>
      </w:pPr>
      <w:proofErr w:type="spellStart"/>
      <w:r w:rsidRPr="004F27A7">
        <w:rPr>
          <w:b/>
          <w:bCs/>
          <w:sz w:val="28"/>
          <w:szCs w:val="28"/>
        </w:rPr>
        <w:t>Organisations</w:t>
      </w:r>
      <w:proofErr w:type="spellEnd"/>
      <w:r w:rsidRPr="004F27A7">
        <w:rPr>
          <w:b/>
          <w:bCs/>
          <w:sz w:val="28"/>
          <w:szCs w:val="28"/>
        </w:rPr>
        <w:t xml:space="preserve"> That Support the Chosen Group</w:t>
      </w:r>
    </w:p>
    <w:p w:rsidR="008B51E9" w:rsidRDefault="000C2C39">
      <w:pPr>
        <w:spacing w:before="80" w:after="160"/>
        <w:jc w:val="both"/>
      </w:pPr>
      <w:r>
        <w:t>The Runnymede Trust is the UK's leading race equality think tank, founded in 1968. Its core mission is to promote a successful multiethnic society by providing evidence, policy solutions, and public advocacy to advance race equality across health, housing,</w:t>
      </w:r>
      <w:r>
        <w:t xml:space="preserve"> education, and criminal justice. The Trust conducts and disseminates rigorous research on ethnic inequalities, </w:t>
      </w:r>
      <w:r>
        <w:lastRenderedPageBreak/>
        <w:t xml:space="preserve">including its flagship report 'Who Cares </w:t>
      </w:r>
      <w:proofErr w:type="gramStart"/>
      <w:r>
        <w:t>About</w:t>
      </w:r>
      <w:proofErr w:type="gramEnd"/>
      <w:r>
        <w:t xml:space="preserve"> Runnymede?' which examines structural inequalities faced by ethnic minority communities in public</w:t>
      </w:r>
      <w:r>
        <w:t xml:space="preserve"> services (Runnymede Trust, 2020). The Trust also supports the Race Disparity Audit, collaborates with government departments, and advocates for the collection of disaggregated ethnicity data to enable better monitoring of inequalities. By amplifying commu</w:t>
      </w:r>
      <w:r>
        <w:t>nity voices and informing legislative change, the Runnymede Trust plays a critical role in transforming systems that perpetuate ethnic health inequalities.</w:t>
      </w:r>
      <w:r w:rsidR="00221367" w:rsidRPr="00221367">
        <w:t xml:space="preserve"> </w:t>
      </w:r>
      <w:r w:rsidR="00221367">
        <w:t xml:space="preserve">While the </w:t>
      </w:r>
      <w:proofErr w:type="spellStart"/>
      <w:r w:rsidR="00221367">
        <w:t>organisation</w:t>
      </w:r>
      <w:proofErr w:type="spellEnd"/>
      <w:r w:rsidR="00221367">
        <w:t xml:space="preserve"> plays a critical role in advocacy and research, its impact is often constrained by limited direct influence on policy implementation and measurable health outcomes (Runnymede Trust, 2020).</w:t>
      </w:r>
    </w:p>
    <w:p w:rsidR="008B51E9" w:rsidRPr="004F27A7" w:rsidRDefault="000C2C39" w:rsidP="004F27A7">
      <w:pPr>
        <w:rPr>
          <w:b/>
          <w:sz w:val="28"/>
          <w:szCs w:val="28"/>
        </w:rPr>
      </w:pPr>
      <w:r w:rsidRPr="004F27A7">
        <w:rPr>
          <w:b/>
          <w:sz w:val="28"/>
          <w:szCs w:val="28"/>
        </w:rPr>
        <w:t>Conclusion</w:t>
      </w:r>
    </w:p>
    <w:p w:rsidR="008B51E9" w:rsidRDefault="000C2C39">
      <w:pPr>
        <w:spacing w:before="80" w:after="160"/>
        <w:jc w:val="both"/>
      </w:pPr>
      <w:r>
        <w:t>Ethnic minority groups in the UK face deeply entrenched health inequalities shaped by the</w:t>
      </w:r>
      <w:r>
        <w:t xml:space="preserve"> intersection of racial discrimination, socioeconomic deprivation, inadequate housing, and differential access to healthcare. Elevated rates of Type 2 diabetes, cardiovascular disease, and mental illness are compounded by poverty, overcrowding, and chronic</w:t>
      </w:r>
      <w:r>
        <w:t xml:space="preserve"> exposure to racism. National responses, including the NHS Race and Health Observatory and Core20PLUS5, represent important steps toward systemic change, but their impact must be evaluated and scaled. </w:t>
      </w:r>
      <w:proofErr w:type="spellStart"/>
      <w:r>
        <w:t>Organisations</w:t>
      </w:r>
      <w:proofErr w:type="spellEnd"/>
      <w:r>
        <w:t xml:space="preserve"> such as the Runnymede Trust are vital in </w:t>
      </w:r>
      <w:r>
        <w:t>sustaining public and political attention on these disparities. Addressing ethnic health inequalities requires sustained cross-sector collaboration, community engagement, and the dismantling of structural racism within public institutions.</w:t>
      </w:r>
      <w:r w:rsidR="00221367" w:rsidRPr="00221367">
        <w:t xml:space="preserve"> </w:t>
      </w:r>
    </w:p>
    <w:p w:rsidR="008B51E9" w:rsidRDefault="008B51E9">
      <w:pPr>
        <w:pageBreakBefore/>
      </w:pPr>
    </w:p>
    <w:p w:rsidR="008B51E9" w:rsidRPr="004F27A7" w:rsidRDefault="000C2C39" w:rsidP="004F27A7">
      <w:pPr>
        <w:rPr>
          <w:b/>
          <w:sz w:val="28"/>
          <w:szCs w:val="28"/>
        </w:rPr>
      </w:pPr>
      <w:r w:rsidRPr="004F27A7">
        <w:rPr>
          <w:b/>
          <w:sz w:val="28"/>
          <w:szCs w:val="28"/>
        </w:rPr>
        <w:t>TASK 2: EPIDEMI</w:t>
      </w:r>
      <w:r w:rsidRPr="004F27A7">
        <w:rPr>
          <w:b/>
          <w:sz w:val="28"/>
          <w:szCs w:val="28"/>
        </w:rPr>
        <w:t>OLOGICAL ANALYSIS</w:t>
      </w:r>
    </w:p>
    <w:p w:rsidR="008B51E9" w:rsidRPr="004F27A7" w:rsidRDefault="000C2C39">
      <w:pPr>
        <w:spacing w:before="100" w:after="240"/>
        <w:jc w:val="center"/>
        <w:rPr>
          <w:sz w:val="28"/>
          <w:szCs w:val="28"/>
        </w:rPr>
      </w:pPr>
      <w:r w:rsidRPr="004F27A7">
        <w:rPr>
          <w:b/>
          <w:bCs/>
          <w:sz w:val="28"/>
          <w:szCs w:val="28"/>
        </w:rPr>
        <w:t>Title: Type 2 Diabetes in Tower Hamlets, London: An Epidemiological Report on Identification, Assessment, and Management</w:t>
      </w:r>
    </w:p>
    <w:p w:rsidR="008B51E9" w:rsidRPr="004F27A7" w:rsidRDefault="000C2C39" w:rsidP="004F27A7">
      <w:pPr>
        <w:rPr>
          <w:b/>
          <w:sz w:val="28"/>
          <w:szCs w:val="28"/>
        </w:rPr>
      </w:pPr>
      <w:r w:rsidRPr="004F27A7">
        <w:rPr>
          <w:b/>
          <w:sz w:val="28"/>
          <w:szCs w:val="28"/>
        </w:rPr>
        <w:t>Introduction</w:t>
      </w:r>
    </w:p>
    <w:p w:rsidR="008B51E9" w:rsidRDefault="000C2C39">
      <w:pPr>
        <w:spacing w:before="80" w:after="160"/>
        <w:jc w:val="both"/>
      </w:pPr>
      <w:r>
        <w:t xml:space="preserve">Type 2 diabetes mellitus (T2DM) is a chronic, progressive metabolic disorder </w:t>
      </w:r>
      <w:proofErr w:type="spellStart"/>
      <w:r>
        <w:t>characterised</w:t>
      </w:r>
      <w:proofErr w:type="spellEnd"/>
      <w:r>
        <w:t xml:space="preserve"> by insulin re</w:t>
      </w:r>
      <w:r>
        <w:t xml:space="preserve">sistance and relative insulin deficiency, resulting in chronic </w:t>
      </w:r>
      <w:proofErr w:type="spellStart"/>
      <w:r>
        <w:t>hyperglycaemia</w:t>
      </w:r>
      <w:proofErr w:type="spellEnd"/>
      <w:r>
        <w:t xml:space="preserve"> (WHO, 2023). It is a leading cause of morbidity and premature mortality globally, contributing to complications including cardiovascular disease, renal failure, lower limb amputa</w:t>
      </w:r>
      <w:r>
        <w:t>tion, and blindness (IDF, 2021). The health consequences of T2DM are not limited to physical pathology; the condition is strongly associated with depression, reduced quality of life, and significant economic burden on both individuals and health systems (D</w:t>
      </w:r>
      <w:r>
        <w:t>iabetes UK, 2023). Globally, 537 million adults are estimated to live with diabetes, with projections indicating this figure will rise to 643 million by 2030 (IDF, 2021). In the UK, NHS Digital (2022) reports that approximately 4.3 million people have been</w:t>
      </w:r>
      <w:r>
        <w:t xml:space="preserve"> diagnosed with diabetes, of whom approximately 90% have Type 2. An estimated 850,000 people remain undiagnosed. The direct cost to the NHS is estimated at £10 billion annually, representing approximately 10% of its total budget (Diabetes UK, 2023). In Tow</w:t>
      </w:r>
      <w:r>
        <w:t xml:space="preserve">er Hamlets, a densely populated inner-London borough with one of the highest proportions of South Asian residents in England (ONS, 2021), the prevalence of T2DM is significantly elevated compared to both London and national averages. Public Health England </w:t>
      </w:r>
      <w:r>
        <w:t xml:space="preserve">(now UKHSA) Fingertips data (2023) reports a diagnosed T2DM prevalence of 7.9% in Tower Hamlets, compared to 6.1% in London and 6.5% nationally. This makes Tower Hamlets a high-priority locality for targeted epidemiological investigation and public health </w:t>
      </w:r>
      <w:r>
        <w:t>intervention.</w:t>
      </w:r>
      <w:r w:rsidR="008D52A8" w:rsidRPr="008D52A8">
        <w:t xml:space="preserve"> </w:t>
      </w:r>
      <w:r w:rsidR="008D52A8">
        <w:t>In the UK context, Type 2 diabetes is strongly associated with ethnicity and socioeconomic deprivation, particularly in urban boroughs such as Tower Hamlets (NHS Digital, 2022; UK Health Security Agency, 2023).</w:t>
      </w:r>
    </w:p>
    <w:p w:rsidR="008B51E9" w:rsidRPr="004F27A7" w:rsidRDefault="000C2C39" w:rsidP="004F27A7">
      <w:pPr>
        <w:rPr>
          <w:b/>
          <w:sz w:val="28"/>
          <w:szCs w:val="28"/>
        </w:rPr>
      </w:pPr>
      <w:r w:rsidRPr="004F27A7">
        <w:rPr>
          <w:b/>
          <w:sz w:val="28"/>
          <w:szCs w:val="28"/>
        </w:rPr>
        <w:t>Key Determinants and Risk Factors of Type 2 Diabetes in Tower Hamlets</w:t>
      </w:r>
    </w:p>
    <w:p w:rsidR="008B51E9" w:rsidRDefault="000C2C39">
      <w:pPr>
        <w:spacing w:before="80" w:after="160"/>
        <w:jc w:val="both"/>
      </w:pPr>
      <w:r>
        <w:t xml:space="preserve">The </w:t>
      </w:r>
      <w:proofErr w:type="spellStart"/>
      <w:r>
        <w:t>aetiology</w:t>
      </w:r>
      <w:proofErr w:type="spellEnd"/>
      <w:r>
        <w:t xml:space="preserve"> of T2DM in Tower Hamlets is multifactorial, shaped by the intersection of biological, </w:t>
      </w:r>
      <w:proofErr w:type="spellStart"/>
      <w:r>
        <w:t>behavioural</w:t>
      </w:r>
      <w:proofErr w:type="spellEnd"/>
      <w:r>
        <w:t>, and social determinants. South Asian individuals, who constitute approximately 35% of Tower Hamlets' population (ONS, 2021), have a genetically</w:t>
      </w:r>
      <w:r>
        <w:t xml:space="preserve"> higher susceptibility to insulin resistance at lower body weight thresholds (</w:t>
      </w:r>
      <w:proofErr w:type="spellStart"/>
      <w:r>
        <w:t>Sattar</w:t>
      </w:r>
      <w:proofErr w:type="spellEnd"/>
      <w:r>
        <w:t xml:space="preserve"> et al., 2021). This means that Body Mass Index (BMI) cut-offs developed primarily for White European populations underestimate diabetes risk in South Asian communities, le</w:t>
      </w:r>
      <w:r>
        <w:t xml:space="preserve">ading to delayed screening and diagnosis (NICE, 2022). </w:t>
      </w:r>
      <w:proofErr w:type="spellStart"/>
      <w:r>
        <w:t>Behavioural</w:t>
      </w:r>
      <w:proofErr w:type="spellEnd"/>
      <w:r>
        <w:t xml:space="preserve"> risk factors include high consumption of refined carbohydrates, low levels of physical activity, and cultural barriers to dietary change (</w:t>
      </w:r>
      <w:proofErr w:type="spellStart"/>
      <w:r>
        <w:t>Greenhalgh</w:t>
      </w:r>
      <w:proofErr w:type="spellEnd"/>
      <w:r>
        <w:t xml:space="preserve"> et al., 2021). Social determinants in To</w:t>
      </w:r>
      <w:r>
        <w:t>wer Hamlets compound biological susceptibility. The borough ranks among the most deprived in England, with 39% of children living in poverty (LBTH, 2022). Deprivation is associated with food insecurity, limited access to safe recreational spaces, and highe</w:t>
      </w:r>
      <w:r>
        <w:t xml:space="preserve">r rates of stress — all of which elevate T2DM risk. Language barriers among first and second-generation Bangladeshi residents may limit health literacy and reduce engagement with screening </w:t>
      </w:r>
      <w:proofErr w:type="spellStart"/>
      <w:r>
        <w:t>programmes</w:t>
      </w:r>
      <w:proofErr w:type="spellEnd"/>
      <w:r>
        <w:t xml:space="preserve"> (</w:t>
      </w:r>
      <w:proofErr w:type="spellStart"/>
      <w:r>
        <w:t>Salway</w:t>
      </w:r>
      <w:proofErr w:type="spellEnd"/>
      <w:r>
        <w:t xml:space="preserve"> et al., 2020). Unemployment, shift work, and occ</w:t>
      </w:r>
      <w:r>
        <w:t>upational stress are additional social risk factors relevant to this population.</w:t>
      </w:r>
      <w:r w:rsidR="008D52A8" w:rsidRPr="008D52A8">
        <w:t xml:space="preserve"> </w:t>
      </w:r>
      <w:r w:rsidR="008D52A8">
        <w:t>Evidence from UK studies suggests that structural factors such as deprivation, poor housing, and limited access to healthy food environments play a significant role in shaping these risks beyond individual lifestyle choices (Marmot et al., 2020; The King’s Fund, 2022).</w:t>
      </w:r>
    </w:p>
    <w:p w:rsidR="008B51E9" w:rsidRPr="004F27A7" w:rsidRDefault="000C2C39" w:rsidP="004F27A7">
      <w:pPr>
        <w:rPr>
          <w:b/>
          <w:sz w:val="28"/>
          <w:szCs w:val="28"/>
        </w:rPr>
      </w:pPr>
      <w:r w:rsidRPr="004F27A7">
        <w:rPr>
          <w:b/>
          <w:sz w:val="28"/>
          <w:szCs w:val="28"/>
        </w:rPr>
        <w:lastRenderedPageBreak/>
        <w:t>Epidemiological Studies and Health Needs Assessment</w:t>
      </w:r>
    </w:p>
    <w:p w:rsidR="008B51E9" w:rsidRDefault="000C2C39">
      <w:pPr>
        <w:spacing w:before="80" w:after="160"/>
        <w:jc w:val="both"/>
      </w:pPr>
      <w:r>
        <w:t>Identifying those affected or at risk in Tower Hamlets requires a rigorous health needs assessment (HNA) drawing on epidemi</w:t>
      </w:r>
      <w:r>
        <w:t>ological data from multiple sources. The UKHSA Fingertips platform (2023) provides real-time, disaggregated data on T2DM prevalence, QOF (Quality and Outcomes Framework) achievement, and population demographics at GP practice level. A comparative needs ass</w:t>
      </w:r>
      <w:r>
        <w:t xml:space="preserve">essment drawing on Fingertips data alongside the Index of Multiple Deprivation (MHCLG, 2019) reveals a strong spatial correlation between socioeconomic deprivation and high T2DM prevalence in Tower Hamlets wards such as Whitechapel and </w:t>
      </w:r>
      <w:proofErr w:type="spellStart"/>
      <w:r>
        <w:t>Bethnal</w:t>
      </w:r>
      <w:proofErr w:type="spellEnd"/>
      <w:r>
        <w:t xml:space="preserve"> Green. The N</w:t>
      </w:r>
      <w:r>
        <w:t xml:space="preserve">HS Health Check </w:t>
      </w:r>
      <w:proofErr w:type="spellStart"/>
      <w:r>
        <w:t>programme</w:t>
      </w:r>
      <w:proofErr w:type="spellEnd"/>
      <w:r>
        <w:t>, which offers systematic cardiovascular and metabolic risk assessment for adults aged 40–74, serves as a key tool for identifying pre-diabetes in high-risk individuals. However, uptake in Tower Hamlets remains below national targe</w:t>
      </w:r>
      <w:r>
        <w:t xml:space="preserve">ts: NHS England data (2022) shows only 48% of eligible individuals received an NHS Health Check in 2021/22, with engagement particularly low among Bangladeshi men. The Diabetes Prevention </w:t>
      </w:r>
      <w:proofErr w:type="spellStart"/>
      <w:r>
        <w:t>Programme</w:t>
      </w:r>
      <w:proofErr w:type="spellEnd"/>
      <w:r>
        <w:t xml:space="preserve"> (NDPP), delivered nationally but with targeted outreach in</w:t>
      </w:r>
      <w:r>
        <w:t xml:space="preserve"> Tower Hamlets, uses HbA1c screening to identify individuals with pre-diabetes and refers them to structured lifestyle interventions. A local evaluation by NHS North East London ICB (2022) found that NDPP referrals in Tower Hamlets increased by 22% followi</w:t>
      </w:r>
      <w:r>
        <w:t>ng dedicated community outreach through South Asian faith communities and local pharmacies. This illustrates the importance of culturally competent health needs assessment methodologies.</w:t>
      </w:r>
      <w:r w:rsidR="008D52A8" w:rsidRPr="008D52A8">
        <w:t xml:space="preserve"> </w:t>
      </w:r>
      <w:r w:rsidR="008D52A8">
        <w:t xml:space="preserve">However, UK datasets are limited by incomplete ethnicity recording and potential underrepresentation of </w:t>
      </w:r>
      <w:proofErr w:type="spellStart"/>
      <w:r w:rsidR="008D52A8">
        <w:t>marginalised</w:t>
      </w:r>
      <w:proofErr w:type="spellEnd"/>
      <w:r w:rsidR="008D52A8">
        <w:t xml:space="preserve"> groups, which may lead to underestimation of disease burden (NHS Race and Health Observatory, 2022).</w:t>
      </w:r>
    </w:p>
    <w:p w:rsidR="008B51E9" w:rsidRPr="004F27A7" w:rsidRDefault="000C2C39" w:rsidP="004F27A7">
      <w:pPr>
        <w:rPr>
          <w:b/>
          <w:sz w:val="28"/>
          <w:szCs w:val="28"/>
        </w:rPr>
      </w:pPr>
      <w:r w:rsidRPr="004F27A7">
        <w:rPr>
          <w:b/>
          <w:sz w:val="28"/>
          <w:szCs w:val="28"/>
        </w:rPr>
        <w:t>Public Health Measures Drawing on the 3 Ps: Prevention, Protection, a</w:t>
      </w:r>
      <w:r w:rsidRPr="004F27A7">
        <w:rPr>
          <w:b/>
          <w:sz w:val="28"/>
          <w:szCs w:val="28"/>
        </w:rPr>
        <w:t>nd Promotion</w:t>
      </w:r>
    </w:p>
    <w:p w:rsidR="008B51E9" w:rsidRDefault="000C2C39">
      <w:pPr>
        <w:spacing w:before="80" w:after="160"/>
        <w:jc w:val="both"/>
      </w:pPr>
      <w:r>
        <w:t>The Three Ps framework — Prevention, Protection, and Health Promotion — provides a structured approach to managing T2DM in Tower Hamlets. Primary prevention in Tower Hamlets focuses on reducing the incidence of new diabetes cases through lifes</w:t>
      </w:r>
      <w:r>
        <w:t xml:space="preserve">tyle modification. The NHS Diabetes Prevention </w:t>
      </w:r>
      <w:proofErr w:type="spellStart"/>
      <w:r>
        <w:t>Programme</w:t>
      </w:r>
      <w:proofErr w:type="spellEnd"/>
      <w:r>
        <w:t xml:space="preserve"> (NDPP) is the world's largest Type 2 diabetes prevention </w:t>
      </w:r>
      <w:proofErr w:type="spellStart"/>
      <w:r>
        <w:t>programme</w:t>
      </w:r>
      <w:proofErr w:type="spellEnd"/>
      <w:r>
        <w:t xml:space="preserve"> and is available to all individuals identified as at high risk. In Tower Hamlets, NDPP groups are delivered in Sylheti and Bengali b</w:t>
      </w:r>
      <w:r>
        <w:t xml:space="preserve">y trained facilitators, reflecting the linguistic needs of the community (NHSE, 2022). These groups address dietary </w:t>
      </w:r>
      <w:proofErr w:type="spellStart"/>
      <w:r>
        <w:t>behaviour</w:t>
      </w:r>
      <w:proofErr w:type="spellEnd"/>
      <w:r>
        <w:t xml:space="preserve"> change, physical activity, and stress management over a nine-month period. Evaluation by NHS England (2021) found that participant</w:t>
      </w:r>
      <w:r>
        <w:t xml:space="preserve">s achieving the </w:t>
      </w:r>
      <w:proofErr w:type="spellStart"/>
      <w:r>
        <w:t>programme</w:t>
      </w:r>
      <w:proofErr w:type="spellEnd"/>
      <w:r>
        <w:t xml:space="preserve"> achieved an average reduction of 3.7% in HbA1c levels, with significant improvements in weight and waist circumference. Secondary prevention involves early detection and management of existing cases to prevent complications. The Q</w:t>
      </w:r>
      <w:r>
        <w:t xml:space="preserve">OF </w:t>
      </w:r>
      <w:proofErr w:type="spellStart"/>
      <w:r>
        <w:t>incentivises</w:t>
      </w:r>
      <w:proofErr w:type="spellEnd"/>
      <w:r>
        <w:t xml:space="preserve"> GP practices in Tower Hamlets to achieve annual HbA1c, blood pressure, and cholesterol reviews for registered diabetes patients. However, UKHSA Fingertips (2023) data indicates that T2DM-related amputation rates in Tower Hamlets (3.2 per 1,</w:t>
      </w:r>
      <w:r>
        <w:t>000) remain above the national average (2.6 per 1,000), suggesting gaps in foot care surveillance and referral pathways. Health protection encompasses population-level policies to reduce environmental and commercial determinants of diabetes risk, including</w:t>
      </w:r>
      <w:r>
        <w:t xml:space="preserve"> the Soft Drinks Industry Levy (introduced in 2018), which has contributed to a 10% reduction in sugar content across targeted beverages (DHSC, 2022). At the local level, Tower Hamlets Council's Healthy Streets </w:t>
      </w:r>
      <w:proofErr w:type="spellStart"/>
      <w:r>
        <w:t>programme</w:t>
      </w:r>
      <w:proofErr w:type="spellEnd"/>
      <w:r>
        <w:t xml:space="preserve"> promotes active travel and reduces </w:t>
      </w:r>
      <w:r>
        <w:t xml:space="preserve">sedentary </w:t>
      </w:r>
      <w:proofErr w:type="spellStart"/>
      <w:r>
        <w:t>behaviour</w:t>
      </w:r>
      <w:proofErr w:type="spellEnd"/>
      <w:r>
        <w:t xml:space="preserve">. Health promotion initiatives include the 'Better Health' campaign by NHS England (2023) and local community health </w:t>
      </w:r>
      <w:proofErr w:type="spellStart"/>
      <w:r>
        <w:t>programmes</w:t>
      </w:r>
      <w:proofErr w:type="spellEnd"/>
      <w:r>
        <w:t xml:space="preserve"> delivered through mosques and community </w:t>
      </w:r>
      <w:proofErr w:type="spellStart"/>
      <w:r>
        <w:t>centres</w:t>
      </w:r>
      <w:proofErr w:type="spellEnd"/>
      <w:r>
        <w:t>, providing culturally appropriate diabetes awareness sessions</w:t>
      </w:r>
      <w:r>
        <w:t xml:space="preserve"> and food demonstrations tailored to Bangladeshi and Somali cooking traditions.</w:t>
      </w:r>
      <w:r w:rsidR="008D52A8" w:rsidRPr="008D52A8">
        <w:t xml:space="preserve"> </w:t>
      </w:r>
      <w:r w:rsidR="008D52A8">
        <w:t xml:space="preserve">Despite national initiatives such as the NHS Diabetes Prevention </w:t>
      </w:r>
      <w:proofErr w:type="spellStart"/>
      <w:r w:rsidR="008D52A8">
        <w:t>Programme</w:t>
      </w:r>
      <w:proofErr w:type="spellEnd"/>
      <w:r w:rsidR="008D52A8">
        <w:t>, engagement remains uneven across ethnic groups, particularly among men, limiting the overall effectiveness of these interventions (NHS England, 2022; Diabetes UK, 2023).</w:t>
      </w:r>
    </w:p>
    <w:p w:rsidR="008B51E9" w:rsidRPr="004F27A7" w:rsidRDefault="000C2C39" w:rsidP="004F27A7">
      <w:pPr>
        <w:rPr>
          <w:b/>
          <w:sz w:val="28"/>
          <w:szCs w:val="28"/>
        </w:rPr>
      </w:pPr>
      <w:r w:rsidRPr="004F27A7">
        <w:rPr>
          <w:b/>
          <w:sz w:val="28"/>
          <w:szCs w:val="28"/>
        </w:rPr>
        <w:lastRenderedPageBreak/>
        <w:t>Monitoring and Surveillance Systems</w:t>
      </w:r>
    </w:p>
    <w:p w:rsidR="008D52A8" w:rsidRDefault="000C2C39" w:rsidP="008D52A8">
      <w:pPr>
        <w:pStyle w:val="NormalWeb"/>
      </w:pPr>
      <w:r>
        <w:rPr>
          <w:rFonts w:ascii="Arial" w:eastAsia="Arial" w:hAnsi="Arial" w:cs="Arial"/>
          <w:sz w:val="22"/>
          <w:szCs w:val="22"/>
        </w:rPr>
        <w:t>Effective epidemiological management of T2DM in Tower Hamlets relies on robust, multi-layered surveillance. The National Diabetes Audit (NDA</w:t>
      </w:r>
      <w:r>
        <w:rPr>
          <w:rFonts w:ascii="Arial" w:eastAsia="Arial" w:hAnsi="Arial" w:cs="Arial"/>
          <w:sz w:val="22"/>
          <w:szCs w:val="22"/>
        </w:rPr>
        <w:t>), operated by NHS Digital (2023), collects data from primary care on care processes and outcomes for all registered diabetes patients. This enables benchmarking of Tower Hamlets' GP practices against national standards and identification of underperformin</w:t>
      </w:r>
      <w:r>
        <w:rPr>
          <w:rFonts w:ascii="Arial" w:eastAsia="Arial" w:hAnsi="Arial" w:cs="Arial"/>
          <w:sz w:val="22"/>
          <w:szCs w:val="22"/>
        </w:rPr>
        <w:t xml:space="preserve">g practices. The UKHSA Fingertips tool provides a publicly accessible, regularly updated platform for monitoring T2DM prevalence, prevention </w:t>
      </w:r>
      <w:proofErr w:type="spellStart"/>
      <w:r>
        <w:rPr>
          <w:rFonts w:ascii="Arial" w:eastAsia="Arial" w:hAnsi="Arial" w:cs="Arial"/>
          <w:sz w:val="22"/>
          <w:szCs w:val="22"/>
        </w:rPr>
        <w:t>programme</w:t>
      </w:r>
      <w:proofErr w:type="spellEnd"/>
      <w:r>
        <w:rPr>
          <w:rFonts w:ascii="Arial" w:eastAsia="Arial" w:hAnsi="Arial" w:cs="Arial"/>
          <w:sz w:val="22"/>
          <w:szCs w:val="22"/>
        </w:rPr>
        <w:t xml:space="preserve"> uptake, and complication rates at local authority level. These tools are supplemented by the Joint Strate</w:t>
      </w:r>
      <w:r>
        <w:rPr>
          <w:rFonts w:ascii="Arial" w:eastAsia="Arial" w:hAnsi="Arial" w:cs="Arial"/>
          <w:sz w:val="22"/>
          <w:szCs w:val="22"/>
        </w:rPr>
        <w:t>gic Needs Assessment (JSNA) conducted by Tower Hamlets Public Health team (LBTH, 2022), which integrates population health data with qualitative community engagement to produce a comprehensive needs profile. GP-level data linkage through the Clinical Pract</w:t>
      </w:r>
      <w:r>
        <w:rPr>
          <w:rFonts w:ascii="Arial" w:eastAsia="Arial" w:hAnsi="Arial" w:cs="Arial"/>
          <w:sz w:val="22"/>
          <w:szCs w:val="22"/>
        </w:rPr>
        <w:t>ice Research Datalink (CPRD) enables longitudinal analysis of T2DM risk trajectories and treatment outcomes in South Asian populations, providing an evidence base for service redesign (</w:t>
      </w:r>
      <w:proofErr w:type="spellStart"/>
      <w:r>
        <w:rPr>
          <w:rFonts w:ascii="Arial" w:eastAsia="Arial" w:hAnsi="Arial" w:cs="Arial"/>
          <w:sz w:val="22"/>
          <w:szCs w:val="22"/>
        </w:rPr>
        <w:t>Herrett</w:t>
      </w:r>
      <w:proofErr w:type="spellEnd"/>
      <w:r>
        <w:rPr>
          <w:rFonts w:ascii="Arial" w:eastAsia="Arial" w:hAnsi="Arial" w:cs="Arial"/>
          <w:sz w:val="22"/>
          <w:szCs w:val="22"/>
        </w:rPr>
        <w:t xml:space="preserve"> et al., 2015). Limitations of current surveillance systems incl</w:t>
      </w:r>
      <w:r>
        <w:rPr>
          <w:rFonts w:ascii="Arial" w:eastAsia="Arial" w:hAnsi="Arial" w:cs="Arial"/>
          <w:sz w:val="22"/>
          <w:szCs w:val="22"/>
        </w:rPr>
        <w:t>ude incomplete ethnicity data recording, which hampers disaggregated analysis and may underestimate disparities. The Data Security and Protection Toolkit requirements also impose barriers to data sharing between agencies, potentially limiting the integrati</w:t>
      </w:r>
      <w:r>
        <w:rPr>
          <w:rFonts w:ascii="Arial" w:eastAsia="Arial" w:hAnsi="Arial" w:cs="Arial"/>
          <w:sz w:val="22"/>
          <w:szCs w:val="22"/>
        </w:rPr>
        <w:t>on of social care data into health surveillance.</w:t>
      </w:r>
      <w:r w:rsidR="008D52A8" w:rsidRPr="008D52A8">
        <w:t xml:space="preserve"> </w:t>
      </w:r>
      <w:r w:rsidR="008D52A8">
        <w:t>Additionally, UK surveillance systems rely heavily on clinical data, which may not fully capture social and cultural barriers influencing healthcare access and outcomes (NHS Digital, 2023).</w:t>
      </w:r>
    </w:p>
    <w:p w:rsidR="008B51E9" w:rsidRDefault="008B51E9">
      <w:pPr>
        <w:spacing w:before="80" w:after="160"/>
        <w:jc w:val="both"/>
      </w:pPr>
    </w:p>
    <w:p w:rsidR="008B51E9" w:rsidRPr="004F27A7" w:rsidRDefault="000C2C39" w:rsidP="004F27A7">
      <w:pPr>
        <w:rPr>
          <w:b/>
          <w:sz w:val="28"/>
          <w:szCs w:val="28"/>
        </w:rPr>
      </w:pPr>
      <w:r w:rsidRPr="004F27A7">
        <w:rPr>
          <w:b/>
          <w:sz w:val="28"/>
          <w:szCs w:val="28"/>
        </w:rPr>
        <w:t>Public Health Impact and Short- and Long-Term Consequences</w:t>
      </w:r>
    </w:p>
    <w:p w:rsidR="008B51E9" w:rsidRDefault="000C2C39">
      <w:pPr>
        <w:spacing w:before="80" w:after="160"/>
        <w:jc w:val="both"/>
      </w:pPr>
      <w:r>
        <w:t xml:space="preserve">In the short term, uncontrolled T2DM in Tower Hamlets contributes to avoidable emergency hospital admissions for diabetic ketoacidosis, </w:t>
      </w:r>
      <w:proofErr w:type="spellStart"/>
      <w:r>
        <w:t>hypoglycaemi</w:t>
      </w:r>
      <w:r>
        <w:t>c</w:t>
      </w:r>
      <w:proofErr w:type="spellEnd"/>
      <w:r>
        <w:t xml:space="preserve"> episodes, and acute cardiovascular events. NHS England (2022) estimates that preventable diabetes-related hospital admissions cost approximately £260 million nationally each year. In the longer term, poorly managed T2DM leads to end-stage renal disease, </w:t>
      </w:r>
      <w:r>
        <w:t xml:space="preserve">requiring costly renal replacement therapy, and to lower limb amputations. Tower Hamlets has a diabetic retinopathy screening </w:t>
      </w:r>
      <w:proofErr w:type="spellStart"/>
      <w:r>
        <w:t>programme</w:t>
      </w:r>
      <w:proofErr w:type="spellEnd"/>
      <w:r>
        <w:t>, but UKHSA data (2023) indicates uptake remains suboptimal at 72%, compared to the national target of 85%. The cumulativ</w:t>
      </w:r>
      <w:r>
        <w:t>e burden on health system resources, productivity loss due to working-age morbidity, and social care demands represent significant long-term public health consequences. For individuals, T2DM substantially reduces quality-adjusted life years (QALYs), with D</w:t>
      </w:r>
      <w:r>
        <w:t>iabetes UK (2023) estimating that T2DM reduces life expectancy by an average of six years.</w:t>
      </w:r>
    </w:p>
    <w:p w:rsidR="008B51E9" w:rsidRPr="004F27A7" w:rsidRDefault="000C2C39" w:rsidP="004F27A7">
      <w:pPr>
        <w:rPr>
          <w:b/>
          <w:sz w:val="28"/>
          <w:szCs w:val="28"/>
        </w:rPr>
      </w:pPr>
      <w:r w:rsidRPr="004F27A7">
        <w:rPr>
          <w:b/>
          <w:sz w:val="28"/>
          <w:szCs w:val="28"/>
        </w:rPr>
        <w:t xml:space="preserve">Health Intervention </w:t>
      </w:r>
      <w:proofErr w:type="spellStart"/>
      <w:r w:rsidRPr="004F27A7">
        <w:rPr>
          <w:b/>
          <w:sz w:val="28"/>
          <w:szCs w:val="28"/>
        </w:rPr>
        <w:t>Programme</w:t>
      </w:r>
      <w:proofErr w:type="spellEnd"/>
      <w:r w:rsidRPr="004F27A7">
        <w:rPr>
          <w:b/>
          <w:sz w:val="28"/>
          <w:szCs w:val="28"/>
        </w:rPr>
        <w:t xml:space="preserve"> Design and Evaluation</w:t>
      </w:r>
    </w:p>
    <w:p w:rsidR="008B51E9" w:rsidRDefault="000C2C39">
      <w:pPr>
        <w:spacing w:before="80" w:after="160"/>
        <w:jc w:val="both"/>
      </w:pPr>
      <w:r>
        <w:t>A proposed intervention for Tower Hamlets is a community-based, culturally tailored diabetes prevention and self-</w:t>
      </w:r>
      <w:r>
        <w:t xml:space="preserve">management </w:t>
      </w:r>
      <w:proofErr w:type="spellStart"/>
      <w:r>
        <w:t>programme</w:t>
      </w:r>
      <w:proofErr w:type="spellEnd"/>
      <w:r>
        <w:t xml:space="preserve"> targeting Bangladeshi adults aged 30–60 at high risk. The </w:t>
      </w:r>
      <w:proofErr w:type="spellStart"/>
      <w:r>
        <w:t>programme</w:t>
      </w:r>
      <w:proofErr w:type="spellEnd"/>
      <w:r>
        <w:t xml:space="preserve">, entitled 'Healthy Together: Shaping Lives in Tower Hamlets', would operate through partnership with local mosques, community </w:t>
      </w:r>
      <w:proofErr w:type="spellStart"/>
      <w:r>
        <w:t>centres</w:t>
      </w:r>
      <w:proofErr w:type="spellEnd"/>
      <w:r>
        <w:t>, and GP practices. It would deliv</w:t>
      </w:r>
      <w:r>
        <w:t xml:space="preserve">er structured education using the DESMOND (Diabetes Education and Self-Management for Ongoing and Newly Diagnosed) framework, adapted for Sylheti-speaking populations, with group sessions facilitated by trained Bangladeshi community health workers (CHWs). </w:t>
      </w:r>
      <w:r>
        <w:t xml:space="preserve">Sessions would address dietary literacy, culturally appropriate physical activity (including yoga and walking groups), blood glucose self-monitoring, and mental health support. The </w:t>
      </w:r>
      <w:proofErr w:type="spellStart"/>
      <w:r>
        <w:t>programme</w:t>
      </w:r>
      <w:proofErr w:type="spellEnd"/>
      <w:r>
        <w:t xml:space="preserve"> logic model draws on Social Cognitive Theory (Bandura, 1986), </w:t>
      </w:r>
      <w:proofErr w:type="spellStart"/>
      <w:r>
        <w:t>rec</w:t>
      </w:r>
      <w:r>
        <w:t>ognising</w:t>
      </w:r>
      <w:proofErr w:type="spellEnd"/>
      <w:r>
        <w:t xml:space="preserve"> that self-efficacy and peer support are key mechanisms for </w:t>
      </w:r>
      <w:proofErr w:type="spellStart"/>
      <w:r>
        <w:t>behaviour</w:t>
      </w:r>
      <w:proofErr w:type="spellEnd"/>
      <w:r>
        <w:t xml:space="preserve"> change in collectivist cultural contexts. Evaluation would employ a mixed-methods design, combining a </w:t>
      </w:r>
      <w:proofErr w:type="spellStart"/>
      <w:r>
        <w:t>randomised</w:t>
      </w:r>
      <w:proofErr w:type="spellEnd"/>
      <w:r>
        <w:t xml:space="preserve"> controlled trial (RCT) to assess HbA1c reduction at six and twelv</w:t>
      </w:r>
      <w:r>
        <w:t xml:space="preserve">e months, with </w:t>
      </w:r>
      <w:r>
        <w:lastRenderedPageBreak/>
        <w:t xml:space="preserve">qualitative focus groups exploring participant experience and cultural acceptability. Process evaluation would track attendance rates, fidelity to the </w:t>
      </w:r>
      <w:proofErr w:type="spellStart"/>
      <w:r>
        <w:t>programme</w:t>
      </w:r>
      <w:proofErr w:type="spellEnd"/>
      <w:r>
        <w:t xml:space="preserve"> model, and CHW competency. Outcome measures would include HbA1c, weight, waist c</w:t>
      </w:r>
      <w:r>
        <w:t xml:space="preserve">ircumference, blood pressure, quality of life (using the EQ-5D-5L tool), and NHS service </w:t>
      </w:r>
      <w:proofErr w:type="spellStart"/>
      <w:r>
        <w:t>utilisation</w:t>
      </w:r>
      <w:proofErr w:type="spellEnd"/>
      <w:r>
        <w:t>. A cost-effectiveness analysis using NHS reference costs would determine the incremental cost per QALY gained, benchmarked against NICE's threshold of £20,</w:t>
      </w:r>
      <w:r>
        <w:t>000–£30,000 per QALY (NICE, 2022).</w:t>
      </w:r>
      <w:r w:rsidR="008D52A8" w:rsidRPr="008D52A8">
        <w:t xml:space="preserve"> </w:t>
      </w:r>
      <w:r w:rsidR="008D52A8">
        <w:t xml:space="preserve">However, potential challenges include cultural barriers, inconsistent engagement, and funding limitations, which may affect the sustainability and scalability of the intervention within the UK healthcare system (NHS England, 2021; </w:t>
      </w:r>
      <w:proofErr w:type="spellStart"/>
      <w:r w:rsidR="008D52A8">
        <w:t>Greenhalgh</w:t>
      </w:r>
      <w:proofErr w:type="spellEnd"/>
      <w:r w:rsidR="008D52A8">
        <w:t xml:space="preserve"> et al., 2021).</w:t>
      </w:r>
    </w:p>
    <w:p w:rsidR="008B51E9" w:rsidRPr="004F27A7" w:rsidRDefault="000C2C39" w:rsidP="004F27A7">
      <w:pPr>
        <w:rPr>
          <w:b/>
          <w:sz w:val="28"/>
          <w:szCs w:val="28"/>
        </w:rPr>
      </w:pPr>
      <w:r w:rsidRPr="004F27A7">
        <w:rPr>
          <w:b/>
          <w:sz w:val="28"/>
          <w:szCs w:val="28"/>
        </w:rPr>
        <w:t>Strengths and Weaknesses of the Epidemiological Approach</w:t>
      </w:r>
    </w:p>
    <w:p w:rsidR="008B51E9" w:rsidRDefault="000C2C39">
      <w:pPr>
        <w:spacing w:before="80" w:after="160"/>
        <w:jc w:val="both"/>
      </w:pPr>
      <w:r>
        <w:t>The epidemiological approach employed in this report has several key strengths. The use of multiple surveillance data sources — including UKHSA Fingertips, the NDA,</w:t>
      </w:r>
      <w:r>
        <w:t xml:space="preserve"> and CPRD — enhances the reliability of estimates and allows triangulation of findings (Porta, 2014). The selection of a specific, well-defined population (Bangladeshi adults in Tower Hamlets) ensures that recommendations are contextually relevant and acti</w:t>
      </w:r>
      <w:r>
        <w:t xml:space="preserve">onable. Community engagement in needs assessment reflects best practice in participatory public health and increases the likelihood of intervention acceptability and sustained uptake (NICE, 2022). However, limitations must be acknowledged. Cross-sectional </w:t>
      </w:r>
      <w:r>
        <w:t>prevalence data from Fingertips cannot establish causality between social determinants and T2DM outcomes. Incomplete ethnicity recording in NHS systems remains a significant data quality issue, potentially masking the true extent of disparities (NHS Race a</w:t>
      </w:r>
      <w:r>
        <w:t xml:space="preserve">nd Health Observatory, 2022). Selection bias may affect the representativeness of RCT participants, limiting </w:t>
      </w:r>
      <w:proofErr w:type="spellStart"/>
      <w:r>
        <w:t>generalisability</w:t>
      </w:r>
      <w:proofErr w:type="spellEnd"/>
      <w:r>
        <w:t>. Finally, the social and political complexity of addressing structural racism and poverty — the upstream drivers of T2DM inequalit</w:t>
      </w:r>
      <w:r>
        <w:t xml:space="preserve">y — falls outside the scope of individual </w:t>
      </w:r>
      <w:proofErr w:type="spellStart"/>
      <w:r>
        <w:t>behaviour</w:t>
      </w:r>
      <w:proofErr w:type="spellEnd"/>
      <w:r>
        <w:t xml:space="preserve"> change interventions, requiring systemic policy responses that epidemiological studies alone cannot deliver (Marmot, 2020).</w:t>
      </w:r>
      <w:r w:rsidR="008D52A8" w:rsidRPr="008D52A8">
        <w:t xml:space="preserve"> </w:t>
      </w:r>
      <w:r w:rsidR="008D52A8">
        <w:t xml:space="preserve">Furthermore, in the UK context, epidemiological approaches have been </w:t>
      </w:r>
      <w:proofErr w:type="spellStart"/>
      <w:r w:rsidR="008D52A8">
        <w:t>criticised</w:t>
      </w:r>
      <w:proofErr w:type="spellEnd"/>
      <w:r w:rsidR="008D52A8">
        <w:t xml:space="preserve"> for focusing on measurable risk factors while insufficiently addressing broader structural inequalities such as deprivation and systemic racism (Marmot et al., 2020; The Health Foundation, 2021).</w:t>
      </w:r>
    </w:p>
    <w:p w:rsidR="008B51E9" w:rsidRPr="004F27A7" w:rsidRDefault="000C2C39" w:rsidP="004F27A7">
      <w:pPr>
        <w:rPr>
          <w:b/>
          <w:sz w:val="28"/>
          <w:szCs w:val="28"/>
        </w:rPr>
      </w:pPr>
      <w:r w:rsidRPr="004F27A7">
        <w:rPr>
          <w:b/>
          <w:sz w:val="28"/>
          <w:szCs w:val="28"/>
        </w:rPr>
        <w:t>Conclusion</w:t>
      </w:r>
    </w:p>
    <w:p w:rsidR="008D52A8" w:rsidRDefault="000C2C39" w:rsidP="008D52A8">
      <w:pPr>
        <w:pStyle w:val="NormalWeb"/>
      </w:pPr>
      <w:r>
        <w:rPr>
          <w:rFonts w:ascii="Arial" w:eastAsia="Arial" w:hAnsi="Arial" w:cs="Arial"/>
          <w:sz w:val="22"/>
          <w:szCs w:val="22"/>
        </w:rPr>
        <w:t>Type 2 diabetes in Tower Hamlets represents a pressing and complex pu</w:t>
      </w:r>
      <w:r>
        <w:rPr>
          <w:rFonts w:ascii="Arial" w:eastAsia="Arial" w:hAnsi="Arial" w:cs="Arial"/>
          <w:sz w:val="22"/>
          <w:szCs w:val="22"/>
        </w:rPr>
        <w:t xml:space="preserve">blic health challenge, driven by the convergence of genetic susceptibility, socioeconomic deprivation, cultural factors, and systemic health inequalities. This report has outlined a comprehensive epidemiological approach to its identification, assessment, </w:t>
      </w:r>
      <w:r>
        <w:rPr>
          <w:rFonts w:ascii="Arial" w:eastAsia="Arial" w:hAnsi="Arial" w:cs="Arial"/>
          <w:sz w:val="22"/>
          <w:szCs w:val="22"/>
        </w:rPr>
        <w:t xml:space="preserve">and management, drawing on national surveillance systems, health needs assessment frameworks, and evidence-based intervention design. The proposed 'Healthy Together' </w:t>
      </w:r>
      <w:proofErr w:type="spellStart"/>
      <w:r>
        <w:rPr>
          <w:rFonts w:ascii="Arial" w:eastAsia="Arial" w:hAnsi="Arial" w:cs="Arial"/>
          <w:sz w:val="22"/>
          <w:szCs w:val="22"/>
        </w:rPr>
        <w:t>programme</w:t>
      </w:r>
      <w:proofErr w:type="spellEnd"/>
      <w:r>
        <w:rPr>
          <w:rFonts w:ascii="Arial" w:eastAsia="Arial" w:hAnsi="Arial" w:cs="Arial"/>
          <w:sz w:val="22"/>
          <w:szCs w:val="22"/>
        </w:rPr>
        <w:t xml:space="preserve"> offers a culturally grounded, community-led model for diabetes prevention and se</w:t>
      </w:r>
      <w:r>
        <w:rPr>
          <w:rFonts w:ascii="Arial" w:eastAsia="Arial" w:hAnsi="Arial" w:cs="Arial"/>
          <w:sz w:val="22"/>
          <w:szCs w:val="22"/>
        </w:rPr>
        <w:t>lf-management that is both theoretically robust and practically feasible. However, sustained improvement in diabetes outcomes in Tower Hamlets ultimately requires action on the upstream social determinants of health — poverty, housing, and discrimination —</w:t>
      </w:r>
      <w:r>
        <w:rPr>
          <w:rFonts w:ascii="Arial" w:eastAsia="Arial" w:hAnsi="Arial" w:cs="Arial"/>
          <w:sz w:val="22"/>
          <w:szCs w:val="22"/>
        </w:rPr>
        <w:t xml:space="preserve"> alongside targeted clinical and community-level interventions. A whole-systems, equity-focused public health approach, guided by the principles of the Marmot Review and the NHS Core20PLUS5 framework, offers the most promising pathway to reducing diabetes-</w:t>
      </w:r>
      <w:r>
        <w:rPr>
          <w:rFonts w:ascii="Arial" w:eastAsia="Arial" w:hAnsi="Arial" w:cs="Arial"/>
          <w:sz w:val="22"/>
          <w:szCs w:val="22"/>
        </w:rPr>
        <w:t>related health inequalities in this high-need population.</w:t>
      </w:r>
      <w:r w:rsidR="008D52A8" w:rsidRPr="008D52A8">
        <w:t xml:space="preserve"> </w:t>
      </w:r>
      <w:r w:rsidR="008D52A8">
        <w:t xml:space="preserve">Therefore, reducing Type 2 diabetes inequalities in the UK requires not only clinical and </w:t>
      </w:r>
      <w:proofErr w:type="spellStart"/>
      <w:r w:rsidR="008D52A8">
        <w:t>behavioural</w:t>
      </w:r>
      <w:proofErr w:type="spellEnd"/>
      <w:r w:rsidR="008D52A8">
        <w:t xml:space="preserve"> interventions but also sustained policy action addressing wider determinants such as poverty, housing, and inequality (Marmot et al., 2020; UK Health Security Agency, 2023).</w:t>
      </w:r>
    </w:p>
    <w:p w:rsidR="008B51E9" w:rsidRDefault="008B51E9">
      <w:pPr>
        <w:spacing w:before="80" w:after="160"/>
        <w:jc w:val="both"/>
      </w:pPr>
    </w:p>
    <w:p w:rsidR="008B51E9" w:rsidRDefault="008B51E9">
      <w:pPr>
        <w:pageBreakBefore/>
      </w:pPr>
    </w:p>
    <w:p w:rsidR="008B51E9" w:rsidRPr="004F27A7" w:rsidRDefault="000C2C39" w:rsidP="004F27A7">
      <w:pPr>
        <w:rPr>
          <w:b/>
          <w:sz w:val="28"/>
          <w:szCs w:val="28"/>
          <w:u w:val="single"/>
        </w:rPr>
      </w:pPr>
      <w:r w:rsidRPr="004F27A7">
        <w:rPr>
          <w:b/>
          <w:sz w:val="28"/>
          <w:szCs w:val="28"/>
          <w:u w:val="single"/>
        </w:rPr>
        <w:t>References</w:t>
      </w:r>
    </w:p>
    <w:p w:rsidR="00E15F9D" w:rsidRPr="00E15F9D" w:rsidRDefault="00E15F9D" w:rsidP="00E15F9D">
      <w:pPr>
        <w:pStyle w:val="NormalWeb"/>
        <w:rPr>
          <w:rFonts w:ascii="Arial" w:hAnsi="Arial" w:cs="Arial"/>
        </w:rPr>
      </w:pPr>
      <w:r w:rsidRPr="00E15F9D">
        <w:rPr>
          <w:rFonts w:ascii="Arial" w:hAnsi="Arial" w:cs="Arial"/>
        </w:rPr>
        <w:t xml:space="preserve">Bandura, A. (1986) </w:t>
      </w:r>
      <w:r w:rsidRPr="00E15F9D">
        <w:rPr>
          <w:rStyle w:val="Emphasis"/>
          <w:rFonts w:ascii="Arial" w:hAnsi="Arial" w:cs="Arial"/>
        </w:rPr>
        <w:t>Social foundations of thought and action: A social cognitive theory</w:t>
      </w:r>
      <w:r w:rsidRPr="00E15F9D">
        <w:rPr>
          <w:rFonts w:ascii="Arial" w:hAnsi="Arial" w:cs="Arial"/>
        </w:rPr>
        <w:t>. Englewood Cliffs, NJ: Prentice Hall.</w:t>
      </w:r>
    </w:p>
    <w:p w:rsidR="00E15F9D" w:rsidRPr="00E15F9D" w:rsidRDefault="00E15F9D" w:rsidP="00E15F9D">
      <w:pPr>
        <w:pStyle w:val="NormalWeb"/>
        <w:rPr>
          <w:rFonts w:ascii="Arial" w:hAnsi="Arial" w:cs="Arial"/>
        </w:rPr>
      </w:pPr>
      <w:proofErr w:type="spellStart"/>
      <w:r w:rsidRPr="00E15F9D">
        <w:rPr>
          <w:rFonts w:ascii="Arial" w:hAnsi="Arial" w:cs="Arial"/>
        </w:rPr>
        <w:t>Bhui</w:t>
      </w:r>
      <w:proofErr w:type="spellEnd"/>
      <w:r w:rsidRPr="00E15F9D">
        <w:rPr>
          <w:rFonts w:ascii="Arial" w:hAnsi="Arial" w:cs="Arial"/>
        </w:rPr>
        <w:t xml:space="preserve">, K., </w:t>
      </w:r>
      <w:proofErr w:type="spellStart"/>
      <w:r w:rsidRPr="00E15F9D">
        <w:rPr>
          <w:rFonts w:ascii="Arial" w:hAnsi="Arial" w:cs="Arial"/>
        </w:rPr>
        <w:t>Halvorsrud</w:t>
      </w:r>
      <w:proofErr w:type="spellEnd"/>
      <w:r w:rsidRPr="00E15F9D">
        <w:rPr>
          <w:rFonts w:ascii="Arial" w:hAnsi="Arial" w:cs="Arial"/>
        </w:rPr>
        <w:t xml:space="preserve">, K. and </w:t>
      </w:r>
      <w:proofErr w:type="spellStart"/>
      <w:r w:rsidRPr="00E15F9D">
        <w:rPr>
          <w:rFonts w:ascii="Arial" w:hAnsi="Arial" w:cs="Arial"/>
        </w:rPr>
        <w:t>Bhugra</w:t>
      </w:r>
      <w:proofErr w:type="spellEnd"/>
      <w:r w:rsidRPr="00E15F9D">
        <w:rPr>
          <w:rFonts w:ascii="Arial" w:hAnsi="Arial" w:cs="Arial"/>
        </w:rPr>
        <w:t xml:space="preserve">, D. (2020) ‘The utility of social defeat to explain ethnic health inequalities’, </w:t>
      </w:r>
      <w:r w:rsidRPr="00E15F9D">
        <w:rPr>
          <w:rStyle w:val="Emphasis"/>
          <w:rFonts w:ascii="Arial" w:hAnsi="Arial" w:cs="Arial"/>
        </w:rPr>
        <w:t>Psychological Medicine</w:t>
      </w:r>
      <w:r w:rsidRPr="00E15F9D">
        <w:rPr>
          <w:rFonts w:ascii="Arial" w:hAnsi="Arial" w:cs="Arial"/>
        </w:rPr>
        <w:t xml:space="preserve">, 50(1), pp. 1–10. </w:t>
      </w:r>
      <w:proofErr w:type="gramStart"/>
      <w:r w:rsidRPr="00E15F9D">
        <w:rPr>
          <w:rFonts w:ascii="Arial" w:hAnsi="Arial" w:cs="Arial"/>
        </w:rPr>
        <w:t>doi:</w:t>
      </w:r>
      <w:proofErr w:type="gramEnd"/>
      <w:r w:rsidRPr="00E15F9D">
        <w:rPr>
          <w:rFonts w:ascii="Arial" w:hAnsi="Arial" w:cs="Arial"/>
        </w:rPr>
        <w:t>10.1017/S003329171900263X.</w:t>
      </w:r>
    </w:p>
    <w:p w:rsidR="00E15F9D" w:rsidRPr="00E15F9D" w:rsidRDefault="00E15F9D" w:rsidP="00E15F9D">
      <w:pPr>
        <w:pStyle w:val="NormalWeb"/>
        <w:rPr>
          <w:rFonts w:ascii="Arial" w:hAnsi="Arial" w:cs="Arial"/>
        </w:rPr>
      </w:pPr>
      <w:r w:rsidRPr="00E15F9D">
        <w:rPr>
          <w:rFonts w:ascii="Arial" w:hAnsi="Arial" w:cs="Arial"/>
        </w:rPr>
        <w:t xml:space="preserve">British Heart Foundation (2023) </w:t>
      </w:r>
      <w:r w:rsidRPr="00E15F9D">
        <w:rPr>
          <w:rStyle w:val="Emphasis"/>
          <w:rFonts w:ascii="Arial" w:hAnsi="Arial" w:cs="Arial"/>
        </w:rPr>
        <w:t>Heart statistics</w:t>
      </w:r>
      <w:r w:rsidRPr="00E15F9D">
        <w:rPr>
          <w:rFonts w:ascii="Arial" w:hAnsi="Arial" w:cs="Arial"/>
        </w:rPr>
        <w:t xml:space="preserve">. Available at: </w:t>
      </w:r>
      <w:hyperlink r:id="rId7" w:tgtFrame="_new" w:history="1">
        <w:r w:rsidRPr="00E15F9D">
          <w:rPr>
            <w:rStyle w:val="Hyperlink"/>
            <w:rFonts w:ascii="Arial" w:hAnsi="Arial" w:cs="Arial"/>
          </w:rPr>
          <w:t>https://www.bhf.org.uk/what-we-do/our-research/heart-statistics</w:t>
        </w:r>
      </w:hyperlink>
      <w:r w:rsidRPr="00E15F9D">
        <w:rPr>
          <w:rFonts w:ascii="Arial" w:hAnsi="Arial" w:cs="Arial"/>
        </w:rPr>
        <w:t xml:space="preserve"> (Accessed: 10 April 2026).</w:t>
      </w:r>
    </w:p>
    <w:p w:rsidR="00E15F9D" w:rsidRPr="00E15F9D" w:rsidRDefault="00E15F9D" w:rsidP="00E15F9D">
      <w:pPr>
        <w:pStyle w:val="NormalWeb"/>
        <w:rPr>
          <w:rFonts w:ascii="Arial" w:hAnsi="Arial" w:cs="Arial"/>
        </w:rPr>
      </w:pPr>
      <w:r w:rsidRPr="00E15F9D">
        <w:rPr>
          <w:rFonts w:ascii="Arial" w:hAnsi="Arial" w:cs="Arial"/>
        </w:rPr>
        <w:t xml:space="preserve">Chartered Institute of Housing (2021) </w:t>
      </w:r>
      <w:r w:rsidRPr="00E15F9D">
        <w:rPr>
          <w:rStyle w:val="Emphasis"/>
          <w:rFonts w:ascii="Arial" w:hAnsi="Arial" w:cs="Arial"/>
        </w:rPr>
        <w:t>Race and housing in the UK</w:t>
      </w:r>
      <w:r w:rsidRPr="00E15F9D">
        <w:rPr>
          <w:rFonts w:ascii="Arial" w:hAnsi="Arial" w:cs="Arial"/>
        </w:rPr>
        <w:t>. London: CIH.</w:t>
      </w:r>
    </w:p>
    <w:p w:rsidR="00E15F9D" w:rsidRPr="00E15F9D" w:rsidRDefault="00E15F9D" w:rsidP="00E15F9D">
      <w:pPr>
        <w:pStyle w:val="NormalWeb"/>
        <w:rPr>
          <w:rFonts w:ascii="Arial" w:hAnsi="Arial" w:cs="Arial"/>
        </w:rPr>
      </w:pPr>
      <w:r w:rsidRPr="00E15F9D">
        <w:rPr>
          <w:rFonts w:ascii="Arial" w:hAnsi="Arial" w:cs="Arial"/>
        </w:rPr>
        <w:t xml:space="preserve">Department of Health and Social Care (2022) </w:t>
      </w:r>
      <w:r w:rsidRPr="00E15F9D">
        <w:rPr>
          <w:rStyle w:val="Emphasis"/>
          <w:rFonts w:ascii="Arial" w:hAnsi="Arial" w:cs="Arial"/>
        </w:rPr>
        <w:t xml:space="preserve">Sugar reduction </w:t>
      </w:r>
      <w:proofErr w:type="spellStart"/>
      <w:r w:rsidRPr="00E15F9D">
        <w:rPr>
          <w:rStyle w:val="Emphasis"/>
          <w:rFonts w:ascii="Arial" w:hAnsi="Arial" w:cs="Arial"/>
        </w:rPr>
        <w:t>programme</w:t>
      </w:r>
      <w:proofErr w:type="spellEnd"/>
      <w:r w:rsidRPr="00E15F9D">
        <w:rPr>
          <w:rStyle w:val="Emphasis"/>
          <w:rFonts w:ascii="Arial" w:hAnsi="Arial" w:cs="Arial"/>
        </w:rPr>
        <w:t>: Progress report 2022</w:t>
      </w:r>
      <w:r w:rsidRPr="00E15F9D">
        <w:rPr>
          <w:rFonts w:ascii="Arial" w:hAnsi="Arial" w:cs="Arial"/>
        </w:rPr>
        <w:t>. London: DHSC.</w:t>
      </w:r>
    </w:p>
    <w:p w:rsidR="00E15F9D" w:rsidRPr="00E15F9D" w:rsidRDefault="00E15F9D" w:rsidP="00E15F9D">
      <w:pPr>
        <w:pStyle w:val="NormalWeb"/>
        <w:rPr>
          <w:rFonts w:ascii="Arial" w:hAnsi="Arial" w:cs="Arial"/>
        </w:rPr>
      </w:pPr>
      <w:r w:rsidRPr="00E15F9D">
        <w:rPr>
          <w:rFonts w:ascii="Arial" w:hAnsi="Arial" w:cs="Arial"/>
        </w:rPr>
        <w:t xml:space="preserve">Diabetes UK (2023) </w:t>
      </w:r>
      <w:r w:rsidRPr="00E15F9D">
        <w:rPr>
          <w:rStyle w:val="Emphasis"/>
          <w:rFonts w:ascii="Arial" w:hAnsi="Arial" w:cs="Arial"/>
        </w:rPr>
        <w:t>Diabetes statistics</w:t>
      </w:r>
      <w:r w:rsidRPr="00E15F9D">
        <w:rPr>
          <w:rFonts w:ascii="Arial" w:hAnsi="Arial" w:cs="Arial"/>
        </w:rPr>
        <w:t xml:space="preserve">. Available at: </w:t>
      </w:r>
      <w:hyperlink r:id="rId8" w:tgtFrame="_new" w:history="1">
        <w:r w:rsidRPr="00E15F9D">
          <w:rPr>
            <w:rStyle w:val="Hyperlink"/>
            <w:rFonts w:ascii="Arial" w:hAnsi="Arial" w:cs="Arial"/>
          </w:rPr>
          <w:t>https://www.diabetes.org.uk/about-us/our-strategy/news-views-and-campaigns/diabetes-statistics</w:t>
        </w:r>
      </w:hyperlink>
      <w:r w:rsidRPr="00E15F9D">
        <w:rPr>
          <w:rFonts w:ascii="Arial" w:hAnsi="Arial" w:cs="Arial"/>
        </w:rPr>
        <w:t xml:space="preserve"> (Accessed: 10 April 2026).</w:t>
      </w:r>
    </w:p>
    <w:p w:rsidR="00E15F9D" w:rsidRPr="00E15F9D" w:rsidRDefault="00E15F9D" w:rsidP="00E15F9D">
      <w:pPr>
        <w:pStyle w:val="NormalWeb"/>
        <w:rPr>
          <w:rFonts w:ascii="Arial" w:hAnsi="Arial" w:cs="Arial"/>
        </w:rPr>
      </w:pPr>
      <w:r w:rsidRPr="00E15F9D">
        <w:rPr>
          <w:rFonts w:ascii="Arial" w:hAnsi="Arial" w:cs="Arial"/>
        </w:rPr>
        <w:t xml:space="preserve">Equality and Human Rights Commission (2022) </w:t>
      </w:r>
      <w:r w:rsidRPr="00E15F9D">
        <w:rPr>
          <w:rStyle w:val="Emphasis"/>
          <w:rFonts w:ascii="Arial" w:hAnsi="Arial" w:cs="Arial"/>
        </w:rPr>
        <w:t>Tackling racial harassment in Britain: Annual report</w:t>
      </w:r>
      <w:r w:rsidRPr="00E15F9D">
        <w:rPr>
          <w:rFonts w:ascii="Arial" w:hAnsi="Arial" w:cs="Arial"/>
        </w:rPr>
        <w:t>. Manchester: EHRC.</w:t>
      </w:r>
    </w:p>
    <w:p w:rsidR="00E15F9D" w:rsidRPr="00E15F9D" w:rsidRDefault="00E15F9D" w:rsidP="00E15F9D">
      <w:pPr>
        <w:pStyle w:val="NormalWeb"/>
        <w:rPr>
          <w:rFonts w:ascii="Arial" w:hAnsi="Arial" w:cs="Arial"/>
        </w:rPr>
      </w:pPr>
      <w:proofErr w:type="spellStart"/>
      <w:r w:rsidRPr="00E15F9D">
        <w:rPr>
          <w:rFonts w:ascii="Arial" w:hAnsi="Arial" w:cs="Arial"/>
        </w:rPr>
        <w:t>Greenhalgh</w:t>
      </w:r>
      <w:proofErr w:type="spellEnd"/>
      <w:r w:rsidRPr="00E15F9D">
        <w:rPr>
          <w:rFonts w:ascii="Arial" w:hAnsi="Arial" w:cs="Arial"/>
        </w:rPr>
        <w:t xml:space="preserve">, T. </w:t>
      </w:r>
      <w:r w:rsidRPr="00E15F9D">
        <w:rPr>
          <w:rStyle w:val="Emphasis"/>
          <w:rFonts w:ascii="Arial" w:hAnsi="Arial" w:cs="Arial"/>
        </w:rPr>
        <w:t>et al.</w:t>
      </w:r>
      <w:r w:rsidRPr="00E15F9D">
        <w:rPr>
          <w:rFonts w:ascii="Arial" w:hAnsi="Arial" w:cs="Arial"/>
        </w:rPr>
        <w:t xml:space="preserve"> (2021) ‘Socio-cultural influences on the </w:t>
      </w:r>
      <w:proofErr w:type="spellStart"/>
      <w:r w:rsidRPr="00E15F9D">
        <w:rPr>
          <w:rFonts w:ascii="Arial" w:hAnsi="Arial" w:cs="Arial"/>
        </w:rPr>
        <w:t>behaviour</w:t>
      </w:r>
      <w:proofErr w:type="spellEnd"/>
      <w:r w:rsidRPr="00E15F9D">
        <w:rPr>
          <w:rFonts w:ascii="Arial" w:hAnsi="Arial" w:cs="Arial"/>
        </w:rPr>
        <w:t xml:space="preserve"> of South Asian women with diabetes in pregnancy: qualitative study using a multi-level theoretical approach’, </w:t>
      </w:r>
      <w:r w:rsidRPr="00E15F9D">
        <w:rPr>
          <w:rStyle w:val="Emphasis"/>
          <w:rFonts w:ascii="Arial" w:hAnsi="Arial" w:cs="Arial"/>
        </w:rPr>
        <w:t>BMC Medicine</w:t>
      </w:r>
      <w:r w:rsidRPr="00E15F9D">
        <w:rPr>
          <w:rFonts w:ascii="Arial" w:hAnsi="Arial" w:cs="Arial"/>
        </w:rPr>
        <w:t xml:space="preserve">, 11, p. 181. </w:t>
      </w:r>
      <w:proofErr w:type="gramStart"/>
      <w:r w:rsidRPr="00E15F9D">
        <w:rPr>
          <w:rFonts w:ascii="Arial" w:hAnsi="Arial" w:cs="Arial"/>
        </w:rPr>
        <w:t>doi:</w:t>
      </w:r>
      <w:proofErr w:type="gramEnd"/>
      <w:r w:rsidRPr="00E15F9D">
        <w:rPr>
          <w:rFonts w:ascii="Arial" w:hAnsi="Arial" w:cs="Arial"/>
        </w:rPr>
        <w:t>10.1186/1741-7015-11-181.</w:t>
      </w:r>
    </w:p>
    <w:p w:rsidR="00E15F9D" w:rsidRPr="00E15F9D" w:rsidRDefault="00E15F9D" w:rsidP="00E15F9D">
      <w:pPr>
        <w:pStyle w:val="NormalWeb"/>
        <w:rPr>
          <w:rFonts w:ascii="Arial" w:hAnsi="Arial" w:cs="Arial"/>
        </w:rPr>
      </w:pPr>
      <w:proofErr w:type="spellStart"/>
      <w:r w:rsidRPr="00E15F9D">
        <w:rPr>
          <w:rFonts w:ascii="Arial" w:hAnsi="Arial" w:cs="Arial"/>
        </w:rPr>
        <w:t>Herrett</w:t>
      </w:r>
      <w:proofErr w:type="spellEnd"/>
      <w:r w:rsidRPr="00E15F9D">
        <w:rPr>
          <w:rFonts w:ascii="Arial" w:hAnsi="Arial" w:cs="Arial"/>
        </w:rPr>
        <w:t xml:space="preserve">, E. </w:t>
      </w:r>
      <w:r w:rsidRPr="00E15F9D">
        <w:rPr>
          <w:rStyle w:val="Emphasis"/>
          <w:rFonts w:ascii="Arial" w:hAnsi="Arial" w:cs="Arial"/>
        </w:rPr>
        <w:t>et al.</w:t>
      </w:r>
      <w:r w:rsidRPr="00E15F9D">
        <w:rPr>
          <w:rFonts w:ascii="Arial" w:hAnsi="Arial" w:cs="Arial"/>
        </w:rPr>
        <w:t xml:space="preserve"> (2015) ‘Data resource profile: Clinical Practice Research Datalink (CPRD)’, </w:t>
      </w:r>
      <w:r w:rsidRPr="00E15F9D">
        <w:rPr>
          <w:rStyle w:val="Emphasis"/>
          <w:rFonts w:ascii="Arial" w:hAnsi="Arial" w:cs="Arial"/>
        </w:rPr>
        <w:t>International Journal of Epidemiology</w:t>
      </w:r>
      <w:r w:rsidRPr="00E15F9D">
        <w:rPr>
          <w:rFonts w:ascii="Arial" w:hAnsi="Arial" w:cs="Arial"/>
        </w:rPr>
        <w:t>, 44(3), pp. 827–836. doi:10.1093/</w:t>
      </w:r>
      <w:proofErr w:type="spellStart"/>
      <w:r w:rsidRPr="00E15F9D">
        <w:rPr>
          <w:rFonts w:ascii="Arial" w:hAnsi="Arial" w:cs="Arial"/>
        </w:rPr>
        <w:t>ije</w:t>
      </w:r>
      <w:proofErr w:type="spellEnd"/>
      <w:r w:rsidRPr="00E15F9D">
        <w:rPr>
          <w:rFonts w:ascii="Arial" w:hAnsi="Arial" w:cs="Arial"/>
        </w:rPr>
        <w:t>/dyv098.</w:t>
      </w:r>
    </w:p>
    <w:p w:rsidR="00E15F9D" w:rsidRPr="00E15F9D" w:rsidRDefault="00E15F9D" w:rsidP="00E15F9D">
      <w:pPr>
        <w:pStyle w:val="NormalWeb"/>
        <w:rPr>
          <w:rFonts w:ascii="Arial" w:hAnsi="Arial" w:cs="Arial"/>
        </w:rPr>
      </w:pPr>
      <w:r w:rsidRPr="00E15F9D">
        <w:rPr>
          <w:rFonts w:ascii="Arial" w:hAnsi="Arial" w:cs="Arial"/>
        </w:rPr>
        <w:t xml:space="preserve">International Diabetes Federation (2021) </w:t>
      </w:r>
      <w:r w:rsidRPr="00E15F9D">
        <w:rPr>
          <w:rStyle w:val="Emphasis"/>
          <w:rFonts w:ascii="Arial" w:hAnsi="Arial" w:cs="Arial"/>
        </w:rPr>
        <w:t>IDF diabetes atlas</w:t>
      </w:r>
      <w:r w:rsidRPr="00E15F9D">
        <w:rPr>
          <w:rFonts w:ascii="Arial" w:hAnsi="Arial" w:cs="Arial"/>
        </w:rPr>
        <w:t xml:space="preserve">. 10th </w:t>
      </w:r>
      <w:proofErr w:type="spellStart"/>
      <w:r w:rsidRPr="00E15F9D">
        <w:rPr>
          <w:rFonts w:ascii="Arial" w:hAnsi="Arial" w:cs="Arial"/>
        </w:rPr>
        <w:t>edn</w:t>
      </w:r>
      <w:proofErr w:type="spellEnd"/>
      <w:r w:rsidRPr="00E15F9D">
        <w:rPr>
          <w:rFonts w:ascii="Arial" w:hAnsi="Arial" w:cs="Arial"/>
        </w:rPr>
        <w:t xml:space="preserve">. Brussels: IDF. Available at: </w:t>
      </w:r>
      <w:hyperlink r:id="rId9" w:tgtFrame="_new" w:history="1">
        <w:r w:rsidRPr="00E15F9D">
          <w:rPr>
            <w:rStyle w:val="Hyperlink"/>
            <w:rFonts w:ascii="Arial" w:hAnsi="Arial" w:cs="Arial"/>
          </w:rPr>
          <w:t>https://www.diabetesatlas.org</w:t>
        </w:r>
      </w:hyperlink>
      <w:r w:rsidRPr="00E15F9D">
        <w:rPr>
          <w:rFonts w:ascii="Arial" w:hAnsi="Arial" w:cs="Arial"/>
        </w:rPr>
        <w:t xml:space="preserve"> (Accessed: 8 April 2026).</w:t>
      </w:r>
    </w:p>
    <w:p w:rsidR="00E15F9D" w:rsidRPr="00E15F9D" w:rsidRDefault="00E15F9D" w:rsidP="00E15F9D">
      <w:pPr>
        <w:pStyle w:val="NormalWeb"/>
        <w:rPr>
          <w:rFonts w:ascii="Arial" w:hAnsi="Arial" w:cs="Arial"/>
        </w:rPr>
      </w:pPr>
      <w:r w:rsidRPr="00E15F9D">
        <w:rPr>
          <w:rFonts w:ascii="Arial" w:hAnsi="Arial" w:cs="Arial"/>
        </w:rPr>
        <w:t xml:space="preserve">Joseph Rowntree Foundation (2023) </w:t>
      </w:r>
      <w:r w:rsidRPr="00E15F9D">
        <w:rPr>
          <w:rStyle w:val="Emphasis"/>
          <w:rFonts w:ascii="Arial" w:hAnsi="Arial" w:cs="Arial"/>
        </w:rPr>
        <w:t>UK poverty 2023: The essential guide to understanding poverty in the UK</w:t>
      </w:r>
      <w:r w:rsidRPr="00E15F9D">
        <w:rPr>
          <w:rFonts w:ascii="Arial" w:hAnsi="Arial" w:cs="Arial"/>
        </w:rPr>
        <w:t>. York: JRF.</w:t>
      </w:r>
    </w:p>
    <w:p w:rsidR="00E15F9D" w:rsidRPr="00E15F9D" w:rsidRDefault="00E15F9D" w:rsidP="00E15F9D">
      <w:pPr>
        <w:pStyle w:val="NormalWeb"/>
        <w:rPr>
          <w:rFonts w:ascii="Arial" w:hAnsi="Arial" w:cs="Arial"/>
        </w:rPr>
      </w:pPr>
      <w:r w:rsidRPr="00E15F9D">
        <w:rPr>
          <w:rFonts w:ascii="Arial" w:hAnsi="Arial" w:cs="Arial"/>
        </w:rPr>
        <w:t xml:space="preserve">London Borough of Tower Hamlets (2022) </w:t>
      </w:r>
      <w:r w:rsidRPr="00E15F9D">
        <w:rPr>
          <w:rStyle w:val="Emphasis"/>
          <w:rFonts w:ascii="Arial" w:hAnsi="Arial" w:cs="Arial"/>
        </w:rPr>
        <w:t>Joint strategic needs assessment 2022</w:t>
      </w:r>
      <w:r w:rsidRPr="00E15F9D">
        <w:rPr>
          <w:rFonts w:ascii="Arial" w:hAnsi="Arial" w:cs="Arial"/>
        </w:rPr>
        <w:t>. London: LBTH.</w:t>
      </w:r>
    </w:p>
    <w:p w:rsidR="00E15F9D" w:rsidRPr="00E15F9D" w:rsidRDefault="00E15F9D" w:rsidP="00E15F9D">
      <w:pPr>
        <w:pStyle w:val="NormalWeb"/>
        <w:rPr>
          <w:rFonts w:ascii="Arial" w:hAnsi="Arial" w:cs="Arial"/>
        </w:rPr>
      </w:pPr>
      <w:r w:rsidRPr="00E15F9D">
        <w:rPr>
          <w:rFonts w:ascii="Arial" w:hAnsi="Arial" w:cs="Arial"/>
        </w:rPr>
        <w:t xml:space="preserve">Marmot, M. </w:t>
      </w:r>
      <w:r w:rsidRPr="00E15F9D">
        <w:rPr>
          <w:rStyle w:val="Emphasis"/>
          <w:rFonts w:ascii="Arial" w:hAnsi="Arial" w:cs="Arial"/>
        </w:rPr>
        <w:t>et al.</w:t>
      </w:r>
      <w:r w:rsidRPr="00E15F9D">
        <w:rPr>
          <w:rFonts w:ascii="Arial" w:hAnsi="Arial" w:cs="Arial"/>
        </w:rPr>
        <w:t xml:space="preserve"> (2020) </w:t>
      </w:r>
      <w:r w:rsidRPr="00E15F9D">
        <w:rPr>
          <w:rStyle w:val="Emphasis"/>
          <w:rFonts w:ascii="Arial" w:hAnsi="Arial" w:cs="Arial"/>
        </w:rPr>
        <w:t>Health equity in England: The Marmot review 10 years on</w:t>
      </w:r>
      <w:r w:rsidRPr="00E15F9D">
        <w:rPr>
          <w:rFonts w:ascii="Arial" w:hAnsi="Arial" w:cs="Arial"/>
        </w:rPr>
        <w:t>. London: Institute of Health Equity.</w:t>
      </w:r>
    </w:p>
    <w:p w:rsidR="00E15F9D" w:rsidRPr="00E15F9D" w:rsidRDefault="00E15F9D" w:rsidP="00E15F9D">
      <w:pPr>
        <w:pStyle w:val="NormalWeb"/>
        <w:rPr>
          <w:rFonts w:ascii="Arial" w:hAnsi="Arial" w:cs="Arial"/>
        </w:rPr>
      </w:pPr>
      <w:r w:rsidRPr="00E15F9D">
        <w:rPr>
          <w:rFonts w:ascii="Arial" w:hAnsi="Arial" w:cs="Arial"/>
        </w:rPr>
        <w:lastRenderedPageBreak/>
        <w:t xml:space="preserve">Mind (2022) </w:t>
      </w:r>
      <w:r w:rsidRPr="00E15F9D">
        <w:rPr>
          <w:rStyle w:val="Emphasis"/>
          <w:rFonts w:ascii="Arial" w:hAnsi="Arial" w:cs="Arial"/>
        </w:rPr>
        <w:t>Black, Asian and minority ethnic (BAME) communities and mental health</w:t>
      </w:r>
      <w:r w:rsidRPr="00E15F9D">
        <w:rPr>
          <w:rFonts w:ascii="Arial" w:hAnsi="Arial" w:cs="Arial"/>
        </w:rPr>
        <w:t xml:space="preserve">. London: Mind. Available at: </w:t>
      </w:r>
      <w:hyperlink r:id="rId10" w:tgtFrame="_new" w:history="1">
        <w:r w:rsidRPr="00E15F9D">
          <w:rPr>
            <w:rStyle w:val="Hyperlink"/>
            <w:rFonts w:ascii="Arial" w:hAnsi="Arial" w:cs="Arial"/>
          </w:rPr>
          <w:t>https://www.mind.org.uk/information-support/tips-for-everyday-living/bame-mental-health</w:t>
        </w:r>
      </w:hyperlink>
      <w:r w:rsidRPr="00E15F9D">
        <w:rPr>
          <w:rFonts w:ascii="Arial" w:hAnsi="Arial" w:cs="Arial"/>
        </w:rPr>
        <w:t xml:space="preserve"> (Accessed: 10 April 2026).</w:t>
      </w:r>
    </w:p>
    <w:p w:rsidR="00E15F9D" w:rsidRPr="00E15F9D" w:rsidRDefault="00E15F9D" w:rsidP="00E15F9D">
      <w:pPr>
        <w:pStyle w:val="NormalWeb"/>
        <w:rPr>
          <w:rFonts w:ascii="Arial" w:hAnsi="Arial" w:cs="Arial"/>
        </w:rPr>
      </w:pPr>
      <w:r w:rsidRPr="00E15F9D">
        <w:rPr>
          <w:rFonts w:ascii="Arial" w:hAnsi="Arial" w:cs="Arial"/>
        </w:rPr>
        <w:t xml:space="preserve">Ministry of Housing, Communities and Local Government (2019) </w:t>
      </w:r>
      <w:r w:rsidRPr="00E15F9D">
        <w:rPr>
          <w:rStyle w:val="Emphasis"/>
          <w:rFonts w:ascii="Arial" w:hAnsi="Arial" w:cs="Arial"/>
        </w:rPr>
        <w:t>English indices of deprivation 2019</w:t>
      </w:r>
      <w:r w:rsidRPr="00E15F9D">
        <w:rPr>
          <w:rFonts w:ascii="Arial" w:hAnsi="Arial" w:cs="Arial"/>
        </w:rPr>
        <w:t>. London: MHCLG.</w:t>
      </w:r>
    </w:p>
    <w:p w:rsidR="00E15F9D" w:rsidRPr="00E15F9D" w:rsidRDefault="00E15F9D" w:rsidP="00E15F9D">
      <w:pPr>
        <w:pStyle w:val="NormalWeb"/>
        <w:rPr>
          <w:rFonts w:ascii="Arial" w:hAnsi="Arial" w:cs="Arial"/>
        </w:rPr>
      </w:pPr>
      <w:r w:rsidRPr="00E15F9D">
        <w:rPr>
          <w:rFonts w:ascii="Arial" w:hAnsi="Arial" w:cs="Arial"/>
        </w:rPr>
        <w:t xml:space="preserve">Ministry of Housing, Communities and Local Government (2022) </w:t>
      </w:r>
      <w:r w:rsidRPr="00E15F9D">
        <w:rPr>
          <w:rStyle w:val="Emphasis"/>
          <w:rFonts w:ascii="Arial" w:hAnsi="Arial" w:cs="Arial"/>
        </w:rPr>
        <w:t>English housing survey 2020 to 2021: Headline report</w:t>
      </w:r>
      <w:r w:rsidRPr="00E15F9D">
        <w:rPr>
          <w:rFonts w:ascii="Arial" w:hAnsi="Arial" w:cs="Arial"/>
        </w:rPr>
        <w:t>. London: MHCLG.</w:t>
      </w:r>
    </w:p>
    <w:p w:rsidR="00E15F9D" w:rsidRPr="00E15F9D" w:rsidRDefault="00E15F9D" w:rsidP="00E15F9D">
      <w:pPr>
        <w:pStyle w:val="NormalWeb"/>
        <w:rPr>
          <w:rFonts w:ascii="Arial" w:hAnsi="Arial" w:cs="Arial"/>
        </w:rPr>
      </w:pPr>
      <w:proofErr w:type="spellStart"/>
      <w:r w:rsidRPr="00E15F9D">
        <w:rPr>
          <w:rFonts w:ascii="Arial" w:hAnsi="Arial" w:cs="Arial"/>
        </w:rPr>
        <w:t>Nazroo</w:t>
      </w:r>
      <w:proofErr w:type="spellEnd"/>
      <w:r w:rsidRPr="00E15F9D">
        <w:rPr>
          <w:rFonts w:ascii="Arial" w:hAnsi="Arial" w:cs="Arial"/>
        </w:rPr>
        <w:t xml:space="preserve">, J.Y. (2020) ‘Ethnic inequalities in health: An unfinished story’, </w:t>
      </w:r>
      <w:r w:rsidRPr="00E15F9D">
        <w:rPr>
          <w:rStyle w:val="Emphasis"/>
          <w:rFonts w:ascii="Arial" w:hAnsi="Arial" w:cs="Arial"/>
        </w:rPr>
        <w:t>Sociology of Health and Illness</w:t>
      </w:r>
      <w:r w:rsidRPr="00E15F9D">
        <w:rPr>
          <w:rFonts w:ascii="Arial" w:hAnsi="Arial" w:cs="Arial"/>
        </w:rPr>
        <w:t>, 42(7), pp. 1682–1699. doi:10.1111/1467-9566.13143.</w:t>
      </w:r>
    </w:p>
    <w:p w:rsidR="00E15F9D" w:rsidRPr="00E15F9D" w:rsidRDefault="00E15F9D" w:rsidP="00E15F9D">
      <w:pPr>
        <w:pStyle w:val="NormalWeb"/>
        <w:rPr>
          <w:rFonts w:ascii="Arial" w:hAnsi="Arial" w:cs="Arial"/>
        </w:rPr>
      </w:pPr>
      <w:r w:rsidRPr="00E15F9D">
        <w:rPr>
          <w:rFonts w:ascii="Arial" w:hAnsi="Arial" w:cs="Arial"/>
        </w:rPr>
        <w:t xml:space="preserve">NHS Digital (2022) </w:t>
      </w:r>
      <w:r w:rsidRPr="00E15F9D">
        <w:rPr>
          <w:rStyle w:val="Emphasis"/>
          <w:rFonts w:ascii="Arial" w:hAnsi="Arial" w:cs="Arial"/>
        </w:rPr>
        <w:t>National diabetes audit 2021–22: Report 1 care processes and treatment targets</w:t>
      </w:r>
      <w:r w:rsidRPr="00E15F9D">
        <w:rPr>
          <w:rFonts w:ascii="Arial" w:hAnsi="Arial" w:cs="Arial"/>
        </w:rPr>
        <w:t>. Leeds: NHS Digital.</w:t>
      </w:r>
    </w:p>
    <w:p w:rsidR="00E15F9D" w:rsidRPr="00E15F9D" w:rsidRDefault="00E15F9D" w:rsidP="00E15F9D">
      <w:pPr>
        <w:pStyle w:val="NormalWeb"/>
        <w:rPr>
          <w:rFonts w:ascii="Arial" w:hAnsi="Arial" w:cs="Arial"/>
        </w:rPr>
      </w:pPr>
      <w:r w:rsidRPr="00E15F9D">
        <w:rPr>
          <w:rFonts w:ascii="Arial" w:hAnsi="Arial" w:cs="Arial"/>
        </w:rPr>
        <w:t xml:space="preserve">NHS Digital (2023) </w:t>
      </w:r>
      <w:r w:rsidRPr="00E15F9D">
        <w:rPr>
          <w:rStyle w:val="Emphasis"/>
          <w:rFonts w:ascii="Arial" w:hAnsi="Arial" w:cs="Arial"/>
        </w:rPr>
        <w:t>Mental Health Act statistics, annual figures 2022/23</w:t>
      </w:r>
      <w:r w:rsidRPr="00E15F9D">
        <w:rPr>
          <w:rFonts w:ascii="Arial" w:hAnsi="Arial" w:cs="Arial"/>
        </w:rPr>
        <w:t>. Leeds: NHS Digital.</w:t>
      </w:r>
    </w:p>
    <w:p w:rsidR="00E15F9D" w:rsidRPr="00E15F9D" w:rsidRDefault="00E15F9D" w:rsidP="00E15F9D">
      <w:pPr>
        <w:pStyle w:val="NormalWeb"/>
        <w:rPr>
          <w:rFonts w:ascii="Arial" w:hAnsi="Arial" w:cs="Arial"/>
        </w:rPr>
      </w:pPr>
      <w:r w:rsidRPr="00E15F9D">
        <w:rPr>
          <w:rFonts w:ascii="Arial" w:hAnsi="Arial" w:cs="Arial"/>
        </w:rPr>
        <w:t xml:space="preserve">NHS England (2019) </w:t>
      </w:r>
      <w:r w:rsidRPr="00E15F9D">
        <w:rPr>
          <w:rStyle w:val="Emphasis"/>
          <w:rFonts w:ascii="Arial" w:hAnsi="Arial" w:cs="Arial"/>
        </w:rPr>
        <w:t>The NHS long term plan</w:t>
      </w:r>
      <w:r w:rsidRPr="00E15F9D">
        <w:rPr>
          <w:rFonts w:ascii="Arial" w:hAnsi="Arial" w:cs="Arial"/>
        </w:rPr>
        <w:t>. London: NHS England.</w:t>
      </w:r>
    </w:p>
    <w:p w:rsidR="00E15F9D" w:rsidRPr="00E15F9D" w:rsidRDefault="00E15F9D" w:rsidP="00E15F9D">
      <w:pPr>
        <w:pStyle w:val="NormalWeb"/>
        <w:rPr>
          <w:rFonts w:ascii="Arial" w:hAnsi="Arial" w:cs="Arial"/>
        </w:rPr>
      </w:pPr>
      <w:r w:rsidRPr="00E15F9D">
        <w:rPr>
          <w:rFonts w:ascii="Arial" w:hAnsi="Arial" w:cs="Arial"/>
        </w:rPr>
        <w:t xml:space="preserve">NHS England (2021) </w:t>
      </w:r>
      <w:r w:rsidRPr="00E15F9D">
        <w:rPr>
          <w:rStyle w:val="Emphasis"/>
          <w:rFonts w:ascii="Arial" w:hAnsi="Arial" w:cs="Arial"/>
        </w:rPr>
        <w:t xml:space="preserve">NHS diabetes prevention </w:t>
      </w:r>
      <w:proofErr w:type="spellStart"/>
      <w:r w:rsidRPr="00E15F9D">
        <w:rPr>
          <w:rStyle w:val="Emphasis"/>
          <w:rFonts w:ascii="Arial" w:hAnsi="Arial" w:cs="Arial"/>
        </w:rPr>
        <w:t>programme</w:t>
      </w:r>
      <w:proofErr w:type="spellEnd"/>
      <w:r w:rsidRPr="00E15F9D">
        <w:rPr>
          <w:rStyle w:val="Emphasis"/>
          <w:rFonts w:ascii="Arial" w:hAnsi="Arial" w:cs="Arial"/>
        </w:rPr>
        <w:t xml:space="preserve"> evaluation report</w:t>
      </w:r>
      <w:r w:rsidRPr="00E15F9D">
        <w:rPr>
          <w:rFonts w:ascii="Arial" w:hAnsi="Arial" w:cs="Arial"/>
        </w:rPr>
        <w:t>. London: NHS England.</w:t>
      </w:r>
    </w:p>
    <w:p w:rsidR="00E15F9D" w:rsidRPr="00E15F9D" w:rsidRDefault="00E15F9D" w:rsidP="00E15F9D">
      <w:pPr>
        <w:pStyle w:val="NormalWeb"/>
        <w:rPr>
          <w:rFonts w:ascii="Arial" w:hAnsi="Arial" w:cs="Arial"/>
        </w:rPr>
      </w:pPr>
      <w:r w:rsidRPr="00E15F9D">
        <w:rPr>
          <w:rFonts w:ascii="Arial" w:hAnsi="Arial" w:cs="Arial"/>
        </w:rPr>
        <w:t xml:space="preserve">NHS England (2022) </w:t>
      </w:r>
      <w:r w:rsidRPr="00E15F9D">
        <w:rPr>
          <w:rStyle w:val="Emphasis"/>
          <w:rFonts w:ascii="Arial" w:hAnsi="Arial" w:cs="Arial"/>
        </w:rPr>
        <w:t>Core20PLUS5: An approach to reducing health inequalities</w:t>
      </w:r>
      <w:r w:rsidRPr="00E15F9D">
        <w:rPr>
          <w:rFonts w:ascii="Arial" w:hAnsi="Arial" w:cs="Arial"/>
        </w:rPr>
        <w:t xml:space="preserve">. Available at: </w:t>
      </w:r>
      <w:hyperlink r:id="rId11" w:tgtFrame="_new" w:history="1">
        <w:r w:rsidRPr="00E15F9D">
          <w:rPr>
            <w:rStyle w:val="Hyperlink"/>
            <w:rFonts w:ascii="Arial" w:hAnsi="Arial" w:cs="Arial"/>
          </w:rPr>
          <w:t>https://www.england.nhs.uk/about/equality/equality-hub/national-healthcare-inequalities-improvement-programme/core20plus5</w:t>
        </w:r>
      </w:hyperlink>
      <w:r w:rsidRPr="00E15F9D">
        <w:rPr>
          <w:rFonts w:ascii="Arial" w:hAnsi="Arial" w:cs="Arial"/>
        </w:rPr>
        <w:t xml:space="preserve"> (Accessed: 10 April 2026).</w:t>
      </w:r>
    </w:p>
    <w:p w:rsidR="00E15F9D" w:rsidRPr="00E15F9D" w:rsidRDefault="00E15F9D" w:rsidP="00E15F9D">
      <w:pPr>
        <w:pStyle w:val="NormalWeb"/>
        <w:rPr>
          <w:rFonts w:ascii="Arial" w:hAnsi="Arial" w:cs="Arial"/>
        </w:rPr>
      </w:pPr>
      <w:r w:rsidRPr="00E15F9D">
        <w:rPr>
          <w:rFonts w:ascii="Arial" w:hAnsi="Arial" w:cs="Arial"/>
        </w:rPr>
        <w:t xml:space="preserve">NHS England (2023) </w:t>
      </w:r>
      <w:r w:rsidRPr="00E15F9D">
        <w:rPr>
          <w:rStyle w:val="Emphasis"/>
          <w:rFonts w:ascii="Arial" w:hAnsi="Arial" w:cs="Arial"/>
        </w:rPr>
        <w:t>Better health campaign</w:t>
      </w:r>
      <w:r w:rsidRPr="00E15F9D">
        <w:rPr>
          <w:rFonts w:ascii="Arial" w:hAnsi="Arial" w:cs="Arial"/>
        </w:rPr>
        <w:t xml:space="preserve">. Available at: </w:t>
      </w:r>
      <w:hyperlink r:id="rId12" w:tgtFrame="_new" w:history="1">
        <w:r w:rsidRPr="00E15F9D">
          <w:rPr>
            <w:rStyle w:val="Hyperlink"/>
            <w:rFonts w:ascii="Arial" w:hAnsi="Arial" w:cs="Arial"/>
          </w:rPr>
          <w:t>https://www.nhs.uk/better-health</w:t>
        </w:r>
      </w:hyperlink>
      <w:r w:rsidRPr="00E15F9D">
        <w:rPr>
          <w:rFonts w:ascii="Arial" w:hAnsi="Arial" w:cs="Arial"/>
        </w:rPr>
        <w:t xml:space="preserve"> (Accessed: 11 April 2026).</w:t>
      </w:r>
    </w:p>
    <w:p w:rsidR="00E15F9D" w:rsidRPr="00E15F9D" w:rsidRDefault="00E15F9D" w:rsidP="00E15F9D">
      <w:pPr>
        <w:pStyle w:val="NormalWeb"/>
        <w:rPr>
          <w:rFonts w:ascii="Arial" w:hAnsi="Arial" w:cs="Arial"/>
        </w:rPr>
      </w:pPr>
      <w:r w:rsidRPr="00E15F9D">
        <w:rPr>
          <w:rFonts w:ascii="Arial" w:hAnsi="Arial" w:cs="Arial"/>
        </w:rPr>
        <w:t xml:space="preserve">NHS North East London Integrated Care Board (2022) </w:t>
      </w:r>
      <w:r w:rsidRPr="00E15F9D">
        <w:rPr>
          <w:rStyle w:val="Emphasis"/>
          <w:rFonts w:ascii="Arial" w:hAnsi="Arial" w:cs="Arial"/>
        </w:rPr>
        <w:t>Diabetes prevention and management: Tower Hamlets annual review</w:t>
      </w:r>
      <w:r w:rsidRPr="00E15F9D">
        <w:rPr>
          <w:rFonts w:ascii="Arial" w:hAnsi="Arial" w:cs="Arial"/>
        </w:rPr>
        <w:t>. London: NEL ICB.</w:t>
      </w:r>
    </w:p>
    <w:p w:rsidR="00E15F9D" w:rsidRPr="00E15F9D" w:rsidRDefault="00E15F9D" w:rsidP="00E15F9D">
      <w:pPr>
        <w:pStyle w:val="NormalWeb"/>
        <w:rPr>
          <w:rFonts w:ascii="Arial" w:hAnsi="Arial" w:cs="Arial"/>
        </w:rPr>
      </w:pPr>
      <w:r w:rsidRPr="00E15F9D">
        <w:rPr>
          <w:rFonts w:ascii="Arial" w:hAnsi="Arial" w:cs="Arial"/>
        </w:rPr>
        <w:t xml:space="preserve">NHS Race and Health Observatory (2021) </w:t>
      </w:r>
      <w:r w:rsidRPr="00E15F9D">
        <w:rPr>
          <w:rStyle w:val="Emphasis"/>
          <w:rFonts w:ascii="Arial" w:hAnsi="Arial" w:cs="Arial"/>
        </w:rPr>
        <w:t>Ethnic inequalities in healthcare: A rapid evidence review</w:t>
      </w:r>
      <w:r w:rsidRPr="00E15F9D">
        <w:rPr>
          <w:rFonts w:ascii="Arial" w:hAnsi="Arial" w:cs="Arial"/>
        </w:rPr>
        <w:t>. London: NHS Race and Health Observatory.</w:t>
      </w:r>
    </w:p>
    <w:p w:rsidR="00E15F9D" w:rsidRPr="00E15F9D" w:rsidRDefault="00E15F9D" w:rsidP="00E15F9D">
      <w:pPr>
        <w:pStyle w:val="NormalWeb"/>
        <w:rPr>
          <w:rFonts w:ascii="Arial" w:hAnsi="Arial" w:cs="Arial"/>
        </w:rPr>
      </w:pPr>
      <w:r w:rsidRPr="00E15F9D">
        <w:rPr>
          <w:rFonts w:ascii="Arial" w:hAnsi="Arial" w:cs="Arial"/>
        </w:rPr>
        <w:t xml:space="preserve">NHS Race and Health Observatory (2022) </w:t>
      </w:r>
      <w:r w:rsidRPr="00E15F9D">
        <w:rPr>
          <w:rStyle w:val="Emphasis"/>
          <w:rFonts w:ascii="Arial" w:hAnsi="Arial" w:cs="Arial"/>
        </w:rPr>
        <w:t>Annual report 2022</w:t>
      </w:r>
      <w:r w:rsidRPr="00E15F9D">
        <w:rPr>
          <w:rFonts w:ascii="Arial" w:hAnsi="Arial" w:cs="Arial"/>
        </w:rPr>
        <w:t>. London: NHS Race and Health Observatory.</w:t>
      </w:r>
    </w:p>
    <w:p w:rsidR="00E15F9D" w:rsidRPr="00E15F9D" w:rsidRDefault="00E15F9D" w:rsidP="00E15F9D">
      <w:pPr>
        <w:pStyle w:val="NormalWeb"/>
        <w:rPr>
          <w:rFonts w:ascii="Arial" w:hAnsi="Arial" w:cs="Arial"/>
        </w:rPr>
      </w:pPr>
      <w:r w:rsidRPr="00E15F9D">
        <w:rPr>
          <w:rFonts w:ascii="Arial" w:hAnsi="Arial" w:cs="Arial"/>
        </w:rPr>
        <w:t xml:space="preserve">National Institute for Health and Care Excellence (2022) </w:t>
      </w:r>
      <w:r w:rsidRPr="00E15F9D">
        <w:rPr>
          <w:rStyle w:val="Emphasis"/>
          <w:rFonts w:ascii="Arial" w:hAnsi="Arial" w:cs="Arial"/>
        </w:rPr>
        <w:t>Type 2 diabetes in adults: Management (NG28)</w:t>
      </w:r>
      <w:r w:rsidRPr="00E15F9D">
        <w:rPr>
          <w:rFonts w:ascii="Arial" w:hAnsi="Arial" w:cs="Arial"/>
        </w:rPr>
        <w:t>. London: NICE.</w:t>
      </w:r>
    </w:p>
    <w:p w:rsidR="00E15F9D" w:rsidRPr="00E15F9D" w:rsidRDefault="00E15F9D" w:rsidP="00E15F9D">
      <w:pPr>
        <w:pStyle w:val="NormalWeb"/>
        <w:rPr>
          <w:rFonts w:ascii="Arial" w:hAnsi="Arial" w:cs="Arial"/>
        </w:rPr>
      </w:pPr>
      <w:r w:rsidRPr="00E15F9D">
        <w:rPr>
          <w:rFonts w:ascii="Arial" w:hAnsi="Arial" w:cs="Arial"/>
        </w:rPr>
        <w:t xml:space="preserve">National Institute for Health and Care Excellence (2023) </w:t>
      </w:r>
      <w:proofErr w:type="gramStart"/>
      <w:r w:rsidRPr="00E15F9D">
        <w:rPr>
          <w:rStyle w:val="Emphasis"/>
          <w:rFonts w:ascii="Arial" w:hAnsi="Arial" w:cs="Arial"/>
        </w:rPr>
        <w:t>Cardiovascular</w:t>
      </w:r>
      <w:proofErr w:type="gramEnd"/>
      <w:r w:rsidRPr="00E15F9D">
        <w:rPr>
          <w:rStyle w:val="Emphasis"/>
          <w:rFonts w:ascii="Arial" w:hAnsi="Arial" w:cs="Arial"/>
        </w:rPr>
        <w:t xml:space="preserve"> disease: Risk assessment and reduction (CG181)</w:t>
      </w:r>
      <w:r w:rsidRPr="00E15F9D">
        <w:rPr>
          <w:rFonts w:ascii="Arial" w:hAnsi="Arial" w:cs="Arial"/>
        </w:rPr>
        <w:t>. London: NICE.</w:t>
      </w:r>
    </w:p>
    <w:p w:rsidR="00E15F9D" w:rsidRPr="00E15F9D" w:rsidRDefault="00E15F9D" w:rsidP="00E15F9D">
      <w:pPr>
        <w:pStyle w:val="NormalWeb"/>
        <w:rPr>
          <w:rFonts w:ascii="Arial" w:hAnsi="Arial" w:cs="Arial"/>
        </w:rPr>
      </w:pPr>
      <w:r w:rsidRPr="00E15F9D">
        <w:rPr>
          <w:rFonts w:ascii="Arial" w:hAnsi="Arial" w:cs="Arial"/>
        </w:rPr>
        <w:lastRenderedPageBreak/>
        <w:t xml:space="preserve">Office for National Statistics (2021) </w:t>
      </w:r>
      <w:r w:rsidRPr="00E15F9D">
        <w:rPr>
          <w:rStyle w:val="Emphasis"/>
          <w:rFonts w:ascii="Arial" w:hAnsi="Arial" w:cs="Arial"/>
        </w:rPr>
        <w:t>Census 2021: Ethnic group, England and Wales</w:t>
      </w:r>
      <w:r w:rsidRPr="00E15F9D">
        <w:rPr>
          <w:rFonts w:ascii="Arial" w:hAnsi="Arial" w:cs="Arial"/>
        </w:rPr>
        <w:t xml:space="preserve">. Newport: ONS. Available at: </w:t>
      </w:r>
      <w:hyperlink r:id="rId13" w:tgtFrame="_new" w:history="1">
        <w:r w:rsidRPr="00E15F9D">
          <w:rPr>
            <w:rStyle w:val="Hyperlink"/>
            <w:rFonts w:ascii="Arial" w:hAnsi="Arial" w:cs="Arial"/>
          </w:rPr>
          <w:t>https://www.ons.gov.uk</w:t>
        </w:r>
      </w:hyperlink>
      <w:r w:rsidRPr="00E15F9D">
        <w:rPr>
          <w:rFonts w:ascii="Arial" w:hAnsi="Arial" w:cs="Arial"/>
        </w:rPr>
        <w:t xml:space="preserve"> (Accessed: 8 April 2026).</w:t>
      </w:r>
    </w:p>
    <w:p w:rsidR="00E15F9D" w:rsidRPr="00E15F9D" w:rsidRDefault="00E15F9D" w:rsidP="00E15F9D">
      <w:pPr>
        <w:pStyle w:val="NormalWeb"/>
        <w:rPr>
          <w:rFonts w:ascii="Arial" w:hAnsi="Arial" w:cs="Arial"/>
        </w:rPr>
      </w:pPr>
      <w:r w:rsidRPr="00E15F9D">
        <w:rPr>
          <w:rFonts w:ascii="Arial" w:hAnsi="Arial" w:cs="Arial"/>
        </w:rPr>
        <w:t xml:space="preserve">Office for National Statistics (2022) </w:t>
      </w:r>
      <w:r w:rsidRPr="00E15F9D">
        <w:rPr>
          <w:rStyle w:val="Emphasis"/>
          <w:rFonts w:ascii="Arial" w:hAnsi="Arial" w:cs="Arial"/>
        </w:rPr>
        <w:t>Health state life expectancy, UK</w:t>
      </w:r>
      <w:r w:rsidRPr="00E15F9D">
        <w:rPr>
          <w:rFonts w:ascii="Arial" w:hAnsi="Arial" w:cs="Arial"/>
        </w:rPr>
        <w:t>. London: ONS.</w:t>
      </w:r>
    </w:p>
    <w:p w:rsidR="00E15F9D" w:rsidRPr="00E15F9D" w:rsidRDefault="00E15F9D" w:rsidP="00E15F9D">
      <w:pPr>
        <w:pStyle w:val="NormalWeb"/>
        <w:rPr>
          <w:rFonts w:ascii="Arial" w:hAnsi="Arial" w:cs="Arial"/>
        </w:rPr>
      </w:pPr>
      <w:r w:rsidRPr="00E15F9D">
        <w:rPr>
          <w:rFonts w:ascii="Arial" w:hAnsi="Arial" w:cs="Arial"/>
        </w:rPr>
        <w:t xml:space="preserve">Porta, M. (ed.) (2014) </w:t>
      </w:r>
      <w:r w:rsidRPr="00E15F9D">
        <w:rPr>
          <w:rStyle w:val="Emphasis"/>
          <w:rFonts w:ascii="Arial" w:hAnsi="Arial" w:cs="Arial"/>
        </w:rPr>
        <w:t>A dictionary of epidemiology</w:t>
      </w:r>
      <w:r w:rsidRPr="00E15F9D">
        <w:rPr>
          <w:rFonts w:ascii="Arial" w:hAnsi="Arial" w:cs="Arial"/>
        </w:rPr>
        <w:t xml:space="preserve">. 6th </w:t>
      </w:r>
      <w:proofErr w:type="spellStart"/>
      <w:r w:rsidRPr="00E15F9D">
        <w:rPr>
          <w:rFonts w:ascii="Arial" w:hAnsi="Arial" w:cs="Arial"/>
        </w:rPr>
        <w:t>edn</w:t>
      </w:r>
      <w:proofErr w:type="spellEnd"/>
      <w:r w:rsidRPr="00E15F9D">
        <w:rPr>
          <w:rFonts w:ascii="Arial" w:hAnsi="Arial" w:cs="Arial"/>
        </w:rPr>
        <w:t>. New York: Oxford University Press.</w:t>
      </w:r>
    </w:p>
    <w:p w:rsidR="00E15F9D" w:rsidRPr="00E15F9D" w:rsidRDefault="00E15F9D" w:rsidP="00E15F9D">
      <w:pPr>
        <w:pStyle w:val="NormalWeb"/>
        <w:rPr>
          <w:rFonts w:ascii="Arial" w:hAnsi="Arial" w:cs="Arial"/>
        </w:rPr>
      </w:pPr>
      <w:r w:rsidRPr="00E15F9D">
        <w:rPr>
          <w:rFonts w:ascii="Arial" w:hAnsi="Arial" w:cs="Arial"/>
        </w:rPr>
        <w:t xml:space="preserve">Public Health England (2020) </w:t>
      </w:r>
      <w:r w:rsidRPr="00E15F9D">
        <w:rPr>
          <w:rStyle w:val="Emphasis"/>
          <w:rFonts w:ascii="Arial" w:hAnsi="Arial" w:cs="Arial"/>
        </w:rPr>
        <w:t>Disparities in the risk and outcomes of COVID-19</w:t>
      </w:r>
      <w:r w:rsidRPr="00E15F9D">
        <w:rPr>
          <w:rFonts w:ascii="Arial" w:hAnsi="Arial" w:cs="Arial"/>
        </w:rPr>
        <w:t>. London: PHE.</w:t>
      </w:r>
    </w:p>
    <w:p w:rsidR="00E15F9D" w:rsidRPr="00E15F9D" w:rsidRDefault="00E15F9D" w:rsidP="00E15F9D">
      <w:pPr>
        <w:pStyle w:val="NormalWeb"/>
        <w:rPr>
          <w:rFonts w:ascii="Arial" w:hAnsi="Arial" w:cs="Arial"/>
        </w:rPr>
      </w:pPr>
      <w:r w:rsidRPr="00E15F9D">
        <w:rPr>
          <w:rFonts w:ascii="Arial" w:hAnsi="Arial" w:cs="Arial"/>
        </w:rPr>
        <w:t xml:space="preserve">Runnymede Trust (2020) </w:t>
      </w:r>
      <w:proofErr w:type="gramStart"/>
      <w:r w:rsidRPr="00E15F9D">
        <w:rPr>
          <w:rStyle w:val="Emphasis"/>
          <w:rFonts w:ascii="Arial" w:hAnsi="Arial" w:cs="Arial"/>
        </w:rPr>
        <w:t>Who</w:t>
      </w:r>
      <w:proofErr w:type="gramEnd"/>
      <w:r w:rsidRPr="00E15F9D">
        <w:rPr>
          <w:rStyle w:val="Emphasis"/>
          <w:rFonts w:ascii="Arial" w:hAnsi="Arial" w:cs="Arial"/>
        </w:rPr>
        <w:t xml:space="preserve"> cares about Runnymede? Inequalities in care and health among ethnic minorities in England</w:t>
      </w:r>
      <w:r w:rsidRPr="00E15F9D">
        <w:rPr>
          <w:rFonts w:ascii="Arial" w:hAnsi="Arial" w:cs="Arial"/>
        </w:rPr>
        <w:t>. London: Runnymede Trust.</w:t>
      </w:r>
    </w:p>
    <w:p w:rsidR="00E15F9D" w:rsidRPr="00E15F9D" w:rsidRDefault="00E15F9D" w:rsidP="00E15F9D">
      <w:pPr>
        <w:pStyle w:val="NormalWeb"/>
        <w:rPr>
          <w:rFonts w:ascii="Arial" w:hAnsi="Arial" w:cs="Arial"/>
        </w:rPr>
      </w:pPr>
      <w:proofErr w:type="spellStart"/>
      <w:r w:rsidRPr="00E15F9D">
        <w:rPr>
          <w:rFonts w:ascii="Arial" w:hAnsi="Arial" w:cs="Arial"/>
        </w:rPr>
        <w:t>Salway</w:t>
      </w:r>
      <w:proofErr w:type="spellEnd"/>
      <w:r w:rsidRPr="00E15F9D">
        <w:rPr>
          <w:rFonts w:ascii="Arial" w:hAnsi="Arial" w:cs="Arial"/>
        </w:rPr>
        <w:t xml:space="preserve">, S. </w:t>
      </w:r>
      <w:r w:rsidRPr="00E15F9D">
        <w:rPr>
          <w:rStyle w:val="Emphasis"/>
          <w:rFonts w:ascii="Arial" w:hAnsi="Arial" w:cs="Arial"/>
        </w:rPr>
        <w:t>et al.</w:t>
      </w:r>
      <w:r w:rsidRPr="00E15F9D">
        <w:rPr>
          <w:rFonts w:ascii="Arial" w:hAnsi="Arial" w:cs="Arial"/>
        </w:rPr>
        <w:t xml:space="preserve"> (2020) ‘Long-term ill health, poverty and ethnicity: A mixed methods investigation’, </w:t>
      </w:r>
      <w:r w:rsidRPr="00E15F9D">
        <w:rPr>
          <w:rStyle w:val="Emphasis"/>
          <w:rFonts w:ascii="Arial" w:hAnsi="Arial" w:cs="Arial"/>
        </w:rPr>
        <w:t>Ethnicity and Health</w:t>
      </w:r>
      <w:r w:rsidRPr="00E15F9D">
        <w:rPr>
          <w:rFonts w:ascii="Arial" w:hAnsi="Arial" w:cs="Arial"/>
        </w:rPr>
        <w:t>, 25(4), pp. 497–518. doi:10.1080/13557858.2018.1418095.</w:t>
      </w:r>
    </w:p>
    <w:p w:rsidR="00E15F9D" w:rsidRPr="00E15F9D" w:rsidRDefault="00E15F9D" w:rsidP="00E15F9D">
      <w:pPr>
        <w:pStyle w:val="NormalWeb"/>
        <w:rPr>
          <w:rFonts w:ascii="Arial" w:hAnsi="Arial" w:cs="Arial"/>
        </w:rPr>
      </w:pPr>
      <w:proofErr w:type="spellStart"/>
      <w:r w:rsidRPr="00E15F9D">
        <w:rPr>
          <w:rFonts w:ascii="Arial" w:hAnsi="Arial" w:cs="Arial"/>
        </w:rPr>
        <w:t>Sattar</w:t>
      </w:r>
      <w:proofErr w:type="spellEnd"/>
      <w:r w:rsidRPr="00E15F9D">
        <w:rPr>
          <w:rFonts w:ascii="Arial" w:hAnsi="Arial" w:cs="Arial"/>
        </w:rPr>
        <w:t xml:space="preserve">, N., Gill, J.M.R. and </w:t>
      </w:r>
      <w:proofErr w:type="spellStart"/>
      <w:r w:rsidRPr="00E15F9D">
        <w:rPr>
          <w:rFonts w:ascii="Arial" w:hAnsi="Arial" w:cs="Arial"/>
        </w:rPr>
        <w:t>Alazawi</w:t>
      </w:r>
      <w:proofErr w:type="spellEnd"/>
      <w:r w:rsidRPr="00E15F9D">
        <w:rPr>
          <w:rFonts w:ascii="Arial" w:hAnsi="Arial" w:cs="Arial"/>
        </w:rPr>
        <w:t xml:space="preserve">, W. (2021) ‘Improving prevention strategies for </w:t>
      </w:r>
      <w:proofErr w:type="spellStart"/>
      <w:r w:rsidRPr="00E15F9D">
        <w:rPr>
          <w:rFonts w:ascii="Arial" w:hAnsi="Arial" w:cs="Arial"/>
        </w:rPr>
        <w:t>cardiometabolic</w:t>
      </w:r>
      <w:proofErr w:type="spellEnd"/>
      <w:r w:rsidRPr="00E15F9D">
        <w:rPr>
          <w:rFonts w:ascii="Arial" w:hAnsi="Arial" w:cs="Arial"/>
        </w:rPr>
        <w:t xml:space="preserve"> disease’, </w:t>
      </w:r>
      <w:r w:rsidRPr="00E15F9D">
        <w:rPr>
          <w:rStyle w:val="Emphasis"/>
          <w:rFonts w:ascii="Arial" w:hAnsi="Arial" w:cs="Arial"/>
        </w:rPr>
        <w:t>Nature Medicine</w:t>
      </w:r>
      <w:r w:rsidRPr="00E15F9D">
        <w:rPr>
          <w:rFonts w:ascii="Arial" w:hAnsi="Arial" w:cs="Arial"/>
        </w:rPr>
        <w:t xml:space="preserve">, 27(7), pp. 1148–1158. </w:t>
      </w:r>
      <w:proofErr w:type="gramStart"/>
      <w:r w:rsidRPr="00E15F9D">
        <w:rPr>
          <w:rFonts w:ascii="Arial" w:hAnsi="Arial" w:cs="Arial"/>
        </w:rPr>
        <w:t>doi:</w:t>
      </w:r>
      <w:proofErr w:type="gramEnd"/>
      <w:r w:rsidRPr="00E15F9D">
        <w:rPr>
          <w:rFonts w:ascii="Arial" w:hAnsi="Arial" w:cs="Arial"/>
        </w:rPr>
        <w:t>10.1038/s41591-021-01408-6.</w:t>
      </w:r>
    </w:p>
    <w:p w:rsidR="00E15F9D" w:rsidRPr="00E15F9D" w:rsidRDefault="00E15F9D" w:rsidP="00E15F9D">
      <w:pPr>
        <w:pStyle w:val="NormalWeb"/>
        <w:rPr>
          <w:rFonts w:ascii="Arial" w:hAnsi="Arial" w:cs="Arial"/>
        </w:rPr>
      </w:pPr>
      <w:r w:rsidRPr="00E15F9D">
        <w:rPr>
          <w:rFonts w:ascii="Arial" w:hAnsi="Arial" w:cs="Arial"/>
        </w:rPr>
        <w:t xml:space="preserve">UK Health Security Agency (2023) </w:t>
      </w:r>
      <w:r w:rsidRPr="00E15F9D">
        <w:rPr>
          <w:rStyle w:val="Emphasis"/>
          <w:rFonts w:ascii="Arial" w:hAnsi="Arial" w:cs="Arial"/>
        </w:rPr>
        <w:t>Fingertips: Public health profiles – diabetes</w:t>
      </w:r>
      <w:r w:rsidRPr="00E15F9D">
        <w:rPr>
          <w:rFonts w:ascii="Arial" w:hAnsi="Arial" w:cs="Arial"/>
        </w:rPr>
        <w:t xml:space="preserve">. Available at: </w:t>
      </w:r>
      <w:hyperlink r:id="rId14" w:tgtFrame="_new" w:history="1">
        <w:r w:rsidRPr="00E15F9D">
          <w:rPr>
            <w:rStyle w:val="Hyperlink"/>
            <w:rFonts w:ascii="Arial" w:hAnsi="Arial" w:cs="Arial"/>
          </w:rPr>
          <w:t>https://fingertips.phe.org.uk</w:t>
        </w:r>
      </w:hyperlink>
      <w:r w:rsidRPr="00E15F9D">
        <w:rPr>
          <w:rFonts w:ascii="Arial" w:hAnsi="Arial" w:cs="Arial"/>
        </w:rPr>
        <w:t xml:space="preserve"> (Accessed: 10 April 2026).</w:t>
      </w:r>
    </w:p>
    <w:p w:rsidR="00E15F9D" w:rsidRPr="00E15F9D" w:rsidRDefault="00E15F9D" w:rsidP="00E15F9D">
      <w:pPr>
        <w:pStyle w:val="NormalWeb"/>
        <w:rPr>
          <w:rFonts w:ascii="Arial" w:hAnsi="Arial" w:cs="Arial"/>
        </w:rPr>
      </w:pPr>
      <w:r w:rsidRPr="00E15F9D">
        <w:rPr>
          <w:rFonts w:ascii="Arial" w:hAnsi="Arial" w:cs="Arial"/>
        </w:rPr>
        <w:t xml:space="preserve">UK Health Security Agency (2023) </w:t>
      </w:r>
      <w:r w:rsidRPr="00E15F9D">
        <w:rPr>
          <w:rStyle w:val="Emphasis"/>
          <w:rFonts w:ascii="Arial" w:hAnsi="Arial" w:cs="Arial"/>
        </w:rPr>
        <w:t>Health inequalities dashboard</w:t>
      </w:r>
      <w:r w:rsidRPr="00E15F9D">
        <w:rPr>
          <w:rFonts w:ascii="Arial" w:hAnsi="Arial" w:cs="Arial"/>
        </w:rPr>
        <w:t>. London: UKHSA.</w:t>
      </w:r>
    </w:p>
    <w:p w:rsidR="00E15F9D" w:rsidRPr="00E15F9D" w:rsidRDefault="00E15F9D" w:rsidP="00E15F9D">
      <w:pPr>
        <w:pStyle w:val="NormalWeb"/>
        <w:rPr>
          <w:rFonts w:ascii="Arial" w:hAnsi="Arial" w:cs="Arial"/>
        </w:rPr>
      </w:pPr>
      <w:r w:rsidRPr="00E15F9D">
        <w:rPr>
          <w:rFonts w:ascii="Arial" w:hAnsi="Arial" w:cs="Arial"/>
        </w:rPr>
        <w:t xml:space="preserve">Williams, D.R. and Mohammed, S.A. (2009) ‘Discrimination and racial disparities in health’, </w:t>
      </w:r>
      <w:r w:rsidRPr="00E15F9D">
        <w:rPr>
          <w:rStyle w:val="Emphasis"/>
          <w:rFonts w:ascii="Arial" w:hAnsi="Arial" w:cs="Arial"/>
        </w:rPr>
        <w:t>Journal of Behavioral Medicine</w:t>
      </w:r>
      <w:r w:rsidRPr="00E15F9D">
        <w:rPr>
          <w:rFonts w:ascii="Arial" w:hAnsi="Arial" w:cs="Arial"/>
        </w:rPr>
        <w:t xml:space="preserve">, 32(1), pp. 20–47. </w:t>
      </w:r>
      <w:proofErr w:type="gramStart"/>
      <w:r w:rsidRPr="00E15F9D">
        <w:rPr>
          <w:rFonts w:ascii="Arial" w:hAnsi="Arial" w:cs="Arial"/>
        </w:rPr>
        <w:t>doi:</w:t>
      </w:r>
      <w:proofErr w:type="gramEnd"/>
      <w:r w:rsidRPr="00E15F9D">
        <w:rPr>
          <w:rFonts w:ascii="Arial" w:hAnsi="Arial" w:cs="Arial"/>
        </w:rPr>
        <w:t>10.1007/s10865-008-9185-0.</w:t>
      </w:r>
    </w:p>
    <w:p w:rsidR="00E15F9D" w:rsidRPr="00E15F9D" w:rsidRDefault="00E15F9D" w:rsidP="00E15F9D">
      <w:pPr>
        <w:pStyle w:val="NormalWeb"/>
        <w:rPr>
          <w:rFonts w:ascii="Arial" w:hAnsi="Arial" w:cs="Arial"/>
        </w:rPr>
      </w:pPr>
      <w:r w:rsidRPr="00E15F9D">
        <w:rPr>
          <w:rFonts w:ascii="Arial" w:hAnsi="Arial" w:cs="Arial"/>
        </w:rPr>
        <w:t xml:space="preserve">World Health Organization (2023) </w:t>
      </w:r>
      <w:r w:rsidRPr="00E15F9D">
        <w:rPr>
          <w:rStyle w:val="Emphasis"/>
          <w:rFonts w:ascii="Arial" w:hAnsi="Arial" w:cs="Arial"/>
        </w:rPr>
        <w:t>Diabetes fact sheet</w:t>
      </w:r>
      <w:r w:rsidRPr="00E15F9D">
        <w:rPr>
          <w:rFonts w:ascii="Arial" w:hAnsi="Arial" w:cs="Arial"/>
        </w:rPr>
        <w:t xml:space="preserve">. Geneva: WHO. Available at: </w:t>
      </w:r>
      <w:hyperlink r:id="rId15" w:tgtFrame="_new" w:history="1">
        <w:r w:rsidRPr="00E15F9D">
          <w:rPr>
            <w:rStyle w:val="Hyperlink"/>
            <w:rFonts w:ascii="Arial" w:hAnsi="Arial" w:cs="Arial"/>
          </w:rPr>
          <w:t>https://www.who.int/news-room/fact-sheets/detail/diabetes</w:t>
        </w:r>
      </w:hyperlink>
      <w:r w:rsidRPr="00E15F9D">
        <w:rPr>
          <w:rFonts w:ascii="Arial" w:hAnsi="Arial" w:cs="Arial"/>
        </w:rPr>
        <w:t xml:space="preserve"> (Accessed: 9 April 2026).</w:t>
      </w:r>
    </w:p>
    <w:p w:rsidR="00E15F9D" w:rsidRPr="00E15F9D" w:rsidRDefault="00E15F9D" w:rsidP="00E15F9D">
      <w:pPr>
        <w:pStyle w:val="NormalWeb"/>
        <w:rPr>
          <w:rFonts w:ascii="Arial" w:hAnsi="Arial" w:cs="Arial"/>
        </w:rPr>
      </w:pPr>
      <w:r w:rsidRPr="00E15F9D">
        <w:rPr>
          <w:rFonts w:ascii="Arial" w:hAnsi="Arial" w:cs="Arial"/>
        </w:rPr>
        <w:t xml:space="preserve">The Health Foundation (2021) </w:t>
      </w:r>
      <w:r w:rsidRPr="00E15F9D">
        <w:rPr>
          <w:rStyle w:val="Emphasis"/>
          <w:rFonts w:ascii="Arial" w:hAnsi="Arial" w:cs="Arial"/>
        </w:rPr>
        <w:t>Health equity in England</w:t>
      </w:r>
      <w:r w:rsidRPr="00E15F9D">
        <w:rPr>
          <w:rFonts w:ascii="Arial" w:hAnsi="Arial" w:cs="Arial"/>
        </w:rPr>
        <w:t>. London: The Health Foundation.</w:t>
      </w:r>
    </w:p>
    <w:p w:rsidR="00E15F9D" w:rsidRPr="00E15F9D" w:rsidRDefault="00E15F9D" w:rsidP="00E15F9D">
      <w:pPr>
        <w:pStyle w:val="NormalWeb"/>
        <w:rPr>
          <w:rFonts w:ascii="Arial" w:hAnsi="Arial" w:cs="Arial"/>
        </w:rPr>
      </w:pPr>
      <w:r w:rsidRPr="00E15F9D">
        <w:rPr>
          <w:rFonts w:ascii="Arial" w:hAnsi="Arial" w:cs="Arial"/>
        </w:rPr>
        <w:t xml:space="preserve">The King’s Fund (2022) </w:t>
      </w:r>
      <w:r w:rsidRPr="00E15F9D">
        <w:rPr>
          <w:rStyle w:val="Emphasis"/>
          <w:rFonts w:ascii="Arial" w:hAnsi="Arial" w:cs="Arial"/>
        </w:rPr>
        <w:t>Health inequalities in England</w:t>
      </w:r>
      <w:r w:rsidRPr="00E15F9D">
        <w:rPr>
          <w:rFonts w:ascii="Arial" w:hAnsi="Arial" w:cs="Arial"/>
        </w:rPr>
        <w:t>. London: The King’s Fund.</w:t>
      </w:r>
    </w:p>
    <w:p w:rsidR="00E15F9D" w:rsidRPr="00E15F9D" w:rsidRDefault="00E15F9D" w:rsidP="00E15F9D">
      <w:r w:rsidRPr="00E15F9D">
        <w:pict>
          <v:rect id="_x0000_i1027" style="width:0;height:1.5pt" o:hralign="center" o:hrstd="t" o:hr="t" fillcolor="#a0a0a0" stroked="f"/>
        </w:pict>
      </w:r>
    </w:p>
    <w:p w:rsidR="008B51E9" w:rsidRPr="00E15F9D" w:rsidRDefault="008B51E9" w:rsidP="00E15F9D">
      <w:pPr>
        <w:spacing w:before="60" w:after="100"/>
        <w:ind w:left="720" w:hanging="720"/>
        <w:jc w:val="both"/>
      </w:pPr>
      <w:bookmarkStart w:id="0" w:name="_GoBack"/>
      <w:bookmarkEnd w:id="0"/>
    </w:p>
    <w:sectPr w:rsidR="008B51E9" w:rsidRPr="00E15F9D">
      <w:headerReference w:type="default" r:id="rId16"/>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2C39" w:rsidRDefault="000C2C39" w:rsidP="004F27A7">
      <w:r>
        <w:separator/>
      </w:r>
    </w:p>
  </w:endnote>
  <w:endnote w:type="continuationSeparator" w:id="0">
    <w:p w:rsidR="000C2C39" w:rsidRDefault="000C2C39" w:rsidP="004F2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2C39" w:rsidRDefault="000C2C39" w:rsidP="004F27A7">
      <w:r>
        <w:separator/>
      </w:r>
    </w:p>
  </w:footnote>
  <w:footnote w:type="continuationSeparator" w:id="0">
    <w:p w:rsidR="000C2C39" w:rsidRDefault="000C2C39" w:rsidP="004F27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27A7" w:rsidRDefault="004F27A7">
    <w:pPr>
      <w:pStyle w:val="Header"/>
    </w:pPr>
    <w:r>
      <w:rPr>
        <w:noProof/>
      </w:rPr>
      <w:drawing>
        <wp:inline distT="0" distB="0" distL="0" distR="0">
          <wp:extent cx="2184400" cy="704850"/>
          <wp:effectExtent l="0" t="0" r="6350" b="0"/>
          <wp:docPr id="1" name="Picture 1" descr="Doctor of Business Administration (Full-time) (DB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ctor of Business Administration (Full-time) (DBA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30570" cy="71974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DA4779"/>
    <w:multiLevelType w:val="hybridMultilevel"/>
    <w:tmpl w:val="6E063F3A"/>
    <w:lvl w:ilvl="0" w:tplc="0978B322">
      <w:start w:val="1"/>
      <w:numFmt w:val="bullet"/>
      <w:lvlText w:val="•"/>
      <w:lvlJc w:val="left"/>
      <w:pPr>
        <w:ind w:left="720" w:hanging="360"/>
      </w:pPr>
    </w:lvl>
    <w:lvl w:ilvl="1" w:tplc="AAECC07E">
      <w:numFmt w:val="decimal"/>
      <w:lvlText w:val=""/>
      <w:lvlJc w:val="left"/>
    </w:lvl>
    <w:lvl w:ilvl="2" w:tplc="4718C5C2">
      <w:numFmt w:val="decimal"/>
      <w:lvlText w:val=""/>
      <w:lvlJc w:val="left"/>
    </w:lvl>
    <w:lvl w:ilvl="3" w:tplc="5E4C165E">
      <w:numFmt w:val="decimal"/>
      <w:lvlText w:val=""/>
      <w:lvlJc w:val="left"/>
    </w:lvl>
    <w:lvl w:ilvl="4" w:tplc="76BEE330">
      <w:numFmt w:val="decimal"/>
      <w:lvlText w:val=""/>
      <w:lvlJc w:val="left"/>
    </w:lvl>
    <w:lvl w:ilvl="5" w:tplc="2BE8B102">
      <w:numFmt w:val="decimal"/>
      <w:lvlText w:val=""/>
      <w:lvlJc w:val="left"/>
    </w:lvl>
    <w:lvl w:ilvl="6" w:tplc="29FE5F22">
      <w:numFmt w:val="decimal"/>
      <w:lvlText w:val=""/>
      <w:lvlJc w:val="left"/>
    </w:lvl>
    <w:lvl w:ilvl="7" w:tplc="138C4A5E">
      <w:numFmt w:val="decimal"/>
      <w:lvlText w:val=""/>
      <w:lvlJc w:val="left"/>
    </w:lvl>
    <w:lvl w:ilvl="8" w:tplc="4F829D50">
      <w:numFmt w:val="decimal"/>
      <w:lvlText w:val=""/>
      <w:lvlJc w:val="left"/>
    </w:lvl>
  </w:abstractNum>
  <w:abstractNum w:abstractNumId="1" w15:restartNumberingAfterBreak="0">
    <w:nsid w:val="4A206427"/>
    <w:multiLevelType w:val="hybridMultilevel"/>
    <w:tmpl w:val="EAAC8F56"/>
    <w:lvl w:ilvl="0" w:tplc="4FEC74FE">
      <w:start w:val="1"/>
      <w:numFmt w:val="bullet"/>
      <w:lvlText w:val="●"/>
      <w:lvlJc w:val="left"/>
      <w:pPr>
        <w:ind w:left="720" w:hanging="360"/>
      </w:pPr>
    </w:lvl>
    <w:lvl w:ilvl="1" w:tplc="B4666124">
      <w:start w:val="1"/>
      <w:numFmt w:val="bullet"/>
      <w:lvlText w:val="○"/>
      <w:lvlJc w:val="left"/>
      <w:pPr>
        <w:ind w:left="1440" w:hanging="360"/>
      </w:pPr>
    </w:lvl>
    <w:lvl w:ilvl="2" w:tplc="22D6ADF4">
      <w:start w:val="1"/>
      <w:numFmt w:val="bullet"/>
      <w:lvlText w:val="■"/>
      <w:lvlJc w:val="left"/>
      <w:pPr>
        <w:ind w:left="2160" w:hanging="360"/>
      </w:pPr>
    </w:lvl>
    <w:lvl w:ilvl="3" w:tplc="1138D25C">
      <w:start w:val="1"/>
      <w:numFmt w:val="bullet"/>
      <w:lvlText w:val="●"/>
      <w:lvlJc w:val="left"/>
      <w:pPr>
        <w:ind w:left="2880" w:hanging="360"/>
      </w:pPr>
    </w:lvl>
    <w:lvl w:ilvl="4" w:tplc="D27A3702">
      <w:start w:val="1"/>
      <w:numFmt w:val="bullet"/>
      <w:lvlText w:val="○"/>
      <w:lvlJc w:val="left"/>
      <w:pPr>
        <w:ind w:left="3600" w:hanging="360"/>
      </w:pPr>
    </w:lvl>
    <w:lvl w:ilvl="5" w:tplc="B1C8BD60">
      <w:start w:val="1"/>
      <w:numFmt w:val="bullet"/>
      <w:lvlText w:val="■"/>
      <w:lvlJc w:val="left"/>
      <w:pPr>
        <w:ind w:left="4320" w:hanging="360"/>
      </w:pPr>
    </w:lvl>
    <w:lvl w:ilvl="6" w:tplc="A33CD778">
      <w:start w:val="1"/>
      <w:numFmt w:val="bullet"/>
      <w:lvlText w:val="●"/>
      <w:lvlJc w:val="left"/>
      <w:pPr>
        <w:ind w:left="5040" w:hanging="360"/>
      </w:pPr>
    </w:lvl>
    <w:lvl w:ilvl="7" w:tplc="99C6CB2E">
      <w:start w:val="1"/>
      <w:numFmt w:val="bullet"/>
      <w:lvlText w:val="●"/>
      <w:lvlJc w:val="left"/>
      <w:pPr>
        <w:ind w:left="5760" w:hanging="360"/>
      </w:pPr>
    </w:lvl>
    <w:lvl w:ilvl="8" w:tplc="50BE1E66">
      <w:start w:val="1"/>
      <w:numFmt w:val="bullet"/>
      <w:lvlText w:val="●"/>
      <w:lvlJc w:val="left"/>
      <w:pPr>
        <w:ind w:left="6480" w:hanging="360"/>
      </w:pPr>
    </w:lvl>
  </w:abstractNum>
  <w:abstractNum w:abstractNumId="2" w15:restartNumberingAfterBreak="0">
    <w:nsid w:val="4CA35171"/>
    <w:multiLevelType w:val="multilevel"/>
    <w:tmpl w:val="3356C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lvlOverride w:ilvl="0">
      <w:startOverride w:val="1"/>
    </w:lvlOverride>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1E9"/>
    <w:rsid w:val="000C2C39"/>
    <w:rsid w:val="00221367"/>
    <w:rsid w:val="004A202F"/>
    <w:rsid w:val="004F27A7"/>
    <w:rsid w:val="00805293"/>
    <w:rsid w:val="008B51E9"/>
    <w:rsid w:val="008D52A8"/>
    <w:rsid w:val="00D5417D"/>
    <w:rsid w:val="00E15F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2751C"/>
  <w15:docId w15:val="{A2CE819F-0511-4CB9-8D0E-109F93C08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qFormat/>
    <w:pPr>
      <w:spacing w:before="320" w:after="160"/>
      <w:outlineLvl w:val="0"/>
    </w:pPr>
    <w:rPr>
      <w:b/>
      <w:bCs/>
      <w:color w:val="1F3864"/>
      <w:sz w:val="28"/>
      <w:szCs w:val="28"/>
    </w:rPr>
  </w:style>
  <w:style w:type="paragraph" w:styleId="Heading2">
    <w:name w:val="heading 2"/>
    <w:qFormat/>
    <w:pPr>
      <w:spacing w:before="240" w:after="120"/>
      <w:outlineLvl w:val="1"/>
    </w:pPr>
    <w:rPr>
      <w:b/>
      <w:bCs/>
      <w:color w:val="2E5D9C"/>
      <w:sz w:val="24"/>
      <w:szCs w:val="24"/>
    </w:rPr>
  </w:style>
  <w:style w:type="paragraph" w:styleId="Heading3">
    <w:name w:val="heading 3"/>
    <w:qFormat/>
    <w:pPr>
      <w:outlineLvl w:val="2"/>
    </w:pPr>
    <w:rPr>
      <w:color w:val="1F4D78"/>
      <w:sz w:val="24"/>
      <w:szCs w:val="24"/>
    </w:rPr>
  </w:style>
  <w:style w:type="paragraph" w:styleId="Heading4">
    <w:name w:val="heading 4"/>
    <w:qFormat/>
    <w:pPr>
      <w:outlineLvl w:val="3"/>
    </w:pPr>
    <w:rPr>
      <w:i/>
      <w:iCs/>
      <w:color w:val="2E74B5"/>
    </w:rPr>
  </w:style>
  <w:style w:type="paragraph" w:styleId="Heading5">
    <w:name w:val="heading 5"/>
    <w:qFormat/>
    <w:pPr>
      <w:outlineLvl w:val="4"/>
    </w:pPr>
    <w:rPr>
      <w:color w:val="2E74B5"/>
    </w:rPr>
  </w:style>
  <w:style w:type="paragraph" w:styleId="Heading6">
    <w:name w:val="heading 6"/>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NormalWeb">
    <w:name w:val="Normal (Web)"/>
    <w:basedOn w:val="Normal"/>
    <w:uiPriority w:val="99"/>
    <w:semiHidden/>
    <w:unhideWhenUsed/>
    <w:rsid w:val="00221367"/>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8D52A8"/>
    <w:rPr>
      <w:i/>
      <w:iCs/>
    </w:rPr>
  </w:style>
  <w:style w:type="table" w:customStyle="1" w:styleId="a">
    <w:name w:val="a"/>
    <w:basedOn w:val="TableNormal"/>
    <w:rsid w:val="004F27A7"/>
    <w:pPr>
      <w:spacing w:line="276" w:lineRule="auto"/>
    </w:pPr>
    <w:rPr>
      <w:lang w:val="en-GB" w:eastAsia="en-IN"/>
    </w:rPr>
    <w:tblPr>
      <w:tblStyleRowBandSize w:val="1"/>
      <w:tblStyleColBandSize w:val="1"/>
      <w:tblInd w:w="0" w:type="nil"/>
      <w:tblCellMar>
        <w:top w:w="100" w:type="dxa"/>
        <w:left w:w="100" w:type="dxa"/>
        <w:bottom w:w="100" w:type="dxa"/>
        <w:right w:w="100" w:type="dxa"/>
      </w:tblCellMar>
    </w:tblPr>
  </w:style>
  <w:style w:type="paragraph" w:styleId="Header">
    <w:name w:val="header"/>
    <w:basedOn w:val="Normal"/>
    <w:link w:val="HeaderChar"/>
    <w:uiPriority w:val="99"/>
    <w:unhideWhenUsed/>
    <w:rsid w:val="004F27A7"/>
    <w:pPr>
      <w:tabs>
        <w:tab w:val="center" w:pos="4680"/>
        <w:tab w:val="right" w:pos="9360"/>
      </w:tabs>
    </w:pPr>
  </w:style>
  <w:style w:type="character" w:customStyle="1" w:styleId="HeaderChar">
    <w:name w:val="Header Char"/>
    <w:basedOn w:val="DefaultParagraphFont"/>
    <w:link w:val="Header"/>
    <w:uiPriority w:val="99"/>
    <w:rsid w:val="004F27A7"/>
  </w:style>
  <w:style w:type="paragraph" w:styleId="Footer">
    <w:name w:val="footer"/>
    <w:basedOn w:val="Normal"/>
    <w:link w:val="FooterChar"/>
    <w:uiPriority w:val="99"/>
    <w:unhideWhenUsed/>
    <w:rsid w:val="004F27A7"/>
    <w:pPr>
      <w:tabs>
        <w:tab w:val="center" w:pos="4680"/>
        <w:tab w:val="right" w:pos="9360"/>
      </w:tabs>
    </w:pPr>
  </w:style>
  <w:style w:type="character" w:customStyle="1" w:styleId="FooterChar">
    <w:name w:val="Footer Char"/>
    <w:basedOn w:val="DefaultParagraphFont"/>
    <w:link w:val="Footer"/>
    <w:uiPriority w:val="99"/>
    <w:rsid w:val="004F27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742655">
      <w:bodyDiv w:val="1"/>
      <w:marLeft w:val="0"/>
      <w:marRight w:val="0"/>
      <w:marTop w:val="0"/>
      <w:marBottom w:val="0"/>
      <w:divBdr>
        <w:top w:val="none" w:sz="0" w:space="0" w:color="auto"/>
        <w:left w:val="none" w:sz="0" w:space="0" w:color="auto"/>
        <w:bottom w:val="none" w:sz="0" w:space="0" w:color="auto"/>
        <w:right w:val="none" w:sz="0" w:space="0" w:color="auto"/>
      </w:divBdr>
    </w:div>
    <w:div w:id="272784421">
      <w:bodyDiv w:val="1"/>
      <w:marLeft w:val="0"/>
      <w:marRight w:val="0"/>
      <w:marTop w:val="0"/>
      <w:marBottom w:val="0"/>
      <w:divBdr>
        <w:top w:val="none" w:sz="0" w:space="0" w:color="auto"/>
        <w:left w:val="none" w:sz="0" w:space="0" w:color="auto"/>
        <w:bottom w:val="none" w:sz="0" w:space="0" w:color="auto"/>
        <w:right w:val="none" w:sz="0" w:space="0" w:color="auto"/>
      </w:divBdr>
      <w:divsChild>
        <w:div w:id="11295167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46395233">
      <w:bodyDiv w:val="1"/>
      <w:marLeft w:val="0"/>
      <w:marRight w:val="0"/>
      <w:marTop w:val="0"/>
      <w:marBottom w:val="0"/>
      <w:divBdr>
        <w:top w:val="none" w:sz="0" w:space="0" w:color="auto"/>
        <w:left w:val="none" w:sz="0" w:space="0" w:color="auto"/>
        <w:bottom w:val="none" w:sz="0" w:space="0" w:color="auto"/>
        <w:right w:val="none" w:sz="0" w:space="0" w:color="auto"/>
      </w:divBdr>
      <w:divsChild>
        <w:div w:id="140734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4854899">
      <w:bodyDiv w:val="1"/>
      <w:marLeft w:val="0"/>
      <w:marRight w:val="0"/>
      <w:marTop w:val="0"/>
      <w:marBottom w:val="0"/>
      <w:divBdr>
        <w:top w:val="none" w:sz="0" w:space="0" w:color="auto"/>
        <w:left w:val="none" w:sz="0" w:space="0" w:color="auto"/>
        <w:bottom w:val="none" w:sz="0" w:space="0" w:color="auto"/>
        <w:right w:val="none" w:sz="0" w:space="0" w:color="auto"/>
      </w:divBdr>
      <w:divsChild>
        <w:div w:id="20611728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8395313">
      <w:bodyDiv w:val="1"/>
      <w:marLeft w:val="0"/>
      <w:marRight w:val="0"/>
      <w:marTop w:val="0"/>
      <w:marBottom w:val="0"/>
      <w:divBdr>
        <w:top w:val="none" w:sz="0" w:space="0" w:color="auto"/>
        <w:left w:val="none" w:sz="0" w:space="0" w:color="auto"/>
        <w:bottom w:val="none" w:sz="0" w:space="0" w:color="auto"/>
        <w:right w:val="none" w:sz="0" w:space="0" w:color="auto"/>
      </w:divBdr>
    </w:div>
    <w:div w:id="1311448500">
      <w:bodyDiv w:val="1"/>
      <w:marLeft w:val="0"/>
      <w:marRight w:val="0"/>
      <w:marTop w:val="0"/>
      <w:marBottom w:val="0"/>
      <w:divBdr>
        <w:top w:val="none" w:sz="0" w:space="0" w:color="auto"/>
        <w:left w:val="none" w:sz="0" w:space="0" w:color="auto"/>
        <w:bottom w:val="none" w:sz="0" w:space="0" w:color="auto"/>
        <w:right w:val="none" w:sz="0" w:space="0" w:color="auto"/>
      </w:divBdr>
      <w:divsChild>
        <w:div w:id="8645585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74114617">
      <w:bodyDiv w:val="1"/>
      <w:marLeft w:val="0"/>
      <w:marRight w:val="0"/>
      <w:marTop w:val="0"/>
      <w:marBottom w:val="0"/>
      <w:divBdr>
        <w:top w:val="none" w:sz="0" w:space="0" w:color="auto"/>
        <w:left w:val="none" w:sz="0" w:space="0" w:color="auto"/>
        <w:bottom w:val="none" w:sz="0" w:space="0" w:color="auto"/>
        <w:right w:val="none" w:sz="0" w:space="0" w:color="auto"/>
      </w:divBdr>
      <w:divsChild>
        <w:div w:id="1753887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iabetes.org.uk/about-us/our-strategy/news-views-and-campaigns/diabetes-statistics" TargetMode="External"/><Relationship Id="rId13" Type="http://schemas.openxmlformats.org/officeDocument/2006/relationships/hyperlink" Target="https://www.ons.gov.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bhf.org.uk/what-we-do/our-research/heart-statistics" TargetMode="External"/><Relationship Id="rId12" Type="http://schemas.openxmlformats.org/officeDocument/2006/relationships/hyperlink" Target="https://www.nhs.uk/better-healt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ngland.nhs.uk/about/equality/equality-hub/national-healthcare-inequalities-improvement-programme/core20plus5" TargetMode="External"/><Relationship Id="rId5" Type="http://schemas.openxmlformats.org/officeDocument/2006/relationships/footnotes" Target="footnotes.xml"/><Relationship Id="rId15" Type="http://schemas.openxmlformats.org/officeDocument/2006/relationships/hyperlink" Target="https://www.who.int/news-room/fact-sheets/detail/diabetes" TargetMode="External"/><Relationship Id="rId10" Type="http://schemas.openxmlformats.org/officeDocument/2006/relationships/hyperlink" Target="https://www.mind.org.uk/information-support/tips-for-everyday-living/bame-mental-health" TargetMode="External"/><Relationship Id="rId4" Type="http://schemas.openxmlformats.org/officeDocument/2006/relationships/webSettings" Target="webSettings.xml"/><Relationship Id="rId9" Type="http://schemas.openxmlformats.org/officeDocument/2006/relationships/hyperlink" Target="https://www.diabetesatlas.org" TargetMode="External"/><Relationship Id="rId14" Type="http://schemas.openxmlformats.org/officeDocument/2006/relationships/hyperlink" Target="https://fingertips.phe.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5226</Words>
  <Characters>29789</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Administrator</cp:lastModifiedBy>
  <cp:revision>2</cp:revision>
  <dcterms:created xsi:type="dcterms:W3CDTF">2026-04-24T18:03:00Z</dcterms:created>
  <dcterms:modified xsi:type="dcterms:W3CDTF">2026-04-24T18:03:00Z</dcterms:modified>
</cp:coreProperties>
</file>