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6A36" w:rsidRPr="00186A36" w:rsidRDefault="00186A36" w:rsidP="00186A36">
      <w:pPr>
        <w:jc w:val="center"/>
        <w:rPr>
          <w:b/>
          <w:bCs/>
          <w:sz w:val="44"/>
          <w:szCs w:val="44"/>
        </w:rPr>
      </w:pPr>
      <w:r w:rsidRPr="00186A36">
        <w:rPr>
          <w:b/>
          <w:bCs/>
          <w:sz w:val="44"/>
          <w:szCs w:val="44"/>
        </w:rPr>
        <w:t>International Financial Management</w:t>
      </w:r>
    </w:p>
    <w:p w:rsidR="005C681D" w:rsidRDefault="00186A36" w:rsidP="00514091">
      <w:pPr>
        <w:jc w:val="center"/>
        <w:rPr>
          <w:sz w:val="44"/>
          <w:szCs w:val="44"/>
        </w:rPr>
      </w:pPr>
      <w:r w:rsidRPr="00186A36">
        <w:rPr>
          <w:b/>
          <w:bCs/>
          <w:sz w:val="44"/>
          <w:szCs w:val="44"/>
        </w:rPr>
        <w:t>Module code: LCBB6002</w:t>
      </w:r>
      <w:r w:rsidRPr="00186A36">
        <w:rPr>
          <w:sz w:val="44"/>
          <w:szCs w:val="44"/>
        </w:rPr>
        <w:t xml:space="preserve"> </w:t>
      </w:r>
    </w:p>
    <w:p w:rsidR="005C681D" w:rsidRDefault="005C681D" w:rsidP="00514091">
      <w:pPr>
        <w:jc w:val="center"/>
        <w:rPr>
          <w:sz w:val="44"/>
          <w:szCs w:val="44"/>
        </w:rPr>
      </w:pPr>
      <w:proofErr w:type="spellStart"/>
      <w:r>
        <w:rPr>
          <w:sz w:val="44"/>
          <w:szCs w:val="44"/>
        </w:rPr>
        <w:t>Cristian</w:t>
      </w:r>
      <w:proofErr w:type="spellEnd"/>
      <w:r>
        <w:rPr>
          <w:sz w:val="44"/>
          <w:szCs w:val="44"/>
        </w:rPr>
        <w:t xml:space="preserve"> </w:t>
      </w:r>
      <w:proofErr w:type="spellStart"/>
      <w:r>
        <w:rPr>
          <w:sz w:val="44"/>
          <w:szCs w:val="44"/>
        </w:rPr>
        <w:t>Mihail</w:t>
      </w:r>
      <w:proofErr w:type="spellEnd"/>
      <w:r>
        <w:rPr>
          <w:sz w:val="44"/>
          <w:szCs w:val="44"/>
        </w:rPr>
        <w:t xml:space="preserve"> </w:t>
      </w:r>
      <w:proofErr w:type="spellStart"/>
      <w:r>
        <w:rPr>
          <w:sz w:val="44"/>
          <w:szCs w:val="44"/>
        </w:rPr>
        <w:t>Grigore</w:t>
      </w:r>
      <w:proofErr w:type="spellEnd"/>
    </w:p>
    <w:p w:rsidR="004B5923" w:rsidRPr="00514091" w:rsidRDefault="00612F6E" w:rsidP="00514091">
      <w:pPr>
        <w:jc w:val="center"/>
        <w:rPr>
          <w:sz w:val="44"/>
          <w:szCs w:val="44"/>
        </w:rPr>
      </w:pPr>
      <w:r>
        <w:rPr>
          <w:sz w:val="44"/>
          <w:szCs w:val="44"/>
        </w:rPr>
        <w:t>1920733</w:t>
      </w:r>
      <w:r w:rsidR="004B5923">
        <w:br w:type="page"/>
      </w:r>
    </w:p>
    <w:sdt>
      <w:sdtPr>
        <w:rPr>
          <w:rFonts w:ascii="Times New Roman" w:eastAsiaTheme="minorHAnsi" w:hAnsi="Times New Roman" w:cstheme="minorBidi"/>
          <w:b w:val="0"/>
          <w:bCs w:val="0"/>
          <w:color w:val="auto"/>
          <w:kern w:val="2"/>
          <w:sz w:val="24"/>
          <w:szCs w:val="24"/>
        </w:rPr>
        <w:id w:val="-1026089669"/>
        <w:docPartObj>
          <w:docPartGallery w:val="Table of Contents"/>
          <w:docPartUnique/>
        </w:docPartObj>
      </w:sdtPr>
      <w:sdtEndPr>
        <w:rPr>
          <w:noProof/>
        </w:rPr>
      </w:sdtEndPr>
      <w:sdtContent>
        <w:p w:rsidR="004B5923" w:rsidRDefault="004B5923">
          <w:pPr>
            <w:pStyle w:val="TOCHeading"/>
          </w:pPr>
          <w:r>
            <w:t>Table of Contents</w:t>
          </w:r>
        </w:p>
        <w:p w:rsidR="00186A36" w:rsidRDefault="000F0CFA">
          <w:pPr>
            <w:pStyle w:val="TOC1"/>
            <w:tabs>
              <w:tab w:val="right" w:leader="dot" w:pos="9350"/>
            </w:tabs>
            <w:rPr>
              <w:rFonts w:eastAsiaTheme="minorEastAsia" w:cstheme="minorBidi"/>
              <w:b w:val="0"/>
              <w:bCs w:val="0"/>
              <w:caps w:val="0"/>
              <w:noProof/>
              <w:kern w:val="0"/>
              <w:sz w:val="24"/>
              <w:szCs w:val="24"/>
              <w:u w:val="none"/>
            </w:rPr>
          </w:pPr>
          <w:r w:rsidRPr="000F0CFA">
            <w:rPr>
              <w:b w:val="0"/>
              <w:bCs w:val="0"/>
            </w:rPr>
            <w:fldChar w:fldCharType="begin"/>
          </w:r>
          <w:r w:rsidR="004B5923">
            <w:instrText xml:space="preserve"> TOC \o "1-3" \h \z \u </w:instrText>
          </w:r>
          <w:r w:rsidRPr="000F0CFA">
            <w:rPr>
              <w:b w:val="0"/>
              <w:bCs w:val="0"/>
            </w:rPr>
            <w:fldChar w:fldCharType="separate"/>
          </w:r>
          <w:hyperlink w:anchor="_Toc141206869" w:history="1">
            <w:r w:rsidR="00186A36" w:rsidRPr="00D23ECE">
              <w:rPr>
                <w:rStyle w:val="Hyperlink"/>
                <w:noProof/>
              </w:rPr>
              <w:t>Introduction:</w:t>
            </w:r>
            <w:r w:rsidR="00186A36">
              <w:rPr>
                <w:noProof/>
                <w:webHidden/>
              </w:rPr>
              <w:tab/>
            </w:r>
            <w:r>
              <w:rPr>
                <w:noProof/>
                <w:webHidden/>
              </w:rPr>
              <w:fldChar w:fldCharType="begin"/>
            </w:r>
            <w:r w:rsidR="00186A36">
              <w:rPr>
                <w:noProof/>
                <w:webHidden/>
              </w:rPr>
              <w:instrText xml:space="preserve"> PAGEREF _Toc141206869 \h </w:instrText>
            </w:r>
            <w:r>
              <w:rPr>
                <w:noProof/>
                <w:webHidden/>
              </w:rPr>
            </w:r>
            <w:r>
              <w:rPr>
                <w:noProof/>
                <w:webHidden/>
              </w:rPr>
              <w:fldChar w:fldCharType="separate"/>
            </w:r>
            <w:r w:rsidR="00186A36">
              <w:rPr>
                <w:noProof/>
                <w:webHidden/>
              </w:rPr>
              <w:t>3</w:t>
            </w:r>
            <w:r>
              <w:rPr>
                <w:noProof/>
                <w:webHidden/>
              </w:rPr>
              <w:fldChar w:fldCharType="end"/>
            </w:r>
          </w:hyperlink>
        </w:p>
        <w:p w:rsidR="00186A36" w:rsidRDefault="000F0CFA">
          <w:pPr>
            <w:pStyle w:val="TOC1"/>
            <w:tabs>
              <w:tab w:val="right" w:leader="dot" w:pos="9350"/>
            </w:tabs>
            <w:rPr>
              <w:rFonts w:eastAsiaTheme="minorEastAsia" w:cstheme="minorBidi"/>
              <w:b w:val="0"/>
              <w:bCs w:val="0"/>
              <w:caps w:val="0"/>
              <w:noProof/>
              <w:kern w:val="0"/>
              <w:sz w:val="24"/>
              <w:szCs w:val="24"/>
              <w:u w:val="none"/>
            </w:rPr>
          </w:pPr>
          <w:hyperlink w:anchor="_Toc141206870" w:history="1">
            <w:r w:rsidR="00186A36" w:rsidRPr="00D23ECE">
              <w:rPr>
                <w:rStyle w:val="Hyperlink"/>
                <w:noProof/>
              </w:rPr>
              <w:t>Dividend distribution policy of Procter and Gamble:</w:t>
            </w:r>
            <w:r w:rsidR="00186A36">
              <w:rPr>
                <w:noProof/>
                <w:webHidden/>
              </w:rPr>
              <w:tab/>
            </w:r>
            <w:r>
              <w:rPr>
                <w:noProof/>
                <w:webHidden/>
              </w:rPr>
              <w:fldChar w:fldCharType="begin"/>
            </w:r>
            <w:r w:rsidR="00186A36">
              <w:rPr>
                <w:noProof/>
                <w:webHidden/>
              </w:rPr>
              <w:instrText xml:space="preserve"> PAGEREF _Toc141206870 \h </w:instrText>
            </w:r>
            <w:r>
              <w:rPr>
                <w:noProof/>
                <w:webHidden/>
              </w:rPr>
            </w:r>
            <w:r>
              <w:rPr>
                <w:noProof/>
                <w:webHidden/>
              </w:rPr>
              <w:fldChar w:fldCharType="separate"/>
            </w:r>
            <w:r w:rsidR="00186A36">
              <w:rPr>
                <w:noProof/>
                <w:webHidden/>
              </w:rPr>
              <w:t>4</w:t>
            </w:r>
            <w:r>
              <w:rPr>
                <w:noProof/>
                <w:webHidden/>
              </w:rPr>
              <w:fldChar w:fldCharType="end"/>
            </w:r>
          </w:hyperlink>
        </w:p>
        <w:p w:rsidR="00186A36" w:rsidRDefault="000F0CFA">
          <w:pPr>
            <w:pStyle w:val="TOC1"/>
            <w:tabs>
              <w:tab w:val="right" w:leader="dot" w:pos="9350"/>
            </w:tabs>
            <w:rPr>
              <w:rFonts w:eastAsiaTheme="minorEastAsia" w:cstheme="minorBidi"/>
              <w:b w:val="0"/>
              <w:bCs w:val="0"/>
              <w:caps w:val="0"/>
              <w:noProof/>
              <w:kern w:val="0"/>
              <w:sz w:val="24"/>
              <w:szCs w:val="24"/>
              <w:u w:val="none"/>
            </w:rPr>
          </w:pPr>
          <w:hyperlink w:anchor="_Toc141206871" w:history="1">
            <w:r w:rsidR="00186A36" w:rsidRPr="00D23ECE">
              <w:rPr>
                <w:rStyle w:val="Hyperlink"/>
                <w:noProof/>
              </w:rPr>
              <w:t>Analyzing the efficient market hypothesis theory in the context of the company’s operations:</w:t>
            </w:r>
            <w:r w:rsidR="00186A36">
              <w:rPr>
                <w:noProof/>
                <w:webHidden/>
              </w:rPr>
              <w:tab/>
            </w:r>
            <w:r>
              <w:rPr>
                <w:noProof/>
                <w:webHidden/>
              </w:rPr>
              <w:fldChar w:fldCharType="begin"/>
            </w:r>
            <w:r w:rsidR="00186A36">
              <w:rPr>
                <w:noProof/>
                <w:webHidden/>
              </w:rPr>
              <w:instrText xml:space="preserve"> PAGEREF _Toc141206871 \h </w:instrText>
            </w:r>
            <w:r>
              <w:rPr>
                <w:noProof/>
                <w:webHidden/>
              </w:rPr>
            </w:r>
            <w:r>
              <w:rPr>
                <w:noProof/>
                <w:webHidden/>
              </w:rPr>
              <w:fldChar w:fldCharType="separate"/>
            </w:r>
            <w:r w:rsidR="00186A36">
              <w:rPr>
                <w:noProof/>
                <w:webHidden/>
              </w:rPr>
              <w:t>5</w:t>
            </w:r>
            <w:r>
              <w:rPr>
                <w:noProof/>
                <w:webHidden/>
              </w:rPr>
              <w:fldChar w:fldCharType="end"/>
            </w:r>
          </w:hyperlink>
        </w:p>
        <w:p w:rsidR="00186A36" w:rsidRDefault="000F0CFA">
          <w:pPr>
            <w:pStyle w:val="TOC1"/>
            <w:tabs>
              <w:tab w:val="right" w:leader="dot" w:pos="9350"/>
            </w:tabs>
            <w:rPr>
              <w:rFonts w:eastAsiaTheme="minorEastAsia" w:cstheme="minorBidi"/>
              <w:b w:val="0"/>
              <w:bCs w:val="0"/>
              <w:caps w:val="0"/>
              <w:noProof/>
              <w:kern w:val="0"/>
              <w:sz w:val="24"/>
              <w:szCs w:val="24"/>
              <w:u w:val="none"/>
            </w:rPr>
          </w:pPr>
          <w:hyperlink w:anchor="_Toc141206872" w:history="1">
            <w:r w:rsidR="00186A36" w:rsidRPr="00D23ECE">
              <w:rPr>
                <w:rStyle w:val="Hyperlink"/>
                <w:noProof/>
              </w:rPr>
              <w:t>Techniques P&amp;G uses to evaluate projects:</w:t>
            </w:r>
            <w:r w:rsidR="00186A36">
              <w:rPr>
                <w:noProof/>
                <w:webHidden/>
              </w:rPr>
              <w:tab/>
            </w:r>
            <w:r>
              <w:rPr>
                <w:noProof/>
                <w:webHidden/>
              </w:rPr>
              <w:fldChar w:fldCharType="begin"/>
            </w:r>
            <w:r w:rsidR="00186A36">
              <w:rPr>
                <w:noProof/>
                <w:webHidden/>
              </w:rPr>
              <w:instrText xml:space="preserve"> PAGEREF _Toc141206872 \h </w:instrText>
            </w:r>
            <w:r>
              <w:rPr>
                <w:noProof/>
                <w:webHidden/>
              </w:rPr>
            </w:r>
            <w:r>
              <w:rPr>
                <w:noProof/>
                <w:webHidden/>
              </w:rPr>
              <w:fldChar w:fldCharType="separate"/>
            </w:r>
            <w:r w:rsidR="00186A36">
              <w:rPr>
                <w:noProof/>
                <w:webHidden/>
              </w:rPr>
              <w:t>5</w:t>
            </w:r>
            <w:r>
              <w:rPr>
                <w:noProof/>
                <w:webHidden/>
              </w:rPr>
              <w:fldChar w:fldCharType="end"/>
            </w:r>
          </w:hyperlink>
        </w:p>
        <w:p w:rsidR="00186A36" w:rsidRDefault="000F0CFA">
          <w:pPr>
            <w:pStyle w:val="TOC1"/>
            <w:tabs>
              <w:tab w:val="right" w:leader="dot" w:pos="9350"/>
            </w:tabs>
            <w:rPr>
              <w:rFonts w:eastAsiaTheme="minorEastAsia" w:cstheme="minorBidi"/>
              <w:b w:val="0"/>
              <w:bCs w:val="0"/>
              <w:caps w:val="0"/>
              <w:noProof/>
              <w:kern w:val="0"/>
              <w:sz w:val="24"/>
              <w:szCs w:val="24"/>
              <w:u w:val="none"/>
            </w:rPr>
          </w:pPr>
          <w:hyperlink w:anchor="_Toc141206873" w:history="1">
            <w:r w:rsidR="00186A36" w:rsidRPr="00D23ECE">
              <w:rPr>
                <w:rStyle w:val="Hyperlink"/>
                <w:noProof/>
              </w:rPr>
              <w:t>Conclusion:</w:t>
            </w:r>
            <w:r w:rsidR="00186A36">
              <w:rPr>
                <w:noProof/>
                <w:webHidden/>
              </w:rPr>
              <w:tab/>
            </w:r>
            <w:r>
              <w:rPr>
                <w:noProof/>
                <w:webHidden/>
              </w:rPr>
              <w:fldChar w:fldCharType="begin"/>
            </w:r>
            <w:r w:rsidR="00186A36">
              <w:rPr>
                <w:noProof/>
                <w:webHidden/>
              </w:rPr>
              <w:instrText xml:space="preserve"> PAGEREF _Toc141206873 \h </w:instrText>
            </w:r>
            <w:r>
              <w:rPr>
                <w:noProof/>
                <w:webHidden/>
              </w:rPr>
            </w:r>
            <w:r>
              <w:rPr>
                <w:noProof/>
                <w:webHidden/>
              </w:rPr>
              <w:fldChar w:fldCharType="separate"/>
            </w:r>
            <w:r w:rsidR="00186A36">
              <w:rPr>
                <w:noProof/>
                <w:webHidden/>
              </w:rPr>
              <w:t>7</w:t>
            </w:r>
            <w:r>
              <w:rPr>
                <w:noProof/>
                <w:webHidden/>
              </w:rPr>
              <w:fldChar w:fldCharType="end"/>
            </w:r>
          </w:hyperlink>
        </w:p>
        <w:p w:rsidR="00186A36" w:rsidRDefault="000F0CFA">
          <w:pPr>
            <w:pStyle w:val="TOC1"/>
            <w:tabs>
              <w:tab w:val="right" w:leader="dot" w:pos="9350"/>
            </w:tabs>
            <w:rPr>
              <w:rFonts w:eastAsiaTheme="minorEastAsia" w:cstheme="minorBidi"/>
              <w:b w:val="0"/>
              <w:bCs w:val="0"/>
              <w:caps w:val="0"/>
              <w:noProof/>
              <w:kern w:val="0"/>
              <w:sz w:val="24"/>
              <w:szCs w:val="24"/>
              <w:u w:val="none"/>
            </w:rPr>
          </w:pPr>
          <w:hyperlink w:anchor="_Toc141206874" w:history="1">
            <w:r w:rsidR="00186A36" w:rsidRPr="00D23ECE">
              <w:rPr>
                <w:rStyle w:val="Hyperlink"/>
                <w:noProof/>
              </w:rPr>
              <w:t>Reference:</w:t>
            </w:r>
            <w:r w:rsidR="00186A36">
              <w:rPr>
                <w:noProof/>
                <w:webHidden/>
              </w:rPr>
              <w:tab/>
            </w:r>
            <w:r>
              <w:rPr>
                <w:noProof/>
                <w:webHidden/>
              </w:rPr>
              <w:fldChar w:fldCharType="begin"/>
            </w:r>
            <w:r w:rsidR="00186A36">
              <w:rPr>
                <w:noProof/>
                <w:webHidden/>
              </w:rPr>
              <w:instrText xml:space="preserve"> PAGEREF _Toc141206874 \h </w:instrText>
            </w:r>
            <w:r>
              <w:rPr>
                <w:noProof/>
                <w:webHidden/>
              </w:rPr>
            </w:r>
            <w:r>
              <w:rPr>
                <w:noProof/>
                <w:webHidden/>
              </w:rPr>
              <w:fldChar w:fldCharType="separate"/>
            </w:r>
            <w:r w:rsidR="00186A36">
              <w:rPr>
                <w:noProof/>
                <w:webHidden/>
              </w:rPr>
              <w:t>7</w:t>
            </w:r>
            <w:r>
              <w:rPr>
                <w:noProof/>
                <w:webHidden/>
              </w:rPr>
              <w:fldChar w:fldCharType="end"/>
            </w:r>
          </w:hyperlink>
        </w:p>
        <w:p w:rsidR="004B5923" w:rsidRDefault="000F0CFA">
          <w:r>
            <w:rPr>
              <w:b/>
              <w:bCs/>
              <w:noProof/>
            </w:rPr>
            <w:fldChar w:fldCharType="end"/>
          </w:r>
        </w:p>
      </w:sdtContent>
    </w:sdt>
    <w:p w:rsidR="004B5923" w:rsidRDefault="004B5923">
      <w:pPr>
        <w:spacing w:before="0" w:after="0" w:line="240" w:lineRule="auto"/>
        <w:jc w:val="left"/>
        <w:rPr>
          <w:rFonts w:eastAsiaTheme="majorEastAsia" w:cstheme="majorBidi"/>
          <w:b/>
          <w:color w:val="2F5496" w:themeColor="accent1" w:themeShade="BF"/>
          <w:sz w:val="32"/>
          <w:szCs w:val="32"/>
        </w:rPr>
      </w:pPr>
      <w:r>
        <w:br w:type="page"/>
      </w:r>
    </w:p>
    <w:p w:rsidR="00EF6C89" w:rsidRDefault="00EF6C89" w:rsidP="00EF6C89">
      <w:pPr>
        <w:pStyle w:val="Heading1"/>
      </w:pPr>
      <w:bookmarkStart w:id="0" w:name="_Toc141206869"/>
      <w:r>
        <w:t>Introduction:</w:t>
      </w:r>
      <w:bookmarkEnd w:id="0"/>
    </w:p>
    <w:p w:rsidR="00EF6C89" w:rsidRDefault="004B5923" w:rsidP="004B5923">
      <w:r>
        <w:t>International financial management involves Money and financial decisions for businesses with a worldwide business operation. It concerns dealing with international markets, foreign exchange rates, and foreign currencies. In order to make sound financial decisions, businesses must be aware of the potential drawbacks and benefits of international expansion. P&amp;G, or Procter &amp; Gamble, is a massive conglomerate that produces a wide range of consumer goods. Tide, Pampers, and Gillette are just a few of their well-known products. P&amp;G is a great case study in international finance because of its widespread operations across the globe. P&amp;G's worldwide reach and activities provide special financial problems. Since things are bought and sold in multiple nations using different currencies, they must deal with currency exchange rates. Profits may be impacted by fluctuations in exchange rates.</w:t>
      </w:r>
      <w:r w:rsidR="00EF6C89">
        <w:br w:type="page"/>
      </w:r>
    </w:p>
    <w:p w:rsidR="00DE6E95" w:rsidRDefault="009A27EE" w:rsidP="009A27EE">
      <w:pPr>
        <w:pStyle w:val="Heading1"/>
      </w:pPr>
      <w:bookmarkStart w:id="1" w:name="_Toc141206870"/>
      <w:r>
        <w:t>Dividend distribution policy of Procter and Gamble:</w:t>
      </w:r>
      <w:bookmarkEnd w:id="1"/>
      <w:r>
        <w:t xml:space="preserve"> </w:t>
      </w:r>
    </w:p>
    <w:p w:rsidR="009A27EE" w:rsidRDefault="009A27EE" w:rsidP="009A27EE">
      <w:r>
        <w:t xml:space="preserve">Procter &amp; Gamble (P&amp;G) is a big company that produces and markets products like Tide and Pampers that people use at home. The </w:t>
      </w:r>
      <w:r w:rsidR="004B5923">
        <w:t xml:space="preserve">method </w:t>
      </w:r>
      <w:r>
        <w:t xml:space="preserve">they </w:t>
      </w:r>
      <w:r w:rsidR="004B5923">
        <w:t xml:space="preserve">pay </w:t>
      </w:r>
      <w:r>
        <w:t xml:space="preserve">money back to their </w:t>
      </w:r>
      <w:r w:rsidR="004B5923">
        <w:t xml:space="preserve">share </w:t>
      </w:r>
      <w:r>
        <w:t>owners is through their dividend distribution strategy</w:t>
      </w:r>
      <w:r w:rsidR="004B5923">
        <w:t xml:space="preserve"> </w:t>
      </w:r>
      <w:r w:rsidR="004B5923" w:rsidRPr="004B5923">
        <w:t>(Rubin, 2021)</w:t>
      </w:r>
      <w:r>
        <w:t>. Every three months, P&amp;G gives returns to its owners. They give out profits, which are a part of what they make. This helps people who own P&amp;G stock make some money from it.  P&amp;G's strategy on dividends is stable and easy to understand. Over time, they try to raise profits. This is good for buyers who want to get a steady return on their money. The dividend payout ratio shows how much of a company's profits are paid out as payouts. Most of the time, P&amp;G's payment ratio is around 50%. It means that they pay out income equal to half of what they make</w:t>
      </w:r>
      <w:r w:rsidR="004B5923">
        <w:t xml:space="preserve"> </w:t>
      </w:r>
      <w:r w:rsidR="004B5923" w:rsidRPr="004B5923">
        <w:t>(San Martín Reyna, 2017)</w:t>
      </w:r>
      <w:r>
        <w:t>.</w:t>
      </w:r>
    </w:p>
    <w:p w:rsidR="009A27EE" w:rsidRDefault="009A27EE" w:rsidP="009A27EE">
      <w:r>
        <w:t>P&amp;G's payment strategy is affected by how well they do financially and how much cash they have. If they make more money, they will be able to pay out more rewards. But if they have money problems, payouts might not increase. This is important because the investors want their money to grow. P&amp;G looks at how other companies in the consumer goods business handle their dividends. They want to be able to compete and draw investment. If their profits are bigger than those of their competitors, it could make more people want to spend. Procter &amp; Gamble (P&amp;G) thinks it's important to share gains with its owners through a constant dividend payout policy</w:t>
      </w:r>
      <w:r w:rsidR="004B5923">
        <w:t xml:space="preserve"> </w:t>
      </w:r>
      <w:r w:rsidR="004B5923" w:rsidRPr="004B5923">
        <w:t>(Merton, 2005)</w:t>
      </w:r>
      <w:r>
        <w:t>. P&amp;G makes sure that owners get a steady stream of income by giving payouts every three months. This can be especially comforting for people who want a consistent return on their investment. The fact that the company plans to raise payouts over time shows how confident they are in their business performance and growth. But they also know that this needs to be balanced with financial care because economic problems can affect earnings and, in turn, the growth of dividends.</w:t>
      </w:r>
    </w:p>
    <w:p w:rsidR="009A27EE" w:rsidRDefault="009A27EE" w:rsidP="009A27EE">
      <w:r>
        <w:t>Comparing their payout policy to that of other companies in the same business helps P&amp;G stay competitive and draw new investors and keep the ones they already have. By keeping the dividend payout ratio at around 50%, P&amp;G hopes to find a good mix between giving back to owners and putting money back into the company's future.</w:t>
      </w:r>
    </w:p>
    <w:p w:rsidR="009A27EE" w:rsidRDefault="009A27EE" w:rsidP="009A27EE"/>
    <w:p w:rsidR="009A27EE" w:rsidRDefault="009A27EE" w:rsidP="009A27EE"/>
    <w:p w:rsidR="009A27EE" w:rsidRDefault="009A27EE" w:rsidP="00EF6C89">
      <w:pPr>
        <w:pStyle w:val="Heading1"/>
      </w:pPr>
      <w:bookmarkStart w:id="2" w:name="_Toc141206871"/>
      <w:r>
        <w:t>Anal</w:t>
      </w:r>
      <w:r w:rsidR="00EF6C89">
        <w:t>yzing</w:t>
      </w:r>
      <w:r>
        <w:t xml:space="preserve"> the efficient market hypothesis theory in the context of the company’s operations</w:t>
      </w:r>
      <w:r w:rsidR="00EF6C89">
        <w:t>:</w:t>
      </w:r>
      <w:bookmarkEnd w:id="2"/>
    </w:p>
    <w:p w:rsidR="00EF6C89" w:rsidRDefault="00EF6C89" w:rsidP="00EF6C89">
      <w:r>
        <w:t>The Efficient Market Hypothesis (EMH) states that stock prices quickly represent all known information</w:t>
      </w:r>
      <w:r w:rsidR="004B5923">
        <w:t xml:space="preserve"> </w:t>
      </w:r>
      <w:r w:rsidR="004B5923" w:rsidRPr="004B5923">
        <w:t>(</w:t>
      </w:r>
      <w:proofErr w:type="spellStart"/>
      <w:r w:rsidR="004B5923" w:rsidRPr="004B5923">
        <w:t>Ibiamke</w:t>
      </w:r>
      <w:proofErr w:type="spellEnd"/>
      <w:r w:rsidR="004B5923" w:rsidRPr="004B5923">
        <w:t>, 2015)</w:t>
      </w:r>
      <w:r>
        <w:t>. In the case of P&amp;G, this means that their stock price responds rapidly to developments and changes in how they do business. Since the market works well, investors can't always make better choices than others. EMH comes in weak, semi-strong, and strong types. The weak form says that past stock prices can't be used for forecasting future prices. Stock prices quickly take into account public information, such as earnings reports. Strong form says that buyers won't get a leg up even if they know something secret. The EMH theory says that P&amp;G's stock price changes quickly when news about the company comes out. If P&amp;G says it had strong profits, the stock price will go up to show that. Just examining past prices won't help investors make easy money. P&amp;G works in a field that is very competitive and has a lot of clients. EMH says that the stock price already takes into account all the information that is known. So, it's hard for a shareholder to beat the market regularly and make more money. Critics suggest that EMH may not be totally accurate. Stock prices don't always reflect everything right away. Investors can still make money by taking advantage of short-term errors. But, in general, EMH is still a key way to understand how stock markets work. The Efficient Market Hypothesis says that P&amp;G's stock price responds quickly to news about how the business works. It means that buyers can't easily beat the market, and that stock prices already take into account all the information that is known</w:t>
      </w:r>
      <w:r w:rsidR="004B5923">
        <w:t xml:space="preserve"> </w:t>
      </w:r>
      <w:r w:rsidR="004B5923" w:rsidRPr="004B5923">
        <w:t>(</w:t>
      </w:r>
      <w:proofErr w:type="spellStart"/>
      <w:r w:rsidR="004B5923" w:rsidRPr="004B5923">
        <w:t>Kofarbai</w:t>
      </w:r>
      <w:proofErr w:type="spellEnd"/>
      <w:r w:rsidR="004B5923" w:rsidRPr="004B5923">
        <w:t xml:space="preserve"> and </w:t>
      </w:r>
      <w:proofErr w:type="spellStart"/>
      <w:r w:rsidR="004B5923" w:rsidRPr="004B5923">
        <w:t>Zubairu</w:t>
      </w:r>
      <w:proofErr w:type="spellEnd"/>
      <w:r w:rsidR="004B5923" w:rsidRPr="004B5923">
        <w:t>, 2016)</w:t>
      </w:r>
      <w:r>
        <w:t>. Even though some people have questions, EMH is an important theory for knowing how the stock market works.</w:t>
      </w:r>
    </w:p>
    <w:p w:rsidR="00EF6C89" w:rsidRDefault="00EF6C89" w:rsidP="00EF6C89"/>
    <w:p w:rsidR="00EF6C89" w:rsidRDefault="00EF6C89" w:rsidP="00EF6C89">
      <w:pPr>
        <w:pStyle w:val="Heading1"/>
      </w:pPr>
      <w:bookmarkStart w:id="3" w:name="_Toc141206872"/>
      <w:r>
        <w:t>Techniques P&amp;G uses to evaluate projects:</w:t>
      </w:r>
      <w:bookmarkEnd w:id="3"/>
    </w:p>
    <w:p w:rsidR="00EF6C89" w:rsidRDefault="00EF6C89" w:rsidP="00EF6C89">
      <w:r>
        <w:t>P&amp;G takes several factors into account when deciding where it will invest its funds. The NPV is a popular tool for this kind of analysis. They determine the return on investment by evaluating the present value of projected cash flows. If the net present value (NPV) is positive, then the project may be pursued if it has the potential to generate more revenue than it expends. Internal Rate of Return (IRR) is another approach. The discount rate at which the project's NPV will reach 0 is determined by P&amp;G. They may decide to continue through with the project if the internal rate of return (IRR) is greater than their minimum acceptable rate of return.</w:t>
      </w:r>
    </w:p>
    <w:p w:rsidR="00EF6C89" w:rsidRDefault="00EF6C89" w:rsidP="00EF6C89">
      <w:r>
        <w:t>Payback Period is a technique that P&amp;G use as well. This is easily done by calculating how long it will take for the project's cash flows to cover the original investment</w:t>
      </w:r>
      <w:r w:rsidR="004B5923">
        <w:t xml:space="preserve"> </w:t>
      </w:r>
      <w:r w:rsidR="004B5923" w:rsidRPr="004B5923">
        <w:t>(</w:t>
      </w:r>
      <w:proofErr w:type="spellStart"/>
      <w:r w:rsidR="004B5923" w:rsidRPr="004B5923">
        <w:t>Magni</w:t>
      </w:r>
      <w:proofErr w:type="spellEnd"/>
      <w:r w:rsidR="004B5923" w:rsidRPr="004B5923">
        <w:t xml:space="preserve"> and </w:t>
      </w:r>
      <w:proofErr w:type="spellStart"/>
      <w:r w:rsidR="004B5923" w:rsidRPr="004B5923">
        <w:t>Marchioni</w:t>
      </w:r>
      <w:proofErr w:type="spellEnd"/>
      <w:r w:rsidR="004B5923" w:rsidRPr="004B5923">
        <w:t>, 2020)</w:t>
      </w:r>
      <w:r>
        <w:t xml:space="preserve">. It's understandable to </w:t>
      </w:r>
      <w:proofErr w:type="spellStart"/>
      <w:r>
        <w:t>favour</w:t>
      </w:r>
      <w:proofErr w:type="spellEnd"/>
      <w:r>
        <w:t xml:space="preserve"> a repayment schedule that allows you to receive your money back as quickly as possible.</w:t>
      </w:r>
    </w:p>
    <w:p w:rsidR="00EF6C89" w:rsidRDefault="00EF6C89" w:rsidP="00EF6C89">
      <w:r>
        <w:t xml:space="preserve">What's more, P&amp;G evaluates initiatives depending on how well they fit into the company's overall strategy. They ensure that all initiatives contribute to the company's overall mission. The likelihood of a project getting authorization increases if it helps them achieve their goals. P&amp;G's approach to project evaluation takes potential outcomes into account. Potential threats and unknowns are weighed against the project's chances of success. It's possible that higher expected returns are needed before high-risk ventures are picked. The scope of the project is another consideration for P&amp;G. They could give preference to less ambitious but more manageable tasks. P&amp;G also has many divisions involved in the evaluation process. To make informed </w:t>
      </w:r>
      <w:r w:rsidR="004B5923">
        <w:t>decisions</w:t>
      </w:r>
      <w:r>
        <w:t>, they consult with departments such as marketing, finance, and others. There are benefits to P&amp;G's approach to project evaluation. They use monetary metrics like NPV and IRR to guarantee that their initiatives are worthwhile</w:t>
      </w:r>
      <w:r w:rsidR="004B5923">
        <w:t xml:space="preserve"> </w:t>
      </w:r>
      <w:r w:rsidR="004B5923" w:rsidRPr="004B5923">
        <w:t>(Tucker and Parker, 2015)</w:t>
      </w:r>
      <w:r>
        <w:t>. Projects benefit more in the long run when their aims and objectives are aligned. When numerous divisions are involved, more information and viewpoints are considered.</w:t>
      </w:r>
    </w:p>
    <w:p w:rsidR="00EF6C89" w:rsidRDefault="00EF6C89" w:rsidP="00EF6C89">
      <w:r>
        <w:t xml:space="preserve">But there are restrictions to be aware of. Financial measures play a major role in the approaches, but they may not be enough for measuring intangible benefits. Furthermore, focusing only on immediate returns might cause you to miss out on worthwhile long-term </w:t>
      </w:r>
      <w:proofErr w:type="spellStart"/>
      <w:r>
        <w:t>endeavours</w:t>
      </w:r>
      <w:proofErr w:type="spellEnd"/>
      <w:r>
        <w:t>. It's also possible that the decision-making process will be impacted by the fact that certain risks and uncertainties are difficult to measure. NPV, IRR, and Payback Period are only some of the tools that P&amp;G use in its project evaluation process. They think on the project's strategic fit, potential risks, and scope. These approaches offer advantages as well as disadvantages. By incorporating input from throughout the company, P&amp;G is better able to determine which initiatives are worth investing in.</w:t>
      </w:r>
    </w:p>
    <w:p w:rsidR="00EF6C89" w:rsidRDefault="00EF6C89" w:rsidP="00EF6C89"/>
    <w:p w:rsidR="00EF6C89" w:rsidRDefault="00EF6C89" w:rsidP="00EF6C89"/>
    <w:p w:rsidR="00EF6C89" w:rsidRDefault="004B5923" w:rsidP="004B5923">
      <w:pPr>
        <w:pStyle w:val="Heading1"/>
      </w:pPr>
      <w:bookmarkStart w:id="4" w:name="_Toc141206873"/>
      <w:r>
        <w:t>Conclusion:</w:t>
      </w:r>
      <w:bookmarkEnd w:id="4"/>
    </w:p>
    <w:p w:rsidR="004B5923" w:rsidRDefault="004B5923" w:rsidP="004B5923">
      <w:r w:rsidRPr="004B5923">
        <w:t>P&amp;G could face risks like political unrest, alterations to trade regulations, or economic downturns in the countries where they do business. They need to come up with plans to reduce these risks and keep their money safe. The state of the world economy affects how P&amp;G handles its money. They need to keep an eye on the economies of the countries where they do business and change their plans as needed. Also, capital planning choices are part of foreign financial management. P&amp;G has to choose which foreign projects to invest in based on things like expected returns, risks, and how well they fit with their overall strategy. Managing foreign companies is another important part. P&amp;G has many sites around the world, and it needs to make sure that all of its financial activities are coordinated and follow local rules and accounting standards.</w:t>
      </w:r>
    </w:p>
    <w:p w:rsidR="004B5923" w:rsidRDefault="004B5923" w:rsidP="004B5923"/>
    <w:p w:rsidR="004B5923" w:rsidRDefault="004B5923" w:rsidP="004B5923">
      <w:pPr>
        <w:pStyle w:val="Heading1"/>
      </w:pPr>
      <w:bookmarkStart w:id="5" w:name="_Toc141206874"/>
      <w:r>
        <w:t>Reference:</w:t>
      </w:r>
      <w:bookmarkEnd w:id="5"/>
    </w:p>
    <w:p w:rsidR="00186A36" w:rsidRDefault="00186A36" w:rsidP="00186A36">
      <w:proofErr w:type="spellStart"/>
      <w:r>
        <w:t>Ibiamke</w:t>
      </w:r>
      <w:proofErr w:type="spellEnd"/>
      <w:r>
        <w:t xml:space="preserve">, A.N. (2015). 50 Years of Efficient Market Hypothesis (EMH): Benefits and Challenges to Accounting Research and Practice. </w:t>
      </w:r>
      <w:r>
        <w:rPr>
          <w:i/>
          <w:iCs/>
        </w:rPr>
        <w:t>SSRN Electronic Journal</w:t>
      </w:r>
      <w:r>
        <w:t xml:space="preserve">. </w:t>
      </w:r>
      <w:proofErr w:type="spellStart"/>
      <w:r>
        <w:t>doi:https</w:t>
      </w:r>
      <w:proofErr w:type="spellEnd"/>
      <w:r>
        <w:t>://doi.org/10.2139/ssrn.2980791.</w:t>
      </w:r>
    </w:p>
    <w:p w:rsidR="00186A36" w:rsidRDefault="00186A36" w:rsidP="00186A36">
      <w:proofErr w:type="spellStart"/>
      <w:r>
        <w:t>Kofarbai</w:t>
      </w:r>
      <w:proofErr w:type="spellEnd"/>
      <w:r>
        <w:t xml:space="preserve">, H.Z. and </w:t>
      </w:r>
      <w:proofErr w:type="spellStart"/>
      <w:r>
        <w:t>Zubairu</w:t>
      </w:r>
      <w:proofErr w:type="spellEnd"/>
      <w:r>
        <w:t xml:space="preserve">, M. (2016). Efficient Market Hypothesis in Emerging Market - a Conceptual Analysis. </w:t>
      </w:r>
      <w:r>
        <w:rPr>
          <w:i/>
          <w:iCs/>
        </w:rPr>
        <w:t>European Scientific Journal, ESJ</w:t>
      </w:r>
      <w:r>
        <w:t xml:space="preserve">, 12(25), p.260. </w:t>
      </w:r>
      <w:proofErr w:type="spellStart"/>
      <w:r>
        <w:t>doi:https</w:t>
      </w:r>
      <w:proofErr w:type="spellEnd"/>
      <w:r>
        <w:t>://doi.org/10.19044/esj.2016.v12n25p260.</w:t>
      </w:r>
    </w:p>
    <w:p w:rsidR="00186A36" w:rsidRDefault="00186A36" w:rsidP="00186A36">
      <w:proofErr w:type="spellStart"/>
      <w:r>
        <w:t>Magni</w:t>
      </w:r>
      <w:proofErr w:type="spellEnd"/>
      <w:r>
        <w:t xml:space="preserve">, C.A. and </w:t>
      </w:r>
      <w:proofErr w:type="spellStart"/>
      <w:r>
        <w:t>Marchioni</w:t>
      </w:r>
      <w:proofErr w:type="spellEnd"/>
      <w:r>
        <w:t xml:space="preserve">, A. (2020). Average rates of return, working capital, and NPV-consistency in project appraisal: A sensitivity analysis approach. </w:t>
      </w:r>
      <w:r>
        <w:rPr>
          <w:i/>
          <w:iCs/>
        </w:rPr>
        <w:t>International Journal of Production Economics</w:t>
      </w:r>
      <w:r>
        <w:t xml:space="preserve">, [online] 229, p.107769. </w:t>
      </w:r>
      <w:proofErr w:type="spellStart"/>
      <w:r>
        <w:t>doi:https</w:t>
      </w:r>
      <w:proofErr w:type="spellEnd"/>
      <w:r>
        <w:t>://doi.org/10.1016/j.ijpe.2020.107769.</w:t>
      </w:r>
    </w:p>
    <w:p w:rsidR="00186A36" w:rsidRDefault="00186A36" w:rsidP="00186A36">
      <w:r>
        <w:t xml:space="preserve">Merton, R.C. (2005). A Functional Perspective of Financial Intermediation. </w:t>
      </w:r>
      <w:r>
        <w:rPr>
          <w:i/>
          <w:iCs/>
        </w:rPr>
        <w:t>Financial Management</w:t>
      </w:r>
      <w:r>
        <w:t xml:space="preserve">, [online] 24(2), pp.23–41. </w:t>
      </w:r>
      <w:proofErr w:type="spellStart"/>
      <w:r>
        <w:t>doi:https</w:t>
      </w:r>
      <w:proofErr w:type="spellEnd"/>
      <w:r>
        <w:t>://doi.org/10.2307/3665532.</w:t>
      </w:r>
    </w:p>
    <w:p w:rsidR="00186A36" w:rsidRDefault="00186A36" w:rsidP="00186A36">
      <w:r>
        <w:t xml:space="preserve">Rubin, P.H. (2021). The Theory of the Firm and the Structure of the Franchise Contract. </w:t>
      </w:r>
      <w:r>
        <w:rPr>
          <w:i/>
          <w:iCs/>
        </w:rPr>
        <w:t>The Journal of Law and Economics</w:t>
      </w:r>
      <w:r>
        <w:t xml:space="preserve">, 21(1), pp.223–233. </w:t>
      </w:r>
      <w:proofErr w:type="spellStart"/>
      <w:r>
        <w:t>doi:https</w:t>
      </w:r>
      <w:proofErr w:type="spellEnd"/>
      <w:r>
        <w:t>://doi.org/10.1086/466918.</w:t>
      </w:r>
    </w:p>
    <w:p w:rsidR="00186A36" w:rsidRDefault="00186A36" w:rsidP="00186A36">
      <w:r>
        <w:t xml:space="preserve">San Martín Reyna, J.M. (2017). Ownership structure and its effect on dividend </w:t>
      </w:r>
      <w:proofErr w:type="gramStart"/>
      <w:r>
        <w:t>policy .</w:t>
      </w:r>
      <w:proofErr w:type="gramEnd"/>
      <w:r>
        <w:t xml:space="preserve"> </w:t>
      </w:r>
      <w:proofErr w:type="spellStart"/>
      <w:r>
        <w:rPr>
          <w:i/>
          <w:iCs/>
        </w:rPr>
        <w:t>Contaduría</w:t>
      </w:r>
      <w:proofErr w:type="spellEnd"/>
      <w:r>
        <w:rPr>
          <w:i/>
          <w:iCs/>
        </w:rPr>
        <w:t xml:space="preserve"> y </w:t>
      </w:r>
      <w:proofErr w:type="spellStart"/>
      <w:r>
        <w:rPr>
          <w:i/>
          <w:iCs/>
        </w:rPr>
        <w:t>Administración</w:t>
      </w:r>
      <w:proofErr w:type="spellEnd"/>
      <w:r>
        <w:t xml:space="preserve">, 62(4), pp.1199–1213. </w:t>
      </w:r>
      <w:proofErr w:type="spellStart"/>
      <w:r>
        <w:t>doi:https</w:t>
      </w:r>
      <w:proofErr w:type="spellEnd"/>
      <w:r>
        <w:t>://doi.org/10.1016/j.cya.2015.12.006.</w:t>
      </w:r>
    </w:p>
    <w:p w:rsidR="00186A36" w:rsidRDefault="00186A36" w:rsidP="00186A36">
      <w:r>
        <w:t xml:space="preserve">Tucker, B.P. and Parker, L.D. (2015). Business as Usual? An Institutional View of the Relationship Between Management Control Systems and Strategy. </w:t>
      </w:r>
      <w:r>
        <w:rPr>
          <w:i/>
          <w:iCs/>
        </w:rPr>
        <w:t>Financial Accountability &amp; Management</w:t>
      </w:r>
      <w:r>
        <w:t xml:space="preserve">, 31(2), pp.113–149. </w:t>
      </w:r>
      <w:proofErr w:type="spellStart"/>
      <w:r>
        <w:t>doi:https</w:t>
      </w:r>
      <w:proofErr w:type="spellEnd"/>
      <w:r>
        <w:t>://doi.org/10.1111/faam.12050.</w:t>
      </w:r>
    </w:p>
    <w:p w:rsidR="004B5923" w:rsidRPr="004B5923" w:rsidRDefault="004B5923" w:rsidP="004B5923"/>
    <w:p w:rsidR="00EF6C89" w:rsidRPr="00EF6C89" w:rsidRDefault="00EF6C89" w:rsidP="00EF6C89"/>
    <w:p w:rsidR="00EF6C89" w:rsidRDefault="00EF6C89" w:rsidP="00EF6C89"/>
    <w:p w:rsidR="00EF6C89" w:rsidRDefault="00EF6C89" w:rsidP="00EF6C89"/>
    <w:p w:rsidR="00EF6C89" w:rsidRDefault="00EF6C89" w:rsidP="00EF6C89"/>
    <w:p w:rsidR="00EF6C89" w:rsidRDefault="00EF6C89" w:rsidP="00EF6C89"/>
    <w:p w:rsidR="00EF6C89" w:rsidRPr="00EF6C89" w:rsidRDefault="00EF6C89" w:rsidP="00EF6C89"/>
    <w:sectPr w:rsidR="00EF6C89" w:rsidRPr="00EF6C89" w:rsidSect="000F0CFA">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70"/>
  <w:proofState w:spelling="clean" w:grammar="clean"/>
  <w:defaultTabStop w:val="720"/>
  <w:characterSpacingControl w:val="doNotCompress"/>
  <w:compat/>
  <w:rsids>
    <w:rsidRoot w:val="009A27EE"/>
    <w:rsid w:val="000F0CFA"/>
    <w:rsid w:val="00186A36"/>
    <w:rsid w:val="00473661"/>
    <w:rsid w:val="004B5923"/>
    <w:rsid w:val="00514091"/>
    <w:rsid w:val="005C681D"/>
    <w:rsid w:val="00612F6E"/>
    <w:rsid w:val="009A27EE"/>
    <w:rsid w:val="00AB16A2"/>
    <w:rsid w:val="00B8700B"/>
    <w:rsid w:val="00DE6E95"/>
    <w:rsid w:val="00EF6C8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3661"/>
    <w:pPr>
      <w:spacing w:before="120" w:after="120" w:line="360" w:lineRule="auto"/>
      <w:jc w:val="both"/>
    </w:pPr>
    <w:rPr>
      <w:rFonts w:ascii="Times New Roman" w:hAnsi="Times New Roman"/>
    </w:rPr>
  </w:style>
  <w:style w:type="paragraph" w:styleId="Heading1">
    <w:name w:val="heading 1"/>
    <w:basedOn w:val="Normal"/>
    <w:next w:val="Normal"/>
    <w:link w:val="Heading1Char"/>
    <w:uiPriority w:val="9"/>
    <w:qFormat/>
    <w:rsid w:val="00B8700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B8700B"/>
    <w:pPr>
      <w:keepNext/>
      <w:keepLines/>
      <w:spacing w:before="40" w:after="0"/>
      <w:outlineLvl w:val="1"/>
    </w:pPr>
    <w:rPr>
      <w:rFonts w:eastAsiaTheme="majorEastAsia" w:cstheme="majorBidi"/>
      <w: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00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B8700B"/>
    <w:rPr>
      <w:rFonts w:ascii="Times New Roman" w:eastAsiaTheme="majorEastAsia" w:hAnsi="Times New Roman" w:cstheme="majorBidi"/>
      <w:i/>
      <w:color w:val="2F5496" w:themeColor="accent1" w:themeShade="BF"/>
      <w:sz w:val="28"/>
      <w:szCs w:val="26"/>
    </w:rPr>
  </w:style>
  <w:style w:type="paragraph" w:styleId="TOCHeading">
    <w:name w:val="TOC Heading"/>
    <w:basedOn w:val="Heading1"/>
    <w:next w:val="Normal"/>
    <w:uiPriority w:val="39"/>
    <w:unhideWhenUsed/>
    <w:qFormat/>
    <w:rsid w:val="004B5923"/>
    <w:pPr>
      <w:spacing w:before="480" w:line="276" w:lineRule="auto"/>
      <w:jc w:val="left"/>
      <w:outlineLvl w:val="9"/>
    </w:pPr>
    <w:rPr>
      <w:rFonts w:asciiTheme="majorHAnsi" w:hAnsiTheme="majorHAnsi"/>
      <w:bCs/>
      <w:kern w:val="0"/>
      <w:sz w:val="28"/>
      <w:szCs w:val="28"/>
    </w:rPr>
  </w:style>
  <w:style w:type="paragraph" w:styleId="TOC1">
    <w:name w:val="toc 1"/>
    <w:basedOn w:val="Normal"/>
    <w:next w:val="Normal"/>
    <w:autoRedefine/>
    <w:uiPriority w:val="39"/>
    <w:unhideWhenUsed/>
    <w:rsid w:val="004B5923"/>
    <w:pPr>
      <w:spacing w:before="360" w:after="360"/>
      <w:jc w:val="left"/>
    </w:pPr>
    <w:rPr>
      <w:rFonts w:asciiTheme="minorHAnsi" w:hAnsiTheme="minorHAnsi" w:cstheme="minorHAnsi"/>
      <w:b/>
      <w:bCs/>
      <w:caps/>
      <w:sz w:val="22"/>
      <w:szCs w:val="22"/>
      <w:u w:val="single"/>
    </w:rPr>
  </w:style>
  <w:style w:type="character" w:styleId="Hyperlink">
    <w:name w:val="Hyperlink"/>
    <w:basedOn w:val="DefaultParagraphFont"/>
    <w:uiPriority w:val="99"/>
    <w:unhideWhenUsed/>
    <w:rsid w:val="004B5923"/>
    <w:rPr>
      <w:color w:val="0563C1" w:themeColor="hyperlink"/>
      <w:u w:val="single"/>
    </w:rPr>
  </w:style>
  <w:style w:type="paragraph" w:styleId="TOC2">
    <w:name w:val="toc 2"/>
    <w:basedOn w:val="Normal"/>
    <w:next w:val="Normal"/>
    <w:autoRedefine/>
    <w:uiPriority w:val="39"/>
    <w:semiHidden/>
    <w:unhideWhenUsed/>
    <w:rsid w:val="004B5923"/>
    <w:pPr>
      <w:spacing w:before="0" w:after="0"/>
      <w:jc w:val="left"/>
    </w:pPr>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4B5923"/>
    <w:pPr>
      <w:spacing w:before="0" w:after="0"/>
      <w:jc w:val="left"/>
    </w:pPr>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4B5923"/>
    <w:pPr>
      <w:spacing w:before="0" w:after="0"/>
      <w:jc w:val="left"/>
    </w:pPr>
    <w:rPr>
      <w:rFonts w:asciiTheme="minorHAnsi" w:hAnsiTheme="minorHAnsi" w:cstheme="minorHAnsi"/>
      <w:sz w:val="22"/>
      <w:szCs w:val="22"/>
    </w:rPr>
  </w:style>
  <w:style w:type="paragraph" w:styleId="TOC5">
    <w:name w:val="toc 5"/>
    <w:basedOn w:val="Normal"/>
    <w:next w:val="Normal"/>
    <w:autoRedefine/>
    <w:uiPriority w:val="39"/>
    <w:semiHidden/>
    <w:unhideWhenUsed/>
    <w:rsid w:val="004B5923"/>
    <w:pPr>
      <w:spacing w:before="0" w:after="0"/>
      <w:jc w:val="left"/>
    </w:pPr>
    <w:rPr>
      <w:rFonts w:asciiTheme="minorHAnsi" w:hAnsiTheme="minorHAnsi" w:cstheme="minorHAnsi"/>
      <w:sz w:val="22"/>
      <w:szCs w:val="22"/>
    </w:rPr>
  </w:style>
  <w:style w:type="paragraph" w:styleId="TOC6">
    <w:name w:val="toc 6"/>
    <w:basedOn w:val="Normal"/>
    <w:next w:val="Normal"/>
    <w:autoRedefine/>
    <w:uiPriority w:val="39"/>
    <w:semiHidden/>
    <w:unhideWhenUsed/>
    <w:rsid w:val="004B5923"/>
    <w:pPr>
      <w:spacing w:before="0" w:after="0"/>
      <w:jc w:val="left"/>
    </w:pPr>
    <w:rPr>
      <w:rFonts w:asciiTheme="minorHAnsi" w:hAnsiTheme="minorHAnsi" w:cstheme="minorHAnsi"/>
      <w:sz w:val="22"/>
      <w:szCs w:val="22"/>
    </w:rPr>
  </w:style>
  <w:style w:type="paragraph" w:styleId="TOC7">
    <w:name w:val="toc 7"/>
    <w:basedOn w:val="Normal"/>
    <w:next w:val="Normal"/>
    <w:autoRedefine/>
    <w:uiPriority w:val="39"/>
    <w:semiHidden/>
    <w:unhideWhenUsed/>
    <w:rsid w:val="004B5923"/>
    <w:pPr>
      <w:spacing w:before="0" w:after="0"/>
      <w:jc w:val="left"/>
    </w:pPr>
    <w:rPr>
      <w:rFonts w:asciiTheme="minorHAnsi" w:hAnsiTheme="minorHAnsi" w:cstheme="minorHAnsi"/>
      <w:sz w:val="22"/>
      <w:szCs w:val="22"/>
    </w:rPr>
  </w:style>
  <w:style w:type="paragraph" w:styleId="TOC8">
    <w:name w:val="toc 8"/>
    <w:basedOn w:val="Normal"/>
    <w:next w:val="Normal"/>
    <w:autoRedefine/>
    <w:uiPriority w:val="39"/>
    <w:semiHidden/>
    <w:unhideWhenUsed/>
    <w:rsid w:val="004B5923"/>
    <w:pPr>
      <w:spacing w:before="0" w:after="0"/>
      <w:jc w:val="left"/>
    </w:pPr>
    <w:rPr>
      <w:rFonts w:asciiTheme="minorHAnsi" w:hAnsiTheme="minorHAnsi" w:cstheme="minorHAnsi"/>
      <w:sz w:val="22"/>
      <w:szCs w:val="22"/>
    </w:rPr>
  </w:style>
  <w:style w:type="paragraph" w:styleId="TOC9">
    <w:name w:val="toc 9"/>
    <w:basedOn w:val="Normal"/>
    <w:next w:val="Normal"/>
    <w:autoRedefine/>
    <w:uiPriority w:val="39"/>
    <w:semiHidden/>
    <w:unhideWhenUsed/>
    <w:rsid w:val="004B5923"/>
    <w:pPr>
      <w:spacing w:before="0" w:after="0"/>
      <w:jc w:val="left"/>
    </w:pPr>
    <w:rPr>
      <w:rFonts w:asciiTheme="minorHAnsi" w:hAnsiTheme="minorHAnsi" w:cstheme="minorHAnsi"/>
      <w:sz w:val="22"/>
      <w:szCs w:val="22"/>
    </w:rPr>
  </w:style>
  <w:style w:type="paragraph" w:styleId="NormalWeb">
    <w:name w:val="Normal (Web)"/>
    <w:basedOn w:val="Normal"/>
    <w:uiPriority w:val="99"/>
    <w:semiHidden/>
    <w:unhideWhenUsed/>
    <w:rsid w:val="00186A36"/>
    <w:pPr>
      <w:spacing w:before="100" w:beforeAutospacing="1" w:after="100" w:afterAutospacing="1" w:line="240" w:lineRule="auto"/>
      <w:jc w:val="left"/>
    </w:pPr>
    <w:rPr>
      <w:rFonts w:eastAsia="Times New Roman" w:cs="Times New Roman"/>
      <w:kern w:val="0"/>
    </w:rPr>
  </w:style>
  <w:style w:type="paragraph" w:styleId="BalloonText">
    <w:name w:val="Balloon Text"/>
    <w:basedOn w:val="Normal"/>
    <w:link w:val="BalloonTextChar"/>
    <w:uiPriority w:val="99"/>
    <w:semiHidden/>
    <w:unhideWhenUsed/>
    <w:rsid w:val="00AB16A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16A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81763971">
      <w:bodyDiv w:val="1"/>
      <w:marLeft w:val="0"/>
      <w:marRight w:val="0"/>
      <w:marTop w:val="0"/>
      <w:marBottom w:val="0"/>
      <w:divBdr>
        <w:top w:val="none" w:sz="0" w:space="0" w:color="auto"/>
        <w:left w:val="none" w:sz="0" w:space="0" w:color="auto"/>
        <w:bottom w:val="none" w:sz="0" w:space="0" w:color="auto"/>
        <w:right w:val="none" w:sz="0" w:space="0" w:color="auto"/>
      </w:divBdr>
      <w:divsChild>
        <w:div w:id="5919407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77635-A61A-4B28-8FDC-A834B1225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1664</Words>
  <Characters>9489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Akib Nur</dc:creator>
  <cp:lastModifiedBy>user</cp:lastModifiedBy>
  <cp:revision>2</cp:revision>
  <dcterms:created xsi:type="dcterms:W3CDTF">2023-08-21T10:03:00Z</dcterms:created>
  <dcterms:modified xsi:type="dcterms:W3CDTF">2023-08-21T10:03:00Z</dcterms:modified>
</cp:coreProperties>
</file>