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F50B1" w14:textId="77777777" w:rsidR="00604366" w:rsidRPr="00604366" w:rsidRDefault="00604366" w:rsidP="00604366">
      <w:r w:rsidRPr="00604366">
        <w:rPr>
          <w:noProof/>
        </w:rPr>
        <w:drawing>
          <wp:anchor distT="0" distB="0" distL="114300" distR="114300" simplePos="0" relativeHeight="251659264" behindDoc="0" locked="0" layoutInCell="1" allowOverlap="1" wp14:anchorId="486E681C" wp14:editId="4E9CDF1A">
            <wp:simplePos x="914400" y="914400"/>
            <wp:positionH relativeFrom="column">
              <wp:align>left</wp:align>
            </wp:positionH>
            <wp:positionV relativeFrom="paragraph">
              <wp:align>top</wp:align>
            </wp:positionV>
            <wp:extent cx="1657350" cy="743585"/>
            <wp:effectExtent l="0" t="0" r="0" b="0"/>
            <wp:wrapSquare wrapText="bothSides"/>
            <wp:docPr id="261301171" name="Picture 26130117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743585"/>
                    </a:xfrm>
                    <a:prstGeom prst="rect">
                      <a:avLst/>
                    </a:prstGeom>
                    <a:noFill/>
                  </pic:spPr>
                </pic:pic>
              </a:graphicData>
            </a:graphic>
          </wp:anchor>
        </w:drawing>
      </w:r>
    </w:p>
    <w:p w14:paraId="0BE76AE6" w14:textId="77777777" w:rsidR="00604366" w:rsidRPr="00604366" w:rsidRDefault="00604366" w:rsidP="00604366">
      <w:pPr>
        <w:jc w:val="right"/>
      </w:pPr>
    </w:p>
    <w:p w14:paraId="47FCAFCD" w14:textId="77777777" w:rsidR="00604366" w:rsidRPr="00604366" w:rsidRDefault="00604366" w:rsidP="00604366">
      <w:r w:rsidRPr="00604366">
        <w:br w:type="textWrapping" w:clear="all"/>
      </w:r>
    </w:p>
    <w:p w14:paraId="43F138CB" w14:textId="77777777" w:rsidR="00604366" w:rsidRPr="00604366" w:rsidRDefault="00604366" w:rsidP="00604366">
      <w:pPr>
        <w:spacing w:after="165"/>
        <w:jc w:val="center"/>
        <w:rPr>
          <w:rFonts w:cs="Times New Roman"/>
        </w:rPr>
      </w:pPr>
      <w:r w:rsidRPr="00604366">
        <w:rPr>
          <w:rFonts w:cs="Times New Roman"/>
        </w:rPr>
        <w:tab/>
      </w:r>
    </w:p>
    <w:p w14:paraId="181C9E1D" w14:textId="77777777" w:rsidR="00604366" w:rsidRPr="00604366" w:rsidRDefault="00604366" w:rsidP="00604366">
      <w:pPr>
        <w:spacing w:after="165"/>
        <w:jc w:val="center"/>
        <w:rPr>
          <w:rFonts w:ascii="Tahoma" w:eastAsia="Tahoma" w:hAnsi="Tahoma" w:cs="Tahoma"/>
          <w:color w:val="000000"/>
          <w:sz w:val="40"/>
          <w:szCs w:val="40"/>
          <w:lang w:eastAsia="zh-CN"/>
        </w:rPr>
      </w:pPr>
      <w:r w:rsidRPr="00604366">
        <w:rPr>
          <w:rFonts w:ascii="Tahoma" w:eastAsia="Tahoma" w:hAnsi="Tahoma" w:cs="Tahoma"/>
          <w:b/>
          <w:bCs/>
          <w:color w:val="000000"/>
          <w:sz w:val="40"/>
          <w:szCs w:val="40"/>
          <w:lang w:eastAsia="zh-CN"/>
        </w:rPr>
        <w:t xml:space="preserve">MSC Engineering Project Management </w:t>
      </w:r>
      <w:r w:rsidRPr="00604366">
        <w:rPr>
          <w:rFonts w:ascii="Tahoma" w:eastAsia="Tahoma" w:hAnsi="Tahoma" w:cs="Tahoma"/>
          <w:color w:val="000000"/>
          <w:sz w:val="40"/>
          <w:szCs w:val="40"/>
          <w:lang w:eastAsia="zh-CN"/>
        </w:rPr>
        <w:t xml:space="preserve">Module Assignment Submission </w:t>
      </w:r>
      <w:r w:rsidRPr="00604366">
        <w:rPr>
          <w:rFonts w:ascii="Tahoma" w:eastAsia="Tahoma" w:hAnsi="Tahoma" w:cs="Tahoma"/>
          <w:color w:val="000000"/>
          <w:sz w:val="40"/>
          <w:szCs w:val="40"/>
          <w:lang w:eastAsia="zh-CN"/>
        </w:rPr>
        <w:br/>
      </w:r>
    </w:p>
    <w:tbl>
      <w:tblPr>
        <w:tblW w:w="9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0"/>
        <w:gridCol w:w="6042"/>
      </w:tblGrid>
      <w:tr w:rsidR="00604366" w:rsidRPr="00604366" w14:paraId="2B91B0F3" w14:textId="77777777" w:rsidTr="00660BD6">
        <w:trPr>
          <w:trHeight w:val="717"/>
        </w:trPr>
        <w:tc>
          <w:tcPr>
            <w:tcW w:w="3430" w:type="dxa"/>
            <w:shd w:val="clear" w:color="auto" w:fill="D9D9D9"/>
          </w:tcPr>
          <w:p w14:paraId="1CEA7443" w14:textId="77777777" w:rsidR="00604366" w:rsidRPr="00604366" w:rsidRDefault="00604366" w:rsidP="00660BD6">
            <w:pPr>
              <w:spacing w:before="120" w:after="120"/>
              <w:rPr>
                <w:rFonts w:ascii="Tahoma" w:eastAsia="Tahoma" w:hAnsi="Tahoma" w:cs="Tahoma"/>
                <w:sz w:val="32"/>
                <w:szCs w:val="32"/>
                <w:lang w:eastAsia="zh-CN"/>
              </w:rPr>
            </w:pPr>
            <w:r w:rsidRPr="00604366">
              <w:rPr>
                <w:rFonts w:ascii="Tahoma" w:eastAsia="Tahoma" w:hAnsi="Tahoma" w:cs="Tahoma"/>
                <w:sz w:val="32"/>
                <w:szCs w:val="32"/>
                <w:lang w:eastAsia="zh-CN"/>
              </w:rPr>
              <w:t>Student Name:</w:t>
            </w:r>
          </w:p>
        </w:tc>
        <w:tc>
          <w:tcPr>
            <w:tcW w:w="6042" w:type="dxa"/>
          </w:tcPr>
          <w:p w14:paraId="697AEAE1" w14:textId="77777777" w:rsidR="00604366" w:rsidRPr="00604366" w:rsidRDefault="00604366" w:rsidP="00660BD6">
            <w:pPr>
              <w:spacing w:before="120" w:after="120"/>
              <w:jc w:val="center"/>
              <w:rPr>
                <w:rFonts w:ascii="Tahoma" w:eastAsia="Tahoma" w:hAnsi="Tahoma" w:cs="Tahoma"/>
                <w:sz w:val="32"/>
                <w:szCs w:val="32"/>
                <w:lang w:eastAsia="zh-CN"/>
              </w:rPr>
            </w:pPr>
            <w:r w:rsidRPr="00604366">
              <w:rPr>
                <w:rFonts w:ascii="Tahoma" w:eastAsia="Tahoma" w:hAnsi="Tahoma" w:cs="Tahoma"/>
                <w:sz w:val="32"/>
                <w:szCs w:val="32"/>
                <w:lang w:eastAsia="zh-CN"/>
              </w:rPr>
              <w:t>Armin Tiberiu Polyak</w:t>
            </w:r>
          </w:p>
        </w:tc>
      </w:tr>
      <w:tr w:rsidR="00604366" w:rsidRPr="00604366" w14:paraId="0B278CFB" w14:textId="77777777" w:rsidTr="00660BD6">
        <w:trPr>
          <w:trHeight w:val="717"/>
        </w:trPr>
        <w:tc>
          <w:tcPr>
            <w:tcW w:w="3430" w:type="dxa"/>
            <w:shd w:val="clear" w:color="auto" w:fill="D9D9D9"/>
          </w:tcPr>
          <w:p w14:paraId="0F3E33BF" w14:textId="77777777" w:rsidR="00604366" w:rsidRPr="00604366" w:rsidRDefault="00604366" w:rsidP="00660BD6">
            <w:pPr>
              <w:spacing w:before="120" w:after="120"/>
              <w:rPr>
                <w:rFonts w:ascii="Tahoma" w:eastAsia="Tahoma" w:hAnsi="Tahoma" w:cs="Tahoma"/>
                <w:sz w:val="32"/>
                <w:szCs w:val="32"/>
                <w:lang w:eastAsia="zh-CN"/>
              </w:rPr>
            </w:pPr>
            <w:r w:rsidRPr="00604366">
              <w:rPr>
                <w:rFonts w:ascii="Tahoma" w:eastAsia="Tahoma" w:hAnsi="Tahoma" w:cs="Tahoma"/>
                <w:sz w:val="32"/>
                <w:szCs w:val="32"/>
                <w:lang w:eastAsia="zh-CN"/>
              </w:rPr>
              <w:t>Student Number:</w:t>
            </w:r>
          </w:p>
        </w:tc>
        <w:tc>
          <w:tcPr>
            <w:tcW w:w="6042" w:type="dxa"/>
          </w:tcPr>
          <w:p w14:paraId="6053D537" w14:textId="77777777" w:rsidR="00604366" w:rsidRPr="00604366" w:rsidRDefault="00604366" w:rsidP="00660BD6">
            <w:pPr>
              <w:spacing w:before="120" w:after="120"/>
              <w:jc w:val="center"/>
              <w:rPr>
                <w:rFonts w:ascii="Tahoma" w:eastAsia="Tahoma" w:hAnsi="Tahoma" w:cs="Tahoma"/>
                <w:sz w:val="32"/>
                <w:szCs w:val="32"/>
                <w:lang w:eastAsia="zh-CN"/>
              </w:rPr>
            </w:pPr>
            <w:r w:rsidRPr="00604366">
              <w:rPr>
                <w:rFonts w:ascii="Tahoma" w:eastAsia="Tahoma" w:hAnsi="Tahoma" w:cs="Tahoma"/>
                <w:sz w:val="32"/>
                <w:szCs w:val="32"/>
                <w:lang w:eastAsia="zh-CN"/>
              </w:rPr>
              <w:t>1904920</w:t>
            </w:r>
          </w:p>
        </w:tc>
      </w:tr>
      <w:tr w:rsidR="00604366" w:rsidRPr="00604366" w14:paraId="489CEE3F" w14:textId="77777777" w:rsidTr="00660BD6">
        <w:trPr>
          <w:trHeight w:val="717"/>
        </w:trPr>
        <w:tc>
          <w:tcPr>
            <w:tcW w:w="3430" w:type="dxa"/>
            <w:shd w:val="clear" w:color="auto" w:fill="D9D9D9"/>
          </w:tcPr>
          <w:p w14:paraId="07581F2D" w14:textId="77777777" w:rsidR="00604366" w:rsidRPr="00604366" w:rsidRDefault="00604366" w:rsidP="00660BD6">
            <w:pPr>
              <w:spacing w:before="120" w:after="120"/>
              <w:rPr>
                <w:rFonts w:ascii="Tahoma" w:eastAsia="Tahoma" w:hAnsi="Tahoma" w:cs="Tahoma"/>
                <w:sz w:val="32"/>
                <w:szCs w:val="32"/>
                <w:lang w:eastAsia="zh-CN"/>
              </w:rPr>
            </w:pPr>
            <w:r w:rsidRPr="00604366">
              <w:rPr>
                <w:rFonts w:ascii="Tahoma" w:eastAsia="Tahoma" w:hAnsi="Tahoma" w:cs="Tahoma"/>
                <w:sz w:val="32"/>
                <w:szCs w:val="32"/>
                <w:lang w:eastAsia="zh-CN"/>
              </w:rPr>
              <w:t>Module No:</w:t>
            </w:r>
          </w:p>
        </w:tc>
        <w:tc>
          <w:tcPr>
            <w:tcW w:w="6042" w:type="dxa"/>
          </w:tcPr>
          <w:p w14:paraId="5AB0B858" w14:textId="1A234387" w:rsidR="00604366" w:rsidRPr="00604366" w:rsidRDefault="00604366" w:rsidP="00660BD6">
            <w:pPr>
              <w:spacing w:before="120" w:after="120"/>
              <w:jc w:val="center"/>
              <w:rPr>
                <w:rFonts w:ascii="Tahoma" w:eastAsia="Tahoma" w:hAnsi="Tahoma" w:cs="Tahoma"/>
                <w:color w:val="000000" w:themeColor="text1"/>
                <w:sz w:val="32"/>
                <w:szCs w:val="32"/>
                <w:lang w:eastAsia="zh-CN"/>
              </w:rPr>
            </w:pPr>
            <w:r w:rsidRPr="00604366">
              <w:rPr>
                <w:rFonts w:ascii="Tahoma" w:eastAsia="Tahoma" w:hAnsi="Tahoma" w:cs="Tahoma"/>
                <w:color w:val="000000" w:themeColor="text1"/>
                <w:sz w:val="32"/>
                <w:szCs w:val="32"/>
                <w:lang w:eastAsia="zh-CN"/>
              </w:rPr>
              <w:t>ACHA 7028</w:t>
            </w:r>
          </w:p>
        </w:tc>
      </w:tr>
      <w:tr w:rsidR="00604366" w:rsidRPr="00604366" w14:paraId="5CEE98F2" w14:textId="77777777" w:rsidTr="00660BD6">
        <w:trPr>
          <w:trHeight w:val="361"/>
        </w:trPr>
        <w:tc>
          <w:tcPr>
            <w:tcW w:w="3430" w:type="dxa"/>
            <w:shd w:val="clear" w:color="auto" w:fill="D9D9D9"/>
          </w:tcPr>
          <w:p w14:paraId="476CBE67" w14:textId="77777777" w:rsidR="00604366" w:rsidRPr="00604366" w:rsidRDefault="00604366" w:rsidP="00660BD6">
            <w:pPr>
              <w:spacing w:before="120" w:after="120"/>
              <w:rPr>
                <w:rFonts w:eastAsia="Tahoma" w:cs="Times New Roman"/>
                <w:sz w:val="32"/>
                <w:szCs w:val="32"/>
                <w:lang w:eastAsia="zh-CN"/>
              </w:rPr>
            </w:pPr>
            <w:r w:rsidRPr="00604366">
              <w:rPr>
                <w:rFonts w:eastAsia="Tahoma" w:cs="Times New Roman"/>
                <w:sz w:val="32"/>
                <w:szCs w:val="32"/>
                <w:lang w:eastAsia="zh-CN"/>
              </w:rPr>
              <w:t>Module Title:</w:t>
            </w:r>
          </w:p>
        </w:tc>
        <w:tc>
          <w:tcPr>
            <w:tcW w:w="6042" w:type="dxa"/>
          </w:tcPr>
          <w:p w14:paraId="46C05E4D" w14:textId="317E0C3E" w:rsidR="00604366" w:rsidRPr="00604366" w:rsidRDefault="00604366" w:rsidP="00604366">
            <w:pPr>
              <w:spacing w:before="200"/>
              <w:jc w:val="center"/>
              <w:rPr>
                <w:rFonts w:ascii="Tahoma" w:eastAsia="Tahoma" w:hAnsi="Tahoma" w:cs="Tahoma"/>
                <w:color w:val="000000" w:themeColor="text1"/>
                <w:sz w:val="32"/>
                <w:szCs w:val="32"/>
                <w:lang w:eastAsia="zh-CN"/>
              </w:rPr>
            </w:pPr>
            <w:r w:rsidRPr="00604366">
              <w:rPr>
                <w:rFonts w:ascii="Tahoma" w:hAnsi="Tahoma" w:cs="Tahoma"/>
                <w:sz w:val="32"/>
                <w:szCs w:val="32"/>
              </w:rPr>
              <w:t>Human Resources Management issues for Projects</w:t>
            </w:r>
          </w:p>
        </w:tc>
      </w:tr>
    </w:tbl>
    <w:p w14:paraId="2BFB66F1" w14:textId="77777777" w:rsidR="00604366" w:rsidRPr="00604366" w:rsidRDefault="00604366"/>
    <w:p w14:paraId="7D717CCC" w14:textId="77777777" w:rsidR="00604366" w:rsidRPr="00604366" w:rsidRDefault="00604366"/>
    <w:p w14:paraId="7B4E3084" w14:textId="77777777" w:rsidR="00B23DD5" w:rsidRPr="00B23DD5" w:rsidRDefault="00B23DD5" w:rsidP="00B23DD5">
      <w:pPr>
        <w:rPr>
          <w:lang w:val="en-GB"/>
        </w:rPr>
      </w:pPr>
      <w:r w:rsidRPr="00B23DD5">
        <w:rPr>
          <w:lang w:val="en-GB"/>
        </w:rPr>
        <w:t>AI Acknowledgement</w:t>
      </w:r>
    </w:p>
    <w:p w14:paraId="3CAC5FA3" w14:textId="2C6BB35E" w:rsidR="00B23DD5" w:rsidRPr="00B23DD5" w:rsidRDefault="00B23DD5" w:rsidP="00B23DD5">
      <w:pPr>
        <w:rPr>
          <w:lang w:val="en-GB"/>
        </w:rPr>
      </w:pPr>
      <w:r w:rsidRPr="00B23DD5">
        <w:rPr>
          <w:lang w:val="en-GB"/>
        </w:rPr>
        <w:t>I confirm that I have not present any AI-generated materials as my own work in this portfolio.</w:t>
      </w:r>
      <w:r w:rsidR="0054491A">
        <w:rPr>
          <w:lang w:val="en-GB"/>
        </w:rPr>
        <w:t xml:space="preserve"> </w:t>
      </w:r>
      <w:r w:rsidRPr="00B23DD5">
        <w:rPr>
          <w:lang w:val="en-GB"/>
        </w:rPr>
        <w:t>However, I acknowledge that I have used or may have used the AI in the research and proofreading of my portfolio.</w:t>
      </w:r>
    </w:p>
    <w:p w14:paraId="3BDDBB5E" w14:textId="77777777" w:rsidR="00B23DD5" w:rsidRPr="00B23DD5" w:rsidRDefault="00B23DD5" w:rsidP="00B23DD5">
      <w:pPr>
        <w:rPr>
          <w:lang w:val="en-GB"/>
        </w:rPr>
      </w:pPr>
    </w:p>
    <w:p w14:paraId="4469E61B" w14:textId="77777777" w:rsidR="00B23DD5" w:rsidRPr="00B23DD5" w:rsidRDefault="00B23DD5" w:rsidP="00B23DD5">
      <w:pPr>
        <w:rPr>
          <w:lang w:val="en-GB"/>
        </w:rPr>
      </w:pPr>
      <w:r w:rsidRPr="00B23DD5">
        <w:rPr>
          <w:lang w:val="en-GB"/>
        </w:rPr>
        <w:t>Name: Armin Polyak</w:t>
      </w:r>
    </w:p>
    <w:p w14:paraId="2DAD754C" w14:textId="77777777" w:rsidR="00B23DD5" w:rsidRPr="00B23DD5" w:rsidRDefault="00B23DD5" w:rsidP="00B23DD5">
      <w:pPr>
        <w:rPr>
          <w:lang w:val="en-GB"/>
        </w:rPr>
      </w:pPr>
      <w:r w:rsidRPr="00B23DD5">
        <w:rPr>
          <w:lang w:val="en-GB"/>
        </w:rPr>
        <w:t>Student ID : 1904920</w:t>
      </w:r>
    </w:p>
    <w:p w14:paraId="7279B621" w14:textId="77777777" w:rsidR="00B23DD5" w:rsidRPr="00B23DD5" w:rsidRDefault="00B23DD5" w:rsidP="00B23DD5">
      <w:pPr>
        <w:rPr>
          <w:lang w:val="en-GB"/>
        </w:rPr>
      </w:pPr>
    </w:p>
    <w:p w14:paraId="411AA7C6" w14:textId="77777777" w:rsidR="00604366" w:rsidRPr="00604366" w:rsidRDefault="00604366"/>
    <w:p w14:paraId="2DC3A50B" w14:textId="77777777" w:rsidR="00604366" w:rsidRPr="00604366" w:rsidRDefault="00604366"/>
    <w:sdt>
      <w:sdtPr>
        <w:rPr>
          <w:rFonts w:asciiTheme="minorHAnsi" w:eastAsiaTheme="minorEastAsia" w:hAnsiTheme="minorHAnsi" w:cstheme="minorBidi"/>
          <w:b w:val="0"/>
          <w:bCs w:val="0"/>
          <w:color w:val="auto"/>
          <w:sz w:val="22"/>
          <w:szCs w:val="22"/>
        </w:rPr>
        <w:id w:val="585510962"/>
        <w:docPartObj>
          <w:docPartGallery w:val="Table of Contents"/>
          <w:docPartUnique/>
        </w:docPartObj>
      </w:sdtPr>
      <w:sdtContent>
        <w:p w14:paraId="7D674A9A" w14:textId="3BB30B55" w:rsidR="00E03C4E" w:rsidRPr="00604366" w:rsidRDefault="00E03C4E" w:rsidP="00B23DD5">
          <w:pPr>
            <w:pStyle w:val="TOCHeading"/>
            <w:jc w:val="both"/>
          </w:pPr>
          <w:r w:rsidRPr="00604366">
            <w:t>Table of Contents</w:t>
          </w:r>
        </w:p>
        <w:p w14:paraId="7F60EDB9" w14:textId="5B52E299" w:rsidR="00E03C4E" w:rsidRPr="00604366" w:rsidRDefault="00E03C4E">
          <w:pPr>
            <w:pStyle w:val="TOC1"/>
            <w:tabs>
              <w:tab w:val="right" w:leader="dot" w:pos="8630"/>
            </w:tabs>
            <w:rPr>
              <w:noProof/>
              <w:kern w:val="2"/>
              <w:sz w:val="24"/>
              <w:szCs w:val="24"/>
              <w:lang w:eastAsia="en-GB"/>
              <w14:ligatures w14:val="standardContextual"/>
            </w:rPr>
          </w:pPr>
          <w:r w:rsidRPr="00604366">
            <w:fldChar w:fldCharType="begin"/>
          </w:r>
          <w:r w:rsidRPr="00604366">
            <w:instrText xml:space="preserve"> TOC \o "1-3" \h \z \u </w:instrText>
          </w:r>
          <w:r w:rsidRPr="00604366">
            <w:fldChar w:fldCharType="separate"/>
          </w:r>
          <w:hyperlink w:anchor="_Toc230464422" w:history="1">
            <w:r w:rsidRPr="00604366">
              <w:rPr>
                <w:rStyle w:val="Hyperlink"/>
                <w:noProof/>
              </w:rPr>
              <w:t>Introduction</w:t>
            </w:r>
            <w:r w:rsidRPr="00604366">
              <w:rPr>
                <w:noProof/>
                <w:webHidden/>
              </w:rPr>
              <w:tab/>
            </w:r>
            <w:r w:rsidRPr="00604366">
              <w:rPr>
                <w:noProof/>
                <w:webHidden/>
              </w:rPr>
              <w:fldChar w:fldCharType="begin"/>
            </w:r>
            <w:r w:rsidRPr="00604366">
              <w:rPr>
                <w:noProof/>
                <w:webHidden/>
              </w:rPr>
              <w:instrText xml:space="preserve"> PAGEREF _Toc230464422 \h </w:instrText>
            </w:r>
            <w:r w:rsidRPr="00604366">
              <w:rPr>
                <w:noProof/>
                <w:webHidden/>
              </w:rPr>
            </w:r>
            <w:r w:rsidRPr="00604366">
              <w:rPr>
                <w:noProof/>
                <w:webHidden/>
              </w:rPr>
              <w:fldChar w:fldCharType="separate"/>
            </w:r>
            <w:r w:rsidR="00B23DD5">
              <w:rPr>
                <w:noProof/>
                <w:webHidden/>
              </w:rPr>
              <w:t>3</w:t>
            </w:r>
            <w:r w:rsidRPr="00604366">
              <w:rPr>
                <w:noProof/>
                <w:webHidden/>
              </w:rPr>
              <w:fldChar w:fldCharType="end"/>
            </w:r>
          </w:hyperlink>
        </w:p>
        <w:p w14:paraId="448CC9B8" w14:textId="7339D3B4" w:rsidR="00E03C4E" w:rsidRPr="00604366" w:rsidRDefault="00E03C4E">
          <w:pPr>
            <w:pStyle w:val="TOC1"/>
            <w:tabs>
              <w:tab w:val="right" w:leader="dot" w:pos="8630"/>
            </w:tabs>
            <w:rPr>
              <w:noProof/>
              <w:kern w:val="2"/>
              <w:sz w:val="24"/>
              <w:szCs w:val="24"/>
              <w:lang w:eastAsia="en-GB"/>
              <w14:ligatures w14:val="standardContextual"/>
            </w:rPr>
          </w:pPr>
          <w:hyperlink w:anchor="_Toc230464423" w:history="1">
            <w:r w:rsidRPr="00604366">
              <w:rPr>
                <w:rStyle w:val="Hyperlink"/>
                <w:noProof/>
              </w:rPr>
              <w:t>Scenario 1 – High-Performing Workplaces</w:t>
            </w:r>
            <w:r w:rsidRPr="00604366">
              <w:rPr>
                <w:noProof/>
                <w:webHidden/>
              </w:rPr>
              <w:tab/>
            </w:r>
            <w:r w:rsidRPr="00604366">
              <w:rPr>
                <w:noProof/>
                <w:webHidden/>
              </w:rPr>
              <w:fldChar w:fldCharType="begin"/>
            </w:r>
            <w:r w:rsidRPr="00604366">
              <w:rPr>
                <w:noProof/>
                <w:webHidden/>
              </w:rPr>
              <w:instrText xml:space="preserve"> PAGEREF _Toc230464423 \h </w:instrText>
            </w:r>
            <w:r w:rsidRPr="00604366">
              <w:rPr>
                <w:noProof/>
                <w:webHidden/>
              </w:rPr>
            </w:r>
            <w:r w:rsidRPr="00604366">
              <w:rPr>
                <w:noProof/>
                <w:webHidden/>
              </w:rPr>
              <w:fldChar w:fldCharType="separate"/>
            </w:r>
            <w:r w:rsidR="00B23DD5">
              <w:rPr>
                <w:noProof/>
                <w:webHidden/>
              </w:rPr>
              <w:t>4</w:t>
            </w:r>
            <w:r w:rsidRPr="00604366">
              <w:rPr>
                <w:noProof/>
                <w:webHidden/>
              </w:rPr>
              <w:fldChar w:fldCharType="end"/>
            </w:r>
          </w:hyperlink>
        </w:p>
        <w:p w14:paraId="682366E4" w14:textId="4BF86CD9" w:rsidR="00E03C4E" w:rsidRPr="00604366" w:rsidRDefault="00E03C4E">
          <w:pPr>
            <w:pStyle w:val="TOC1"/>
            <w:tabs>
              <w:tab w:val="right" w:leader="dot" w:pos="8630"/>
            </w:tabs>
            <w:rPr>
              <w:noProof/>
              <w:kern w:val="2"/>
              <w:sz w:val="24"/>
              <w:szCs w:val="24"/>
              <w:lang w:eastAsia="en-GB"/>
              <w14:ligatures w14:val="standardContextual"/>
            </w:rPr>
          </w:pPr>
          <w:hyperlink w:anchor="_Toc230464424" w:history="1">
            <w:r w:rsidRPr="00604366">
              <w:rPr>
                <w:rStyle w:val="Hyperlink"/>
                <w:noProof/>
              </w:rPr>
              <w:t>Scenario 2 – Employee Orientation Practices</w:t>
            </w:r>
            <w:r w:rsidRPr="00604366">
              <w:rPr>
                <w:noProof/>
                <w:webHidden/>
              </w:rPr>
              <w:tab/>
            </w:r>
            <w:r w:rsidRPr="00604366">
              <w:rPr>
                <w:noProof/>
                <w:webHidden/>
              </w:rPr>
              <w:fldChar w:fldCharType="begin"/>
            </w:r>
            <w:r w:rsidRPr="00604366">
              <w:rPr>
                <w:noProof/>
                <w:webHidden/>
              </w:rPr>
              <w:instrText xml:space="preserve"> PAGEREF _Toc230464424 \h </w:instrText>
            </w:r>
            <w:r w:rsidRPr="00604366">
              <w:rPr>
                <w:noProof/>
                <w:webHidden/>
              </w:rPr>
            </w:r>
            <w:r w:rsidRPr="00604366">
              <w:rPr>
                <w:noProof/>
                <w:webHidden/>
              </w:rPr>
              <w:fldChar w:fldCharType="separate"/>
            </w:r>
            <w:r w:rsidR="00B23DD5">
              <w:rPr>
                <w:noProof/>
                <w:webHidden/>
              </w:rPr>
              <w:t>5</w:t>
            </w:r>
            <w:r w:rsidRPr="00604366">
              <w:rPr>
                <w:noProof/>
                <w:webHidden/>
              </w:rPr>
              <w:fldChar w:fldCharType="end"/>
            </w:r>
          </w:hyperlink>
        </w:p>
        <w:p w14:paraId="312F2ADF" w14:textId="71B76AA2" w:rsidR="00E03C4E" w:rsidRPr="00604366" w:rsidRDefault="00E03C4E">
          <w:pPr>
            <w:pStyle w:val="TOC1"/>
            <w:tabs>
              <w:tab w:val="right" w:leader="dot" w:pos="8630"/>
            </w:tabs>
            <w:rPr>
              <w:noProof/>
              <w:kern w:val="2"/>
              <w:sz w:val="24"/>
              <w:szCs w:val="24"/>
              <w:lang w:eastAsia="en-GB"/>
              <w14:ligatures w14:val="standardContextual"/>
            </w:rPr>
          </w:pPr>
          <w:hyperlink w:anchor="_Toc230464425" w:history="1">
            <w:r w:rsidRPr="00604366">
              <w:rPr>
                <w:rStyle w:val="Hyperlink"/>
                <w:noProof/>
              </w:rPr>
              <w:t>Scenario 3 – Modern Approaches to Succession Planning</w:t>
            </w:r>
            <w:r w:rsidRPr="00604366">
              <w:rPr>
                <w:noProof/>
                <w:webHidden/>
              </w:rPr>
              <w:tab/>
            </w:r>
            <w:r w:rsidRPr="00604366">
              <w:rPr>
                <w:noProof/>
                <w:webHidden/>
              </w:rPr>
              <w:fldChar w:fldCharType="begin"/>
            </w:r>
            <w:r w:rsidRPr="00604366">
              <w:rPr>
                <w:noProof/>
                <w:webHidden/>
              </w:rPr>
              <w:instrText xml:space="preserve"> PAGEREF _Toc230464425 \h </w:instrText>
            </w:r>
            <w:r w:rsidRPr="00604366">
              <w:rPr>
                <w:noProof/>
                <w:webHidden/>
              </w:rPr>
            </w:r>
            <w:r w:rsidRPr="00604366">
              <w:rPr>
                <w:noProof/>
                <w:webHidden/>
              </w:rPr>
              <w:fldChar w:fldCharType="separate"/>
            </w:r>
            <w:r w:rsidR="00B23DD5">
              <w:rPr>
                <w:noProof/>
                <w:webHidden/>
              </w:rPr>
              <w:t>6</w:t>
            </w:r>
            <w:r w:rsidRPr="00604366">
              <w:rPr>
                <w:noProof/>
                <w:webHidden/>
              </w:rPr>
              <w:fldChar w:fldCharType="end"/>
            </w:r>
          </w:hyperlink>
        </w:p>
        <w:p w14:paraId="798C7204" w14:textId="57361AD4" w:rsidR="00E03C4E" w:rsidRPr="00604366" w:rsidRDefault="00E03C4E">
          <w:pPr>
            <w:pStyle w:val="TOC1"/>
            <w:tabs>
              <w:tab w:val="right" w:leader="dot" w:pos="8630"/>
            </w:tabs>
            <w:rPr>
              <w:noProof/>
              <w:kern w:val="2"/>
              <w:sz w:val="24"/>
              <w:szCs w:val="24"/>
              <w:lang w:eastAsia="en-GB"/>
              <w14:ligatures w14:val="standardContextual"/>
            </w:rPr>
          </w:pPr>
          <w:hyperlink w:anchor="_Toc230464426" w:history="1">
            <w:r w:rsidRPr="00604366">
              <w:rPr>
                <w:rStyle w:val="Hyperlink"/>
                <w:noProof/>
              </w:rPr>
              <w:t>Scenario 4 – Resourcing and Retention Strategies</w:t>
            </w:r>
            <w:r w:rsidRPr="00604366">
              <w:rPr>
                <w:noProof/>
                <w:webHidden/>
              </w:rPr>
              <w:tab/>
            </w:r>
            <w:r w:rsidRPr="00604366">
              <w:rPr>
                <w:noProof/>
                <w:webHidden/>
              </w:rPr>
              <w:fldChar w:fldCharType="begin"/>
            </w:r>
            <w:r w:rsidRPr="00604366">
              <w:rPr>
                <w:noProof/>
                <w:webHidden/>
              </w:rPr>
              <w:instrText xml:space="preserve"> PAGEREF _Toc230464426 \h </w:instrText>
            </w:r>
            <w:r w:rsidRPr="00604366">
              <w:rPr>
                <w:noProof/>
                <w:webHidden/>
              </w:rPr>
            </w:r>
            <w:r w:rsidRPr="00604366">
              <w:rPr>
                <w:noProof/>
                <w:webHidden/>
              </w:rPr>
              <w:fldChar w:fldCharType="separate"/>
            </w:r>
            <w:r w:rsidR="00B23DD5">
              <w:rPr>
                <w:noProof/>
                <w:webHidden/>
              </w:rPr>
              <w:t>7</w:t>
            </w:r>
            <w:r w:rsidRPr="00604366">
              <w:rPr>
                <w:noProof/>
                <w:webHidden/>
              </w:rPr>
              <w:fldChar w:fldCharType="end"/>
            </w:r>
          </w:hyperlink>
        </w:p>
        <w:p w14:paraId="1BFF0ED3" w14:textId="4F9EB9D5" w:rsidR="00E03C4E" w:rsidRPr="00604366" w:rsidRDefault="00E03C4E">
          <w:pPr>
            <w:pStyle w:val="TOC1"/>
            <w:tabs>
              <w:tab w:val="right" w:leader="dot" w:pos="8630"/>
            </w:tabs>
            <w:rPr>
              <w:noProof/>
              <w:kern w:val="2"/>
              <w:sz w:val="24"/>
              <w:szCs w:val="24"/>
              <w:lang w:eastAsia="en-GB"/>
              <w14:ligatures w14:val="standardContextual"/>
            </w:rPr>
          </w:pPr>
          <w:hyperlink w:anchor="_Toc230464427" w:history="1">
            <w:r w:rsidRPr="00604366">
              <w:rPr>
                <w:rStyle w:val="Hyperlink"/>
                <w:noProof/>
              </w:rPr>
              <w:t>Scenario 5 – Talent Insight and Strategic Retention</w:t>
            </w:r>
            <w:r w:rsidRPr="00604366">
              <w:rPr>
                <w:noProof/>
                <w:webHidden/>
              </w:rPr>
              <w:tab/>
            </w:r>
            <w:r w:rsidRPr="00604366">
              <w:rPr>
                <w:noProof/>
                <w:webHidden/>
              </w:rPr>
              <w:fldChar w:fldCharType="begin"/>
            </w:r>
            <w:r w:rsidRPr="00604366">
              <w:rPr>
                <w:noProof/>
                <w:webHidden/>
              </w:rPr>
              <w:instrText xml:space="preserve"> PAGEREF _Toc230464427 \h </w:instrText>
            </w:r>
            <w:r w:rsidRPr="00604366">
              <w:rPr>
                <w:noProof/>
                <w:webHidden/>
              </w:rPr>
            </w:r>
            <w:r w:rsidRPr="00604366">
              <w:rPr>
                <w:noProof/>
                <w:webHidden/>
              </w:rPr>
              <w:fldChar w:fldCharType="separate"/>
            </w:r>
            <w:r w:rsidR="00B23DD5">
              <w:rPr>
                <w:noProof/>
                <w:webHidden/>
              </w:rPr>
              <w:t>8</w:t>
            </w:r>
            <w:r w:rsidRPr="00604366">
              <w:rPr>
                <w:noProof/>
                <w:webHidden/>
              </w:rPr>
              <w:fldChar w:fldCharType="end"/>
            </w:r>
          </w:hyperlink>
        </w:p>
        <w:p w14:paraId="22E86270" w14:textId="0AC626D4" w:rsidR="00E03C4E" w:rsidRPr="00604366" w:rsidRDefault="00E03C4E">
          <w:pPr>
            <w:pStyle w:val="TOC1"/>
            <w:tabs>
              <w:tab w:val="right" w:leader="dot" w:pos="8630"/>
            </w:tabs>
            <w:rPr>
              <w:noProof/>
              <w:kern w:val="2"/>
              <w:sz w:val="24"/>
              <w:szCs w:val="24"/>
              <w:lang w:eastAsia="en-GB"/>
              <w14:ligatures w14:val="standardContextual"/>
            </w:rPr>
          </w:pPr>
          <w:hyperlink w:anchor="_Toc230464428" w:history="1">
            <w:r w:rsidRPr="00604366">
              <w:rPr>
                <w:rStyle w:val="Hyperlink"/>
                <w:noProof/>
              </w:rPr>
              <w:t>Conclusion</w:t>
            </w:r>
            <w:r w:rsidRPr="00604366">
              <w:rPr>
                <w:noProof/>
                <w:webHidden/>
              </w:rPr>
              <w:tab/>
            </w:r>
            <w:r w:rsidRPr="00604366">
              <w:rPr>
                <w:noProof/>
                <w:webHidden/>
              </w:rPr>
              <w:fldChar w:fldCharType="begin"/>
            </w:r>
            <w:r w:rsidRPr="00604366">
              <w:rPr>
                <w:noProof/>
                <w:webHidden/>
              </w:rPr>
              <w:instrText xml:space="preserve"> PAGEREF _Toc230464428 \h </w:instrText>
            </w:r>
            <w:r w:rsidRPr="00604366">
              <w:rPr>
                <w:noProof/>
                <w:webHidden/>
              </w:rPr>
            </w:r>
            <w:r w:rsidRPr="00604366">
              <w:rPr>
                <w:noProof/>
                <w:webHidden/>
              </w:rPr>
              <w:fldChar w:fldCharType="separate"/>
            </w:r>
            <w:r w:rsidR="00B23DD5">
              <w:rPr>
                <w:noProof/>
                <w:webHidden/>
              </w:rPr>
              <w:t>10</w:t>
            </w:r>
            <w:r w:rsidRPr="00604366">
              <w:rPr>
                <w:noProof/>
                <w:webHidden/>
              </w:rPr>
              <w:fldChar w:fldCharType="end"/>
            </w:r>
          </w:hyperlink>
        </w:p>
        <w:p w14:paraId="4815157D" w14:textId="2DAF3DB9" w:rsidR="00E03C4E" w:rsidRPr="00604366" w:rsidRDefault="00E03C4E">
          <w:pPr>
            <w:pStyle w:val="TOC1"/>
            <w:tabs>
              <w:tab w:val="right" w:leader="dot" w:pos="8630"/>
            </w:tabs>
            <w:rPr>
              <w:noProof/>
              <w:kern w:val="2"/>
              <w:sz w:val="24"/>
              <w:szCs w:val="24"/>
              <w:lang w:eastAsia="en-GB"/>
              <w14:ligatures w14:val="standardContextual"/>
            </w:rPr>
          </w:pPr>
          <w:hyperlink w:anchor="_Toc230464429" w:history="1">
            <w:r w:rsidRPr="00604366">
              <w:rPr>
                <w:rStyle w:val="Hyperlink"/>
                <w:noProof/>
              </w:rPr>
              <w:t>References</w:t>
            </w:r>
            <w:r w:rsidRPr="00604366">
              <w:rPr>
                <w:noProof/>
                <w:webHidden/>
              </w:rPr>
              <w:tab/>
            </w:r>
            <w:r w:rsidRPr="00604366">
              <w:rPr>
                <w:noProof/>
                <w:webHidden/>
              </w:rPr>
              <w:fldChar w:fldCharType="begin"/>
            </w:r>
            <w:r w:rsidRPr="00604366">
              <w:rPr>
                <w:noProof/>
                <w:webHidden/>
              </w:rPr>
              <w:instrText xml:space="preserve"> PAGEREF _Toc230464429 \h </w:instrText>
            </w:r>
            <w:r w:rsidRPr="00604366">
              <w:rPr>
                <w:noProof/>
                <w:webHidden/>
              </w:rPr>
            </w:r>
            <w:r w:rsidRPr="00604366">
              <w:rPr>
                <w:noProof/>
                <w:webHidden/>
              </w:rPr>
              <w:fldChar w:fldCharType="separate"/>
            </w:r>
            <w:r w:rsidR="00B23DD5">
              <w:rPr>
                <w:noProof/>
                <w:webHidden/>
              </w:rPr>
              <w:t>11</w:t>
            </w:r>
            <w:r w:rsidRPr="00604366">
              <w:rPr>
                <w:noProof/>
                <w:webHidden/>
              </w:rPr>
              <w:fldChar w:fldCharType="end"/>
            </w:r>
          </w:hyperlink>
        </w:p>
        <w:p w14:paraId="6BE63C17" w14:textId="3E2A718A" w:rsidR="00E03C4E" w:rsidRPr="00604366" w:rsidRDefault="00E03C4E">
          <w:pPr>
            <w:pStyle w:val="TOC2"/>
            <w:tabs>
              <w:tab w:val="right" w:leader="dot" w:pos="8630"/>
            </w:tabs>
            <w:rPr>
              <w:noProof/>
              <w:kern w:val="2"/>
              <w:sz w:val="24"/>
              <w:szCs w:val="24"/>
              <w:lang w:eastAsia="en-GB"/>
              <w14:ligatures w14:val="standardContextual"/>
            </w:rPr>
          </w:pPr>
          <w:hyperlink w:anchor="_Toc230464430" w:history="1">
            <w:r w:rsidRPr="00604366">
              <w:rPr>
                <w:rStyle w:val="Hyperlink"/>
                <w:noProof/>
              </w:rPr>
              <w:t>Appendix 1 – Great Place to Work Style Rankings</w:t>
            </w:r>
            <w:r w:rsidRPr="00604366">
              <w:rPr>
                <w:noProof/>
                <w:webHidden/>
              </w:rPr>
              <w:tab/>
            </w:r>
            <w:r w:rsidRPr="00604366">
              <w:rPr>
                <w:noProof/>
                <w:webHidden/>
              </w:rPr>
              <w:fldChar w:fldCharType="begin"/>
            </w:r>
            <w:r w:rsidRPr="00604366">
              <w:rPr>
                <w:noProof/>
                <w:webHidden/>
              </w:rPr>
              <w:instrText xml:space="preserve"> PAGEREF _Toc230464430 \h </w:instrText>
            </w:r>
            <w:r w:rsidRPr="00604366">
              <w:rPr>
                <w:noProof/>
                <w:webHidden/>
              </w:rPr>
            </w:r>
            <w:r w:rsidRPr="00604366">
              <w:rPr>
                <w:noProof/>
                <w:webHidden/>
              </w:rPr>
              <w:fldChar w:fldCharType="separate"/>
            </w:r>
            <w:r w:rsidR="00B23DD5">
              <w:rPr>
                <w:noProof/>
                <w:webHidden/>
              </w:rPr>
              <w:t>12</w:t>
            </w:r>
            <w:r w:rsidRPr="00604366">
              <w:rPr>
                <w:noProof/>
                <w:webHidden/>
              </w:rPr>
              <w:fldChar w:fldCharType="end"/>
            </w:r>
          </w:hyperlink>
        </w:p>
        <w:p w14:paraId="7A9C3CD5" w14:textId="503C050D" w:rsidR="00E03C4E" w:rsidRPr="00604366" w:rsidRDefault="00E03C4E">
          <w:pPr>
            <w:pStyle w:val="TOC2"/>
            <w:tabs>
              <w:tab w:val="right" w:leader="dot" w:pos="8630"/>
            </w:tabs>
            <w:rPr>
              <w:noProof/>
              <w:kern w:val="2"/>
              <w:sz w:val="24"/>
              <w:szCs w:val="24"/>
              <w:lang w:eastAsia="en-GB"/>
              <w14:ligatures w14:val="standardContextual"/>
            </w:rPr>
          </w:pPr>
          <w:hyperlink w:anchor="_Toc230464431" w:history="1">
            <w:r w:rsidRPr="00604366">
              <w:rPr>
                <w:rStyle w:val="Hyperlink"/>
                <w:noProof/>
              </w:rPr>
              <w:t>Appendix 2 – Employee Onboarding Framework</w:t>
            </w:r>
            <w:r w:rsidRPr="00604366">
              <w:rPr>
                <w:noProof/>
                <w:webHidden/>
              </w:rPr>
              <w:tab/>
            </w:r>
            <w:r w:rsidRPr="00604366">
              <w:rPr>
                <w:noProof/>
                <w:webHidden/>
              </w:rPr>
              <w:fldChar w:fldCharType="begin"/>
            </w:r>
            <w:r w:rsidRPr="00604366">
              <w:rPr>
                <w:noProof/>
                <w:webHidden/>
              </w:rPr>
              <w:instrText xml:space="preserve"> PAGEREF _Toc230464431 \h </w:instrText>
            </w:r>
            <w:r w:rsidRPr="00604366">
              <w:rPr>
                <w:noProof/>
                <w:webHidden/>
              </w:rPr>
            </w:r>
            <w:r w:rsidRPr="00604366">
              <w:rPr>
                <w:noProof/>
                <w:webHidden/>
              </w:rPr>
              <w:fldChar w:fldCharType="separate"/>
            </w:r>
            <w:r w:rsidR="00B23DD5">
              <w:rPr>
                <w:noProof/>
                <w:webHidden/>
              </w:rPr>
              <w:t>12</w:t>
            </w:r>
            <w:r w:rsidRPr="00604366">
              <w:rPr>
                <w:noProof/>
                <w:webHidden/>
              </w:rPr>
              <w:fldChar w:fldCharType="end"/>
            </w:r>
          </w:hyperlink>
        </w:p>
        <w:p w14:paraId="56D6A898" w14:textId="5F378B6E" w:rsidR="00E03C4E" w:rsidRPr="00604366" w:rsidRDefault="00E03C4E">
          <w:pPr>
            <w:pStyle w:val="TOC2"/>
            <w:tabs>
              <w:tab w:val="right" w:leader="dot" w:pos="8630"/>
            </w:tabs>
            <w:rPr>
              <w:noProof/>
              <w:kern w:val="2"/>
              <w:sz w:val="24"/>
              <w:szCs w:val="24"/>
              <w:lang w:eastAsia="en-GB"/>
              <w14:ligatures w14:val="standardContextual"/>
            </w:rPr>
          </w:pPr>
          <w:hyperlink w:anchor="_Toc230464432" w:history="1">
            <w:r w:rsidRPr="00604366">
              <w:rPr>
                <w:rStyle w:val="Hyperlink"/>
                <w:noProof/>
              </w:rPr>
              <w:t>Appendix 3 – Workforce Analytics Dashboard</w:t>
            </w:r>
            <w:r w:rsidRPr="00604366">
              <w:rPr>
                <w:noProof/>
                <w:webHidden/>
              </w:rPr>
              <w:tab/>
            </w:r>
            <w:r w:rsidRPr="00604366">
              <w:rPr>
                <w:noProof/>
                <w:webHidden/>
              </w:rPr>
              <w:fldChar w:fldCharType="begin"/>
            </w:r>
            <w:r w:rsidRPr="00604366">
              <w:rPr>
                <w:noProof/>
                <w:webHidden/>
              </w:rPr>
              <w:instrText xml:space="preserve"> PAGEREF _Toc230464432 \h </w:instrText>
            </w:r>
            <w:r w:rsidRPr="00604366">
              <w:rPr>
                <w:noProof/>
                <w:webHidden/>
              </w:rPr>
            </w:r>
            <w:r w:rsidRPr="00604366">
              <w:rPr>
                <w:noProof/>
                <w:webHidden/>
              </w:rPr>
              <w:fldChar w:fldCharType="separate"/>
            </w:r>
            <w:r w:rsidR="00B23DD5">
              <w:rPr>
                <w:noProof/>
                <w:webHidden/>
              </w:rPr>
              <w:t>13</w:t>
            </w:r>
            <w:r w:rsidRPr="00604366">
              <w:rPr>
                <w:noProof/>
                <w:webHidden/>
              </w:rPr>
              <w:fldChar w:fldCharType="end"/>
            </w:r>
          </w:hyperlink>
        </w:p>
        <w:p w14:paraId="7EA5E18A" w14:textId="040EBABF" w:rsidR="00E03C4E" w:rsidRPr="00604366" w:rsidRDefault="00E03C4E">
          <w:r w:rsidRPr="00604366">
            <w:rPr>
              <w:b/>
              <w:bCs/>
            </w:rPr>
            <w:fldChar w:fldCharType="end"/>
          </w:r>
        </w:p>
      </w:sdtContent>
    </w:sdt>
    <w:p w14:paraId="1A2CAAD2" w14:textId="2E97C1F7" w:rsidR="00395451" w:rsidRPr="00604366" w:rsidRDefault="00395451"/>
    <w:p w14:paraId="2B5821B2" w14:textId="77777777" w:rsidR="00E32FAC" w:rsidRPr="00604366" w:rsidRDefault="00E32FAC"/>
    <w:p w14:paraId="0DFA3D05" w14:textId="77777777" w:rsidR="00E32FAC" w:rsidRPr="00604366" w:rsidRDefault="00E32FAC"/>
    <w:p w14:paraId="2CCB95AC" w14:textId="77777777" w:rsidR="00E32FAC" w:rsidRPr="00604366" w:rsidRDefault="00E32FAC"/>
    <w:p w14:paraId="58051B76" w14:textId="77777777" w:rsidR="00E32FAC" w:rsidRPr="00604366" w:rsidRDefault="00E32FAC"/>
    <w:p w14:paraId="047FFF7F" w14:textId="77777777" w:rsidR="00E32FAC" w:rsidRPr="00604366" w:rsidRDefault="00E32FAC"/>
    <w:p w14:paraId="7599AE69" w14:textId="77777777" w:rsidR="00E32FAC" w:rsidRPr="00604366" w:rsidRDefault="00E32FAC"/>
    <w:p w14:paraId="526D364A" w14:textId="77777777" w:rsidR="00E32FAC" w:rsidRPr="00604366" w:rsidRDefault="00E32FAC"/>
    <w:p w14:paraId="24853075" w14:textId="77777777" w:rsidR="00E32FAC" w:rsidRPr="00604366" w:rsidRDefault="00E32FAC"/>
    <w:p w14:paraId="44EF56F7" w14:textId="77777777" w:rsidR="00E32FAC" w:rsidRPr="00604366" w:rsidRDefault="00E32FAC"/>
    <w:p w14:paraId="5F512364" w14:textId="77777777" w:rsidR="00E32FAC" w:rsidRPr="00604366" w:rsidRDefault="00E32FAC"/>
    <w:p w14:paraId="72B5C2D0" w14:textId="77777777" w:rsidR="00E32FAC" w:rsidRPr="00604366" w:rsidRDefault="00E32FAC"/>
    <w:p w14:paraId="06874D8A" w14:textId="77777777" w:rsidR="00E32FAC" w:rsidRPr="00604366" w:rsidRDefault="00E32FAC"/>
    <w:p w14:paraId="613D8A29" w14:textId="77777777" w:rsidR="00E32FAC" w:rsidRPr="00604366" w:rsidRDefault="00E32FAC"/>
    <w:p w14:paraId="05B0C787" w14:textId="77777777" w:rsidR="00E32FAC" w:rsidRPr="00604366" w:rsidRDefault="00E32FAC"/>
    <w:p w14:paraId="467864BB" w14:textId="77777777" w:rsidR="00395451" w:rsidRPr="00604366" w:rsidRDefault="00000000">
      <w:pPr>
        <w:pStyle w:val="Heading1"/>
      </w:pPr>
      <w:bookmarkStart w:id="0" w:name="_Toc230464422"/>
      <w:r w:rsidRPr="00604366">
        <w:lastRenderedPageBreak/>
        <w:t>Introduction</w:t>
      </w:r>
      <w:bookmarkEnd w:id="0"/>
    </w:p>
    <w:p w14:paraId="3ADC18E2" w14:textId="77777777" w:rsidR="00130CB9" w:rsidRDefault="00130CB9" w:rsidP="00E32FAC">
      <w:pPr>
        <w:jc w:val="both"/>
      </w:pPr>
    </w:p>
    <w:p w14:paraId="13BD3A72" w14:textId="38233CB1" w:rsidR="00395451" w:rsidRPr="00604366" w:rsidRDefault="00000000" w:rsidP="00E32FAC">
      <w:pPr>
        <w:jc w:val="both"/>
      </w:pPr>
      <w:r w:rsidRPr="00604366">
        <w:t xml:space="preserve">Human Resource Management (HRM) has evolved into a strategic </w:t>
      </w:r>
      <w:proofErr w:type="spellStart"/>
      <w:r w:rsidRPr="00604366">
        <w:t>organisational</w:t>
      </w:r>
      <w:proofErr w:type="spellEnd"/>
      <w:r w:rsidRPr="00604366">
        <w:t xml:space="preserve"> function within modern project-based </w:t>
      </w:r>
      <w:proofErr w:type="spellStart"/>
      <w:r w:rsidRPr="00604366">
        <w:t>organisations</w:t>
      </w:r>
      <w:proofErr w:type="spellEnd"/>
      <w:r w:rsidRPr="00604366">
        <w:t xml:space="preserve">. Employees are no longer viewed simply as operational resources but as strategic assets capable of improving </w:t>
      </w:r>
      <w:proofErr w:type="spellStart"/>
      <w:r w:rsidRPr="00604366">
        <w:t>organisational</w:t>
      </w:r>
      <w:proofErr w:type="spellEnd"/>
      <w:r w:rsidRPr="00604366">
        <w:t xml:space="preserve"> competitiveness, innovation, and long-term sustainability. Consequently, </w:t>
      </w:r>
      <w:proofErr w:type="spellStart"/>
      <w:r w:rsidRPr="00604366">
        <w:t>organisations</w:t>
      </w:r>
      <w:proofErr w:type="spellEnd"/>
      <w:r w:rsidRPr="00604366">
        <w:t xml:space="preserve"> increasingly depend on effective HRM systems to recruit, develop, motivate, and retain highly skilled employees capable of adapting to changing business environments.</w:t>
      </w:r>
      <w:r w:rsidRPr="00604366">
        <w:br/>
        <w:t xml:space="preserve">The importance of HRM has increased significantly due to </w:t>
      </w:r>
      <w:proofErr w:type="spellStart"/>
      <w:r w:rsidRPr="00604366">
        <w:t>globalisation</w:t>
      </w:r>
      <w:proofErr w:type="spellEnd"/>
      <w:r w:rsidRPr="00604366">
        <w:t xml:space="preserve">, technological advancement, </w:t>
      </w:r>
      <w:proofErr w:type="spellStart"/>
      <w:r w:rsidRPr="00604366">
        <w:t>labour</w:t>
      </w:r>
      <w:proofErr w:type="spellEnd"/>
      <w:r w:rsidRPr="00604366">
        <w:t xml:space="preserve"> shortages, workforce diversity, and changing employee expectations. Traditional personnel management focused on administration and compliance, whereas strategic HRM concentrates on </w:t>
      </w:r>
      <w:proofErr w:type="spellStart"/>
      <w:r w:rsidRPr="00604366">
        <w:t>organisational</w:t>
      </w:r>
      <w:proofErr w:type="spellEnd"/>
      <w:r w:rsidRPr="00604366">
        <w:t xml:space="preserve"> culture, employee engagement, leadership development, talent management, and workforce planning (Armstrong and Taylor, 2023). Contemporary </w:t>
      </w:r>
      <w:proofErr w:type="spellStart"/>
      <w:r w:rsidRPr="00604366">
        <w:t>organisations</w:t>
      </w:r>
      <w:proofErr w:type="spellEnd"/>
      <w:r w:rsidRPr="00604366">
        <w:t xml:space="preserve"> such as Google, Microsoft, Amazon, and Salesforce demonstrate how employee-focused strategies can positively influence </w:t>
      </w:r>
      <w:proofErr w:type="spellStart"/>
      <w:r w:rsidRPr="00604366">
        <w:t>organisational</w:t>
      </w:r>
      <w:proofErr w:type="spellEnd"/>
      <w:r w:rsidRPr="00604366">
        <w:t xml:space="preserve"> performance and market succes</w:t>
      </w:r>
      <w:r w:rsidR="00721586" w:rsidRPr="00604366">
        <w:t>s</w:t>
      </w:r>
      <w:r w:rsidRPr="00604366">
        <w:t xml:space="preserve">. Project-based organizations particularly rely on strong HRM practices because project success is heavily influenced by communication, teamwork, leadership, and workforce adaptability. Employees operating within project environments are often required to work under pressure while adapting to changing </w:t>
      </w:r>
      <w:proofErr w:type="spellStart"/>
      <w:r w:rsidRPr="00604366">
        <w:t>organisational</w:t>
      </w:r>
      <w:proofErr w:type="spellEnd"/>
      <w:r w:rsidRPr="00604366">
        <w:t xml:space="preserve"> demands and deadlines. Consequently, employee orientation, succession planning, talent retention, and workforce analytics have become increasingly important within contemporary </w:t>
      </w:r>
      <w:proofErr w:type="spellStart"/>
      <w:r w:rsidRPr="00604366">
        <w:t>organisations</w:t>
      </w:r>
      <w:proofErr w:type="spellEnd"/>
      <w:r w:rsidRPr="00604366">
        <w:t>.</w:t>
      </w:r>
      <w:r w:rsidRPr="00604366">
        <w:br/>
        <w:t xml:space="preserve">This report critically evaluates five key HRM areas relevant to project-based </w:t>
      </w:r>
      <w:proofErr w:type="spellStart"/>
      <w:r w:rsidRPr="00604366">
        <w:t>organisations</w:t>
      </w:r>
      <w:proofErr w:type="spellEnd"/>
      <w:r w:rsidRPr="00604366">
        <w:t xml:space="preserve">. Firstly, the report analyses the characteristics of high-performing workplaces and the </w:t>
      </w:r>
      <w:proofErr w:type="spellStart"/>
      <w:r w:rsidRPr="00604366">
        <w:t>organisational</w:t>
      </w:r>
      <w:proofErr w:type="spellEnd"/>
      <w:r w:rsidRPr="00604366">
        <w:t xml:space="preserve"> practices commonly used by leading employers. Secondly, it critically evaluates employee orientation practices using Amazon UK as an example. Thirdly, the report examines modern approaches to succession planning and evaluates the role of workforce analytics. Fourthly, the report analyses resourcing and retention strategies designed to attract and retain diverse talent. Finally, the report evaluates talent-insight tools and employee-feedback mechanisms used to improve strategic retention and workforce development.</w:t>
      </w:r>
    </w:p>
    <w:p w14:paraId="4BC6A4A3" w14:textId="77777777" w:rsidR="00E32FAC" w:rsidRPr="00604366" w:rsidRDefault="00E32FAC"/>
    <w:p w14:paraId="021A5AAB" w14:textId="77777777" w:rsidR="00E32FAC" w:rsidRPr="00604366" w:rsidRDefault="00E32FAC"/>
    <w:p w14:paraId="68064174" w14:textId="77777777" w:rsidR="00E32FAC" w:rsidRPr="00604366" w:rsidRDefault="00E32FAC"/>
    <w:p w14:paraId="40DDACEB" w14:textId="77777777" w:rsidR="00E32FAC" w:rsidRPr="00604366" w:rsidRDefault="00E32FAC"/>
    <w:p w14:paraId="074FEB58" w14:textId="77777777" w:rsidR="00E32FAC" w:rsidRPr="00604366" w:rsidRDefault="00E32FAC"/>
    <w:p w14:paraId="61613F76" w14:textId="77777777" w:rsidR="00E32FAC" w:rsidRPr="00604366" w:rsidRDefault="00E32FAC"/>
    <w:p w14:paraId="5D77D917" w14:textId="77777777" w:rsidR="00395451" w:rsidRPr="00604366" w:rsidRDefault="00000000">
      <w:pPr>
        <w:pStyle w:val="Heading1"/>
      </w:pPr>
      <w:bookmarkStart w:id="1" w:name="_Toc230464423"/>
      <w:r w:rsidRPr="00604366">
        <w:lastRenderedPageBreak/>
        <w:t>Scenario 1 – High-Performing Workplaces</w:t>
      </w:r>
      <w:bookmarkEnd w:id="1"/>
    </w:p>
    <w:p w14:paraId="07757B3E" w14:textId="77777777" w:rsidR="00130CB9" w:rsidRDefault="00130CB9"/>
    <w:p w14:paraId="59D0319A" w14:textId="28B373FD" w:rsidR="00395451" w:rsidRPr="00604366" w:rsidRDefault="00000000">
      <w:r>
        <w:t xml:space="preserve">High-performing workplaces are </w:t>
      </w:r>
      <w:proofErr w:type="spellStart"/>
      <w:r>
        <w:t>organisations</w:t>
      </w:r>
      <w:proofErr w:type="spellEnd"/>
      <w:r>
        <w:t xml:space="preserve"> that consistently achieve strong operational performance while maintaining elevated levels of employee satisfaction, engagement, and organisational commitment. Rankings such as Fortune’s Best Companies to Work for and Great Place to Work UK regularly identify organisations including Google, Microsoft, Cisco, Adobe, Salesforce, and Hilton as examples of successful employers.</w:t>
      </w:r>
      <w:r>
        <w:br/>
      </w:r>
      <w:r>
        <w:br/>
        <w:t>One of the most common characteristics of these organisations is transformational leadership. Leaders within high-performing workplaces encourage innovation, collaboration, and employee empowerment. Rather than relying solely on hierarchical control, managers promote open communication and encourage employees to contribute ideas and participate in organisational decision-making. Microsoft’s “growth mindset” culture demonstrates how leadership can positively influence creativity and workforce development. Communication systems also play a critical role within successful workplaces. High-performing organisations often use transparent communication channels that strengthen trust between management and employees. Digital collaboration tools, team meetings, and employee-feedback systems improve communication flow and reduce organisational barriers. Employees who understand organisational objectives are more motivated and productive (Ulrich, 2021). Another important feature is continuous employee development. Organisations such as Google and Salesforce invest heavily in professional development, mentoring schemes, leadership training, and learning opportunities. Continuous development is particularly important within project-based organisations because employees must adapt quickly to changing technologies and operational demands (Boxall and Purcell, 2022).</w:t>
      </w:r>
      <w:r>
        <w:br/>
        <w:t>High-performing workplaces also provide attractive employee benefits and wellbeing initiatives. Flexible working arrangements, remote-working opportunities, wellness programmes, healthcare support, and financial incentives are increasingly common. Following the COVID-19 pandemic, employees have placed greater importance on work-life balance and flexibility. Research conducted by CIPD (2024) suggests that flexible working can significantly improve employee satisfaction and retention rates (CIPD, 2024).</w:t>
      </w:r>
      <w:r>
        <w:br/>
        <w:t xml:space="preserve">Organizational culture is another major success factor. Successful employers create inclusive and employee-focused environments where diversity, equality, and recognition are strongly promoted. Employees who feel valued and respected are more likely to remain loyal to organisations and contribute positively towards organisational goals (Wilson, 2022). However, high-performing workplaces are not without criticism. In some organizations, extremely elevated expectations and productivity targets may contribute to stress, fatigue, and burnout. Amazon, for example, has faced criticism regarding demanding operational targets within fulfilment centres. This demonstrates the importance of balancing organisational performance with employee wellbeing and sustainable workload management. Furthermore, organizations that strongly focus on performance may unintentionally create competitive workplace cultures that increase pressure on employees. </w:t>
      </w:r>
      <w:r>
        <w:lastRenderedPageBreak/>
        <w:t>While performance incentives can improve productivity, excessive pressure may reduce employee morale over time if wellbeing support is insufficient.</w:t>
      </w:r>
      <w:r>
        <w:br/>
      </w:r>
      <w:r>
        <w:br/>
        <w:t>Overall, high-performing organisations share several common characteristics including transformational leadership, employee empowerment, transparent communication, continuous development, and inclusive workplace cultures. These HRM practices significantly contribute to employee engagement, workforce stability, innovation, and long-term organisational success (Torrington et al., 2020).</w:t>
      </w:r>
    </w:p>
    <w:p w14:paraId="230BD084" w14:textId="77777777" w:rsidR="00395451" w:rsidRPr="00604366" w:rsidRDefault="00000000">
      <w:pPr>
        <w:pStyle w:val="Heading1"/>
      </w:pPr>
      <w:bookmarkStart w:id="2" w:name="_Toc230464424"/>
      <w:r w:rsidRPr="00604366">
        <w:t>Scenario 2 – Employee Orientation Practices</w:t>
      </w:r>
      <w:bookmarkEnd w:id="2"/>
    </w:p>
    <w:p w14:paraId="174B1D31" w14:textId="6D55FCA5" w:rsidR="00395451" w:rsidRPr="00604366" w:rsidRDefault="00000000">
      <w:r>
        <w:t>Employee orientation programmes are essential HRM practices because they support employee integration, improve confidence, and help new employees understand organisational culture and job responsibilities. Effective induction processes can improve employee engagement, reduce uncertainty, and strengthen long-term retention.</w:t>
      </w:r>
      <w:r>
        <w:br/>
        <w:t>Amazon UK provides a useful example of employee orientation practices within a large multinational organisation. Due to its operational complexity and large workforce, Amazon relies heavily on structured onboarding systems to maintain consistency, efficiency, and workplace safety. Orientation programs include organizational introductions, digital learning systems, operational guidance, and health and safety training.</w:t>
      </w:r>
      <w:r>
        <w:br/>
        <w:t>One strength of Amazon’s orientation programme is its highly structured approach. New employees receive detailed information regarding workplace expectations, company values, productivity targets, and operational procedures. This allows employees to understand organisational standards quickly and adapt more effectively to workplace requirements.</w:t>
      </w:r>
      <w:r>
        <w:br/>
        <w:t>Amazon also uses technology extensively throughout the onboarding process. Online training systems and automated learning platforms improve consistency across multiple fulfilment centres and office locations. Employees can access learning resources electronically, allowing faster and more flexible learning experiences. This approach is particularly beneficial within large-scale organisations where consistency is important.</w:t>
      </w:r>
      <w:r>
        <w:br/>
        <w:t>Another positive aspect is alignment with organisational goals. Amazon strongly emphasises customer satisfaction, operational efficiency, and innovation. These organisational values are integrated into employee induction activities to ensure employees understand organisational priorities from the beginning of employment.</w:t>
      </w:r>
      <w:r>
        <w:br/>
        <w:t>Despite these advantages, several weaknesses can also be identified. One criticism is that orientation processes within highly operational environments may focus excessively on productivity and performance targets. Employees may feel pressured before fully adapting to organisational culture and workplace expectations.</w:t>
      </w:r>
      <w:r>
        <w:br/>
        <w:t xml:space="preserve">Another concern relates to employee wellbeing and emotional support. Research suggests that successful orientation programmes should support both operational learning and social integration. Employees who develop positive workplace relationships while onboarding are more engaged and productive (Bratton and Gold, 2022). Amazon’s induction processes could therefore benefit from stronger interpersonal support mechanisms. Furthermore, Amazon’s orientation system may appear overly standardised. </w:t>
      </w:r>
      <w:r>
        <w:lastRenderedPageBreak/>
        <w:t>Employees possess diverse backgrounds, learning styles, and adjustment needs. A more personalised onboarding approach could improve employee satisfaction and increase confidence during the early employment period.</w:t>
      </w:r>
      <w:r>
        <w:br/>
      </w:r>
      <w:r>
        <w:br/>
        <w:t>Several evidence-based improvements could strengthen Amazon’s orientation practices further. Firstly, mentoring systems could be expanded to allow experienced employees to support new starters during their first few months of employment. Mentoring improves teamwork, communication, and social integration. Secondly, greater emphasis could be placed on employee wellbeing and mental-health support. Since operational environments may become stressful, wellbeing initiatives could reduce absenteeism, turnover, and workplace stress. Thirdly, feedback mechanisms should be used more extensively to evaluate onboarding effectiveness. Surveys, interviews, and employee discussions would help HR managers identify weaknesses and continuously improve orientation practices.</w:t>
      </w:r>
      <w:r>
        <w:br/>
        <w:t>Finally, Amazon could introduce more personalised development pathways during onboarding. Employees often respond positively when organisations demonstrate long-term investment in their professional development from the beginning of employment (Taylor, 2021).</w:t>
      </w:r>
      <w:r>
        <w:br/>
        <w:t>In conclusion, Amazon UK demonstrates several effective orientation practices through structured onboarding, digital learning systems, and operational training. However, improvements relating to mentoring, employee wellbeing, and personalised support could further strengthen employee engagement and retention outcomes.</w:t>
      </w:r>
    </w:p>
    <w:p w14:paraId="37AB8DFC" w14:textId="77777777" w:rsidR="00395451" w:rsidRPr="00604366" w:rsidRDefault="00000000">
      <w:pPr>
        <w:pStyle w:val="Heading1"/>
      </w:pPr>
      <w:bookmarkStart w:id="3" w:name="_Toc230464425"/>
      <w:r w:rsidRPr="00604366">
        <w:t>Scenario 3 – Modern Approaches to Succession Planning</w:t>
      </w:r>
      <w:bookmarkEnd w:id="3"/>
    </w:p>
    <w:p w14:paraId="4B72C454" w14:textId="50B09A6B" w:rsidR="00395451" w:rsidRPr="00604366" w:rsidRDefault="00000000">
      <w:r>
        <w:t>Succession planning refers to the process of identifying and developing employees capable of filling important organisational positions in the future. Traditionally, succession planning focused on replacing senior managers through hierarchical promotion systems. However, modern organisational structures and workforce dynamics have transformed succession-planning approaches.</w:t>
      </w:r>
      <w:r>
        <w:br/>
        <w:t>Traditional succession-planning systems were rigid and based heavily on seniority and managerial recommendations. Employees were commonly promoted according to years of service rather than leadership capability or innovation potential. While this approach provided organisational stability, it often limited workforce diversity and reduced adaptability. Modern succession planning is significantly more flexible, inclusive, and data driven. Contemporary organisations increasingly recognise that leadership potential can exist across multiple organisational levels rather than only within senior management teams. Consequently, organisations now focus more heavily on leadership development, talent pipelines, and continuous workforce planning (Armstrong and Taylor, 2023).</w:t>
      </w:r>
      <w:r>
        <w:br/>
        <w:t xml:space="preserve">Workforce diversity has become a crucial factor influencing succession-planning strategies. Organisations increasingly recognise that diverse leadership teams improve creativity, innovation, and decision-making quality. Modern succession systems therefore attempt to reduce bias and improve equal opportunities within leadership development program. Technological advancement has also transformed succession planning significantly. </w:t>
      </w:r>
      <w:r>
        <w:lastRenderedPageBreak/>
        <w:t>Workforce analytics and HR information systems allow organisations to collect employee-performance data, identify skill gaps, and assess leadership potential more effectively. Organisations such as IBM and Microsoft use predictive analytics to identify high-potential employees and anticipate future workforce needs (IBM, 2023).</w:t>
      </w:r>
      <w:r>
        <w:br/>
        <w:t>Talent pools are another important modern approach. Rather than preparing only one successor for leadership positions, organisations increasingly develop multiple high-potential employees simultaneously. This improves organisational flexibility and reduces risk if key employees leave unexpectedly. However, modern succession-planning systems also create challenges. Heavy reliance on workforce analytics may raise concerns regarding employee monitoring, privacy, and algorithmic bias. Poorly designed systems may unintentionally disadvantage certain employee groups and reduce fairness within promotion decisions. Succession planning may also become more difficult within project-based organisations because project teams are often temporary and organisational structures frequently change. Identifying long-term leadership potential within highly dynamic environments may therefore be more complex. Another challenge is resistance from existing managers. Some senior employees may perceive succession planning as threatening, particularly if organisations prioritise younger or more technologically skilled employees for future leadership positions. To improve planning, organizations should combine workforce analytics with mentoring, coaching, and leadership development programmes. Employees should receive cross-functional experience and regular development opportunities to prepare them for future leadership responsibilities.</w:t>
      </w:r>
      <w:r>
        <w:br/>
        <w:t>Organizations should also ensure succession systems remain transparent and inclusive. Employees are more motivated when promotion processes are perceived as fair and merit based (Robbins and Judge, 2022). Overall, succession planning has evolved from rigid hierarchical systems towards more flexible, analytical, and inclusive approaches. Effective succession planning improves organisational resilience, leadership continuity, and long-term workforce stability within contemporary business environments.</w:t>
      </w:r>
    </w:p>
    <w:p w14:paraId="0CE2A4CF" w14:textId="77777777" w:rsidR="00395451" w:rsidRPr="00604366" w:rsidRDefault="00000000">
      <w:pPr>
        <w:pStyle w:val="Heading1"/>
      </w:pPr>
      <w:bookmarkStart w:id="4" w:name="_Toc230464426"/>
      <w:r w:rsidRPr="00604366">
        <w:t>Scenario 4 – Resourcing and Retention Strategies</w:t>
      </w:r>
      <w:bookmarkEnd w:id="4"/>
    </w:p>
    <w:p w14:paraId="6DD947F4" w14:textId="657CAB98" w:rsidR="00395451" w:rsidRPr="00604366" w:rsidRDefault="00000000">
      <w:r>
        <w:t>Attracting and retaining talented employees has become increasingly challenging due to labour shortages, changing workforce expectations, and growing competition between organisations. Consequently, organisations rely heavily on strategic HRM practices to recruit and retain skilled employees capable of supporting long-term business performance.</w:t>
      </w:r>
      <w:r>
        <w:br/>
        <w:t xml:space="preserve">Inclusive recruitment is one of the most important resourcing strategies used by modern organisations. Workforce diversity improves creativity, innovation, and problem-solving capability. Organisations increasingly attempt to remove bias from recruitment processes by using diverse interview panels, inclusive advertising, and equality-focused hiring policies. Employer branding also strongly influences recruitment success. Organisations recognised for strong workplace cultures, employee wellbeing, and career development opportunities are more attractive to potential employees. Companies such as Google and Deloitte invest heavily in employer branding strategies to attract graduates and experienced professionals. Flexible working arrangements have become particularly </w:t>
      </w:r>
      <w:r>
        <w:lastRenderedPageBreak/>
        <w:t>important following the COVID-19 pandemic. Employees increasingly prioritise work-life balance, hybrid working, and remote-working opportunities when choosing employers. Organisations offering flexibility are therefore more likely to attract and retain talented employees (CIPD, 2024).</w:t>
      </w:r>
      <w:r>
        <w:br/>
      </w:r>
      <w:r>
        <w:br/>
        <w:t>Employee wellbeing programmes are another major retention strategy (CIPD, 2023). Mental-health support, counselling services, stress-management initiatives, and wellness programmes improve employee satisfaction and reduce absenteeism. Employees who feel supported by employers are more committed and productive. Career development opportunities also significantly influence retention. Many employees seek continuous learning, promotion opportunities, and professional qualifications. Organisations failing to provide development pathways may experience higher turnover rates and reduced employee motivation. Employee engagement strategies are equally important. Recognition systems, performance rewards, participative leadership, and collaborative workplace cultures improve organisational loyalty and motivation. Engaged employees are more committed to organizational objectives and project success (Robbins and Judge, 2022).</w:t>
      </w:r>
      <w:r>
        <w:br/>
        <w:t>Despite these advantages, retention strategies may also increase organisational costs. Extensive employee benefits and wellbeing programmes require significant financial investment. Organisations must therefore ensure HR strategies contribute positively towards productivity and long-term performance. Another challenge is managing changing employee expectations. Modern employees increasingly seek meaningful work, flexibility, and personalised career development. Organisations unable to adapt to these expectations may struggle to compete within contemporary labor markets. In addition, generational differences within the workforce can complicate retention strategies. Younger employees may prioritise flexibility and career growth, whereas older employees may place greater emphasis on job security and financial stability. HR managers must therefore adopt flexible strategies capable of meeting diverse workforce expectations. To improve retention, organizations should regularly analyse employee feedback and workforce data. Exit interviews, engagement surveys, and performance reviews can help HR managers identify dissatisfaction factors and improve retention policies. Overall, successful resourcing and retention strategies require organisations to create inclusive, flexible, and supportive working environments. Effective HRM practices significantly improve employee loyalty, workforce stability, organisational performance, and long-term competitiveness (Ulrich, 2021).</w:t>
      </w:r>
    </w:p>
    <w:p w14:paraId="43AA42AB" w14:textId="77777777" w:rsidR="00395451" w:rsidRPr="00604366" w:rsidRDefault="00000000">
      <w:pPr>
        <w:pStyle w:val="Heading1"/>
      </w:pPr>
      <w:bookmarkStart w:id="5" w:name="_Toc230464427"/>
      <w:r w:rsidRPr="00604366">
        <w:t>Scenario 5 – Talent Insight and Strategic Retention</w:t>
      </w:r>
      <w:bookmarkEnd w:id="5"/>
    </w:p>
    <w:p w14:paraId="75CC6AAB" w14:textId="62140A33" w:rsidR="00395451" w:rsidRPr="00604366" w:rsidRDefault="00000000">
      <w:r>
        <w:t xml:space="preserve">Talent insight refers to the use of employee data, workforce analytics, and assessment systems to support strategic HRM decisions. Modern organisations increasingly rely on talent-insight tools to improve recruitment, employee development, and retention strategies. Employee assessment systems are commonly used to evaluate employee competencies, behaviours, leadership potential, and performance levels. Psychometric testing, behavioural interviews, and competency-based assessments help organisations </w:t>
      </w:r>
      <w:r>
        <w:lastRenderedPageBreak/>
        <w:t>identify suitable candidates and future leaders.</w:t>
      </w:r>
      <w:r>
        <w:br/>
        <w:t>One major advantage of talent-insight systems is improved recruitment accuracy. Organisations can identify candidates whose skills, behaviours, and values align with organisational culture and operational requirements. This reduces recruitment errors and improves long-term employee performance.</w:t>
      </w:r>
      <w:r>
        <w:br/>
        <w:t>Talent-insight systems also support personalised employee development. HR managers can identify strengths, weaknesses, and training needs more effectively. Personalised learning plans improve employee engagement and career progression opportunities (Wilson, 2022).</w:t>
      </w:r>
      <w:r>
        <w:br/>
        <w:t>Workforce analytics is another important talent-insight approach. Organisations analyse turnover rates, absenteeism, engagement scores, and performance data to identify workforce trends and retention risks. Predictive analytics can also help organisations anticipate future staffing challenges and workforce shortages (LinkedIn Talent Solutions, 2023).</w:t>
      </w:r>
      <w:r>
        <w:br/>
        <w:t>Employee-feedback mechanisms play an equally key role within strategic retention. Organisations increasingly use engagement surveys, retention surveys, and stay interviews to understand employee concerns and workplace experiences. Unlike exit interviews, stay interviews focus on understanding why employees remain within organisations and what improvements may strengthen retention. Continuous employee feedback improves communication and organisational trust. Employees who feel listened to are more engaged, motivated, and committed to organizational objectives (Taylor, 2021). However, talent-insight systems also present several challenges. Excessive monitoring and data collection may create concerns regarding employee privacy and workplace surveillance. Organisations must therefore ensure workforce data is collected ethically and transparently. Another issue is overreliance on quantitative data. Workforce analytics can provide valuable insights, but employee behaviour and motivation cannot always be fully understood through numerical information alone. HR managers should therefore combine data analysis with interpersonal communication and professional judgement. Talent-insight systems are only effective when HR managers correctly interpret findings and apply them strategically. Poor analysis may result in ineffective HR decisions, unfair assessments, or inaccurate workforce planning (Armstrong and Taylor, 2023).</w:t>
      </w:r>
      <w:r>
        <w:br/>
        <w:t>To maximize effectiveness, organizations should combine quantitative workforce data with qualitative employee feedback. HR strategies should remain flexible and continuously adapt to changing workforce expectations and organizational demands. Furthermore, organizations should ensure employees understand how workforce data is used. Transparency improves trust and reduces concerns regarding unfair monitoring practices. Overall, talent-insight systems and employee-feedback mechanisms significantly support strategic recruitment, employee development, and retention. When used effectively, these systems improve organisational decision-making, workforce stability, and employee satisfaction (Armstrong and Taylor, 2023).</w:t>
      </w:r>
    </w:p>
    <w:p w14:paraId="61F1F988" w14:textId="77777777" w:rsidR="00B5560D" w:rsidRPr="00604366" w:rsidRDefault="00B5560D"/>
    <w:p w14:paraId="3A73D343" w14:textId="77777777" w:rsidR="00B5560D" w:rsidRPr="00604366" w:rsidRDefault="00B5560D"/>
    <w:p w14:paraId="2CE8B5E7" w14:textId="77777777" w:rsidR="00B5560D" w:rsidRPr="00604366" w:rsidRDefault="00B5560D"/>
    <w:p w14:paraId="3E250613" w14:textId="77777777" w:rsidR="00395451" w:rsidRPr="00604366" w:rsidRDefault="00000000">
      <w:pPr>
        <w:pStyle w:val="Heading1"/>
      </w:pPr>
      <w:bookmarkStart w:id="6" w:name="_Toc230464428"/>
      <w:r w:rsidRPr="00604366">
        <w:t>Conclusion</w:t>
      </w:r>
      <w:bookmarkEnd w:id="6"/>
    </w:p>
    <w:p w14:paraId="2D66ECBB" w14:textId="66CCC3D0" w:rsidR="00395451" w:rsidRPr="00604366" w:rsidRDefault="00000000">
      <w:r w:rsidRPr="00604366">
        <w:t xml:space="preserve">Human Resource Management has become increasingly important within contemporary project-based </w:t>
      </w:r>
      <w:proofErr w:type="spellStart"/>
      <w:r w:rsidRPr="00604366">
        <w:t>organisations</w:t>
      </w:r>
      <w:proofErr w:type="spellEnd"/>
      <w:r w:rsidRPr="00604366">
        <w:t xml:space="preserve"> due to workforce changes, </w:t>
      </w:r>
      <w:proofErr w:type="spellStart"/>
      <w:r w:rsidRPr="00604366">
        <w:t>labour</w:t>
      </w:r>
      <w:proofErr w:type="spellEnd"/>
      <w:r w:rsidRPr="00604366">
        <w:t xml:space="preserve">-market challenges, technological development, and changing employee expectations. Strategic HRM practices strongly influence </w:t>
      </w:r>
      <w:proofErr w:type="spellStart"/>
      <w:r w:rsidRPr="00604366">
        <w:t>organisational</w:t>
      </w:r>
      <w:proofErr w:type="spellEnd"/>
      <w:r w:rsidRPr="00604366">
        <w:t xml:space="preserve"> performance, employee engagement, and long-term </w:t>
      </w:r>
      <w:r w:rsidR="00E32FAC" w:rsidRPr="00604366">
        <w:t>competitiveness. This</w:t>
      </w:r>
      <w:r w:rsidRPr="00604366">
        <w:t xml:space="preserve"> report critically examined five important HRM areas relevant to modern </w:t>
      </w:r>
      <w:proofErr w:type="spellStart"/>
      <w:r w:rsidRPr="00604366">
        <w:t>organisations</w:t>
      </w:r>
      <w:proofErr w:type="spellEnd"/>
      <w:r w:rsidRPr="00604366">
        <w:t xml:space="preserve">. High-performing workplaces were shown to share several common characteristics including transformational leadership, employee empowerment, transparent communication, employee development, and inclusive workplace cultures. The evaluation of Amazon UK’s orientation </w:t>
      </w:r>
      <w:proofErr w:type="spellStart"/>
      <w:r w:rsidRPr="00604366">
        <w:t>programme</w:t>
      </w:r>
      <w:proofErr w:type="spellEnd"/>
      <w:r w:rsidRPr="00604366">
        <w:t xml:space="preserve"> demonstrated the importance of structured onboarding, digital learning systems, employee wellbeing, and mentoring </w:t>
      </w:r>
      <w:r w:rsidR="00E32FAC" w:rsidRPr="00604366">
        <w:t>support. The</w:t>
      </w:r>
      <w:r w:rsidRPr="00604366">
        <w:t xml:space="preserve"> report also demonstrated how succession planning has evolved from traditional hierarchical systems towards more flexible and data-driven approaches supported by workforce analytics. Effective resourcing and retention strategies were shown to depend on inclusive recruitment, </w:t>
      </w:r>
      <w:r w:rsidR="00E32FAC" w:rsidRPr="00604366">
        <w:t>well-being</w:t>
      </w:r>
      <w:r w:rsidRPr="00604366">
        <w:t xml:space="preserve"> initiatives, career development opportunities, and employee </w:t>
      </w:r>
      <w:r w:rsidR="00E32FAC" w:rsidRPr="00604366">
        <w:t>engagement. Finally</w:t>
      </w:r>
      <w:r w:rsidRPr="00604366">
        <w:t xml:space="preserve">, talent-insight systems and employee-feedback mechanisms were identified as important tools for improving recruitment accuracy, workforce planning, employee development, and retention strategies. However, </w:t>
      </w:r>
      <w:proofErr w:type="spellStart"/>
      <w:r w:rsidRPr="00604366">
        <w:t>organisations</w:t>
      </w:r>
      <w:proofErr w:type="spellEnd"/>
      <w:r w:rsidRPr="00604366">
        <w:t xml:space="preserve"> must ensure ethical use of employee data and maintain balance between </w:t>
      </w:r>
      <w:proofErr w:type="spellStart"/>
      <w:r w:rsidRPr="00604366">
        <w:t>organisational</w:t>
      </w:r>
      <w:proofErr w:type="spellEnd"/>
      <w:r w:rsidRPr="00604366">
        <w:t xml:space="preserve"> performance and employee </w:t>
      </w:r>
      <w:r w:rsidR="00E32FAC" w:rsidRPr="00604366">
        <w:t>wellbeing. Overall</w:t>
      </w:r>
      <w:r w:rsidRPr="00604366">
        <w:t xml:space="preserve">, </w:t>
      </w:r>
      <w:r w:rsidR="00E32FAC" w:rsidRPr="00604366">
        <w:t>organizations</w:t>
      </w:r>
      <w:r w:rsidRPr="00604366">
        <w:t xml:space="preserve"> that invest in strategic HRM practices are more likely to achieve sustainable growth, workforce stability, employee satisfaction, and long-term </w:t>
      </w:r>
      <w:proofErr w:type="spellStart"/>
      <w:r w:rsidRPr="00604366">
        <w:t>organisational</w:t>
      </w:r>
      <w:proofErr w:type="spellEnd"/>
      <w:r w:rsidRPr="00604366">
        <w:t xml:space="preserve"> success within highly competitive business environments.</w:t>
      </w:r>
      <w:r w:rsidR="00721586" w:rsidRPr="00604366">
        <w:t xml:space="preserve"> </w:t>
      </w:r>
      <w:r w:rsidR="00604366" w:rsidRPr="00604366">
        <w:t>Organizations</w:t>
      </w:r>
      <w:r w:rsidR="00721586" w:rsidRPr="00604366">
        <w:t xml:space="preserve"> capable of integrating strategic HRM with employee wellbeing and organizational adaptability are more likely to achieve sustainable competitive advantage within modern project environments.</w:t>
      </w:r>
    </w:p>
    <w:p w14:paraId="6C9A743D" w14:textId="77777777" w:rsidR="00E32FAC" w:rsidRPr="00604366" w:rsidRDefault="00E32FAC"/>
    <w:p w14:paraId="113F2DF3" w14:textId="77777777" w:rsidR="00E32FAC" w:rsidRPr="00604366" w:rsidRDefault="00E32FAC"/>
    <w:p w14:paraId="0B3BF818" w14:textId="77777777" w:rsidR="00E32FAC" w:rsidRPr="00604366" w:rsidRDefault="00E32FAC"/>
    <w:p w14:paraId="7D69CD54" w14:textId="77777777" w:rsidR="00E32FAC" w:rsidRPr="00604366" w:rsidRDefault="00E32FAC"/>
    <w:p w14:paraId="48D7C3EF" w14:textId="77777777" w:rsidR="00E32FAC" w:rsidRPr="00604366" w:rsidRDefault="00E32FAC"/>
    <w:p w14:paraId="2D8652E8" w14:textId="77777777" w:rsidR="00E32FAC" w:rsidRPr="00604366" w:rsidRDefault="00E32FAC"/>
    <w:p w14:paraId="22093380" w14:textId="77777777" w:rsidR="00E32FAC" w:rsidRPr="00604366" w:rsidRDefault="00E32FAC"/>
    <w:p w14:paraId="1A3F943A" w14:textId="77777777" w:rsidR="00E32FAC" w:rsidRPr="00604366" w:rsidRDefault="00E32FAC"/>
    <w:p w14:paraId="60949600" w14:textId="77777777" w:rsidR="00395451" w:rsidRPr="00604366" w:rsidRDefault="00000000">
      <w:pPr>
        <w:pStyle w:val="Heading1"/>
      </w:pPr>
      <w:bookmarkStart w:id="7" w:name="_Toc230464429"/>
      <w:r w:rsidRPr="00604366">
        <w:lastRenderedPageBreak/>
        <w:t>References</w:t>
      </w:r>
      <w:bookmarkEnd w:id="7"/>
    </w:p>
    <w:p w14:paraId="287D8E59" w14:textId="77777777" w:rsidR="00E32FAC" w:rsidRPr="00604366" w:rsidRDefault="00E32FAC" w:rsidP="00E32FAC">
      <w:pPr>
        <w:pStyle w:val="ListBullet"/>
      </w:pPr>
      <w:r w:rsidRPr="00604366">
        <w:t>Adobe (2024) ‘Corporate Careers and Workplace Culture’. Available at: https://www.adobe.com (Accessed: 22 May 2026).</w:t>
      </w:r>
    </w:p>
    <w:p w14:paraId="73CAA593" w14:textId="77777777" w:rsidR="00E32FAC" w:rsidRPr="00604366" w:rsidRDefault="00E32FAC" w:rsidP="00E32FAC">
      <w:pPr>
        <w:pStyle w:val="ListBullet"/>
      </w:pPr>
      <w:r w:rsidRPr="00604366">
        <w:t>Amazon (2024) ‘Working at Amazon UK’. Available at: https://www.amazon.jobs (Accessed: 22 May 2026).</w:t>
      </w:r>
    </w:p>
    <w:p w14:paraId="403EEFEA" w14:textId="77777777" w:rsidR="00E32FAC" w:rsidRPr="00604366" w:rsidRDefault="00E32FAC" w:rsidP="00E32FAC">
      <w:pPr>
        <w:pStyle w:val="ListBullet"/>
      </w:pPr>
      <w:r w:rsidRPr="00604366">
        <w:t xml:space="preserve">Armstrong, M. and Taylor, S. (2023) Armstrong’s Handbook of Human Resource Management Practice. 16th </w:t>
      </w:r>
      <w:proofErr w:type="spellStart"/>
      <w:r w:rsidRPr="00604366">
        <w:t>edn</w:t>
      </w:r>
      <w:proofErr w:type="spellEnd"/>
      <w:r w:rsidRPr="00604366">
        <w:t>. London: Kogan Page.</w:t>
      </w:r>
    </w:p>
    <w:p w14:paraId="4986B30F" w14:textId="77777777" w:rsidR="00E32FAC" w:rsidRPr="00604366" w:rsidRDefault="00E32FAC" w:rsidP="00E32FAC">
      <w:pPr>
        <w:pStyle w:val="ListBullet"/>
      </w:pPr>
      <w:r w:rsidRPr="00604366">
        <w:t xml:space="preserve">Boxall, P. and Purcell, J. (2022) Strategy and Human Resource Management. 5th </w:t>
      </w:r>
      <w:proofErr w:type="spellStart"/>
      <w:r w:rsidRPr="00604366">
        <w:t>edn</w:t>
      </w:r>
      <w:proofErr w:type="spellEnd"/>
      <w:r w:rsidRPr="00604366">
        <w:t>. London: Red Globe Press.</w:t>
      </w:r>
    </w:p>
    <w:p w14:paraId="4F901220" w14:textId="77777777" w:rsidR="00E32FAC" w:rsidRPr="00604366" w:rsidRDefault="00E32FAC" w:rsidP="00E32FAC">
      <w:pPr>
        <w:pStyle w:val="ListBullet"/>
      </w:pPr>
      <w:r w:rsidRPr="00604366">
        <w:t xml:space="preserve">Bratton, J. and Gold, J. (2022) Human Resource Management: Theory and Practice. 8th </w:t>
      </w:r>
      <w:proofErr w:type="spellStart"/>
      <w:r w:rsidRPr="00604366">
        <w:t>edn</w:t>
      </w:r>
      <w:proofErr w:type="spellEnd"/>
      <w:r w:rsidRPr="00604366">
        <w:t>. London: Palgrave Macmillan.</w:t>
      </w:r>
    </w:p>
    <w:p w14:paraId="651440FF" w14:textId="77777777" w:rsidR="00E32FAC" w:rsidRPr="00604366" w:rsidRDefault="00E32FAC" w:rsidP="00E32FAC">
      <w:pPr>
        <w:pStyle w:val="ListBullet"/>
      </w:pPr>
      <w:r w:rsidRPr="00604366">
        <w:t>CIPD (2024) Flexible Working Practices and Employee Wellbeing. London: Chartered Institute of Personnel and Development.</w:t>
      </w:r>
    </w:p>
    <w:p w14:paraId="550E5BA4" w14:textId="77777777" w:rsidR="00E32FAC" w:rsidRPr="00604366" w:rsidRDefault="00E32FAC" w:rsidP="00E32FAC">
      <w:pPr>
        <w:pStyle w:val="ListBullet"/>
      </w:pPr>
      <w:r w:rsidRPr="00604366">
        <w:t>CIPD (2023) Employee Retention and Turnover Factsheet. London: Chartered Institute of Personnel and Development.</w:t>
      </w:r>
    </w:p>
    <w:p w14:paraId="22DE76BA" w14:textId="77777777" w:rsidR="00E32FAC" w:rsidRPr="00604366" w:rsidRDefault="00E32FAC" w:rsidP="00E32FAC">
      <w:pPr>
        <w:pStyle w:val="ListBullet"/>
      </w:pPr>
      <w:r w:rsidRPr="00604366">
        <w:t>Deloitte (2023) Global Human Capital Trends Report. Available at: https://www2.deloitte.com (Accessed: 22 May 2026).</w:t>
      </w:r>
    </w:p>
    <w:p w14:paraId="4B7D705F" w14:textId="77777777" w:rsidR="00E32FAC" w:rsidRPr="00604366" w:rsidRDefault="00E32FAC" w:rsidP="00E32FAC">
      <w:pPr>
        <w:pStyle w:val="ListBullet"/>
      </w:pPr>
      <w:r w:rsidRPr="00604366">
        <w:t>Forbes (2024) ‘Best Employers and Workplace Culture Rankings’. Available at: https://www.forbes.com (Accessed: 22 May 2026).</w:t>
      </w:r>
    </w:p>
    <w:p w14:paraId="264CCC32" w14:textId="77777777" w:rsidR="00E32FAC" w:rsidRPr="00604366" w:rsidRDefault="00E32FAC" w:rsidP="00E32FAC">
      <w:pPr>
        <w:pStyle w:val="ListBullet"/>
      </w:pPr>
      <w:r w:rsidRPr="00604366">
        <w:t>Google (2024) ‘Careers, Learning and Development’. Available at: https://careers.google.com (Accessed: 22 May 2026).</w:t>
      </w:r>
    </w:p>
    <w:p w14:paraId="6B427247" w14:textId="77777777" w:rsidR="00E32FAC" w:rsidRPr="00604366" w:rsidRDefault="00E32FAC" w:rsidP="00E32FAC">
      <w:pPr>
        <w:pStyle w:val="ListBullet"/>
      </w:pPr>
      <w:r w:rsidRPr="00604366">
        <w:t>Great Place to Work UK (2024) UK’s Best Workplaces Rankings. Available at: https://www.greatplacetowork.co.uk (Accessed: 22 May 2026).</w:t>
      </w:r>
    </w:p>
    <w:p w14:paraId="6F26FF02" w14:textId="77777777" w:rsidR="00E32FAC" w:rsidRPr="00604366" w:rsidRDefault="00E32FAC" w:rsidP="00E32FAC">
      <w:pPr>
        <w:pStyle w:val="ListBullet"/>
      </w:pPr>
      <w:r w:rsidRPr="00604366">
        <w:t>Hilton (2024) Careers and Employee Benefits. Available at: https://jobs.hilton.com (Accessed: 22 May 2026).</w:t>
      </w:r>
    </w:p>
    <w:p w14:paraId="4611DB40" w14:textId="77777777" w:rsidR="00E32FAC" w:rsidRPr="00604366" w:rsidRDefault="00E32FAC" w:rsidP="00E32FAC">
      <w:pPr>
        <w:pStyle w:val="ListBullet"/>
      </w:pPr>
      <w:r w:rsidRPr="00604366">
        <w:t>IBM (2023) Workforce Analytics and Talent Management. Available at: https://www.ibm.com (Accessed: 22 May 2026).</w:t>
      </w:r>
    </w:p>
    <w:p w14:paraId="3614F2E7" w14:textId="77777777" w:rsidR="00E32FAC" w:rsidRPr="00604366" w:rsidRDefault="00E32FAC" w:rsidP="00E32FAC">
      <w:pPr>
        <w:pStyle w:val="ListBullet"/>
      </w:pPr>
      <w:r w:rsidRPr="00604366">
        <w:t>Indeed (2024) Employee Onboarding and Retention Strategies. Available at: https://www.indeed.com (Accessed: 22 May 2026).</w:t>
      </w:r>
    </w:p>
    <w:p w14:paraId="5CB75ACA" w14:textId="77777777" w:rsidR="00E32FAC" w:rsidRPr="00604366" w:rsidRDefault="00E32FAC" w:rsidP="00E32FAC">
      <w:pPr>
        <w:pStyle w:val="ListBullet"/>
      </w:pPr>
      <w:r w:rsidRPr="00604366">
        <w:t>LinkedIn Talent Solutions (2023) Global Talent Trends Report. Available at: https://business.linkedin.com (Accessed: 22 May 2026).</w:t>
      </w:r>
    </w:p>
    <w:p w14:paraId="0122CD2E" w14:textId="77777777" w:rsidR="00E32FAC" w:rsidRPr="00604366" w:rsidRDefault="00E32FAC" w:rsidP="00E32FAC">
      <w:pPr>
        <w:pStyle w:val="ListBullet"/>
      </w:pPr>
      <w:r w:rsidRPr="00604366">
        <w:t>Microsoft (2024) ‘Growth Mindset Culture and Leadership’. Available at: https://www.microsoft.com (Accessed: 22 May 2026).</w:t>
      </w:r>
    </w:p>
    <w:p w14:paraId="2F26105D" w14:textId="77777777" w:rsidR="00E32FAC" w:rsidRPr="00604366" w:rsidRDefault="00E32FAC" w:rsidP="00E32FAC">
      <w:pPr>
        <w:pStyle w:val="ListBullet"/>
      </w:pPr>
      <w:r w:rsidRPr="00604366">
        <w:t xml:space="preserve">Robbins, S. and Judge, T. (2022) </w:t>
      </w:r>
      <w:proofErr w:type="spellStart"/>
      <w:r w:rsidRPr="00604366">
        <w:t>Organisational</w:t>
      </w:r>
      <w:proofErr w:type="spellEnd"/>
      <w:r w:rsidRPr="00604366">
        <w:t xml:space="preserve"> </w:t>
      </w:r>
      <w:proofErr w:type="spellStart"/>
      <w:r w:rsidRPr="00604366">
        <w:t>Behaviour</w:t>
      </w:r>
      <w:proofErr w:type="spellEnd"/>
      <w:r w:rsidRPr="00604366">
        <w:t xml:space="preserve">. 19th </w:t>
      </w:r>
      <w:proofErr w:type="spellStart"/>
      <w:r w:rsidRPr="00604366">
        <w:t>edn</w:t>
      </w:r>
      <w:proofErr w:type="spellEnd"/>
      <w:r w:rsidRPr="00604366">
        <w:t>. Harlow: Pearson Education.</w:t>
      </w:r>
    </w:p>
    <w:p w14:paraId="624E9188" w14:textId="77777777" w:rsidR="00E32FAC" w:rsidRPr="00604366" w:rsidRDefault="00E32FAC" w:rsidP="00E32FAC">
      <w:pPr>
        <w:pStyle w:val="ListBullet"/>
      </w:pPr>
      <w:r w:rsidRPr="00604366">
        <w:t>Salesforce (2024) Employee Success and Workplace Culture. Available at: https://www.salesforce.com (Accessed: 22 May 2026).</w:t>
      </w:r>
    </w:p>
    <w:p w14:paraId="7B31FA43" w14:textId="77777777" w:rsidR="00E32FAC" w:rsidRPr="00604366" w:rsidRDefault="00E32FAC" w:rsidP="00E32FAC">
      <w:pPr>
        <w:pStyle w:val="ListBullet"/>
      </w:pPr>
      <w:r w:rsidRPr="00604366">
        <w:t xml:space="preserve">Taylor, S. (2021) Human Resource Management. 11th </w:t>
      </w:r>
      <w:proofErr w:type="spellStart"/>
      <w:r w:rsidRPr="00604366">
        <w:t>edn</w:t>
      </w:r>
      <w:proofErr w:type="spellEnd"/>
      <w:r w:rsidRPr="00604366">
        <w:t>. London: Kogan Page.</w:t>
      </w:r>
    </w:p>
    <w:p w14:paraId="475ADB6B" w14:textId="77777777" w:rsidR="00E32FAC" w:rsidRPr="00604366" w:rsidRDefault="00E32FAC" w:rsidP="00E32FAC">
      <w:pPr>
        <w:pStyle w:val="ListBullet"/>
      </w:pPr>
      <w:r w:rsidRPr="00604366">
        <w:t xml:space="preserve">Torrington, D., Hall, L., Taylor, S. and Atkinson, C. (2020) Human Resource Management. 11th </w:t>
      </w:r>
      <w:proofErr w:type="spellStart"/>
      <w:r w:rsidRPr="00604366">
        <w:t>edn</w:t>
      </w:r>
      <w:proofErr w:type="spellEnd"/>
      <w:r w:rsidRPr="00604366">
        <w:t>. Harlow: Pearson Education.</w:t>
      </w:r>
    </w:p>
    <w:p w14:paraId="03A0741D" w14:textId="77777777" w:rsidR="00E32FAC" w:rsidRPr="00604366" w:rsidRDefault="00E32FAC" w:rsidP="00E32FAC">
      <w:pPr>
        <w:pStyle w:val="ListBullet"/>
      </w:pPr>
      <w:r w:rsidRPr="00604366">
        <w:t>Ulrich, D. (2021) Human Resource Champions. Boston: Harvard Business School Press.</w:t>
      </w:r>
    </w:p>
    <w:p w14:paraId="3D9320A7" w14:textId="77777777" w:rsidR="00E32FAC" w:rsidRPr="00604366" w:rsidRDefault="00E32FAC" w:rsidP="00E32FAC">
      <w:pPr>
        <w:pStyle w:val="ListBullet"/>
      </w:pPr>
      <w:r w:rsidRPr="00604366">
        <w:t xml:space="preserve">Wilson, J. (2022) Human Resource Development. 8th </w:t>
      </w:r>
      <w:proofErr w:type="spellStart"/>
      <w:r w:rsidRPr="00604366">
        <w:t>edn</w:t>
      </w:r>
      <w:proofErr w:type="spellEnd"/>
      <w:r w:rsidRPr="00604366">
        <w:t>. London: Kogan Page.</w:t>
      </w:r>
    </w:p>
    <w:p w14:paraId="68A3A2F7" w14:textId="77777777" w:rsidR="00E32FAC" w:rsidRPr="00604366" w:rsidRDefault="00E32FAC" w:rsidP="00E32FAC">
      <w:pPr>
        <w:pStyle w:val="Heading2"/>
      </w:pPr>
    </w:p>
    <w:p w14:paraId="3B1ECB50" w14:textId="77777777" w:rsidR="00E32FAC" w:rsidRPr="00604366" w:rsidRDefault="00E32FAC" w:rsidP="00E32FAC">
      <w:pPr>
        <w:pStyle w:val="Heading2"/>
      </w:pPr>
    </w:p>
    <w:p w14:paraId="21B5B250" w14:textId="68AFCB80" w:rsidR="00E32FAC" w:rsidRPr="00604366" w:rsidRDefault="00E32FAC" w:rsidP="00E32FAC">
      <w:pPr>
        <w:pStyle w:val="Heading2"/>
      </w:pPr>
      <w:bookmarkStart w:id="8" w:name="_Toc230464430"/>
      <w:r w:rsidRPr="00604366">
        <w:t>Appendix 1 – Great Place to Work Style Rankings</w:t>
      </w:r>
      <w:bookmarkEnd w:id="8"/>
    </w:p>
    <w:p w14:paraId="52865870" w14:textId="77777777" w:rsidR="00E32FAC" w:rsidRPr="00604366" w:rsidRDefault="00E32FAC" w:rsidP="00E32FAC">
      <w:r w:rsidRPr="00604366">
        <w:rPr>
          <w:noProof/>
        </w:rPr>
        <w:drawing>
          <wp:inline distT="0" distB="0" distL="0" distR="0" wp14:anchorId="71A83781" wp14:editId="5D665529">
            <wp:extent cx="5029200" cy="3972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1.png"/>
                    <pic:cNvPicPr/>
                  </pic:nvPicPr>
                  <pic:blipFill>
                    <a:blip r:embed="rId9"/>
                    <a:stretch>
                      <a:fillRect/>
                    </a:stretch>
                  </pic:blipFill>
                  <pic:spPr>
                    <a:xfrm>
                      <a:off x="0" y="0"/>
                      <a:ext cx="5029200" cy="3972533"/>
                    </a:xfrm>
                    <a:prstGeom prst="rect">
                      <a:avLst/>
                    </a:prstGeom>
                  </pic:spPr>
                </pic:pic>
              </a:graphicData>
            </a:graphic>
          </wp:inline>
        </w:drawing>
      </w:r>
    </w:p>
    <w:p w14:paraId="06FBB56E" w14:textId="77777777" w:rsidR="00E32FAC" w:rsidRPr="00604366" w:rsidRDefault="00E32FAC" w:rsidP="00E32FAC">
      <w:pPr>
        <w:pStyle w:val="Heading2"/>
      </w:pPr>
      <w:bookmarkStart w:id="9" w:name="_Toc230464431"/>
      <w:r w:rsidRPr="00604366">
        <w:t>Appendix 2 – Employee Onboarding Framework</w:t>
      </w:r>
      <w:bookmarkEnd w:id="9"/>
    </w:p>
    <w:p w14:paraId="016BF04A" w14:textId="77777777" w:rsidR="00E32FAC" w:rsidRPr="00604366" w:rsidRDefault="00E32FAC" w:rsidP="00E32FAC">
      <w:r w:rsidRPr="00604366">
        <w:rPr>
          <w:noProof/>
        </w:rPr>
        <w:drawing>
          <wp:inline distT="0" distB="0" distL="0" distR="0" wp14:anchorId="39DDE521" wp14:editId="10ABF7A9">
            <wp:extent cx="5029200" cy="251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chart.png"/>
                    <pic:cNvPicPr/>
                  </pic:nvPicPr>
                  <pic:blipFill>
                    <a:blip r:embed="rId10"/>
                    <a:stretch>
                      <a:fillRect/>
                    </a:stretch>
                  </pic:blipFill>
                  <pic:spPr>
                    <a:xfrm>
                      <a:off x="0" y="0"/>
                      <a:ext cx="5029200" cy="2514600"/>
                    </a:xfrm>
                    <a:prstGeom prst="rect">
                      <a:avLst/>
                    </a:prstGeom>
                  </pic:spPr>
                </pic:pic>
              </a:graphicData>
            </a:graphic>
          </wp:inline>
        </w:drawing>
      </w:r>
    </w:p>
    <w:p w14:paraId="24EE0A9F" w14:textId="77777777" w:rsidR="00E32FAC" w:rsidRPr="00604366" w:rsidRDefault="00E32FAC" w:rsidP="00E32FAC">
      <w:pPr>
        <w:pStyle w:val="Heading2"/>
      </w:pPr>
      <w:bookmarkStart w:id="10" w:name="_Toc230464432"/>
      <w:r w:rsidRPr="00604366">
        <w:lastRenderedPageBreak/>
        <w:t>Appendix 3 – Workforce Analytics Dashboard</w:t>
      </w:r>
      <w:bookmarkEnd w:id="10"/>
    </w:p>
    <w:p w14:paraId="5B1A3108" w14:textId="77777777" w:rsidR="00E32FAC" w:rsidRPr="00604366" w:rsidRDefault="00E32FAC" w:rsidP="00E32FAC">
      <w:r w:rsidRPr="00604366">
        <w:rPr>
          <w:noProof/>
        </w:rPr>
        <w:drawing>
          <wp:inline distT="0" distB="0" distL="0" distR="0" wp14:anchorId="3048CB9D" wp14:editId="73B808DE">
            <wp:extent cx="5029200" cy="38696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alytics.png"/>
                    <pic:cNvPicPr/>
                  </pic:nvPicPr>
                  <pic:blipFill>
                    <a:blip r:embed="rId11"/>
                    <a:stretch>
                      <a:fillRect/>
                    </a:stretch>
                  </pic:blipFill>
                  <pic:spPr>
                    <a:xfrm>
                      <a:off x="0" y="0"/>
                      <a:ext cx="5029200" cy="3869618"/>
                    </a:xfrm>
                    <a:prstGeom prst="rect">
                      <a:avLst/>
                    </a:prstGeom>
                  </pic:spPr>
                </pic:pic>
              </a:graphicData>
            </a:graphic>
          </wp:inline>
        </w:drawing>
      </w:r>
    </w:p>
    <w:p w14:paraId="2E7458DC" w14:textId="1B96331F" w:rsidR="00395451" w:rsidRPr="00604366" w:rsidRDefault="00395451" w:rsidP="00E32FAC">
      <w:pPr>
        <w:pStyle w:val="Heading1"/>
        <w:rPr>
          <w:lang w:val="en-GB"/>
        </w:rPr>
      </w:pPr>
    </w:p>
    <w:sectPr w:rsidR="00395451" w:rsidRPr="00604366"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6BE1E" w14:textId="77777777" w:rsidR="00BD6E0C" w:rsidRPr="00604366" w:rsidRDefault="00BD6E0C" w:rsidP="00B5560D">
      <w:pPr>
        <w:spacing w:after="0" w:line="240" w:lineRule="auto"/>
      </w:pPr>
      <w:r w:rsidRPr="00604366">
        <w:separator/>
      </w:r>
    </w:p>
  </w:endnote>
  <w:endnote w:type="continuationSeparator" w:id="0">
    <w:p w14:paraId="448B58E0" w14:textId="77777777" w:rsidR="00BD6E0C" w:rsidRPr="00604366" w:rsidRDefault="00BD6E0C" w:rsidP="00B5560D">
      <w:pPr>
        <w:spacing w:after="0" w:line="240" w:lineRule="auto"/>
      </w:pPr>
      <w:r w:rsidRPr="006043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986429"/>
      <w:docPartObj>
        <w:docPartGallery w:val="Page Numbers (Bottom of Page)"/>
        <w:docPartUnique/>
      </w:docPartObj>
    </w:sdtPr>
    <w:sdtContent>
      <w:p w14:paraId="1DB2E40A" w14:textId="2A9884FD" w:rsidR="00B5560D" w:rsidRPr="00604366" w:rsidRDefault="00B5560D">
        <w:pPr>
          <w:pStyle w:val="Footer"/>
          <w:jc w:val="center"/>
        </w:pPr>
        <w:r w:rsidRPr="00604366">
          <w:fldChar w:fldCharType="begin"/>
        </w:r>
        <w:r w:rsidRPr="00604366">
          <w:instrText>PAGE   \* MERGEFORMAT</w:instrText>
        </w:r>
        <w:r w:rsidRPr="00604366">
          <w:fldChar w:fldCharType="separate"/>
        </w:r>
        <w:r w:rsidRPr="00604366">
          <w:t>2</w:t>
        </w:r>
        <w:r w:rsidRPr="00604366">
          <w:fldChar w:fldCharType="end"/>
        </w:r>
      </w:p>
    </w:sdtContent>
  </w:sdt>
  <w:p w14:paraId="489A0458" w14:textId="77777777" w:rsidR="00B5560D" w:rsidRPr="00604366" w:rsidRDefault="00B55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D2058" w14:textId="77777777" w:rsidR="00BD6E0C" w:rsidRPr="00604366" w:rsidRDefault="00BD6E0C" w:rsidP="00B5560D">
      <w:pPr>
        <w:spacing w:after="0" w:line="240" w:lineRule="auto"/>
      </w:pPr>
      <w:r w:rsidRPr="00604366">
        <w:separator/>
      </w:r>
    </w:p>
  </w:footnote>
  <w:footnote w:type="continuationSeparator" w:id="0">
    <w:p w14:paraId="71F6BD4F" w14:textId="77777777" w:rsidR="00BD6E0C" w:rsidRPr="00604366" w:rsidRDefault="00BD6E0C" w:rsidP="00B5560D">
      <w:pPr>
        <w:spacing w:after="0" w:line="240" w:lineRule="auto"/>
      </w:pPr>
      <w:r w:rsidRPr="0060436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56921162">
    <w:abstractNumId w:val="8"/>
  </w:num>
  <w:num w:numId="2" w16cid:durableId="1887788302">
    <w:abstractNumId w:val="6"/>
  </w:num>
  <w:num w:numId="3" w16cid:durableId="752050722">
    <w:abstractNumId w:val="5"/>
  </w:num>
  <w:num w:numId="4" w16cid:durableId="1444573263">
    <w:abstractNumId w:val="4"/>
  </w:num>
  <w:num w:numId="5" w16cid:durableId="983434553">
    <w:abstractNumId w:val="7"/>
  </w:num>
  <w:num w:numId="6" w16cid:durableId="1376586215">
    <w:abstractNumId w:val="3"/>
  </w:num>
  <w:num w:numId="7" w16cid:durableId="982731126">
    <w:abstractNumId w:val="2"/>
  </w:num>
  <w:num w:numId="8" w16cid:durableId="122701349">
    <w:abstractNumId w:val="1"/>
  </w:num>
  <w:num w:numId="9" w16cid:durableId="1175917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0D21"/>
    <w:rsid w:val="00130CB9"/>
    <w:rsid w:val="00133BAC"/>
    <w:rsid w:val="0015074B"/>
    <w:rsid w:val="002663F4"/>
    <w:rsid w:val="0029639D"/>
    <w:rsid w:val="002C4FB3"/>
    <w:rsid w:val="002E7631"/>
    <w:rsid w:val="00326F90"/>
    <w:rsid w:val="00395451"/>
    <w:rsid w:val="00435515"/>
    <w:rsid w:val="0054491A"/>
    <w:rsid w:val="0056490F"/>
    <w:rsid w:val="005871CC"/>
    <w:rsid w:val="005A2374"/>
    <w:rsid w:val="005F209C"/>
    <w:rsid w:val="005F2D51"/>
    <w:rsid w:val="00604366"/>
    <w:rsid w:val="00721586"/>
    <w:rsid w:val="008E5F15"/>
    <w:rsid w:val="00A95B70"/>
    <w:rsid w:val="00AA1D8D"/>
    <w:rsid w:val="00AF784B"/>
    <w:rsid w:val="00B1768E"/>
    <w:rsid w:val="00B23DD5"/>
    <w:rsid w:val="00B47730"/>
    <w:rsid w:val="00B5560D"/>
    <w:rsid w:val="00BD6E0C"/>
    <w:rsid w:val="00CB0664"/>
    <w:rsid w:val="00D11029"/>
    <w:rsid w:val="00E03C4E"/>
    <w:rsid w:val="00E32031"/>
    <w:rsid w:val="00E32FA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5312EF"/>
  <w14:defaultImageDpi w14:val="300"/>
  <w15:docId w15:val="{47784B29-7E2B-442A-8B37-CE30E6B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03C4E"/>
    <w:pPr>
      <w:spacing w:after="100"/>
    </w:pPr>
  </w:style>
  <w:style w:type="paragraph" w:styleId="TOC2">
    <w:name w:val="toc 2"/>
    <w:basedOn w:val="Normal"/>
    <w:next w:val="Normal"/>
    <w:autoRedefine/>
    <w:uiPriority w:val="39"/>
    <w:unhideWhenUsed/>
    <w:rsid w:val="00E03C4E"/>
    <w:pPr>
      <w:spacing w:after="100"/>
      <w:ind w:left="220"/>
    </w:pPr>
  </w:style>
  <w:style w:type="character" w:styleId="Hyperlink">
    <w:name w:val="Hyperlink"/>
    <w:basedOn w:val="DefaultParagraphFont"/>
    <w:uiPriority w:val="99"/>
    <w:unhideWhenUsed/>
    <w:rsid w:val="00E03C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4210</Words>
  <Characters>24002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Armin Polyak (1904920)</cp:lastModifiedBy>
  <cp:revision>5</cp:revision>
  <dcterms:created xsi:type="dcterms:W3CDTF">2026-05-24T23:04:00Z</dcterms:created>
  <dcterms:modified xsi:type="dcterms:W3CDTF">2026-05-24T23:08:00Z</dcterms:modified>
  <cp:category/>
</cp:coreProperties>
</file>