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0A862" w14:textId="1E2D5DD5" w:rsidR="00BF678B" w:rsidRPr="00A766F0" w:rsidRDefault="00E763CF" w:rsidP="00BF678B">
      <w:pPr>
        <w:jc w:val="center"/>
        <w:rPr>
          <w:b/>
          <w:bCs/>
          <w:sz w:val="32"/>
          <w:szCs w:val="32"/>
        </w:rPr>
      </w:pPr>
      <w:r w:rsidRPr="00A766F0">
        <w:rPr>
          <w:b/>
          <w:bCs/>
          <w:noProof/>
          <w:sz w:val="32"/>
          <w:szCs w:val="32"/>
        </w:rPr>
        <w:drawing>
          <wp:inline distT="0" distB="0" distL="0" distR="0" wp14:anchorId="4D757DF5" wp14:editId="25231340">
            <wp:extent cx="2468245" cy="904746"/>
            <wp:effectExtent l="0" t="0" r="0" b="0"/>
            <wp:docPr id="1054082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82500"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73355" cy="906619"/>
                    </a:xfrm>
                    <a:prstGeom prst="rect">
                      <a:avLst/>
                    </a:prstGeom>
                    <a:noFill/>
                  </pic:spPr>
                </pic:pic>
              </a:graphicData>
            </a:graphic>
          </wp:inline>
        </w:drawing>
      </w:r>
    </w:p>
    <w:p w14:paraId="6902EC2B" w14:textId="6B4C87BC" w:rsidR="00BF678B" w:rsidRPr="00A766F0" w:rsidRDefault="00BF678B" w:rsidP="00E763CF">
      <w:pPr>
        <w:rPr>
          <w:b/>
          <w:bCs/>
          <w:sz w:val="32"/>
          <w:szCs w:val="32"/>
        </w:rPr>
      </w:pPr>
    </w:p>
    <w:p w14:paraId="302B2249" w14:textId="77777777" w:rsidR="00BF678B" w:rsidRPr="00A766F0" w:rsidRDefault="00000000" w:rsidP="00BF678B">
      <w:pPr>
        <w:jc w:val="center"/>
        <w:rPr>
          <w:b/>
          <w:bCs/>
          <w:sz w:val="22"/>
          <w:szCs w:val="22"/>
        </w:rPr>
      </w:pPr>
      <w:r w:rsidRPr="00A766F0">
        <w:rPr>
          <w:b/>
          <w:bCs/>
          <w:sz w:val="28"/>
          <w:szCs w:val="28"/>
        </w:rPr>
        <w:t>DESIGNING A UNIFIED SECURITY GOVERNANCE FRAMEWORK FOR A CLOUD-BASED, AI-DRIVEN SUPPLY CHAIN ECOSYSTEM</w:t>
      </w:r>
    </w:p>
    <w:p w14:paraId="01CF1D3F" w14:textId="77777777" w:rsidR="002374E6" w:rsidRPr="00A766F0" w:rsidRDefault="00000000" w:rsidP="00BF678B">
      <w:pPr>
        <w:jc w:val="center"/>
        <w:rPr>
          <w:b/>
          <w:bCs/>
          <w:sz w:val="32"/>
          <w:szCs w:val="32"/>
        </w:rPr>
      </w:pPr>
      <w:r w:rsidRPr="00A766F0">
        <w:rPr>
          <w:b/>
          <w:bCs/>
          <w:sz w:val="32"/>
          <w:szCs w:val="32"/>
        </w:rPr>
        <w:t xml:space="preserve">The Case of </w:t>
      </w:r>
      <w:proofErr w:type="spellStart"/>
      <w:r w:rsidRPr="00A766F0">
        <w:rPr>
          <w:b/>
          <w:bCs/>
          <w:sz w:val="32"/>
          <w:szCs w:val="32"/>
        </w:rPr>
        <w:t>AeroLink</w:t>
      </w:r>
      <w:proofErr w:type="spellEnd"/>
      <w:r w:rsidRPr="00A766F0">
        <w:rPr>
          <w:b/>
          <w:bCs/>
          <w:sz w:val="32"/>
          <w:szCs w:val="32"/>
        </w:rPr>
        <w:t xml:space="preserve"> Logistics</w:t>
      </w:r>
      <w:r w:rsidR="00BF678B" w:rsidRPr="00A766F0">
        <w:rPr>
          <w:b/>
          <w:bCs/>
          <w:sz w:val="32"/>
          <w:szCs w:val="32"/>
        </w:rPr>
        <w:t xml:space="preserve"> (ALL)</w:t>
      </w:r>
    </w:p>
    <w:p w14:paraId="3D0CC6B2" w14:textId="77777777" w:rsidR="00E763CF" w:rsidRPr="00A766F0" w:rsidRDefault="00E763CF" w:rsidP="00BF678B">
      <w:pPr>
        <w:jc w:val="center"/>
        <w:rPr>
          <w:b/>
          <w:bCs/>
          <w:sz w:val="32"/>
          <w:szCs w:val="32"/>
        </w:rPr>
      </w:pPr>
    </w:p>
    <w:p w14:paraId="01A19B62" w14:textId="77777777" w:rsidR="002374E6" w:rsidRPr="00A766F0" w:rsidRDefault="00000000" w:rsidP="00BF678B">
      <w:pPr>
        <w:jc w:val="center"/>
        <w:rPr>
          <w:b/>
          <w:bCs/>
          <w:sz w:val="28"/>
          <w:szCs w:val="28"/>
        </w:rPr>
      </w:pPr>
      <w:r w:rsidRPr="00A766F0">
        <w:rPr>
          <w:b/>
          <w:bCs/>
          <w:sz w:val="28"/>
          <w:szCs w:val="28"/>
        </w:rPr>
        <w:t>Programme: MSc Data and Artificial Intelligence</w:t>
      </w:r>
    </w:p>
    <w:p w14:paraId="2FD2B980" w14:textId="77777777" w:rsidR="002374E6" w:rsidRPr="00A766F0" w:rsidRDefault="00000000" w:rsidP="00BF678B">
      <w:pPr>
        <w:jc w:val="center"/>
        <w:rPr>
          <w:b/>
          <w:bCs/>
          <w:sz w:val="28"/>
          <w:szCs w:val="28"/>
        </w:rPr>
      </w:pPr>
      <w:r w:rsidRPr="00A766F0">
        <w:rPr>
          <w:b/>
          <w:bCs/>
          <w:sz w:val="28"/>
          <w:szCs w:val="28"/>
        </w:rPr>
        <w:t>Module: Data Security, Governance and Compliance</w:t>
      </w:r>
    </w:p>
    <w:p w14:paraId="42232522" w14:textId="77777777" w:rsidR="002374E6" w:rsidRPr="00A766F0" w:rsidRDefault="00000000" w:rsidP="00BF678B">
      <w:pPr>
        <w:jc w:val="center"/>
        <w:rPr>
          <w:b/>
          <w:bCs/>
          <w:sz w:val="28"/>
          <w:szCs w:val="28"/>
        </w:rPr>
      </w:pPr>
      <w:r w:rsidRPr="00A766F0">
        <w:rPr>
          <w:b/>
          <w:bCs/>
          <w:sz w:val="28"/>
          <w:szCs w:val="28"/>
        </w:rPr>
        <w:t>Module Code: ACCA7028</w:t>
      </w:r>
    </w:p>
    <w:p w14:paraId="217973B7" w14:textId="77777777" w:rsidR="00E763CF" w:rsidRPr="00A766F0" w:rsidRDefault="00E763CF" w:rsidP="00BF678B">
      <w:pPr>
        <w:jc w:val="center"/>
        <w:rPr>
          <w:b/>
          <w:bCs/>
          <w:sz w:val="32"/>
          <w:szCs w:val="32"/>
        </w:rPr>
      </w:pPr>
    </w:p>
    <w:p w14:paraId="5954548A" w14:textId="1DE4215B" w:rsidR="002374E6" w:rsidRPr="00A766F0" w:rsidRDefault="00A22CC0" w:rsidP="00BF678B">
      <w:pPr>
        <w:jc w:val="center"/>
        <w:rPr>
          <w:b/>
          <w:bCs/>
          <w:sz w:val="32"/>
          <w:szCs w:val="32"/>
        </w:rPr>
      </w:pPr>
      <w:r w:rsidRPr="00A766F0">
        <w:rPr>
          <w:b/>
          <w:bCs/>
          <w:sz w:val="32"/>
          <w:szCs w:val="32"/>
        </w:rPr>
        <w:t>Student</w:t>
      </w:r>
      <w:r w:rsidRPr="00A766F0">
        <w:rPr>
          <w:b/>
          <w:bCs/>
          <w:sz w:val="32"/>
          <w:szCs w:val="32"/>
        </w:rPr>
        <w:t xml:space="preserve"> </w:t>
      </w:r>
      <w:r w:rsidR="00000000" w:rsidRPr="00A766F0">
        <w:rPr>
          <w:b/>
          <w:bCs/>
          <w:sz w:val="32"/>
          <w:szCs w:val="32"/>
        </w:rPr>
        <w:t>Name:</w:t>
      </w:r>
      <w:r w:rsidR="00FD4DE0" w:rsidRPr="00A766F0">
        <w:rPr>
          <w:b/>
          <w:bCs/>
          <w:sz w:val="32"/>
          <w:szCs w:val="32"/>
        </w:rPr>
        <w:t xml:space="preserve"> Pushpendra</w:t>
      </w:r>
    </w:p>
    <w:p w14:paraId="2FC8E957" w14:textId="74FA0D78" w:rsidR="00E763CF" w:rsidRPr="00A766F0" w:rsidRDefault="00000000" w:rsidP="00C8110E">
      <w:pPr>
        <w:jc w:val="center"/>
        <w:rPr>
          <w:b/>
          <w:bCs/>
          <w:sz w:val="32"/>
          <w:szCs w:val="32"/>
        </w:rPr>
      </w:pPr>
      <w:r w:rsidRPr="00A766F0">
        <w:rPr>
          <w:b/>
          <w:bCs/>
          <w:sz w:val="32"/>
          <w:szCs w:val="32"/>
        </w:rPr>
        <w:t>Student ID:</w:t>
      </w:r>
      <w:r w:rsidR="00A22CC0">
        <w:rPr>
          <w:b/>
          <w:bCs/>
          <w:sz w:val="32"/>
          <w:szCs w:val="32"/>
        </w:rPr>
        <w:t>2518411</w:t>
      </w:r>
    </w:p>
    <w:p w14:paraId="4772B45B" w14:textId="56BD4994" w:rsidR="00217CCE" w:rsidRPr="00C8110E" w:rsidRDefault="00C8110E" w:rsidP="00BF678B">
      <w:pPr>
        <w:jc w:val="center"/>
        <w:rPr>
          <w:b/>
          <w:bCs/>
          <w:sz w:val="32"/>
          <w:szCs w:val="32"/>
        </w:rPr>
      </w:pPr>
      <w:r w:rsidRPr="00C8110E">
        <w:rPr>
          <w:rStyle w:val="Strong"/>
          <w:sz w:val="32"/>
          <w:szCs w:val="32"/>
        </w:rPr>
        <w:t>Professor Name:</w:t>
      </w:r>
      <w:r w:rsidRPr="00C8110E">
        <w:rPr>
          <w:sz w:val="32"/>
          <w:szCs w:val="32"/>
        </w:rPr>
        <w:t xml:space="preserve"> </w:t>
      </w:r>
      <w:proofErr w:type="spellStart"/>
      <w:r w:rsidRPr="00C8110E">
        <w:rPr>
          <w:rStyle w:val="Strong"/>
          <w:sz w:val="32"/>
          <w:szCs w:val="32"/>
        </w:rPr>
        <w:t>Vijeyananthan</w:t>
      </w:r>
      <w:proofErr w:type="spellEnd"/>
      <w:r w:rsidRPr="00C8110E">
        <w:rPr>
          <w:rStyle w:val="Strong"/>
          <w:sz w:val="32"/>
          <w:szCs w:val="32"/>
        </w:rPr>
        <w:t xml:space="preserve"> </w:t>
      </w:r>
      <w:proofErr w:type="spellStart"/>
      <w:r w:rsidRPr="00C8110E">
        <w:rPr>
          <w:rStyle w:val="Strong"/>
          <w:sz w:val="32"/>
          <w:szCs w:val="32"/>
        </w:rPr>
        <w:t>Thayananthan</w:t>
      </w:r>
      <w:proofErr w:type="spellEnd"/>
    </w:p>
    <w:p w14:paraId="136742CE" w14:textId="49AC77CF" w:rsidR="00217CCE" w:rsidRPr="00A766F0" w:rsidRDefault="00217CCE">
      <w:pPr>
        <w:rPr>
          <w:b/>
          <w:bCs/>
          <w:sz w:val="28"/>
          <w:szCs w:val="28"/>
        </w:rPr>
      </w:pPr>
      <w:bookmarkStart w:id="0" w:name="_a9xhvu1svgtf" w:colFirst="0" w:colLast="0"/>
      <w:bookmarkStart w:id="1" w:name="_xv4t5np1zlih" w:colFirst="0" w:colLast="0"/>
      <w:bookmarkEnd w:id="0"/>
      <w:bookmarkEnd w:id="1"/>
    </w:p>
    <w:p w14:paraId="750604A7" w14:textId="77777777" w:rsidR="00E763CF" w:rsidRPr="00A766F0" w:rsidRDefault="00E763CF">
      <w:pPr>
        <w:rPr>
          <w:b/>
          <w:bCs/>
          <w:sz w:val="28"/>
          <w:szCs w:val="28"/>
        </w:rPr>
      </w:pPr>
      <w:r w:rsidRPr="00A766F0">
        <w:rPr>
          <w:b/>
          <w:bCs/>
          <w:sz w:val="28"/>
          <w:szCs w:val="28"/>
        </w:rPr>
        <w:br w:type="page"/>
      </w:r>
    </w:p>
    <w:p w14:paraId="13C9FEF9" w14:textId="787D2BCB" w:rsidR="002374E6" w:rsidRPr="00A766F0" w:rsidRDefault="00000000" w:rsidP="00BF678B">
      <w:pPr>
        <w:rPr>
          <w:b/>
          <w:bCs/>
          <w:sz w:val="28"/>
          <w:szCs w:val="28"/>
        </w:rPr>
      </w:pPr>
      <w:r w:rsidRPr="00A766F0">
        <w:rPr>
          <w:b/>
          <w:bCs/>
          <w:sz w:val="28"/>
          <w:szCs w:val="28"/>
        </w:rPr>
        <w:lastRenderedPageBreak/>
        <w:t xml:space="preserve">Abstract  </w:t>
      </w:r>
    </w:p>
    <w:p w14:paraId="30FE58A6" w14:textId="4C720349" w:rsidR="003444AD" w:rsidRPr="00A766F0" w:rsidRDefault="00A0715A" w:rsidP="003444AD">
      <w:r w:rsidRPr="00A766F0">
        <w:t xml:space="preserve">This report represents the complete security governance and compliance required for </w:t>
      </w:r>
      <w:proofErr w:type="spellStart"/>
      <w:r w:rsidRPr="00A766F0">
        <w:t>AeroLink</w:t>
      </w:r>
      <w:proofErr w:type="spellEnd"/>
      <w:r w:rsidRPr="00A766F0">
        <w:t xml:space="preserve"> Logistics (ALL). The organisation is a multinational logistics company with current security risk within an AI cloud environment and outsourcing technology set up. </w:t>
      </w:r>
      <w:r w:rsidR="00E804FB">
        <w:t>The study evaluates cloud security weaknesses, AI, IoT and governance challenges.</w:t>
      </w:r>
      <w:r w:rsidRPr="00A766F0">
        <w:t xml:space="preserve"> The vulnerability in operations of different regions and the challenge of data breaches while exploitation within the data point have resulted in penalties for the organisation under the regulatory environment of the EU. For addressing this gap, this report aims to maintain a better industrial framework and develop a high-security model proposition focusing on the hybrid archive structure to support operations. The report also emphasises </w:t>
      </w:r>
      <w:r w:rsidR="003444AD" w:rsidRPr="00A766F0">
        <w:t xml:space="preserve">on the critical evaluation of the NIST Cyber Security Framework (CSF), ISO/IEC 27001 and COBIT 2019 for proposing an effective governance framework tailored to </w:t>
      </w:r>
      <w:proofErr w:type="spellStart"/>
      <w:r w:rsidR="003444AD" w:rsidRPr="00A766F0">
        <w:t>AeroLink</w:t>
      </w:r>
      <w:proofErr w:type="spellEnd"/>
      <w:r w:rsidR="003444AD" w:rsidRPr="00A766F0">
        <w:t xml:space="preserve"> Logistics (ALL). The solution</w:t>
      </w:r>
      <w:r w:rsidR="006B5DA0" w:rsidRPr="00A766F0">
        <w:t xml:space="preserve"> of the framework </w:t>
      </w:r>
      <w:r w:rsidR="003444AD" w:rsidRPr="00A766F0">
        <w:t>includes</w:t>
      </w:r>
      <w:r w:rsidR="006B5DA0" w:rsidRPr="00A766F0">
        <w:t xml:space="preserve"> the</w:t>
      </w:r>
      <w:r w:rsidR="003444AD" w:rsidRPr="00A766F0">
        <w:t xml:space="preserve"> information security governance</w:t>
      </w:r>
      <w:r w:rsidR="006B5DA0" w:rsidRPr="00A766F0">
        <w:t xml:space="preserve"> and</w:t>
      </w:r>
      <w:r w:rsidR="003444AD" w:rsidRPr="00A766F0">
        <w:t xml:space="preserve"> regulatory compliance</w:t>
      </w:r>
      <w:r w:rsidR="006B5DA0" w:rsidRPr="00A766F0">
        <w:t xml:space="preserve"> </w:t>
      </w:r>
      <w:r w:rsidR="003444AD" w:rsidRPr="00A766F0">
        <w:t>based on the requirements of the assessment.</w:t>
      </w:r>
      <w:r w:rsidR="006B5DA0" w:rsidRPr="00A766F0">
        <w:t xml:space="preserve"> </w:t>
      </w:r>
    </w:p>
    <w:p w14:paraId="6791A861" w14:textId="77777777" w:rsidR="00BF678B" w:rsidRPr="00A766F0" w:rsidRDefault="00000000">
      <w:pPr>
        <w:rPr>
          <w:b/>
          <w:bCs/>
          <w:sz w:val="28"/>
          <w:szCs w:val="28"/>
        </w:rPr>
      </w:pPr>
      <w:bookmarkStart w:id="2" w:name="_pjz2lzynna4p" w:colFirst="0" w:colLast="0"/>
      <w:bookmarkEnd w:id="2"/>
      <w:r w:rsidRPr="00A766F0">
        <w:br w:type="page"/>
      </w:r>
    </w:p>
    <w:sdt>
      <w:sdtPr>
        <w:rPr>
          <w:rFonts w:ascii="Times New Roman" w:eastAsia="Times New Roman" w:hAnsi="Times New Roman" w:cs="Times New Roman"/>
          <w:color w:val="auto"/>
          <w:sz w:val="24"/>
          <w:szCs w:val="24"/>
          <w:lang w:val="en-GB" w:eastAsia="en-GB"/>
        </w:rPr>
        <w:id w:val="-680895457"/>
        <w:docPartObj>
          <w:docPartGallery w:val="Table of Contents"/>
          <w:docPartUnique/>
        </w:docPartObj>
      </w:sdtPr>
      <w:sdtEndPr>
        <w:rPr>
          <w:rFonts w:ascii="Arial" w:hAnsi="Arial"/>
          <w:b/>
          <w:bCs/>
          <w:noProof/>
        </w:rPr>
      </w:sdtEndPr>
      <w:sdtContent>
        <w:p w14:paraId="59F580E1" w14:textId="77777777" w:rsidR="00BF678B" w:rsidRPr="00A766F0" w:rsidRDefault="00000000" w:rsidP="00D03184">
          <w:pPr>
            <w:pStyle w:val="TOCHeading"/>
            <w:spacing w:line="240" w:lineRule="auto"/>
            <w:jc w:val="center"/>
            <w:rPr>
              <w:rFonts w:ascii="Times New Roman" w:hAnsi="Times New Roman" w:cs="Times New Roman"/>
              <w:b/>
              <w:bCs/>
              <w:color w:val="auto"/>
              <w:sz w:val="28"/>
              <w:szCs w:val="28"/>
              <w:lang w:val="en-GB"/>
            </w:rPr>
          </w:pPr>
          <w:r w:rsidRPr="00A766F0">
            <w:rPr>
              <w:rFonts w:ascii="Times New Roman" w:hAnsi="Times New Roman" w:cs="Times New Roman"/>
              <w:b/>
              <w:bCs/>
              <w:color w:val="auto"/>
              <w:sz w:val="28"/>
              <w:szCs w:val="28"/>
              <w:lang w:val="en-GB"/>
            </w:rPr>
            <w:t>Table of Contents</w:t>
          </w:r>
        </w:p>
        <w:p w14:paraId="33EAC257" w14:textId="14F8A1C7" w:rsidR="00563379" w:rsidRPr="00A766F0" w:rsidRDefault="00000000" w:rsidP="00563379">
          <w:pPr>
            <w:pStyle w:val="TOC1"/>
            <w:spacing w:line="240" w:lineRule="auto"/>
            <w:rPr>
              <w:rFonts w:asciiTheme="minorHAnsi" w:eastAsiaTheme="minorEastAsia" w:hAnsiTheme="minorHAnsi" w:cstheme="minorBidi"/>
              <w:b w:val="0"/>
              <w:bCs w:val="0"/>
              <w:kern w:val="2"/>
              <w14:ligatures w14:val="standardContextual"/>
            </w:rPr>
          </w:pPr>
          <w:r w:rsidRPr="00A766F0">
            <w:fldChar w:fldCharType="begin"/>
          </w:r>
          <w:r w:rsidRPr="00A766F0">
            <w:instrText xml:space="preserve"> TOC \o "1-3" \h \z \u </w:instrText>
          </w:r>
          <w:r w:rsidRPr="00A766F0">
            <w:fldChar w:fldCharType="separate"/>
          </w:r>
          <w:hyperlink w:anchor="_Toc234408830" w:history="1">
            <w:r w:rsidR="00563379" w:rsidRPr="00A766F0">
              <w:rPr>
                <w:rStyle w:val="Hyperlink"/>
                <w:color w:val="auto"/>
              </w:rPr>
              <w:t>1. Introduction</w:t>
            </w:r>
            <w:r w:rsidR="00563379" w:rsidRPr="00A766F0">
              <w:rPr>
                <w:webHidden/>
              </w:rPr>
              <w:tab/>
            </w:r>
            <w:r w:rsidR="00563379" w:rsidRPr="00A766F0">
              <w:rPr>
                <w:webHidden/>
              </w:rPr>
              <w:fldChar w:fldCharType="begin"/>
            </w:r>
            <w:r w:rsidR="00563379" w:rsidRPr="00A766F0">
              <w:rPr>
                <w:webHidden/>
              </w:rPr>
              <w:instrText xml:space="preserve"> PAGEREF _Toc234408830 \h </w:instrText>
            </w:r>
            <w:r w:rsidR="00563379" w:rsidRPr="00A766F0">
              <w:rPr>
                <w:webHidden/>
              </w:rPr>
            </w:r>
            <w:r w:rsidR="00563379" w:rsidRPr="00A766F0">
              <w:rPr>
                <w:webHidden/>
              </w:rPr>
              <w:fldChar w:fldCharType="separate"/>
            </w:r>
            <w:r w:rsidR="00563379" w:rsidRPr="00A766F0">
              <w:rPr>
                <w:webHidden/>
              </w:rPr>
              <w:t>4</w:t>
            </w:r>
            <w:r w:rsidR="00563379" w:rsidRPr="00A766F0">
              <w:rPr>
                <w:webHidden/>
              </w:rPr>
              <w:fldChar w:fldCharType="end"/>
            </w:r>
          </w:hyperlink>
        </w:p>
        <w:p w14:paraId="502E51AE" w14:textId="6FE6A04B"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1" w:history="1">
            <w:r w:rsidRPr="00A766F0">
              <w:rPr>
                <w:rStyle w:val="Hyperlink"/>
                <w:color w:val="auto"/>
              </w:rPr>
              <w:t>2. Organisational Background and Explicit Research Assumptions</w:t>
            </w:r>
            <w:r w:rsidRPr="00A766F0">
              <w:rPr>
                <w:webHidden/>
              </w:rPr>
              <w:tab/>
            </w:r>
            <w:r w:rsidRPr="00A766F0">
              <w:rPr>
                <w:webHidden/>
              </w:rPr>
              <w:fldChar w:fldCharType="begin"/>
            </w:r>
            <w:r w:rsidRPr="00A766F0">
              <w:rPr>
                <w:webHidden/>
              </w:rPr>
              <w:instrText xml:space="preserve"> PAGEREF _Toc234408831 \h </w:instrText>
            </w:r>
            <w:r w:rsidRPr="00A766F0">
              <w:rPr>
                <w:webHidden/>
              </w:rPr>
            </w:r>
            <w:r w:rsidRPr="00A766F0">
              <w:rPr>
                <w:webHidden/>
              </w:rPr>
              <w:fldChar w:fldCharType="separate"/>
            </w:r>
            <w:r w:rsidRPr="00A766F0">
              <w:rPr>
                <w:webHidden/>
              </w:rPr>
              <w:t>4</w:t>
            </w:r>
            <w:r w:rsidRPr="00A766F0">
              <w:rPr>
                <w:webHidden/>
              </w:rPr>
              <w:fldChar w:fldCharType="end"/>
            </w:r>
          </w:hyperlink>
        </w:p>
        <w:p w14:paraId="1C006465" w14:textId="0BB23C0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2" w:history="1">
            <w:r w:rsidRPr="00A766F0">
              <w:rPr>
                <w:rStyle w:val="Hyperlink"/>
                <w:noProof/>
                <w:color w:val="auto"/>
              </w:rPr>
              <w:t>2.1 Overview of AeroLink Logistics and Issues</w:t>
            </w:r>
            <w:r w:rsidRPr="00A766F0">
              <w:rPr>
                <w:noProof/>
                <w:webHidden/>
              </w:rPr>
              <w:tab/>
            </w:r>
            <w:r w:rsidRPr="00A766F0">
              <w:rPr>
                <w:noProof/>
                <w:webHidden/>
              </w:rPr>
              <w:fldChar w:fldCharType="begin"/>
            </w:r>
            <w:r w:rsidRPr="00A766F0">
              <w:rPr>
                <w:noProof/>
                <w:webHidden/>
              </w:rPr>
              <w:instrText xml:space="preserve"> PAGEREF _Toc234408832 \h </w:instrText>
            </w:r>
            <w:r w:rsidRPr="00A766F0">
              <w:rPr>
                <w:noProof/>
                <w:webHidden/>
              </w:rPr>
            </w:r>
            <w:r w:rsidRPr="00A766F0">
              <w:rPr>
                <w:noProof/>
                <w:webHidden/>
              </w:rPr>
              <w:fldChar w:fldCharType="separate"/>
            </w:r>
            <w:r w:rsidRPr="00A766F0">
              <w:rPr>
                <w:noProof/>
                <w:webHidden/>
              </w:rPr>
              <w:t>4</w:t>
            </w:r>
            <w:r w:rsidRPr="00A766F0">
              <w:rPr>
                <w:noProof/>
                <w:webHidden/>
              </w:rPr>
              <w:fldChar w:fldCharType="end"/>
            </w:r>
          </w:hyperlink>
        </w:p>
        <w:p w14:paraId="5618248C" w14:textId="6F4B4DF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3" w:history="1">
            <w:r w:rsidRPr="00A766F0">
              <w:rPr>
                <w:rStyle w:val="Hyperlink"/>
                <w:noProof/>
                <w:color w:val="auto"/>
              </w:rPr>
              <w:t>2.2 Assumptions of the Case</w:t>
            </w:r>
            <w:r w:rsidRPr="00A766F0">
              <w:rPr>
                <w:noProof/>
                <w:webHidden/>
              </w:rPr>
              <w:tab/>
            </w:r>
            <w:r w:rsidRPr="00A766F0">
              <w:rPr>
                <w:noProof/>
                <w:webHidden/>
              </w:rPr>
              <w:fldChar w:fldCharType="begin"/>
            </w:r>
            <w:r w:rsidRPr="00A766F0">
              <w:rPr>
                <w:noProof/>
                <w:webHidden/>
              </w:rPr>
              <w:instrText xml:space="preserve"> PAGEREF _Toc234408833 \h </w:instrText>
            </w:r>
            <w:r w:rsidRPr="00A766F0">
              <w:rPr>
                <w:noProof/>
                <w:webHidden/>
              </w:rPr>
            </w:r>
            <w:r w:rsidRPr="00A766F0">
              <w:rPr>
                <w:noProof/>
                <w:webHidden/>
              </w:rPr>
              <w:fldChar w:fldCharType="separate"/>
            </w:r>
            <w:r w:rsidRPr="00A766F0">
              <w:rPr>
                <w:noProof/>
                <w:webHidden/>
              </w:rPr>
              <w:t>6</w:t>
            </w:r>
            <w:r w:rsidRPr="00A766F0">
              <w:rPr>
                <w:noProof/>
                <w:webHidden/>
              </w:rPr>
              <w:fldChar w:fldCharType="end"/>
            </w:r>
          </w:hyperlink>
        </w:p>
        <w:p w14:paraId="773EEEFD" w14:textId="00BBFFC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4" w:history="1">
            <w:r w:rsidRPr="00A766F0">
              <w:rPr>
                <w:rStyle w:val="Hyperlink"/>
                <w:color w:val="auto"/>
              </w:rPr>
              <w:t>3. Literature Review and Research into Security Frameworks</w:t>
            </w:r>
            <w:r w:rsidRPr="00A766F0">
              <w:rPr>
                <w:webHidden/>
              </w:rPr>
              <w:tab/>
            </w:r>
            <w:r w:rsidRPr="00A766F0">
              <w:rPr>
                <w:webHidden/>
              </w:rPr>
              <w:fldChar w:fldCharType="begin"/>
            </w:r>
            <w:r w:rsidRPr="00A766F0">
              <w:rPr>
                <w:webHidden/>
              </w:rPr>
              <w:instrText xml:space="preserve"> PAGEREF _Toc234408834 \h </w:instrText>
            </w:r>
            <w:r w:rsidRPr="00A766F0">
              <w:rPr>
                <w:webHidden/>
              </w:rPr>
            </w:r>
            <w:r w:rsidRPr="00A766F0">
              <w:rPr>
                <w:webHidden/>
              </w:rPr>
              <w:fldChar w:fldCharType="separate"/>
            </w:r>
            <w:r w:rsidRPr="00A766F0">
              <w:rPr>
                <w:webHidden/>
              </w:rPr>
              <w:t>6</w:t>
            </w:r>
            <w:r w:rsidRPr="00A766F0">
              <w:rPr>
                <w:webHidden/>
              </w:rPr>
              <w:fldChar w:fldCharType="end"/>
            </w:r>
          </w:hyperlink>
        </w:p>
        <w:p w14:paraId="446361D6" w14:textId="6478F5F1"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5" w:history="1">
            <w:r w:rsidRPr="00A766F0">
              <w:rPr>
                <w:rStyle w:val="Hyperlink"/>
                <w:noProof/>
                <w:color w:val="auto"/>
              </w:rPr>
              <w:t>3.1 NIST Cybersecurity Framework (CSF)</w:t>
            </w:r>
            <w:r w:rsidRPr="00A766F0">
              <w:rPr>
                <w:noProof/>
                <w:webHidden/>
              </w:rPr>
              <w:tab/>
            </w:r>
            <w:r w:rsidRPr="00A766F0">
              <w:rPr>
                <w:noProof/>
                <w:webHidden/>
              </w:rPr>
              <w:fldChar w:fldCharType="begin"/>
            </w:r>
            <w:r w:rsidRPr="00A766F0">
              <w:rPr>
                <w:noProof/>
                <w:webHidden/>
              </w:rPr>
              <w:instrText xml:space="preserve"> PAGEREF _Toc234408835 \h </w:instrText>
            </w:r>
            <w:r w:rsidRPr="00A766F0">
              <w:rPr>
                <w:noProof/>
                <w:webHidden/>
              </w:rPr>
            </w:r>
            <w:r w:rsidRPr="00A766F0">
              <w:rPr>
                <w:noProof/>
                <w:webHidden/>
              </w:rPr>
              <w:fldChar w:fldCharType="separate"/>
            </w:r>
            <w:r w:rsidRPr="00A766F0">
              <w:rPr>
                <w:noProof/>
                <w:webHidden/>
              </w:rPr>
              <w:t>7</w:t>
            </w:r>
            <w:r w:rsidRPr="00A766F0">
              <w:rPr>
                <w:noProof/>
                <w:webHidden/>
              </w:rPr>
              <w:fldChar w:fldCharType="end"/>
            </w:r>
          </w:hyperlink>
        </w:p>
        <w:p w14:paraId="33AD2762" w14:textId="3F9635E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6" w:history="1">
            <w:r w:rsidRPr="00A766F0">
              <w:rPr>
                <w:rStyle w:val="Hyperlink"/>
                <w:noProof/>
                <w:color w:val="auto"/>
              </w:rPr>
              <w:t>3.2 ISO/IEC 27001 and ISO 27002</w:t>
            </w:r>
            <w:r w:rsidRPr="00A766F0">
              <w:rPr>
                <w:noProof/>
                <w:webHidden/>
              </w:rPr>
              <w:tab/>
            </w:r>
            <w:r w:rsidRPr="00A766F0">
              <w:rPr>
                <w:noProof/>
                <w:webHidden/>
              </w:rPr>
              <w:fldChar w:fldCharType="begin"/>
            </w:r>
            <w:r w:rsidRPr="00A766F0">
              <w:rPr>
                <w:noProof/>
                <w:webHidden/>
              </w:rPr>
              <w:instrText xml:space="preserve"> PAGEREF _Toc234408836 \h </w:instrText>
            </w:r>
            <w:r w:rsidRPr="00A766F0">
              <w:rPr>
                <w:noProof/>
                <w:webHidden/>
              </w:rPr>
            </w:r>
            <w:r w:rsidRPr="00A766F0">
              <w:rPr>
                <w:noProof/>
                <w:webHidden/>
              </w:rPr>
              <w:fldChar w:fldCharType="separate"/>
            </w:r>
            <w:r w:rsidRPr="00A766F0">
              <w:rPr>
                <w:noProof/>
                <w:webHidden/>
              </w:rPr>
              <w:t>9</w:t>
            </w:r>
            <w:r w:rsidRPr="00A766F0">
              <w:rPr>
                <w:noProof/>
                <w:webHidden/>
              </w:rPr>
              <w:fldChar w:fldCharType="end"/>
            </w:r>
          </w:hyperlink>
        </w:p>
        <w:p w14:paraId="14CCAFDF" w14:textId="530BC0FB"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7" w:history="1">
            <w:r w:rsidRPr="00A766F0">
              <w:rPr>
                <w:rStyle w:val="Hyperlink"/>
                <w:noProof/>
                <w:color w:val="auto"/>
              </w:rPr>
              <w:t>3.3 COBIT 2019</w:t>
            </w:r>
            <w:r w:rsidRPr="00A766F0">
              <w:rPr>
                <w:noProof/>
                <w:webHidden/>
              </w:rPr>
              <w:tab/>
            </w:r>
            <w:r w:rsidRPr="00A766F0">
              <w:rPr>
                <w:noProof/>
                <w:webHidden/>
              </w:rPr>
              <w:fldChar w:fldCharType="begin"/>
            </w:r>
            <w:r w:rsidRPr="00A766F0">
              <w:rPr>
                <w:noProof/>
                <w:webHidden/>
              </w:rPr>
              <w:instrText xml:space="preserve"> PAGEREF _Toc234408837 \h </w:instrText>
            </w:r>
            <w:r w:rsidRPr="00A766F0">
              <w:rPr>
                <w:noProof/>
                <w:webHidden/>
              </w:rPr>
            </w:r>
            <w:r w:rsidRPr="00A766F0">
              <w:rPr>
                <w:noProof/>
                <w:webHidden/>
              </w:rPr>
              <w:fldChar w:fldCharType="separate"/>
            </w:r>
            <w:r w:rsidRPr="00A766F0">
              <w:rPr>
                <w:noProof/>
                <w:webHidden/>
              </w:rPr>
              <w:t>10</w:t>
            </w:r>
            <w:r w:rsidRPr="00A766F0">
              <w:rPr>
                <w:noProof/>
                <w:webHidden/>
              </w:rPr>
              <w:fldChar w:fldCharType="end"/>
            </w:r>
          </w:hyperlink>
        </w:p>
        <w:p w14:paraId="0B83CC9D" w14:textId="1DCF9E3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38" w:history="1">
            <w:r w:rsidRPr="00A766F0">
              <w:rPr>
                <w:rStyle w:val="Hyperlink"/>
                <w:noProof/>
                <w:color w:val="auto"/>
              </w:rPr>
              <w:t>3.4 Comparative Analysis of Frameworks</w:t>
            </w:r>
            <w:r w:rsidRPr="00A766F0">
              <w:rPr>
                <w:noProof/>
                <w:webHidden/>
              </w:rPr>
              <w:tab/>
            </w:r>
            <w:r w:rsidRPr="00A766F0">
              <w:rPr>
                <w:noProof/>
                <w:webHidden/>
              </w:rPr>
              <w:fldChar w:fldCharType="begin"/>
            </w:r>
            <w:r w:rsidRPr="00A766F0">
              <w:rPr>
                <w:noProof/>
                <w:webHidden/>
              </w:rPr>
              <w:instrText xml:space="preserve"> PAGEREF _Toc234408838 \h </w:instrText>
            </w:r>
            <w:r w:rsidRPr="00A766F0">
              <w:rPr>
                <w:noProof/>
                <w:webHidden/>
              </w:rPr>
            </w:r>
            <w:r w:rsidRPr="00A766F0">
              <w:rPr>
                <w:noProof/>
                <w:webHidden/>
              </w:rPr>
              <w:fldChar w:fldCharType="separate"/>
            </w:r>
            <w:r w:rsidRPr="00A766F0">
              <w:rPr>
                <w:noProof/>
                <w:webHidden/>
              </w:rPr>
              <w:t>11</w:t>
            </w:r>
            <w:r w:rsidRPr="00A766F0">
              <w:rPr>
                <w:noProof/>
                <w:webHidden/>
              </w:rPr>
              <w:fldChar w:fldCharType="end"/>
            </w:r>
          </w:hyperlink>
        </w:p>
        <w:p w14:paraId="5A4D6B44" w14:textId="4DF2FA4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39" w:history="1">
            <w:r w:rsidRPr="00A766F0">
              <w:rPr>
                <w:rStyle w:val="Hyperlink"/>
                <w:color w:val="auto"/>
              </w:rPr>
              <w:t>4. Proposed Security, Governance, and Compliance Approach for ALL</w:t>
            </w:r>
            <w:r w:rsidRPr="00A766F0">
              <w:rPr>
                <w:webHidden/>
              </w:rPr>
              <w:tab/>
            </w:r>
            <w:r w:rsidRPr="00A766F0">
              <w:rPr>
                <w:webHidden/>
              </w:rPr>
              <w:fldChar w:fldCharType="begin"/>
            </w:r>
            <w:r w:rsidRPr="00A766F0">
              <w:rPr>
                <w:webHidden/>
              </w:rPr>
              <w:instrText xml:space="preserve"> PAGEREF _Toc234408839 \h </w:instrText>
            </w:r>
            <w:r w:rsidRPr="00A766F0">
              <w:rPr>
                <w:webHidden/>
              </w:rPr>
            </w:r>
            <w:r w:rsidRPr="00A766F0">
              <w:rPr>
                <w:webHidden/>
              </w:rPr>
              <w:fldChar w:fldCharType="separate"/>
            </w:r>
            <w:r w:rsidRPr="00A766F0">
              <w:rPr>
                <w:webHidden/>
              </w:rPr>
              <w:t>12</w:t>
            </w:r>
            <w:r w:rsidRPr="00A766F0">
              <w:rPr>
                <w:webHidden/>
              </w:rPr>
              <w:fldChar w:fldCharType="end"/>
            </w:r>
          </w:hyperlink>
        </w:p>
        <w:p w14:paraId="6718ED70" w14:textId="07E7D5D1"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0" w:history="1">
            <w:r w:rsidRPr="00A766F0">
              <w:rPr>
                <w:rStyle w:val="Hyperlink"/>
                <w:noProof/>
                <w:color w:val="auto"/>
              </w:rPr>
              <w:t>4.1 Proposed Integrated Security Framework</w:t>
            </w:r>
            <w:r w:rsidRPr="00A766F0">
              <w:rPr>
                <w:noProof/>
                <w:webHidden/>
              </w:rPr>
              <w:tab/>
            </w:r>
            <w:r w:rsidRPr="00A766F0">
              <w:rPr>
                <w:noProof/>
                <w:webHidden/>
              </w:rPr>
              <w:fldChar w:fldCharType="begin"/>
            </w:r>
            <w:r w:rsidRPr="00A766F0">
              <w:rPr>
                <w:noProof/>
                <w:webHidden/>
              </w:rPr>
              <w:instrText xml:space="preserve"> PAGEREF _Toc234408840 \h </w:instrText>
            </w:r>
            <w:r w:rsidRPr="00A766F0">
              <w:rPr>
                <w:noProof/>
                <w:webHidden/>
              </w:rPr>
            </w:r>
            <w:r w:rsidRPr="00A766F0">
              <w:rPr>
                <w:noProof/>
                <w:webHidden/>
              </w:rPr>
              <w:fldChar w:fldCharType="separate"/>
            </w:r>
            <w:r w:rsidRPr="00A766F0">
              <w:rPr>
                <w:noProof/>
                <w:webHidden/>
              </w:rPr>
              <w:t>12</w:t>
            </w:r>
            <w:r w:rsidRPr="00A766F0">
              <w:rPr>
                <w:noProof/>
                <w:webHidden/>
              </w:rPr>
              <w:fldChar w:fldCharType="end"/>
            </w:r>
          </w:hyperlink>
        </w:p>
        <w:p w14:paraId="4259C471" w14:textId="4BCBC754"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1" w:history="1">
            <w:r w:rsidRPr="00A766F0">
              <w:rPr>
                <w:rStyle w:val="Hyperlink"/>
                <w:noProof/>
                <w:color w:val="auto"/>
              </w:rPr>
              <w:t>4.2 Governance Structure Design</w:t>
            </w:r>
            <w:r w:rsidRPr="00A766F0">
              <w:rPr>
                <w:noProof/>
                <w:webHidden/>
              </w:rPr>
              <w:tab/>
            </w:r>
            <w:r w:rsidRPr="00A766F0">
              <w:rPr>
                <w:noProof/>
                <w:webHidden/>
              </w:rPr>
              <w:fldChar w:fldCharType="begin"/>
            </w:r>
            <w:r w:rsidRPr="00A766F0">
              <w:rPr>
                <w:noProof/>
                <w:webHidden/>
              </w:rPr>
              <w:instrText xml:space="preserve"> PAGEREF _Toc234408841 \h </w:instrText>
            </w:r>
            <w:r w:rsidRPr="00A766F0">
              <w:rPr>
                <w:noProof/>
                <w:webHidden/>
              </w:rPr>
            </w:r>
            <w:r w:rsidRPr="00A766F0">
              <w:rPr>
                <w:noProof/>
                <w:webHidden/>
              </w:rPr>
              <w:fldChar w:fldCharType="separate"/>
            </w:r>
            <w:r w:rsidRPr="00A766F0">
              <w:rPr>
                <w:noProof/>
                <w:webHidden/>
              </w:rPr>
              <w:t>12</w:t>
            </w:r>
            <w:r w:rsidRPr="00A766F0">
              <w:rPr>
                <w:noProof/>
                <w:webHidden/>
              </w:rPr>
              <w:fldChar w:fldCharType="end"/>
            </w:r>
          </w:hyperlink>
        </w:p>
        <w:p w14:paraId="08D20C54" w14:textId="2B017FC8"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2" w:history="1">
            <w:r w:rsidRPr="00A766F0">
              <w:rPr>
                <w:rStyle w:val="Hyperlink"/>
                <w:noProof/>
                <w:color w:val="auto"/>
              </w:rPr>
              <w:t>4.3 Risk Management and Assessment</w:t>
            </w:r>
            <w:r w:rsidRPr="00A766F0">
              <w:rPr>
                <w:noProof/>
                <w:webHidden/>
              </w:rPr>
              <w:tab/>
            </w:r>
            <w:r w:rsidRPr="00A766F0">
              <w:rPr>
                <w:noProof/>
                <w:webHidden/>
              </w:rPr>
              <w:fldChar w:fldCharType="begin"/>
            </w:r>
            <w:r w:rsidRPr="00A766F0">
              <w:rPr>
                <w:noProof/>
                <w:webHidden/>
              </w:rPr>
              <w:instrText xml:space="preserve"> PAGEREF _Toc234408842 \h </w:instrText>
            </w:r>
            <w:r w:rsidRPr="00A766F0">
              <w:rPr>
                <w:noProof/>
                <w:webHidden/>
              </w:rPr>
            </w:r>
            <w:r w:rsidRPr="00A766F0">
              <w:rPr>
                <w:noProof/>
                <w:webHidden/>
              </w:rPr>
              <w:fldChar w:fldCharType="separate"/>
            </w:r>
            <w:r w:rsidRPr="00A766F0">
              <w:rPr>
                <w:noProof/>
                <w:webHidden/>
              </w:rPr>
              <w:t>14</w:t>
            </w:r>
            <w:r w:rsidRPr="00A766F0">
              <w:rPr>
                <w:noProof/>
                <w:webHidden/>
              </w:rPr>
              <w:fldChar w:fldCharType="end"/>
            </w:r>
          </w:hyperlink>
        </w:p>
        <w:p w14:paraId="7D2FADDB" w14:textId="6FC214BE"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3" w:history="1">
            <w:r w:rsidRPr="00A766F0">
              <w:rPr>
                <w:rStyle w:val="Hyperlink"/>
                <w:noProof/>
                <w:color w:val="auto"/>
              </w:rPr>
              <w:t>4.4 Security Policies and Access Controls</w:t>
            </w:r>
            <w:r w:rsidRPr="00A766F0">
              <w:rPr>
                <w:noProof/>
                <w:webHidden/>
              </w:rPr>
              <w:tab/>
            </w:r>
            <w:r w:rsidRPr="00A766F0">
              <w:rPr>
                <w:noProof/>
                <w:webHidden/>
              </w:rPr>
              <w:fldChar w:fldCharType="begin"/>
            </w:r>
            <w:r w:rsidRPr="00A766F0">
              <w:rPr>
                <w:noProof/>
                <w:webHidden/>
              </w:rPr>
              <w:instrText xml:space="preserve"> PAGEREF _Toc234408843 \h </w:instrText>
            </w:r>
            <w:r w:rsidRPr="00A766F0">
              <w:rPr>
                <w:noProof/>
                <w:webHidden/>
              </w:rPr>
            </w:r>
            <w:r w:rsidRPr="00A766F0">
              <w:rPr>
                <w:noProof/>
                <w:webHidden/>
              </w:rPr>
              <w:fldChar w:fldCharType="separate"/>
            </w:r>
            <w:r w:rsidRPr="00A766F0">
              <w:rPr>
                <w:noProof/>
                <w:webHidden/>
              </w:rPr>
              <w:t>15</w:t>
            </w:r>
            <w:r w:rsidRPr="00A766F0">
              <w:rPr>
                <w:noProof/>
                <w:webHidden/>
              </w:rPr>
              <w:fldChar w:fldCharType="end"/>
            </w:r>
          </w:hyperlink>
        </w:p>
        <w:p w14:paraId="292DA55E" w14:textId="15EEA40F"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4" w:history="1">
            <w:r w:rsidRPr="00A766F0">
              <w:rPr>
                <w:rStyle w:val="Hyperlink"/>
                <w:noProof/>
                <w:color w:val="auto"/>
              </w:rPr>
              <w:t>4.5 Compliance, Legal Considerations and Vendor</w:t>
            </w:r>
            <w:r w:rsidRPr="00A766F0">
              <w:rPr>
                <w:noProof/>
                <w:webHidden/>
              </w:rPr>
              <w:tab/>
            </w:r>
            <w:r w:rsidRPr="00A766F0">
              <w:rPr>
                <w:noProof/>
                <w:webHidden/>
              </w:rPr>
              <w:fldChar w:fldCharType="begin"/>
            </w:r>
            <w:r w:rsidRPr="00A766F0">
              <w:rPr>
                <w:noProof/>
                <w:webHidden/>
              </w:rPr>
              <w:instrText xml:space="preserve"> PAGEREF _Toc234408844 \h </w:instrText>
            </w:r>
            <w:r w:rsidRPr="00A766F0">
              <w:rPr>
                <w:noProof/>
                <w:webHidden/>
              </w:rPr>
            </w:r>
            <w:r w:rsidRPr="00A766F0">
              <w:rPr>
                <w:noProof/>
                <w:webHidden/>
              </w:rPr>
              <w:fldChar w:fldCharType="separate"/>
            </w:r>
            <w:r w:rsidRPr="00A766F0">
              <w:rPr>
                <w:noProof/>
                <w:webHidden/>
              </w:rPr>
              <w:t>16</w:t>
            </w:r>
            <w:r w:rsidRPr="00A766F0">
              <w:rPr>
                <w:noProof/>
                <w:webHidden/>
              </w:rPr>
              <w:fldChar w:fldCharType="end"/>
            </w:r>
          </w:hyperlink>
        </w:p>
        <w:p w14:paraId="572DD5E6" w14:textId="6F2773C9"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5" w:history="1">
            <w:r w:rsidRPr="00A766F0">
              <w:rPr>
                <w:rStyle w:val="Hyperlink"/>
                <w:noProof/>
                <w:color w:val="auto"/>
              </w:rPr>
              <w:t>4.7 Contingency Planning</w:t>
            </w:r>
            <w:r w:rsidRPr="00A766F0">
              <w:rPr>
                <w:noProof/>
                <w:webHidden/>
              </w:rPr>
              <w:tab/>
            </w:r>
            <w:r w:rsidRPr="00A766F0">
              <w:rPr>
                <w:noProof/>
                <w:webHidden/>
              </w:rPr>
              <w:fldChar w:fldCharType="begin"/>
            </w:r>
            <w:r w:rsidRPr="00A766F0">
              <w:rPr>
                <w:noProof/>
                <w:webHidden/>
              </w:rPr>
              <w:instrText xml:space="preserve"> PAGEREF _Toc234408845 \h </w:instrText>
            </w:r>
            <w:r w:rsidRPr="00A766F0">
              <w:rPr>
                <w:noProof/>
                <w:webHidden/>
              </w:rPr>
            </w:r>
            <w:r w:rsidRPr="00A766F0">
              <w:rPr>
                <w:noProof/>
                <w:webHidden/>
              </w:rPr>
              <w:fldChar w:fldCharType="separate"/>
            </w:r>
            <w:r w:rsidRPr="00A766F0">
              <w:rPr>
                <w:noProof/>
                <w:webHidden/>
              </w:rPr>
              <w:t>17</w:t>
            </w:r>
            <w:r w:rsidRPr="00A766F0">
              <w:rPr>
                <w:noProof/>
                <w:webHidden/>
              </w:rPr>
              <w:fldChar w:fldCharType="end"/>
            </w:r>
          </w:hyperlink>
        </w:p>
        <w:p w14:paraId="1473AEBA" w14:textId="14032167"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46" w:history="1">
            <w:r w:rsidRPr="00A766F0">
              <w:rPr>
                <w:rStyle w:val="Hyperlink"/>
                <w:color w:val="auto"/>
              </w:rPr>
              <w:t>5. Critical Discussion: Importance of Continuous Regulatory and Standards Updates</w:t>
            </w:r>
            <w:r w:rsidRPr="00A766F0">
              <w:rPr>
                <w:webHidden/>
              </w:rPr>
              <w:tab/>
            </w:r>
            <w:r w:rsidRPr="00A766F0">
              <w:rPr>
                <w:webHidden/>
              </w:rPr>
              <w:fldChar w:fldCharType="begin"/>
            </w:r>
            <w:r w:rsidRPr="00A766F0">
              <w:rPr>
                <w:webHidden/>
              </w:rPr>
              <w:instrText xml:space="preserve"> PAGEREF _Toc234408846 \h </w:instrText>
            </w:r>
            <w:r w:rsidRPr="00A766F0">
              <w:rPr>
                <w:webHidden/>
              </w:rPr>
            </w:r>
            <w:r w:rsidRPr="00A766F0">
              <w:rPr>
                <w:webHidden/>
              </w:rPr>
              <w:fldChar w:fldCharType="separate"/>
            </w:r>
            <w:r w:rsidRPr="00A766F0">
              <w:rPr>
                <w:webHidden/>
              </w:rPr>
              <w:t>17</w:t>
            </w:r>
            <w:r w:rsidRPr="00A766F0">
              <w:rPr>
                <w:webHidden/>
              </w:rPr>
              <w:fldChar w:fldCharType="end"/>
            </w:r>
          </w:hyperlink>
        </w:p>
        <w:p w14:paraId="3502C4B4" w14:textId="4A029ACC"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7" w:history="1">
            <w:r w:rsidRPr="00A766F0">
              <w:rPr>
                <w:rStyle w:val="Hyperlink"/>
                <w:noProof/>
                <w:color w:val="auto"/>
              </w:rPr>
              <w:t>5.1 New Technologies and Evolving Threats</w:t>
            </w:r>
            <w:r w:rsidRPr="00A766F0">
              <w:rPr>
                <w:noProof/>
                <w:webHidden/>
              </w:rPr>
              <w:tab/>
            </w:r>
            <w:r w:rsidRPr="00A766F0">
              <w:rPr>
                <w:noProof/>
                <w:webHidden/>
              </w:rPr>
              <w:fldChar w:fldCharType="begin"/>
            </w:r>
            <w:r w:rsidRPr="00A766F0">
              <w:rPr>
                <w:noProof/>
                <w:webHidden/>
              </w:rPr>
              <w:instrText xml:space="preserve"> PAGEREF _Toc234408847 \h </w:instrText>
            </w:r>
            <w:r w:rsidRPr="00A766F0">
              <w:rPr>
                <w:noProof/>
                <w:webHidden/>
              </w:rPr>
            </w:r>
            <w:r w:rsidRPr="00A766F0">
              <w:rPr>
                <w:noProof/>
                <w:webHidden/>
              </w:rPr>
              <w:fldChar w:fldCharType="separate"/>
            </w:r>
            <w:r w:rsidRPr="00A766F0">
              <w:rPr>
                <w:noProof/>
                <w:webHidden/>
              </w:rPr>
              <w:t>17</w:t>
            </w:r>
            <w:r w:rsidRPr="00A766F0">
              <w:rPr>
                <w:noProof/>
                <w:webHidden/>
              </w:rPr>
              <w:fldChar w:fldCharType="end"/>
            </w:r>
          </w:hyperlink>
        </w:p>
        <w:p w14:paraId="4640EA88" w14:textId="5AD51698"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8" w:history="1">
            <w:r w:rsidRPr="00A766F0">
              <w:rPr>
                <w:rStyle w:val="Hyperlink"/>
                <w:noProof/>
                <w:color w:val="auto"/>
              </w:rPr>
              <w:t>5.2 Necessity of Continuous Regulatory Standard Updates</w:t>
            </w:r>
            <w:r w:rsidRPr="00A766F0">
              <w:rPr>
                <w:noProof/>
                <w:webHidden/>
              </w:rPr>
              <w:tab/>
            </w:r>
            <w:r w:rsidRPr="00A766F0">
              <w:rPr>
                <w:noProof/>
                <w:webHidden/>
              </w:rPr>
              <w:fldChar w:fldCharType="begin"/>
            </w:r>
            <w:r w:rsidRPr="00A766F0">
              <w:rPr>
                <w:noProof/>
                <w:webHidden/>
              </w:rPr>
              <w:instrText xml:space="preserve"> PAGEREF _Toc234408848 \h </w:instrText>
            </w:r>
            <w:r w:rsidRPr="00A766F0">
              <w:rPr>
                <w:noProof/>
                <w:webHidden/>
              </w:rPr>
            </w:r>
            <w:r w:rsidRPr="00A766F0">
              <w:rPr>
                <w:noProof/>
                <w:webHidden/>
              </w:rPr>
              <w:fldChar w:fldCharType="separate"/>
            </w:r>
            <w:r w:rsidRPr="00A766F0">
              <w:rPr>
                <w:noProof/>
                <w:webHidden/>
              </w:rPr>
              <w:t>18</w:t>
            </w:r>
            <w:r w:rsidRPr="00A766F0">
              <w:rPr>
                <w:noProof/>
                <w:webHidden/>
              </w:rPr>
              <w:fldChar w:fldCharType="end"/>
            </w:r>
          </w:hyperlink>
        </w:p>
        <w:p w14:paraId="437245A3" w14:textId="4DD1AFDA" w:rsidR="00563379" w:rsidRPr="00A766F0" w:rsidRDefault="00563379" w:rsidP="00563379">
          <w:pPr>
            <w:pStyle w:val="TOC2"/>
            <w:tabs>
              <w:tab w:val="right" w:leader="dot" w:pos="9350"/>
            </w:tabs>
            <w:spacing w:line="240" w:lineRule="auto"/>
            <w:rPr>
              <w:rFonts w:asciiTheme="minorHAnsi" w:eastAsiaTheme="minorEastAsia" w:hAnsiTheme="minorHAnsi" w:cstheme="minorBidi"/>
              <w:noProof/>
              <w:kern w:val="2"/>
              <w14:ligatures w14:val="standardContextual"/>
            </w:rPr>
          </w:pPr>
          <w:hyperlink w:anchor="_Toc234408849" w:history="1">
            <w:r w:rsidRPr="00A766F0">
              <w:rPr>
                <w:rStyle w:val="Hyperlink"/>
                <w:noProof/>
                <w:color w:val="auto"/>
              </w:rPr>
              <w:t>5.3 Consequences of Outdated Security Standards</w:t>
            </w:r>
            <w:r w:rsidRPr="00A766F0">
              <w:rPr>
                <w:noProof/>
                <w:webHidden/>
              </w:rPr>
              <w:tab/>
            </w:r>
            <w:r w:rsidRPr="00A766F0">
              <w:rPr>
                <w:noProof/>
                <w:webHidden/>
              </w:rPr>
              <w:fldChar w:fldCharType="begin"/>
            </w:r>
            <w:r w:rsidRPr="00A766F0">
              <w:rPr>
                <w:noProof/>
                <w:webHidden/>
              </w:rPr>
              <w:instrText xml:space="preserve"> PAGEREF _Toc234408849 \h </w:instrText>
            </w:r>
            <w:r w:rsidRPr="00A766F0">
              <w:rPr>
                <w:noProof/>
                <w:webHidden/>
              </w:rPr>
            </w:r>
            <w:r w:rsidRPr="00A766F0">
              <w:rPr>
                <w:noProof/>
                <w:webHidden/>
              </w:rPr>
              <w:fldChar w:fldCharType="separate"/>
            </w:r>
            <w:r w:rsidRPr="00A766F0">
              <w:rPr>
                <w:noProof/>
                <w:webHidden/>
              </w:rPr>
              <w:t>19</w:t>
            </w:r>
            <w:r w:rsidRPr="00A766F0">
              <w:rPr>
                <w:noProof/>
                <w:webHidden/>
              </w:rPr>
              <w:fldChar w:fldCharType="end"/>
            </w:r>
          </w:hyperlink>
        </w:p>
        <w:p w14:paraId="11E65D14" w14:textId="37B76596"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50" w:history="1">
            <w:r w:rsidRPr="00A766F0">
              <w:rPr>
                <w:rStyle w:val="Hyperlink"/>
                <w:color w:val="auto"/>
              </w:rPr>
              <w:t>6. Conclusion</w:t>
            </w:r>
            <w:r w:rsidRPr="00A766F0">
              <w:rPr>
                <w:webHidden/>
              </w:rPr>
              <w:tab/>
            </w:r>
            <w:r w:rsidRPr="00A766F0">
              <w:rPr>
                <w:webHidden/>
              </w:rPr>
              <w:fldChar w:fldCharType="begin"/>
            </w:r>
            <w:r w:rsidRPr="00A766F0">
              <w:rPr>
                <w:webHidden/>
              </w:rPr>
              <w:instrText xml:space="preserve"> PAGEREF _Toc234408850 \h </w:instrText>
            </w:r>
            <w:r w:rsidRPr="00A766F0">
              <w:rPr>
                <w:webHidden/>
              </w:rPr>
            </w:r>
            <w:r w:rsidRPr="00A766F0">
              <w:rPr>
                <w:webHidden/>
              </w:rPr>
              <w:fldChar w:fldCharType="separate"/>
            </w:r>
            <w:r w:rsidRPr="00A766F0">
              <w:rPr>
                <w:webHidden/>
              </w:rPr>
              <w:t>19</w:t>
            </w:r>
            <w:r w:rsidRPr="00A766F0">
              <w:rPr>
                <w:webHidden/>
              </w:rPr>
              <w:fldChar w:fldCharType="end"/>
            </w:r>
          </w:hyperlink>
        </w:p>
        <w:p w14:paraId="4D8D7A18" w14:textId="32AEE831" w:rsidR="00563379" w:rsidRPr="00A766F0" w:rsidRDefault="00563379" w:rsidP="00563379">
          <w:pPr>
            <w:pStyle w:val="TOC1"/>
            <w:spacing w:line="240" w:lineRule="auto"/>
            <w:rPr>
              <w:rFonts w:asciiTheme="minorHAnsi" w:eastAsiaTheme="minorEastAsia" w:hAnsiTheme="minorHAnsi" w:cstheme="minorBidi"/>
              <w:b w:val="0"/>
              <w:bCs w:val="0"/>
              <w:kern w:val="2"/>
              <w14:ligatures w14:val="standardContextual"/>
            </w:rPr>
          </w:pPr>
          <w:hyperlink w:anchor="_Toc234408851" w:history="1">
            <w:r w:rsidRPr="00A766F0">
              <w:rPr>
                <w:rStyle w:val="Hyperlink"/>
                <w:color w:val="auto"/>
              </w:rPr>
              <w:t>References</w:t>
            </w:r>
            <w:r w:rsidRPr="00A766F0">
              <w:rPr>
                <w:webHidden/>
              </w:rPr>
              <w:tab/>
            </w:r>
            <w:r w:rsidRPr="00A766F0">
              <w:rPr>
                <w:webHidden/>
              </w:rPr>
              <w:fldChar w:fldCharType="begin"/>
            </w:r>
            <w:r w:rsidRPr="00A766F0">
              <w:rPr>
                <w:webHidden/>
              </w:rPr>
              <w:instrText xml:space="preserve"> PAGEREF _Toc234408851 \h </w:instrText>
            </w:r>
            <w:r w:rsidRPr="00A766F0">
              <w:rPr>
                <w:webHidden/>
              </w:rPr>
            </w:r>
            <w:r w:rsidRPr="00A766F0">
              <w:rPr>
                <w:webHidden/>
              </w:rPr>
              <w:fldChar w:fldCharType="separate"/>
            </w:r>
            <w:r w:rsidRPr="00A766F0">
              <w:rPr>
                <w:webHidden/>
              </w:rPr>
              <w:t>21</w:t>
            </w:r>
            <w:r w:rsidRPr="00A766F0">
              <w:rPr>
                <w:webHidden/>
              </w:rPr>
              <w:fldChar w:fldCharType="end"/>
            </w:r>
          </w:hyperlink>
        </w:p>
        <w:p w14:paraId="748D7435" w14:textId="4791BC8A" w:rsidR="00BF678B" w:rsidRPr="00A766F0" w:rsidRDefault="00000000" w:rsidP="00563379">
          <w:pPr>
            <w:spacing w:line="240" w:lineRule="auto"/>
            <w:rPr>
              <w:b/>
              <w:bCs/>
              <w:noProof/>
            </w:rPr>
          </w:pPr>
          <w:r w:rsidRPr="00A766F0">
            <w:rPr>
              <w:b/>
              <w:bCs/>
              <w:noProof/>
            </w:rPr>
            <w:fldChar w:fldCharType="end"/>
          </w:r>
        </w:p>
      </w:sdtContent>
    </w:sdt>
    <w:p w14:paraId="71B01D19" w14:textId="25F1D584" w:rsidR="002374E6" w:rsidRPr="00A766F0" w:rsidRDefault="00820AB2" w:rsidP="00563379">
      <w:pPr>
        <w:pStyle w:val="Heading1"/>
      </w:pPr>
      <w:r w:rsidRPr="00A766F0">
        <w:br w:type="page"/>
      </w:r>
      <w:bookmarkStart w:id="3" w:name="_Toc234408830"/>
      <w:r w:rsidR="00563379" w:rsidRPr="00A766F0">
        <w:lastRenderedPageBreak/>
        <w:t>1</w:t>
      </w:r>
      <w:r w:rsidRPr="00A766F0">
        <w:t>. Introduction</w:t>
      </w:r>
      <w:bookmarkEnd w:id="3"/>
      <w:r w:rsidRPr="00A766F0">
        <w:t xml:space="preserve">  </w:t>
      </w:r>
    </w:p>
    <w:p w14:paraId="0C592E10" w14:textId="5D42BC52" w:rsidR="002374E6" w:rsidRPr="00A766F0" w:rsidRDefault="00000000">
      <w:r w:rsidRPr="00A766F0">
        <w:t>The increasing adoption of digital environments through cloud computing, artificial intelligence (AI), Internet of Things (IoT) and other digital environments has led to a transformation in the operational landscape of modern organisations</w:t>
      </w:r>
      <w:r w:rsidR="00FD19FD" w:rsidRPr="00A766F0">
        <w:t xml:space="preserve">. The </w:t>
      </w:r>
      <w:r w:rsidRPr="00A766F0">
        <w:t xml:space="preserve">cybersecurity and governance risks </w:t>
      </w:r>
      <w:r w:rsidR="00E541E1" w:rsidRPr="00A766F0">
        <w:t>can be directly affected with the</w:t>
      </w:r>
      <w:r w:rsidRPr="00A766F0">
        <w:t xml:space="preserve"> nature of the digital ecosystem and cloud infrastructure, which has developed different threats, including cyber vulnerability, insider threat, data breach, and other non-compliance with the regulatory environment</w:t>
      </w:r>
      <w:r w:rsidR="00FD19FD" w:rsidRPr="00A766F0">
        <w:t xml:space="preserve"> [9]</w:t>
      </w:r>
      <w:r w:rsidRPr="00A766F0">
        <w:t xml:space="preserve">. </w:t>
      </w:r>
      <w:r w:rsidR="00F31878" w:rsidRPr="00A766F0">
        <w:t xml:space="preserve"> </w:t>
      </w:r>
    </w:p>
    <w:p w14:paraId="5448D788" w14:textId="654D8BB0" w:rsidR="002374E6" w:rsidRPr="00A766F0" w:rsidRDefault="00000000">
      <w:proofErr w:type="spellStart"/>
      <w:r w:rsidRPr="00A766F0">
        <w:rPr>
          <w:b/>
          <w:bCs/>
          <w:i/>
          <w:iCs/>
        </w:rPr>
        <w:t>AeroLink</w:t>
      </w:r>
      <w:proofErr w:type="spellEnd"/>
      <w:r w:rsidRPr="00A766F0">
        <w:rPr>
          <w:b/>
          <w:bCs/>
          <w:i/>
          <w:iCs/>
        </w:rPr>
        <w:t xml:space="preserve"> Logistics (ALL),</w:t>
      </w:r>
      <w:r w:rsidRPr="00A766F0">
        <w:t xml:space="preserve"> </w:t>
      </w:r>
      <w:r w:rsidR="00E541E1" w:rsidRPr="00A766F0">
        <w:t>as a</w:t>
      </w:r>
      <w:r w:rsidRPr="00A766F0">
        <w:t xml:space="preserve"> multinational logistics company </w:t>
      </w:r>
      <w:r w:rsidR="00E541E1" w:rsidRPr="00A766F0">
        <w:t>have</w:t>
      </w:r>
      <w:r w:rsidRPr="00A766F0">
        <w:t xml:space="preserve"> expanded its business operations across different regions,</w:t>
      </w:r>
      <w:r w:rsidR="00E541E1" w:rsidRPr="00A766F0">
        <w:t xml:space="preserve"> which</w:t>
      </w:r>
      <w:r w:rsidRPr="00A766F0">
        <w:t xml:space="preserve"> has been dealing with the challenges that are directly affecting the security measures of the organisation. The company </w:t>
      </w:r>
      <w:r w:rsidR="00E541E1" w:rsidRPr="00A766F0">
        <w:t xml:space="preserve">also </w:t>
      </w:r>
      <w:r w:rsidRPr="00A766F0">
        <w:t xml:space="preserve">provides logistics services and storage along with packaging across different time zones </w:t>
      </w:r>
      <w:r w:rsidR="00EF38AB" w:rsidRPr="00A766F0">
        <w:t>[3].</w:t>
      </w:r>
      <w:r w:rsidRPr="00A766F0">
        <w:t xml:space="preserve"> However, these remote endpoints are unmanaged as of now and have resulted in a data breach related to the customer's Personally Identifiable Information (PII).</w:t>
      </w:r>
    </w:p>
    <w:p w14:paraId="09814D55" w14:textId="5A1CBAD5" w:rsidR="002374E6" w:rsidRPr="00A766F0" w:rsidRDefault="00000000">
      <w:r w:rsidRPr="00A766F0">
        <w:t xml:space="preserve">This report is the strategic roadmap for ALL regarding the capability of the organisation to maintain the industrial governance framework by identifying the major security governance and compliance frameworks, including NIST Cybersecurity Framework (CSF), ISO frameworks, COBIT 2019 and ITIL. </w:t>
      </w:r>
      <w:r w:rsidR="00984450" w:rsidRPr="00A766F0">
        <w:t>The ITIL application further supports the operational policies for incident</w:t>
      </w:r>
      <w:r w:rsidR="00B8008D" w:rsidRPr="00A766F0">
        <w:t xml:space="preserve"> and</w:t>
      </w:r>
      <w:r w:rsidR="00984450" w:rsidRPr="00A766F0">
        <w:t xml:space="preserve"> change management</w:t>
      </w:r>
      <w:r w:rsidR="00B8008D" w:rsidRPr="00A766F0">
        <w:t xml:space="preserve">. The </w:t>
      </w:r>
      <w:r w:rsidR="00984450" w:rsidRPr="00A766F0">
        <w:t>service continuity</w:t>
      </w:r>
      <w:r w:rsidR="00B8008D" w:rsidRPr="00A766F0">
        <w:t xml:space="preserve"> can further </w:t>
      </w:r>
      <w:r w:rsidR="00F31878" w:rsidRPr="00A766F0">
        <w:t>help</w:t>
      </w:r>
      <w:r w:rsidR="00B8008D" w:rsidRPr="00A766F0">
        <w:t xml:space="preserve"> in the </w:t>
      </w:r>
      <w:r w:rsidR="00984450" w:rsidRPr="00A766F0">
        <w:t xml:space="preserve">service-level management. </w:t>
      </w:r>
      <w:r w:rsidRPr="00A766F0">
        <w:t xml:space="preserve">This report also proposes an integrated framework that is suitable for the continuous upgrading of the organisation and responds to the emerging technologies. </w:t>
      </w:r>
    </w:p>
    <w:p w14:paraId="40806FF3" w14:textId="77777777" w:rsidR="002374E6" w:rsidRPr="00A766F0" w:rsidRDefault="00000000">
      <w:pPr>
        <w:pStyle w:val="Heading1"/>
      </w:pPr>
      <w:bookmarkStart w:id="4" w:name="_u78aj0l9zlvi" w:colFirst="0" w:colLast="0"/>
      <w:bookmarkStart w:id="5" w:name="_Toc234408831"/>
      <w:bookmarkEnd w:id="4"/>
      <w:r w:rsidRPr="00A766F0">
        <w:t>2. Organisational Background and Explicit Research Assumptions</w:t>
      </w:r>
      <w:bookmarkEnd w:id="5"/>
      <w:r w:rsidRPr="00A766F0">
        <w:t xml:space="preserve"> </w:t>
      </w:r>
    </w:p>
    <w:p w14:paraId="1A538E5A" w14:textId="31A517B7" w:rsidR="002374E6" w:rsidRPr="00A766F0" w:rsidRDefault="00000000">
      <w:pPr>
        <w:pStyle w:val="Heading2"/>
      </w:pPr>
      <w:bookmarkStart w:id="6" w:name="_aknxeh312e4k" w:colFirst="0" w:colLast="0"/>
      <w:bookmarkStart w:id="7" w:name="_Toc234408832"/>
      <w:bookmarkEnd w:id="6"/>
      <w:r w:rsidRPr="00A766F0">
        <w:t xml:space="preserve">2.1 Overview of </w:t>
      </w:r>
      <w:proofErr w:type="spellStart"/>
      <w:r w:rsidRPr="00A766F0">
        <w:t>AeroLink</w:t>
      </w:r>
      <w:proofErr w:type="spellEnd"/>
      <w:r w:rsidRPr="00A766F0">
        <w:t xml:space="preserve"> Logistics</w:t>
      </w:r>
      <w:r w:rsidR="00E541E1" w:rsidRPr="00A766F0">
        <w:t xml:space="preserve"> and Issues</w:t>
      </w:r>
      <w:bookmarkEnd w:id="7"/>
      <w:r w:rsidR="00E541E1" w:rsidRPr="00A766F0">
        <w:t xml:space="preserve"> </w:t>
      </w:r>
    </w:p>
    <w:p w14:paraId="32A268D0" w14:textId="3ED2ADD0" w:rsidR="00A0715A" w:rsidRPr="00A766F0" w:rsidRDefault="00A0715A" w:rsidP="00A0715A">
      <w:proofErr w:type="spellStart"/>
      <w:r w:rsidRPr="00A766F0">
        <w:t>AeroLink</w:t>
      </w:r>
      <w:proofErr w:type="spellEnd"/>
      <w:r w:rsidRPr="00A766F0">
        <w:t xml:space="preserve"> Logistics (ALL) is a multinational organisation </w:t>
      </w:r>
      <w:r w:rsidR="005E41B2" w:rsidRPr="00A766F0">
        <w:t xml:space="preserve">logistics provider </w:t>
      </w:r>
      <w:r w:rsidR="008D12BB" w:rsidRPr="00A766F0">
        <w:t>having</w:t>
      </w:r>
      <w:r w:rsidR="005E41B2" w:rsidRPr="00A766F0">
        <w:t xml:space="preserve"> operations </w:t>
      </w:r>
      <w:r w:rsidR="008D12BB" w:rsidRPr="00A766F0">
        <w:t xml:space="preserve">through the </w:t>
      </w:r>
      <w:r w:rsidRPr="00A766F0">
        <w:t xml:space="preserve">digital framework </w:t>
      </w:r>
      <w:r w:rsidR="005E41B2" w:rsidRPr="00A766F0">
        <w:t>operating across different jurisdiction</w:t>
      </w:r>
      <w:r w:rsidRPr="00A766F0">
        <w:t xml:space="preserve"> dealing with the issue of poor cyber and digital security within the multi-jurisdictional logistics </w:t>
      </w:r>
      <w:r w:rsidRPr="00A766F0">
        <w:lastRenderedPageBreak/>
        <w:t xml:space="preserve">ecosystem for the maintenance of their business related to the supply chain and logistics. The organisation has different operations that include multiple services, including freight through Air, road and sea, as represented in the </w:t>
      </w:r>
      <w:r w:rsidR="006B5DA0" w:rsidRPr="00A766F0">
        <w:t>Figure 1</w:t>
      </w:r>
      <w:r w:rsidRPr="00A766F0">
        <w:t xml:space="preserve"> below. </w:t>
      </w:r>
    </w:p>
    <w:p w14:paraId="273AF439" w14:textId="3CB6247B" w:rsidR="002374E6" w:rsidRPr="00A766F0" w:rsidRDefault="00000000">
      <w:pPr>
        <w:jc w:val="center"/>
        <w:rPr>
          <w:b/>
          <w:bCs/>
        </w:rPr>
      </w:pPr>
      <w:r w:rsidRPr="00A766F0">
        <w:rPr>
          <w:b/>
          <w:bCs/>
          <w:noProof/>
        </w:rPr>
        <w:drawing>
          <wp:inline distT="114300" distB="114300" distL="114300" distR="114300" wp14:anchorId="79D58883" wp14:editId="0FE3042D">
            <wp:extent cx="5086208" cy="3878768"/>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9"/>
                    <a:stretch>
                      <a:fillRect/>
                    </a:stretch>
                  </pic:blipFill>
                  <pic:spPr>
                    <a:xfrm>
                      <a:off x="0" y="0"/>
                      <a:ext cx="5086208" cy="3878768"/>
                    </a:xfrm>
                    <a:prstGeom prst="rect">
                      <a:avLst/>
                    </a:prstGeom>
                    <a:ln w="25400">
                      <a:solidFill>
                        <a:srgbClr val="000000"/>
                      </a:solidFill>
                      <a:prstDash val="solid"/>
                    </a:ln>
                  </pic:spPr>
                </pic:pic>
              </a:graphicData>
            </a:graphic>
          </wp:inline>
        </w:drawing>
      </w:r>
      <w:r w:rsidRPr="00A766F0">
        <w:rPr>
          <w:b/>
          <w:bCs/>
        </w:rPr>
        <w:t xml:space="preserve"> </w:t>
      </w:r>
    </w:p>
    <w:p w14:paraId="1BB7F777" w14:textId="77777777" w:rsidR="002374E6" w:rsidRPr="00A766F0" w:rsidRDefault="00000000">
      <w:pPr>
        <w:jc w:val="center"/>
        <w:rPr>
          <w:b/>
          <w:bCs/>
        </w:rPr>
      </w:pPr>
      <w:r w:rsidRPr="00A766F0">
        <w:rPr>
          <w:b/>
          <w:bCs/>
        </w:rPr>
        <w:t xml:space="preserve">Figure 1: Services of the Organisation </w:t>
      </w:r>
    </w:p>
    <w:p w14:paraId="7B9D5204" w14:textId="20C4730F" w:rsidR="002374E6" w:rsidRPr="00A766F0" w:rsidRDefault="001B555B">
      <w:pPr>
        <w:jc w:val="center"/>
      </w:pPr>
      <w:r w:rsidRPr="00A766F0">
        <w:t>[Source: 3]</w:t>
      </w:r>
    </w:p>
    <w:p w14:paraId="5D604FB9" w14:textId="713D5B22" w:rsidR="002374E6" w:rsidRPr="00A766F0" w:rsidRDefault="00000000">
      <w:r w:rsidRPr="00A766F0">
        <w:t xml:space="preserve">The operating model of the organisation is highly digitalised due to its global connectivity through online platforms like cloud computing infrastructure, IoT-based tracking sensors, and AI-powered analytics platforms. The company outsources around 88% of infrastructure through the </w:t>
      </w:r>
      <w:r w:rsidR="006B5DA0" w:rsidRPr="00A766F0">
        <w:t>infrastructure</w:t>
      </w:r>
      <w:r w:rsidRPr="00A766F0">
        <w:t xml:space="preserve">-as-a-Service (IaaS) and Software-as-a-Service (SaaS) vendors, providing effective scalability along with operational flexibility across different regions. There are also remote operational environments for the </w:t>
      </w:r>
      <w:r w:rsidR="008D12BB" w:rsidRPr="00A766F0">
        <w:t xml:space="preserve">Employees, logistics partners, and suppliers access organisational framework </w:t>
      </w:r>
      <w:r w:rsidRPr="00A766F0">
        <w:t xml:space="preserve">of the operations that </w:t>
      </w:r>
      <w:r w:rsidR="00162487" w:rsidRPr="00A766F0">
        <w:t>relate to</w:t>
      </w:r>
      <w:r w:rsidR="008D12BB" w:rsidRPr="00A766F0">
        <w:t xml:space="preserve"> the</w:t>
      </w:r>
      <w:r w:rsidRPr="00A766F0">
        <w:t xml:space="preserve"> logistics partners and suppliers </w:t>
      </w:r>
      <w:r w:rsidR="00CA77CA" w:rsidRPr="00A766F0">
        <w:t xml:space="preserve">for the corporate </w:t>
      </w:r>
      <w:r w:rsidR="008D12BB" w:rsidRPr="00A766F0">
        <w:t>resources’</w:t>
      </w:r>
      <w:r w:rsidR="00CA77CA" w:rsidRPr="00A766F0">
        <w:t xml:space="preserve"> evaluation, developing from the unmanaged devices across multiple regions and time zones</w:t>
      </w:r>
      <w:r w:rsidRPr="00A766F0">
        <w:t>.</w:t>
      </w:r>
      <w:r w:rsidR="0072291B" w:rsidRPr="00A766F0">
        <w:t xml:space="preserve"> </w:t>
      </w:r>
    </w:p>
    <w:p w14:paraId="5D46ACBC" w14:textId="12D23C39" w:rsidR="002374E6" w:rsidRPr="00A766F0" w:rsidRDefault="00000000">
      <w:bookmarkStart w:id="8" w:name="_mlyeh9aqb6ci" w:colFirst="0" w:colLast="0"/>
      <w:bookmarkEnd w:id="8"/>
      <w:r w:rsidRPr="00A766F0">
        <w:lastRenderedPageBreak/>
        <w:t xml:space="preserve">The rapid expansion of the organisation is having a direct impact on the business operations of ALL </w:t>
      </w:r>
      <w:r w:rsidR="0072291B" w:rsidRPr="00A766F0">
        <w:t>dues</w:t>
      </w:r>
      <w:r w:rsidRPr="00A766F0">
        <w:t xml:space="preserve"> to the decentralised environment of the company.</w:t>
      </w:r>
      <w:r w:rsidR="0072291B" w:rsidRPr="00A766F0">
        <w:t xml:space="preserve"> The organisation is dealing with repeated data breaches of the customer information and unauthorised modification of shipment records having a </w:t>
      </w:r>
      <w:r w:rsidR="008D12BB" w:rsidRPr="00A766F0">
        <w:t>significant weakness</w:t>
      </w:r>
      <w:r w:rsidR="0072291B" w:rsidRPr="00A766F0">
        <w:t xml:space="preserve"> in its security governance and operational controls having direct impact on the business management</w:t>
      </w:r>
      <w:r w:rsidRPr="00A766F0">
        <w:t xml:space="preserve">. </w:t>
      </w:r>
      <w:r w:rsidR="00431688" w:rsidRPr="00A766F0">
        <w:t>T</w:t>
      </w:r>
      <w:r w:rsidRPr="00A766F0">
        <w:t>he data breach can have a direct impact on the business operations and brand value of the organisations</w:t>
      </w:r>
      <w:r w:rsidR="00431688" w:rsidRPr="00A766F0">
        <w:t xml:space="preserve"> [10]</w:t>
      </w:r>
      <w:r w:rsidRPr="00A766F0">
        <w:t>. There is also a lack of a centralised security and governance framework for the maintenance of standards like GDPR or ISO 27001. Apart from that, the incident response framework, which is one of the most essential aspects of global business ventures is lacking within the organisation</w:t>
      </w:r>
      <w:r w:rsidR="00764EF2" w:rsidRPr="00A766F0">
        <w:t xml:space="preserve"> [22]</w:t>
      </w:r>
      <w:r w:rsidRPr="00A766F0">
        <w:t xml:space="preserve">. </w:t>
      </w:r>
    </w:p>
    <w:p w14:paraId="7B5D81D5" w14:textId="080FD6F0" w:rsidR="002374E6" w:rsidRPr="00A766F0" w:rsidRDefault="00000000">
      <w:pPr>
        <w:pStyle w:val="Heading2"/>
      </w:pPr>
      <w:bookmarkStart w:id="9" w:name="_5o6fl56zzib7" w:colFirst="0" w:colLast="0"/>
      <w:bookmarkStart w:id="10" w:name="_Toc234408833"/>
      <w:bookmarkEnd w:id="9"/>
      <w:r w:rsidRPr="00A766F0">
        <w:t>2.</w:t>
      </w:r>
      <w:r w:rsidR="00E541E1" w:rsidRPr="00A766F0">
        <w:t>2</w:t>
      </w:r>
      <w:r w:rsidRPr="00A766F0">
        <w:t xml:space="preserve"> Assumptions</w:t>
      </w:r>
      <w:r w:rsidR="00E541E1" w:rsidRPr="00A766F0">
        <w:t xml:space="preserve"> of the Case</w:t>
      </w:r>
      <w:bookmarkEnd w:id="10"/>
      <w:r w:rsidR="00E541E1" w:rsidRPr="00A766F0">
        <w:t xml:space="preserve"> </w:t>
      </w:r>
    </w:p>
    <w:p w14:paraId="4D4ACAE7" w14:textId="6773CF3E" w:rsidR="002374E6" w:rsidRPr="00A766F0" w:rsidRDefault="00E804FB">
      <w:r>
        <w:t>The analysis is based on structural, financial and operational assumptions about ALL.</w:t>
      </w:r>
      <w:r w:rsidR="00000000" w:rsidRPr="00A766F0">
        <w:t xml:space="preserve"> This report expects that the business is operating within a mid-to-large multinational enterprise having a 12% budget of the overall IT expenditure. The outsource infrastructure is deemed to depend on one cloud provider, like </w:t>
      </w:r>
      <w:r w:rsidR="00000000" w:rsidRPr="00A766F0">
        <w:rPr>
          <w:b/>
          <w:bCs/>
          <w:i/>
          <w:iCs/>
        </w:rPr>
        <w:t>Amazon Web Services</w:t>
      </w:r>
      <w:r w:rsidR="00000000" w:rsidRPr="00A766F0">
        <w:t xml:space="preserve"> or </w:t>
      </w:r>
      <w:r w:rsidR="00000000" w:rsidRPr="00A766F0">
        <w:rPr>
          <w:b/>
          <w:bCs/>
          <w:i/>
          <w:iCs/>
        </w:rPr>
        <w:t>Microsoft Azure</w:t>
      </w:r>
      <w:r w:rsidR="00000000" w:rsidRPr="00A766F0">
        <w:t xml:space="preserve">. From the organisational benchmark perspective, it is established at the capability, maturity model integration, level one, having a strategic objective of progress towards level four governance maturity. From the perspective dynamic perspective, more than 5000 nodes operating through unmanaged endpoints are assumed as a parameter.  </w:t>
      </w:r>
    </w:p>
    <w:p w14:paraId="4956E9F1" w14:textId="77777777" w:rsidR="002374E6" w:rsidRPr="00A766F0" w:rsidRDefault="00000000">
      <w:pPr>
        <w:pStyle w:val="Heading1"/>
      </w:pPr>
      <w:bookmarkStart w:id="11" w:name="_rucixyfcqtb7" w:colFirst="0" w:colLast="0"/>
      <w:bookmarkStart w:id="12" w:name="_Toc234408834"/>
      <w:bookmarkEnd w:id="11"/>
      <w:r w:rsidRPr="00A766F0">
        <w:t>3. Literature Review and Research into Security Frameworks</w:t>
      </w:r>
      <w:bookmarkEnd w:id="12"/>
      <w:r w:rsidRPr="00A766F0">
        <w:t xml:space="preserve">  </w:t>
      </w:r>
    </w:p>
    <w:p w14:paraId="26599D37" w14:textId="7E820115" w:rsidR="002374E6" w:rsidRPr="00A766F0" w:rsidRDefault="00000000">
      <w:r w:rsidRPr="00A766F0">
        <w:t xml:space="preserve">The analysis of the governance framework of the organisation </w:t>
      </w:r>
      <w:r w:rsidR="00E541E1" w:rsidRPr="00A766F0">
        <w:t>is effective in the development of the</w:t>
      </w:r>
      <w:r w:rsidRPr="00A766F0">
        <w:t xml:space="preserve"> structured methodology for </w:t>
      </w:r>
      <w:r w:rsidR="00E541E1" w:rsidRPr="00A766F0">
        <w:t xml:space="preserve">the management of the </w:t>
      </w:r>
      <w:r w:rsidRPr="00A766F0">
        <w:t xml:space="preserve">cyber security risk reduction and </w:t>
      </w:r>
      <w:r w:rsidR="00E541E1" w:rsidRPr="00A766F0">
        <w:t xml:space="preserve">maintain </w:t>
      </w:r>
      <w:r w:rsidRPr="00A766F0">
        <w:t xml:space="preserve">obligations along with operational resilience. </w:t>
      </w:r>
      <w:r w:rsidR="006C5CE7" w:rsidRPr="00A766F0">
        <w:t xml:space="preserve">The </w:t>
      </w:r>
      <w:r w:rsidRPr="00A766F0">
        <w:t>cloud-</w:t>
      </w:r>
      <w:r w:rsidR="00E541E1" w:rsidRPr="00A766F0">
        <w:t>based</w:t>
      </w:r>
      <w:r w:rsidRPr="00A766F0">
        <w:t xml:space="preserve"> environments require frameworks like NIST cyber security framework, ISO/IEC 27001 and 27002, and COBIT 2019, which are widely adopted for establishing security governance and management of the compliances</w:t>
      </w:r>
      <w:r w:rsidR="006C5CE7" w:rsidRPr="00A766F0">
        <w:t xml:space="preserve"> [13]</w:t>
      </w:r>
      <w:r w:rsidRPr="00A766F0">
        <w:t xml:space="preserve">. Each of these security frameworks </w:t>
      </w:r>
      <w:r w:rsidRPr="00A766F0">
        <w:lastRenderedPageBreak/>
        <w:t xml:space="preserve">has different objectives and capabilities of influencing progress towards level 4 to manage security, governance, and maturity.  </w:t>
      </w:r>
    </w:p>
    <w:p w14:paraId="56F11894" w14:textId="77777777" w:rsidR="002374E6" w:rsidRPr="00A766F0" w:rsidRDefault="00000000">
      <w:pPr>
        <w:pStyle w:val="Heading2"/>
      </w:pPr>
      <w:bookmarkStart w:id="13" w:name="_cd44ipyl2weh" w:colFirst="0" w:colLast="0"/>
      <w:bookmarkStart w:id="14" w:name="_Toc234408835"/>
      <w:bookmarkEnd w:id="13"/>
      <w:r w:rsidRPr="00A766F0">
        <w:t>3.1 NIST Cybersecurity Framework (CSF)</w:t>
      </w:r>
      <w:bookmarkEnd w:id="14"/>
    </w:p>
    <w:p w14:paraId="7A48B82F" w14:textId="07C004AB" w:rsidR="002374E6" w:rsidRPr="00A766F0" w:rsidRDefault="00000000">
      <w:r w:rsidRPr="00A766F0">
        <w:t>The NIST Cybersecurity Framework, or CSF, is a cybersecurity assessment that has been developed by the National Institute of Standards and Technology for organisational resilience and improvement against the global cyber threat</w:t>
      </w:r>
      <w:r w:rsidR="00196978" w:rsidRPr="00A766F0">
        <w:t xml:space="preserve"> [19]</w:t>
      </w:r>
      <w:r w:rsidRPr="00A766F0">
        <w:t xml:space="preserve">. The </w:t>
      </w:r>
      <w:r w:rsidR="00753225" w:rsidRPr="00A766F0">
        <w:t>adoption of the</w:t>
      </w:r>
      <w:r w:rsidRPr="00A766F0">
        <w:t xml:space="preserve"> of CSF 2.0</w:t>
      </w:r>
      <w:r w:rsidR="00753225" w:rsidRPr="00A766F0">
        <w:t xml:space="preserve"> in the ALL</w:t>
      </w:r>
      <w:r w:rsidRPr="00A766F0">
        <w:t xml:space="preserve"> can help in managing the foundational elements of corporate governance</w:t>
      </w:r>
      <w:r w:rsidR="00753225" w:rsidRPr="00A766F0">
        <w:t xml:space="preserve"> with the </w:t>
      </w:r>
      <w:r w:rsidRPr="00A766F0">
        <w:t>statical</w:t>
      </w:r>
      <w:r w:rsidR="00753225" w:rsidRPr="00A766F0">
        <w:t xml:space="preserve"> measurements</w:t>
      </w:r>
      <w:r w:rsidRPr="00A766F0">
        <w:t xml:space="preserve"> related to the context-based assessment and vendor supply chain policies essential for the executive board members. </w:t>
      </w:r>
      <w:r w:rsidR="006B5DA0" w:rsidRPr="00A766F0">
        <w:t xml:space="preserve">As represented in the Figure 2 below, the NIST Cybersecurity Framework includes six integrated </w:t>
      </w:r>
      <w:r w:rsidR="004162F4" w:rsidRPr="00A766F0">
        <w:t>governances</w:t>
      </w:r>
      <w:r w:rsidR="006B5DA0" w:rsidRPr="00A766F0">
        <w:t xml:space="preserve"> for supporting cybersecurity management </w:t>
      </w:r>
      <w:r w:rsidR="00E472EF" w:rsidRPr="00A766F0">
        <w:t>continuously</w:t>
      </w:r>
      <w:r w:rsidR="006B5DA0" w:rsidRPr="00A766F0">
        <w:t>.</w:t>
      </w:r>
    </w:p>
    <w:p w14:paraId="52CEDBC8" w14:textId="77777777" w:rsidR="002374E6" w:rsidRPr="00A766F0" w:rsidRDefault="00000000">
      <w:pPr>
        <w:jc w:val="center"/>
        <w:rPr>
          <w:b/>
          <w:bCs/>
        </w:rPr>
      </w:pPr>
      <w:r w:rsidRPr="00A766F0">
        <w:rPr>
          <w:b/>
          <w:bCs/>
          <w:noProof/>
        </w:rPr>
        <w:drawing>
          <wp:inline distT="114300" distB="114300" distL="114300" distR="114300" wp14:anchorId="1323EC1F" wp14:editId="64261675">
            <wp:extent cx="3571875" cy="337293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3571875" cy="3372935"/>
                    </a:xfrm>
                    <a:prstGeom prst="rect">
                      <a:avLst/>
                    </a:prstGeom>
                    <a:ln w="25400">
                      <a:solidFill>
                        <a:srgbClr val="000000"/>
                      </a:solidFill>
                      <a:prstDash val="solid"/>
                    </a:ln>
                  </pic:spPr>
                </pic:pic>
              </a:graphicData>
            </a:graphic>
          </wp:inline>
        </w:drawing>
      </w:r>
    </w:p>
    <w:p w14:paraId="64D27978" w14:textId="77777777" w:rsidR="002374E6" w:rsidRPr="00A766F0" w:rsidRDefault="00000000">
      <w:pPr>
        <w:jc w:val="center"/>
        <w:rPr>
          <w:b/>
          <w:bCs/>
        </w:rPr>
      </w:pPr>
      <w:r w:rsidRPr="00A766F0">
        <w:rPr>
          <w:b/>
          <w:bCs/>
        </w:rPr>
        <w:t>Figure 2: Factors of NIST Cybersecurity Framework</w:t>
      </w:r>
    </w:p>
    <w:p w14:paraId="798AED6C" w14:textId="033C4C43" w:rsidR="002374E6" w:rsidRPr="00A766F0" w:rsidRDefault="00CC4BA7">
      <w:pPr>
        <w:jc w:val="center"/>
      </w:pPr>
      <w:r w:rsidRPr="00A766F0">
        <w:t>[Source: 19]</w:t>
      </w:r>
    </w:p>
    <w:p w14:paraId="61C33999" w14:textId="1CA9E808" w:rsidR="002374E6" w:rsidRPr="00A766F0" w:rsidRDefault="00000000">
      <w:r w:rsidRPr="00A766F0">
        <w:lastRenderedPageBreak/>
        <w:t xml:space="preserve">The framework is structured around the functionalities that include identify, protect, detect, respond and recover for establishing a continuous lifecycle to cybersecurity management </w:t>
      </w:r>
      <w:r w:rsidR="003E0846" w:rsidRPr="00A766F0">
        <w:t>[13].</w:t>
      </w:r>
      <w:r w:rsidR="004162F4" w:rsidRPr="00A766F0">
        <w:t xml:space="preserve"> This framework also helps in the promotion of the governance policies for the asset and identity management. This can also help in the continuous monitoring, for the vulnerability management along with the incident response planning.</w:t>
      </w:r>
      <w:r w:rsidRPr="00A766F0">
        <w:t xml:space="preserve"> The primary advantage of the framework is in its accessibility and risk-focused flexibility for translating technical challenges towards the perspective of the professional outcome by facilitating communication between the technical </w:t>
      </w:r>
      <w:r w:rsidR="00753225" w:rsidRPr="00A766F0">
        <w:t>experts like engineers and the</w:t>
      </w:r>
      <w:r w:rsidRPr="00A766F0">
        <w:t xml:space="preserve"> executive management. The NIST Cybersecurity Framework (CSF) 2.0 also supports decision-making and provides strong guidance for incident response along with cyber resilience, while maintaining integrity towards the cloud and third-party vendor systems, making it relevant for multinational organisations</w:t>
      </w:r>
      <w:r w:rsidR="004F2174" w:rsidRPr="00A766F0">
        <w:t xml:space="preserve"> [11]</w:t>
      </w:r>
      <w:r w:rsidRPr="00A766F0">
        <w:t>.</w:t>
      </w:r>
      <w:r w:rsidR="00753225" w:rsidRPr="00A766F0">
        <w:t xml:space="preserve"> This framework application at ALL </w:t>
      </w:r>
      <w:proofErr w:type="gramStart"/>
      <w:r w:rsidR="00753225" w:rsidRPr="00A766F0">
        <w:t>can</w:t>
      </w:r>
      <w:proofErr w:type="gramEnd"/>
      <w:r w:rsidR="00753225" w:rsidRPr="00A766F0">
        <w:t xml:space="preserve"> overall help in the maintenance of the data security in the initial phase.</w:t>
      </w:r>
      <w:r w:rsidRPr="00A766F0">
        <w:t xml:space="preserve"> </w:t>
      </w:r>
      <w:r w:rsidR="00753225" w:rsidRPr="00A766F0">
        <w:t xml:space="preserve">However, the </w:t>
      </w:r>
      <w:r w:rsidRPr="00A766F0">
        <w:t xml:space="preserve">primary disadvantage of this framework remains in the fundamental non-prescriptive nature of the framework, which makes it not effective in complex global distributed environments </w:t>
      </w:r>
    </w:p>
    <w:p w14:paraId="19859C0B" w14:textId="77777777" w:rsidR="002374E6" w:rsidRPr="00A766F0" w:rsidRDefault="00000000">
      <w:pPr>
        <w:jc w:val="center"/>
        <w:rPr>
          <w:b/>
          <w:bCs/>
        </w:rPr>
      </w:pPr>
      <w:r w:rsidRPr="00A766F0">
        <w:rPr>
          <w:b/>
          <w:bCs/>
          <w:noProof/>
        </w:rPr>
        <w:drawing>
          <wp:inline distT="114300" distB="114300" distL="114300" distR="114300" wp14:anchorId="2438855C" wp14:editId="6FADA7F7">
            <wp:extent cx="5278120" cy="2847975"/>
            <wp:effectExtent l="38100" t="38100" r="36830" b="476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278424" cy="2848139"/>
                    </a:xfrm>
                    <a:prstGeom prst="rect">
                      <a:avLst/>
                    </a:prstGeom>
                    <a:ln w="25400">
                      <a:solidFill>
                        <a:srgbClr val="000000"/>
                      </a:solidFill>
                      <a:prstDash val="solid"/>
                    </a:ln>
                  </pic:spPr>
                </pic:pic>
              </a:graphicData>
            </a:graphic>
          </wp:inline>
        </w:drawing>
      </w:r>
    </w:p>
    <w:p w14:paraId="35C01655" w14:textId="77777777" w:rsidR="002374E6" w:rsidRPr="00A766F0" w:rsidRDefault="00000000">
      <w:pPr>
        <w:jc w:val="center"/>
        <w:rPr>
          <w:b/>
          <w:bCs/>
        </w:rPr>
      </w:pPr>
      <w:r w:rsidRPr="00A766F0">
        <w:rPr>
          <w:b/>
          <w:bCs/>
        </w:rPr>
        <w:t>Figure 3: NIST CSF v2.0.</w:t>
      </w:r>
    </w:p>
    <w:p w14:paraId="25258788" w14:textId="2B9BAFD0" w:rsidR="002374E6" w:rsidRPr="00A766F0" w:rsidRDefault="00A44D1B">
      <w:pPr>
        <w:jc w:val="center"/>
      </w:pPr>
      <w:r w:rsidRPr="00A766F0">
        <w:t>[Source: 24]</w:t>
      </w:r>
    </w:p>
    <w:p w14:paraId="2BCD3F47" w14:textId="08452831" w:rsidR="002374E6" w:rsidRPr="00A766F0" w:rsidRDefault="00000000">
      <w:r w:rsidRPr="00A766F0">
        <w:lastRenderedPageBreak/>
        <w:t>In the case of the ALL context, the NIST Cybersecurity Framework (CSF) 2.0</w:t>
      </w:r>
      <w:r w:rsidR="00703145" w:rsidRPr="00A766F0">
        <w:t xml:space="preserve"> is represented in the Figure 3, which</w:t>
      </w:r>
      <w:r w:rsidRPr="00A766F0">
        <w:t xml:space="preserve"> can provide validity, structured management of the risk, and provide an operational roadmap to address the fragmented process of incident management </w:t>
      </w:r>
      <w:r w:rsidR="00A44D1B" w:rsidRPr="00A766F0">
        <w:t>[24]</w:t>
      </w:r>
      <w:r w:rsidRPr="00A766F0">
        <w:t xml:space="preserve">. </w:t>
      </w:r>
    </w:p>
    <w:p w14:paraId="7C015C95" w14:textId="77777777" w:rsidR="002374E6" w:rsidRPr="00A766F0" w:rsidRDefault="00000000">
      <w:pPr>
        <w:pStyle w:val="Heading2"/>
      </w:pPr>
      <w:bookmarkStart w:id="15" w:name="_dqg9j29y58dc" w:colFirst="0" w:colLast="0"/>
      <w:bookmarkStart w:id="16" w:name="_Toc234408836"/>
      <w:bookmarkEnd w:id="15"/>
      <w:r w:rsidRPr="00A766F0">
        <w:t>3.2 ISO/IEC 27001 and ISO 27002</w:t>
      </w:r>
      <w:bookmarkEnd w:id="16"/>
    </w:p>
    <w:p w14:paraId="5B49BF81" w14:textId="00BA995A" w:rsidR="002374E6" w:rsidRPr="00A766F0" w:rsidRDefault="00000000">
      <w:r w:rsidRPr="00A766F0">
        <w:t xml:space="preserve">The standard ISO/IEC 27001:2022 is effective in defining the necessary and effective specifications related to the establishment, implementation, operational and monitoring process of the formal Information Security Management System (ISMS) improvement </w:t>
      </w:r>
      <w:r w:rsidR="00A44D1B" w:rsidRPr="00A766F0">
        <w:t>[</w:t>
      </w:r>
      <w:r w:rsidR="006C5CE7" w:rsidRPr="00A766F0">
        <w:t>2</w:t>
      </w:r>
      <w:r w:rsidR="00A44D1B" w:rsidRPr="00A766F0">
        <w:t xml:space="preserve">]. </w:t>
      </w:r>
      <w:r w:rsidRPr="00A766F0">
        <w:t>This framework is effective for the operations related to the Plan-Do-Check-Act (PDCA) model</w:t>
      </w:r>
      <w:r w:rsidR="00703145" w:rsidRPr="00A766F0">
        <w:t xml:space="preserve"> represented in the Figure 4 below</w:t>
      </w:r>
      <w:r w:rsidRPr="00A766F0">
        <w:t xml:space="preserve"> and supporting continuous improvement within the governance framework as represented in the image below.</w:t>
      </w:r>
    </w:p>
    <w:p w14:paraId="3744AFF9" w14:textId="77777777" w:rsidR="002374E6" w:rsidRPr="00A766F0" w:rsidRDefault="00000000">
      <w:pPr>
        <w:jc w:val="center"/>
        <w:rPr>
          <w:b/>
          <w:bCs/>
        </w:rPr>
      </w:pPr>
      <w:r w:rsidRPr="00A766F0">
        <w:rPr>
          <w:b/>
          <w:bCs/>
          <w:noProof/>
        </w:rPr>
        <w:drawing>
          <wp:inline distT="114300" distB="114300" distL="114300" distR="114300" wp14:anchorId="4AC17FF4" wp14:editId="7C56A17B">
            <wp:extent cx="4682335" cy="356448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2"/>
                    <a:stretch>
                      <a:fillRect/>
                    </a:stretch>
                  </pic:blipFill>
                  <pic:spPr>
                    <a:xfrm>
                      <a:off x="0" y="0"/>
                      <a:ext cx="4682335" cy="3564480"/>
                    </a:xfrm>
                    <a:prstGeom prst="rect">
                      <a:avLst/>
                    </a:prstGeom>
                    <a:ln w="25400">
                      <a:solidFill>
                        <a:srgbClr val="000000"/>
                      </a:solidFill>
                      <a:prstDash val="solid"/>
                    </a:ln>
                  </pic:spPr>
                </pic:pic>
              </a:graphicData>
            </a:graphic>
          </wp:inline>
        </w:drawing>
      </w:r>
    </w:p>
    <w:p w14:paraId="611FC3D0" w14:textId="77777777" w:rsidR="002374E6" w:rsidRPr="00A766F0" w:rsidRDefault="00000000">
      <w:pPr>
        <w:jc w:val="center"/>
        <w:rPr>
          <w:b/>
          <w:bCs/>
        </w:rPr>
      </w:pPr>
      <w:r w:rsidRPr="00A766F0">
        <w:rPr>
          <w:b/>
          <w:bCs/>
        </w:rPr>
        <w:t>Figure 4: Plan-Do-Check-Act (PDCA) Cycle</w:t>
      </w:r>
    </w:p>
    <w:p w14:paraId="1AA7F308" w14:textId="05984B0A" w:rsidR="002374E6" w:rsidRPr="00A766F0" w:rsidRDefault="00EF38AB">
      <w:pPr>
        <w:jc w:val="center"/>
      </w:pPr>
      <w:r w:rsidRPr="00A766F0">
        <w:t>[Source: 2]</w:t>
      </w:r>
    </w:p>
    <w:p w14:paraId="38234609" w14:textId="04D93EA1" w:rsidR="002374E6" w:rsidRPr="00A766F0" w:rsidRDefault="00000000">
      <w:r w:rsidRPr="00A766F0">
        <w:lastRenderedPageBreak/>
        <w:t xml:space="preserve">The </w:t>
      </w:r>
      <w:r w:rsidR="000F01FB" w:rsidRPr="00A766F0">
        <w:t xml:space="preserve">fundamental capability of this </w:t>
      </w:r>
      <w:r w:rsidRPr="00A766F0">
        <w:t xml:space="preserve">framework </w:t>
      </w:r>
      <w:r w:rsidR="000F01FB" w:rsidRPr="00A766F0">
        <w:t>relies in the</w:t>
      </w:r>
      <w:r w:rsidRPr="00A766F0">
        <w:t xml:space="preserve"> international recognition and strong compliance. </w:t>
      </w:r>
      <w:r w:rsidR="00764EF2" w:rsidRPr="00A766F0">
        <w:t>T</w:t>
      </w:r>
      <w:r w:rsidR="000F01FB" w:rsidRPr="00A766F0">
        <w:t>he</w:t>
      </w:r>
      <w:r w:rsidRPr="00A766F0">
        <w:t xml:space="preserve"> ISO 27001 is the international recognition and strong compliance </w:t>
      </w:r>
      <w:r w:rsidR="000F01FB" w:rsidRPr="00A766F0">
        <w:t>framework</w:t>
      </w:r>
      <w:r w:rsidRPr="00A766F0">
        <w:t xml:space="preserve"> </w:t>
      </w:r>
      <w:r w:rsidR="000F01FB" w:rsidRPr="00A766F0">
        <w:t xml:space="preserve">demonstrating an effective </w:t>
      </w:r>
      <w:r w:rsidRPr="00A766F0">
        <w:t xml:space="preserve">commitment </w:t>
      </w:r>
      <w:r w:rsidR="000F01FB" w:rsidRPr="00A766F0">
        <w:t>towards the</w:t>
      </w:r>
      <w:r w:rsidRPr="00A766F0">
        <w:t xml:space="preserve"> information </w:t>
      </w:r>
      <w:r w:rsidR="000F01FB" w:rsidRPr="00A766F0">
        <w:t xml:space="preserve">security </w:t>
      </w:r>
      <w:r w:rsidRPr="00A766F0">
        <w:t>development and regulatory accountability</w:t>
      </w:r>
      <w:r w:rsidR="00764EF2" w:rsidRPr="00A766F0">
        <w:t xml:space="preserve"> [8]</w:t>
      </w:r>
      <w:r w:rsidRPr="00A766F0">
        <w:t>. The certification further provides independent third-party validation of the security posture of the organisation. The implementation requires significant investment and a burden of continuous documentation. With low maturity, it is possible to have direct administrative overhead for maintaining continuous compliance.</w:t>
      </w:r>
      <w:r w:rsidR="00EC6DA8" w:rsidRPr="00A766F0">
        <w:t xml:space="preserve"> ISO/IEC 27001 application also support the information security for the policy documentation policies relating to access control, supplier relationships, business continuity, and the effective classification of the information.</w:t>
      </w:r>
    </w:p>
    <w:p w14:paraId="3C428FBA" w14:textId="109C4328" w:rsidR="002374E6" w:rsidRPr="00A766F0" w:rsidRDefault="00000000">
      <w:r w:rsidRPr="00A766F0">
        <w:t xml:space="preserve">From the perspective of ALL, </w:t>
      </w:r>
      <w:r w:rsidR="00C41795" w:rsidRPr="00A766F0">
        <w:t>it can help the organisations</w:t>
      </w:r>
      <w:r w:rsidRPr="00A766F0">
        <w:t xml:space="preserve"> </w:t>
      </w:r>
      <w:r w:rsidR="00C41795" w:rsidRPr="00A766F0">
        <w:t>for the mitigation of the reputational har</w:t>
      </w:r>
      <w:r w:rsidR="00285A6B" w:rsidRPr="00A766F0">
        <w:t>m</w:t>
      </w:r>
      <w:r w:rsidRPr="00A766F0">
        <w:t xml:space="preserve">. The implementation of the ISO framework can address the governance finalisation and compliance auditing, along with your supplier management effectively </w:t>
      </w:r>
      <w:r w:rsidR="00A44D1B" w:rsidRPr="00A766F0">
        <w:t>[</w:t>
      </w:r>
      <w:r w:rsidR="006C5CE7" w:rsidRPr="00A766F0">
        <w:t>25</w:t>
      </w:r>
      <w:r w:rsidR="00A44D1B" w:rsidRPr="00A766F0">
        <w:t>]</w:t>
      </w:r>
      <w:r w:rsidRPr="00A766F0">
        <w:t xml:space="preserve">. The primary issue of the framework is a lack of vendor oversight authority, with 88% of outsourcing providers. </w:t>
      </w:r>
    </w:p>
    <w:p w14:paraId="60909ED8" w14:textId="77777777" w:rsidR="002374E6" w:rsidRPr="00A766F0" w:rsidRDefault="00000000">
      <w:pPr>
        <w:pStyle w:val="Heading2"/>
      </w:pPr>
      <w:bookmarkStart w:id="17" w:name="_chd6i23ac8fx" w:colFirst="0" w:colLast="0"/>
      <w:bookmarkStart w:id="18" w:name="_Toc234408837"/>
      <w:bookmarkEnd w:id="17"/>
      <w:r w:rsidRPr="00A766F0">
        <w:t>3.3 COBIT 2019</w:t>
      </w:r>
      <w:bookmarkEnd w:id="18"/>
    </w:p>
    <w:p w14:paraId="272AC13A" w14:textId="4B13884E" w:rsidR="002374E6" w:rsidRPr="00A766F0" w:rsidRDefault="00000000">
      <w:r w:rsidRPr="00A766F0">
        <w:t xml:space="preserve">The control objectives for the Information and Related Technology </w:t>
      </w:r>
      <w:r w:rsidR="00984450" w:rsidRPr="00A766F0">
        <w:t>are</w:t>
      </w:r>
      <w:r w:rsidRPr="00A766F0">
        <w:t xml:space="preserve"> primarily developed by ISACA as a comprehensive framework that is developed for enterprise governance and strategic management. Unlike the technically focused framework, COBIT focuses on strategy, governance and performance management for the long run </w:t>
      </w:r>
      <w:r w:rsidR="001B555B" w:rsidRPr="00A766F0">
        <w:t xml:space="preserve">[7]. </w:t>
      </w:r>
      <w:r w:rsidRPr="00A766F0">
        <w:t>The domains of this framework, like Evaluate, Direct and Monitor (EDM), Align, Plan and Organise (APO) and Build, Acquire and Implement (BAI), are collectively effective to support enterprise governance.</w:t>
      </w:r>
      <w:r w:rsidR="0022478B" w:rsidRPr="00A766F0">
        <w:t xml:space="preserve"> The framework of COBIT further provides the recommendations related to the governance policies that helps in the performance monitoring and helps in the maintaining of the stakeholder accountability.</w:t>
      </w:r>
    </w:p>
    <w:p w14:paraId="2E43921B" w14:textId="77777777" w:rsidR="002374E6" w:rsidRPr="00A766F0" w:rsidRDefault="00000000">
      <w:pPr>
        <w:jc w:val="center"/>
        <w:rPr>
          <w:b/>
          <w:bCs/>
        </w:rPr>
      </w:pPr>
      <w:r w:rsidRPr="00A766F0">
        <w:rPr>
          <w:b/>
          <w:bCs/>
          <w:noProof/>
        </w:rPr>
        <w:lastRenderedPageBreak/>
        <w:drawing>
          <wp:inline distT="114300" distB="114300" distL="114300" distR="114300" wp14:anchorId="227DF6D4" wp14:editId="3FDF928E">
            <wp:extent cx="4562475" cy="3228975"/>
            <wp:effectExtent l="38100" t="38100" r="47625" b="476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rcRect r="9964"/>
                    <a:stretch>
                      <a:fillRect/>
                    </a:stretch>
                  </pic:blipFill>
                  <pic:spPr>
                    <a:xfrm>
                      <a:off x="0" y="0"/>
                      <a:ext cx="4565774" cy="3231310"/>
                    </a:xfrm>
                    <a:prstGeom prst="rect">
                      <a:avLst/>
                    </a:prstGeom>
                    <a:ln w="25400">
                      <a:solidFill>
                        <a:srgbClr val="000000"/>
                      </a:solidFill>
                      <a:prstDash val="solid"/>
                    </a:ln>
                  </pic:spPr>
                </pic:pic>
              </a:graphicData>
            </a:graphic>
          </wp:inline>
        </w:drawing>
      </w:r>
    </w:p>
    <w:p w14:paraId="7148ECF3" w14:textId="77777777" w:rsidR="002374E6" w:rsidRPr="00A766F0" w:rsidRDefault="00000000">
      <w:pPr>
        <w:jc w:val="center"/>
        <w:rPr>
          <w:b/>
          <w:bCs/>
        </w:rPr>
      </w:pPr>
      <w:r w:rsidRPr="00A766F0">
        <w:rPr>
          <w:b/>
          <w:bCs/>
        </w:rPr>
        <w:t>Figure 5: COBIT Framework</w:t>
      </w:r>
    </w:p>
    <w:p w14:paraId="15B709A3" w14:textId="3DFD7EEF" w:rsidR="002374E6" w:rsidRPr="00A766F0" w:rsidRDefault="00EF38AB">
      <w:pPr>
        <w:jc w:val="center"/>
      </w:pPr>
      <w:r w:rsidRPr="00A766F0">
        <w:t>[Source: 2]</w:t>
      </w:r>
    </w:p>
    <w:p w14:paraId="29F9604C" w14:textId="30C13882" w:rsidR="002374E6" w:rsidRPr="00A766F0" w:rsidRDefault="00000000">
      <w:r w:rsidRPr="00A766F0">
        <w:t xml:space="preserve">The primary strength of </w:t>
      </w:r>
      <w:r w:rsidR="00E45E5A" w:rsidRPr="00A766F0">
        <w:t>the governance domains of COBIT 2019, represented in the figure 5, which the</w:t>
      </w:r>
      <w:r w:rsidRPr="00A766F0">
        <w:t xml:space="preserve"> governance-oriented and auditing capacity. It has excellent capability of aligning IT investment directly with the corporate business strategy for providing a clear and mature model. However, the limitation of the framework is highly complex and abstract for organisations operating with a low security maturity level </w:t>
      </w:r>
      <w:r w:rsidR="001B2278" w:rsidRPr="00A766F0">
        <w:t>[21]</w:t>
      </w:r>
      <w:r w:rsidRPr="00A766F0">
        <w:t xml:space="preserve">. For </w:t>
      </w:r>
      <w:r w:rsidR="00B72004" w:rsidRPr="00A766F0">
        <w:t xml:space="preserve">the organisations </w:t>
      </w:r>
      <w:r w:rsidRPr="00A766F0">
        <w:t xml:space="preserve">ALL, this framework is valuable as it can improve accountability and vendor oversight. The alignment ensures that cloud and AI technology investments are effectively managed through the centralised management of risk. </w:t>
      </w:r>
    </w:p>
    <w:p w14:paraId="5EF01248" w14:textId="77777777" w:rsidR="002374E6" w:rsidRPr="00A766F0" w:rsidRDefault="00000000">
      <w:pPr>
        <w:pStyle w:val="Heading2"/>
      </w:pPr>
      <w:bookmarkStart w:id="19" w:name="_37o45a1sjo1q" w:colFirst="0" w:colLast="0"/>
      <w:bookmarkStart w:id="20" w:name="_Toc234408838"/>
      <w:bookmarkEnd w:id="19"/>
      <w:r w:rsidRPr="00A766F0">
        <w:t>3.4 Comparative Analysis of Frameworks</w:t>
      </w:r>
      <w:bookmarkEnd w:id="20"/>
    </w:p>
    <w:tbl>
      <w:tblPr>
        <w:tblStyle w:val="PlainTable3"/>
        <w:tblW w:w="0" w:type="auto"/>
        <w:tblLook w:val="04A0" w:firstRow="1" w:lastRow="0" w:firstColumn="1" w:lastColumn="0" w:noHBand="0" w:noVBand="1"/>
      </w:tblPr>
      <w:tblGrid>
        <w:gridCol w:w="1867"/>
        <w:gridCol w:w="1856"/>
        <w:gridCol w:w="1857"/>
        <w:gridCol w:w="1923"/>
        <w:gridCol w:w="1857"/>
      </w:tblGrid>
      <w:tr w:rsidR="00C76FEE" w:rsidRPr="00A766F0" w14:paraId="56DE8176" w14:textId="77777777" w:rsidTr="00C76FE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tcPr>
          <w:p w14:paraId="3AFA49B8" w14:textId="77777777" w:rsidR="00BF678B" w:rsidRPr="00A766F0" w:rsidRDefault="00000000" w:rsidP="00BF678B">
            <w:pPr>
              <w:shd w:val="clear" w:color="auto" w:fill="auto"/>
              <w:jc w:val="center"/>
            </w:pPr>
            <w:r w:rsidRPr="00A766F0">
              <w:t>Framework</w:t>
            </w:r>
          </w:p>
        </w:tc>
        <w:tc>
          <w:tcPr>
            <w:tcW w:w="1870" w:type="dxa"/>
          </w:tcPr>
          <w:p w14:paraId="2EEAF176"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Focus</w:t>
            </w:r>
          </w:p>
        </w:tc>
        <w:tc>
          <w:tcPr>
            <w:tcW w:w="1870" w:type="dxa"/>
          </w:tcPr>
          <w:p w14:paraId="063DF8A3"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Strengths</w:t>
            </w:r>
          </w:p>
        </w:tc>
        <w:tc>
          <w:tcPr>
            <w:tcW w:w="1870" w:type="dxa"/>
          </w:tcPr>
          <w:p w14:paraId="1278449B"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Weaknesses</w:t>
            </w:r>
          </w:p>
        </w:tc>
        <w:tc>
          <w:tcPr>
            <w:tcW w:w="1870" w:type="dxa"/>
          </w:tcPr>
          <w:p w14:paraId="2AECBB69"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pPr>
            <w:r w:rsidRPr="00A766F0">
              <w:t>Suitability for ALL</w:t>
            </w:r>
          </w:p>
        </w:tc>
      </w:tr>
      <w:tr w:rsidR="00C76FEE" w:rsidRPr="00A766F0" w14:paraId="41B77D98" w14:textId="77777777" w:rsidTr="00C76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1196F4C" w14:textId="77777777" w:rsidR="00BF678B" w:rsidRPr="00A766F0" w:rsidRDefault="00000000" w:rsidP="00BF678B">
            <w:pPr>
              <w:shd w:val="clear" w:color="auto" w:fill="auto"/>
            </w:pPr>
            <w:r w:rsidRPr="00A766F0">
              <w:t>NIST CSF</w:t>
            </w:r>
          </w:p>
        </w:tc>
        <w:tc>
          <w:tcPr>
            <w:tcW w:w="1870" w:type="dxa"/>
            <w:vAlign w:val="center"/>
          </w:tcPr>
          <w:p w14:paraId="37CF91DF"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Cybersecurity</w:t>
            </w:r>
          </w:p>
        </w:tc>
        <w:tc>
          <w:tcPr>
            <w:tcW w:w="1870" w:type="dxa"/>
            <w:vAlign w:val="center"/>
          </w:tcPr>
          <w:p w14:paraId="311BFAF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Flexible and risk-based</w:t>
            </w:r>
          </w:p>
        </w:tc>
        <w:tc>
          <w:tcPr>
            <w:tcW w:w="1870" w:type="dxa"/>
            <w:vAlign w:val="center"/>
          </w:tcPr>
          <w:p w14:paraId="1978BA18"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Resource intensive</w:t>
            </w:r>
          </w:p>
        </w:tc>
        <w:tc>
          <w:tcPr>
            <w:tcW w:w="1870" w:type="dxa"/>
            <w:vAlign w:val="center"/>
          </w:tcPr>
          <w:p w14:paraId="4787D9B3"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High</w:t>
            </w:r>
          </w:p>
        </w:tc>
      </w:tr>
      <w:tr w:rsidR="00C76FEE" w:rsidRPr="00A766F0" w14:paraId="28FA4E1F" w14:textId="77777777" w:rsidTr="00C76FEE">
        <w:tc>
          <w:tcPr>
            <w:cnfStyle w:val="001000000000" w:firstRow="0" w:lastRow="0" w:firstColumn="1" w:lastColumn="0" w:oddVBand="0" w:evenVBand="0" w:oddHBand="0" w:evenHBand="0" w:firstRowFirstColumn="0" w:firstRowLastColumn="0" w:lastRowFirstColumn="0" w:lastRowLastColumn="0"/>
            <w:tcW w:w="1870" w:type="dxa"/>
          </w:tcPr>
          <w:p w14:paraId="375A1AB1" w14:textId="77777777" w:rsidR="00BF678B" w:rsidRPr="00A766F0" w:rsidRDefault="00000000" w:rsidP="00BF678B">
            <w:pPr>
              <w:shd w:val="clear" w:color="auto" w:fill="auto"/>
            </w:pPr>
            <w:r w:rsidRPr="00A766F0">
              <w:lastRenderedPageBreak/>
              <w:t>ISO 27001</w:t>
            </w:r>
          </w:p>
        </w:tc>
        <w:tc>
          <w:tcPr>
            <w:tcW w:w="1870" w:type="dxa"/>
            <w:vAlign w:val="center"/>
          </w:tcPr>
          <w:p w14:paraId="16BED66A"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Compliance and ISMS</w:t>
            </w:r>
          </w:p>
        </w:tc>
        <w:tc>
          <w:tcPr>
            <w:tcW w:w="1870" w:type="dxa"/>
            <w:vAlign w:val="center"/>
          </w:tcPr>
          <w:p w14:paraId="32345961"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International recognition</w:t>
            </w:r>
          </w:p>
        </w:tc>
        <w:tc>
          <w:tcPr>
            <w:tcW w:w="1870" w:type="dxa"/>
            <w:vAlign w:val="center"/>
          </w:tcPr>
          <w:p w14:paraId="1D55B2E9"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Expensive implementation</w:t>
            </w:r>
          </w:p>
        </w:tc>
        <w:tc>
          <w:tcPr>
            <w:tcW w:w="1870" w:type="dxa"/>
            <w:vAlign w:val="center"/>
          </w:tcPr>
          <w:p w14:paraId="7BBD51DC"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pPr>
            <w:r w:rsidRPr="00A766F0">
              <w:t>Very High</w:t>
            </w:r>
          </w:p>
        </w:tc>
      </w:tr>
      <w:tr w:rsidR="00C76FEE" w:rsidRPr="00A766F0" w14:paraId="0E2E78F5" w14:textId="77777777" w:rsidTr="00C76F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593D600" w14:textId="77777777" w:rsidR="00BF678B" w:rsidRPr="00A766F0" w:rsidRDefault="00000000" w:rsidP="00BF678B">
            <w:pPr>
              <w:shd w:val="clear" w:color="auto" w:fill="auto"/>
            </w:pPr>
            <w:r w:rsidRPr="00A766F0">
              <w:t>COBIT 2019</w:t>
            </w:r>
          </w:p>
        </w:tc>
        <w:tc>
          <w:tcPr>
            <w:tcW w:w="1870" w:type="dxa"/>
            <w:vAlign w:val="center"/>
          </w:tcPr>
          <w:p w14:paraId="33859691"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Governance</w:t>
            </w:r>
          </w:p>
        </w:tc>
        <w:tc>
          <w:tcPr>
            <w:tcW w:w="1870" w:type="dxa"/>
            <w:vAlign w:val="center"/>
          </w:tcPr>
          <w:p w14:paraId="26EE06FA"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Strategic alignment</w:t>
            </w:r>
          </w:p>
        </w:tc>
        <w:tc>
          <w:tcPr>
            <w:tcW w:w="1870" w:type="dxa"/>
            <w:vAlign w:val="center"/>
          </w:tcPr>
          <w:p w14:paraId="148E778B"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Complex deployment</w:t>
            </w:r>
          </w:p>
        </w:tc>
        <w:tc>
          <w:tcPr>
            <w:tcW w:w="1870" w:type="dxa"/>
            <w:vAlign w:val="center"/>
          </w:tcPr>
          <w:p w14:paraId="388CD75A"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pPr>
            <w:r w:rsidRPr="00A766F0">
              <w:t>High</w:t>
            </w:r>
          </w:p>
        </w:tc>
      </w:tr>
    </w:tbl>
    <w:p w14:paraId="27E2F9A4" w14:textId="77777777" w:rsidR="002374E6" w:rsidRPr="00A766F0" w:rsidRDefault="00000000">
      <w:pPr>
        <w:jc w:val="center"/>
        <w:rPr>
          <w:b/>
          <w:bCs/>
        </w:rPr>
      </w:pPr>
      <w:r w:rsidRPr="00A766F0">
        <w:rPr>
          <w:b/>
          <w:bCs/>
        </w:rPr>
        <w:t>Table 1: Comparative analysis of the security frameworks</w:t>
      </w:r>
    </w:p>
    <w:p w14:paraId="498FC99E" w14:textId="2DE1D175" w:rsidR="002374E6" w:rsidRPr="00A766F0" w:rsidRDefault="007177AE">
      <w:r w:rsidRPr="00A766F0">
        <w:t>The table above represents that the organisation ALL must establish a continuous risk management cycle that aligns with the frameworks like NIST CSF 2.0, ISO 27005, and COBIT 2019 while focusing on the risk management practices effectively</w:t>
      </w:r>
      <w:r w:rsidR="002B0C25" w:rsidRPr="00A766F0">
        <w:t xml:space="preserve"> (referred to table 1)</w:t>
      </w:r>
      <w:r w:rsidRPr="00A766F0">
        <w:t xml:space="preserve">. The primary focus and differentiation must focus on cloud-based framework and IoT device exposure, along with the insider threat. </w:t>
      </w:r>
    </w:p>
    <w:p w14:paraId="2C367F5A" w14:textId="77777777" w:rsidR="002374E6" w:rsidRPr="00A766F0" w:rsidRDefault="00000000">
      <w:pPr>
        <w:pStyle w:val="Heading1"/>
      </w:pPr>
      <w:bookmarkStart w:id="21" w:name="_9goro4jxlx0h" w:colFirst="0" w:colLast="0"/>
      <w:bookmarkStart w:id="22" w:name="_Toc234408839"/>
      <w:bookmarkEnd w:id="21"/>
      <w:r w:rsidRPr="00A766F0">
        <w:t>4. Proposed Security, Governance, and Compliance Approach for ALL</w:t>
      </w:r>
      <w:bookmarkEnd w:id="22"/>
      <w:r w:rsidRPr="00A766F0">
        <w:t xml:space="preserve"> </w:t>
      </w:r>
      <w:r w:rsidR="00BF678B" w:rsidRPr="00A766F0">
        <w:t xml:space="preserve"> </w:t>
      </w:r>
    </w:p>
    <w:p w14:paraId="41C06814" w14:textId="77777777" w:rsidR="002374E6" w:rsidRPr="00A766F0" w:rsidRDefault="00000000">
      <w:pPr>
        <w:pStyle w:val="Heading2"/>
        <w:keepNext w:val="0"/>
        <w:keepLines w:val="0"/>
        <w:spacing w:before="480"/>
      </w:pPr>
      <w:bookmarkStart w:id="23" w:name="_7mlocfouqjvu" w:colFirst="0" w:colLast="0"/>
      <w:bookmarkStart w:id="24" w:name="_Toc234408840"/>
      <w:bookmarkEnd w:id="23"/>
      <w:r w:rsidRPr="00A766F0">
        <w:t>4.1 Proposed Integrated Security Framework</w:t>
      </w:r>
      <w:bookmarkEnd w:id="24"/>
    </w:p>
    <w:p w14:paraId="0D658C94" w14:textId="18B39294" w:rsidR="002374E6" w:rsidRPr="00A766F0" w:rsidRDefault="00F10A84">
      <w:r>
        <w:t>The</w:t>
      </w:r>
      <w:r w:rsidR="00907215">
        <w:t xml:space="preserve"> integrated approach combines ISO/IEC 27001, NIST CSF and COBIT 2019 into a hybrid framework for multinational cloud-based organisations. The combined architecture of security ensures governance aligns with corporate policies. The integrated approach strengthens cybersecurity and governance</w:t>
      </w:r>
      <w:r w:rsidR="00E804FB">
        <w:t>.</w:t>
      </w:r>
      <w:r w:rsidR="00000000" w:rsidRPr="00A766F0">
        <w:t xml:space="preserve"> </w:t>
      </w:r>
    </w:p>
    <w:p w14:paraId="0BCEBDEB" w14:textId="77777777" w:rsidR="002374E6" w:rsidRPr="00A766F0" w:rsidRDefault="00000000">
      <w:pPr>
        <w:pStyle w:val="Heading2"/>
      </w:pPr>
      <w:bookmarkStart w:id="25" w:name="_jpc2qltd21kk" w:colFirst="0" w:colLast="0"/>
      <w:bookmarkStart w:id="26" w:name="_Toc234408841"/>
      <w:bookmarkEnd w:id="25"/>
      <w:r w:rsidRPr="00A766F0">
        <w:t>4.2 Governance Structure Design</w:t>
      </w:r>
      <w:bookmarkEnd w:id="26"/>
    </w:p>
    <w:p w14:paraId="0499A193" w14:textId="4BCD9203" w:rsidR="002374E6" w:rsidRPr="00A766F0" w:rsidRDefault="00000000">
      <w:r w:rsidRPr="00A766F0">
        <w:t>The Board of Directors of ALL are the responsible group of people for strategic guidance, development and implementation of the framework, and approving enterprise security goals. The Chief Information Security Officer (CISO) within the membership of the board is expected to drive enterprise-wide cybersecurity governance and have coordination related to the enterprise-wide risk management activities. The Risk Management Team, on the other hand, needs to do the risk assessments and monitoring exercises along with the Compliance Officers for the management of the GDPR, ISO 27001 and regulatory requirements</w:t>
      </w:r>
      <w:r w:rsidR="003E0846" w:rsidRPr="00A766F0">
        <w:t xml:space="preserve"> [17]</w:t>
      </w:r>
      <w:r w:rsidRPr="00A766F0">
        <w:t xml:space="preserve">. IT Operations, on the other hand, should be tasked with implementing technical controls, and the Vendor Management Team should be responsible for </w:t>
      </w:r>
      <w:r w:rsidRPr="00A766F0">
        <w:lastRenderedPageBreak/>
        <w:t>monitoring third-party security performance and Service Level Agreements (SLAs).</w:t>
      </w:r>
      <w:r w:rsidR="003F2015" w:rsidRPr="00A766F0">
        <w:t xml:space="preserve"> For sustainable measurement farmwork development, the ALL must develop a three-year Strategic Security Plan to meet the objectives of the company. The plan should emphasise on the Zero Trust deployment, certification of ISO/IEC 27001 and AI-based cybersecurity for a mature development.</w:t>
      </w:r>
      <w:r w:rsidR="002B0C25" w:rsidRPr="00A766F0">
        <w:t xml:space="preserve"> </w:t>
      </w:r>
      <w:r w:rsidRPr="00A766F0">
        <w:t xml:space="preserve">The governance development represented in the </w:t>
      </w:r>
      <w:r w:rsidR="00610515" w:rsidRPr="00A766F0">
        <w:t>Figure 6</w:t>
      </w:r>
      <w:r w:rsidRPr="00A766F0">
        <w:t xml:space="preserve"> below is effective in enhancing responsibility allocation and cross-department coordination while also maintaining accountability.</w:t>
      </w:r>
    </w:p>
    <w:p w14:paraId="14D82FA4" w14:textId="6E5270B4" w:rsidR="002374E6" w:rsidRPr="00A766F0" w:rsidRDefault="00A0715A" w:rsidP="00024154">
      <w:pPr>
        <w:jc w:val="center"/>
        <w:rPr>
          <w:b/>
          <w:bCs/>
        </w:rPr>
      </w:pPr>
      <w:r w:rsidRPr="00A766F0">
        <w:rPr>
          <w:b/>
          <w:bCs/>
          <w:noProof/>
        </w:rPr>
        <w:drawing>
          <wp:inline distT="0" distB="0" distL="0" distR="0" wp14:anchorId="6BBA97D5" wp14:editId="03EE90BC">
            <wp:extent cx="3976600" cy="3942927"/>
            <wp:effectExtent l="19050" t="19050" r="24130" b="19685"/>
            <wp:docPr id="1290239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239557" name=""/>
                    <pic:cNvPicPr/>
                  </pic:nvPicPr>
                  <pic:blipFill>
                    <a:blip r:embed="rId14"/>
                    <a:stretch>
                      <a:fillRect/>
                    </a:stretch>
                  </pic:blipFill>
                  <pic:spPr>
                    <a:xfrm>
                      <a:off x="0" y="0"/>
                      <a:ext cx="3994178" cy="3960356"/>
                    </a:xfrm>
                    <a:prstGeom prst="rect">
                      <a:avLst/>
                    </a:prstGeom>
                    <a:ln>
                      <a:solidFill>
                        <a:schemeClr val="tx1"/>
                      </a:solidFill>
                    </a:ln>
                  </pic:spPr>
                </pic:pic>
              </a:graphicData>
            </a:graphic>
          </wp:inline>
        </w:drawing>
      </w:r>
    </w:p>
    <w:p w14:paraId="44A852A3" w14:textId="77777777" w:rsidR="002374E6" w:rsidRPr="00A766F0" w:rsidRDefault="00000000">
      <w:pPr>
        <w:jc w:val="center"/>
        <w:rPr>
          <w:b/>
          <w:bCs/>
        </w:rPr>
      </w:pPr>
      <w:r w:rsidRPr="00A766F0">
        <w:rPr>
          <w:b/>
          <w:bCs/>
        </w:rPr>
        <w:t>Figure 6: IS Governance Structure for ALL</w:t>
      </w:r>
    </w:p>
    <w:p w14:paraId="08770991" w14:textId="77777777" w:rsidR="002374E6" w:rsidRPr="00A766F0" w:rsidRDefault="00000000">
      <w:pPr>
        <w:jc w:val="center"/>
      </w:pPr>
      <w:r w:rsidRPr="00A766F0">
        <w:t>(Source: Self-generated)</w:t>
      </w:r>
    </w:p>
    <w:p w14:paraId="59B6A4B0" w14:textId="77777777" w:rsidR="002374E6" w:rsidRPr="00A766F0" w:rsidRDefault="00000000">
      <w:pPr>
        <w:pStyle w:val="Heading2"/>
        <w:keepNext w:val="0"/>
        <w:keepLines w:val="0"/>
        <w:spacing w:before="480"/>
      </w:pPr>
      <w:bookmarkStart w:id="27" w:name="_kq55xu8p3dm" w:colFirst="0" w:colLast="0"/>
      <w:bookmarkStart w:id="28" w:name="_Toc234408842"/>
      <w:bookmarkEnd w:id="27"/>
      <w:r w:rsidRPr="00A766F0">
        <w:t>4.3 Risk Management and Assessment</w:t>
      </w:r>
      <w:bookmarkEnd w:id="28"/>
    </w:p>
    <w:p w14:paraId="4ED8E9CD" w14:textId="34525E14" w:rsidR="002374E6" w:rsidRPr="00A766F0" w:rsidRDefault="00000000">
      <w:r w:rsidRPr="00A766F0">
        <w:t xml:space="preserve">Given the current business situation of the ALL, it is essential to have a risk management lifecycle for ongoing development and maintain compatibility with ISO 27005 and NIST </w:t>
      </w:r>
      <w:r w:rsidRPr="00A766F0">
        <w:lastRenderedPageBreak/>
        <w:t xml:space="preserve">risk management principles </w:t>
      </w:r>
      <w:r w:rsidR="001B555B" w:rsidRPr="00A766F0">
        <w:t>[11]</w:t>
      </w:r>
      <w:r w:rsidRPr="00A766F0">
        <w:t>. The vulnerabilities related to the cloud and IoT devices and the insider threat, along with the supply chain systems, need to be focused on in the identification of the risk. The risks identified in the table below need to be measured and mitigated accordingly for the minimisation of the impact of these vulnerabilities related to the impact on the business and their likelihood of the risk occurring</w:t>
      </w:r>
      <w:r w:rsidR="002B0C25" w:rsidRPr="00A766F0">
        <w:t xml:space="preserve"> (refereeing to table 2 below)</w:t>
      </w:r>
      <w:r w:rsidRPr="00A766F0">
        <w:t xml:space="preserve">.  </w:t>
      </w:r>
    </w:p>
    <w:tbl>
      <w:tblPr>
        <w:tblStyle w:val="GridTable5Dark-Accent2"/>
        <w:tblW w:w="0" w:type="auto"/>
        <w:tblLook w:val="04A0" w:firstRow="1" w:lastRow="0" w:firstColumn="1" w:lastColumn="0" w:noHBand="0" w:noVBand="1"/>
      </w:tblPr>
      <w:tblGrid>
        <w:gridCol w:w="1834"/>
        <w:gridCol w:w="1637"/>
        <w:gridCol w:w="1746"/>
        <w:gridCol w:w="1597"/>
        <w:gridCol w:w="2536"/>
      </w:tblGrid>
      <w:tr w:rsidR="00C76FEE" w:rsidRPr="00A766F0" w14:paraId="5630F1A7" w14:textId="77777777" w:rsidTr="00E763CF">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858" w:type="dxa"/>
          </w:tcPr>
          <w:p w14:paraId="728E2C98" w14:textId="5D6BF08B" w:rsidR="00BF678B" w:rsidRPr="00A766F0" w:rsidRDefault="00000000" w:rsidP="00BF678B">
            <w:pPr>
              <w:shd w:val="clear" w:color="auto" w:fill="auto"/>
              <w:jc w:val="center"/>
              <w:rPr>
                <w:color w:val="auto"/>
                <w:sz w:val="26"/>
                <w:szCs w:val="26"/>
              </w:rPr>
            </w:pPr>
            <w:r w:rsidRPr="00A766F0">
              <w:rPr>
                <w:color w:val="auto"/>
              </w:rPr>
              <w:t>Threat</w:t>
            </w:r>
            <w:r w:rsidR="002B0C25" w:rsidRPr="00A766F0">
              <w:rPr>
                <w:color w:val="auto"/>
              </w:rPr>
              <w:t>/Issues</w:t>
            </w:r>
          </w:p>
        </w:tc>
        <w:tc>
          <w:tcPr>
            <w:tcW w:w="1858" w:type="dxa"/>
          </w:tcPr>
          <w:p w14:paraId="5351BC3A"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Impact</w:t>
            </w:r>
          </w:p>
        </w:tc>
        <w:tc>
          <w:tcPr>
            <w:tcW w:w="1858" w:type="dxa"/>
          </w:tcPr>
          <w:p w14:paraId="01AEE467"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Likelihood</w:t>
            </w:r>
          </w:p>
        </w:tc>
        <w:tc>
          <w:tcPr>
            <w:tcW w:w="1858" w:type="dxa"/>
          </w:tcPr>
          <w:p w14:paraId="2D7CE30A" w14:textId="77777777" w:rsidR="00BF678B" w:rsidRPr="00A766F0" w:rsidRDefault="00000000"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Risk Level</w:t>
            </w:r>
          </w:p>
        </w:tc>
        <w:tc>
          <w:tcPr>
            <w:tcW w:w="1858" w:type="dxa"/>
          </w:tcPr>
          <w:p w14:paraId="2B1EC323" w14:textId="45B1B13D" w:rsidR="00BF678B" w:rsidRPr="00A766F0" w:rsidRDefault="002B0C25" w:rsidP="00BF678B">
            <w:pPr>
              <w:shd w:val="clear" w:color="auto" w:fill="auto"/>
              <w:jc w:val="center"/>
              <w:cnfStyle w:val="100000000000" w:firstRow="1" w:lastRow="0" w:firstColumn="0" w:lastColumn="0" w:oddVBand="0" w:evenVBand="0" w:oddHBand="0" w:evenHBand="0" w:firstRowFirstColumn="0" w:firstRowLastColumn="0" w:lastRowFirstColumn="0" w:lastRowLastColumn="0"/>
              <w:rPr>
                <w:color w:val="auto"/>
                <w:sz w:val="26"/>
                <w:szCs w:val="26"/>
              </w:rPr>
            </w:pPr>
            <w:r w:rsidRPr="00A766F0">
              <w:rPr>
                <w:color w:val="auto"/>
              </w:rPr>
              <w:t>Contingency Approach/Mitigation</w:t>
            </w:r>
          </w:p>
        </w:tc>
      </w:tr>
      <w:tr w:rsidR="00C76FEE" w:rsidRPr="00A766F0" w14:paraId="6C48D196" w14:textId="77777777" w:rsidTr="00E763CF">
        <w:trPr>
          <w:cnfStyle w:val="000000100000" w:firstRow="0" w:lastRow="0" w:firstColumn="0" w:lastColumn="0" w:oddVBand="0" w:evenVBand="0" w:oddHBand="1" w:evenHBand="0" w:firstRowFirstColumn="0" w:firstRowLastColumn="0" w:lastRowFirstColumn="0" w:lastRowLastColumn="0"/>
          <w:trHeight w:val="997"/>
        </w:trPr>
        <w:tc>
          <w:tcPr>
            <w:cnfStyle w:val="001000000000" w:firstRow="0" w:lastRow="0" w:firstColumn="1" w:lastColumn="0" w:oddVBand="0" w:evenVBand="0" w:oddHBand="0" w:evenHBand="0" w:firstRowFirstColumn="0" w:firstRowLastColumn="0" w:lastRowFirstColumn="0" w:lastRowLastColumn="0"/>
            <w:tcW w:w="1858" w:type="dxa"/>
          </w:tcPr>
          <w:p w14:paraId="2EB368A3" w14:textId="77777777" w:rsidR="00BF678B" w:rsidRPr="00A766F0" w:rsidRDefault="00000000" w:rsidP="00BF678B">
            <w:pPr>
              <w:shd w:val="clear" w:color="auto" w:fill="auto"/>
              <w:rPr>
                <w:color w:val="auto"/>
                <w:sz w:val="26"/>
                <w:szCs w:val="26"/>
              </w:rPr>
            </w:pPr>
            <w:r w:rsidRPr="00A766F0">
              <w:rPr>
                <w:color w:val="auto"/>
              </w:rPr>
              <w:t>Cloud breach</w:t>
            </w:r>
          </w:p>
        </w:tc>
        <w:tc>
          <w:tcPr>
            <w:tcW w:w="1858" w:type="dxa"/>
          </w:tcPr>
          <w:p w14:paraId="33C20E4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w:t>
            </w:r>
          </w:p>
        </w:tc>
        <w:tc>
          <w:tcPr>
            <w:tcW w:w="1858" w:type="dxa"/>
          </w:tcPr>
          <w:p w14:paraId="36AB9F0D"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w:t>
            </w:r>
          </w:p>
        </w:tc>
        <w:tc>
          <w:tcPr>
            <w:tcW w:w="1858" w:type="dxa"/>
            <w:shd w:val="clear" w:color="auto" w:fill="C00000"/>
          </w:tcPr>
          <w:p w14:paraId="710191F5" w14:textId="22F67021"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(4*5) = 20</w:t>
            </w:r>
          </w:p>
        </w:tc>
        <w:tc>
          <w:tcPr>
            <w:tcW w:w="1858" w:type="dxa"/>
          </w:tcPr>
          <w:p w14:paraId="644954D8"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Encryption and MFA</w:t>
            </w:r>
          </w:p>
        </w:tc>
      </w:tr>
      <w:tr w:rsidR="00C76FEE" w:rsidRPr="00A766F0" w14:paraId="15CC4A59" w14:textId="77777777" w:rsidTr="00E763CF">
        <w:trPr>
          <w:trHeight w:val="978"/>
        </w:trPr>
        <w:tc>
          <w:tcPr>
            <w:cnfStyle w:val="001000000000" w:firstRow="0" w:lastRow="0" w:firstColumn="1" w:lastColumn="0" w:oddVBand="0" w:evenVBand="0" w:oddHBand="0" w:evenHBand="0" w:firstRowFirstColumn="0" w:firstRowLastColumn="0" w:lastRowFirstColumn="0" w:lastRowLastColumn="0"/>
            <w:tcW w:w="1858" w:type="dxa"/>
          </w:tcPr>
          <w:p w14:paraId="409D4FA5" w14:textId="77777777" w:rsidR="00BF678B" w:rsidRPr="00A766F0" w:rsidRDefault="00000000" w:rsidP="00BF678B">
            <w:pPr>
              <w:shd w:val="clear" w:color="auto" w:fill="auto"/>
              <w:rPr>
                <w:color w:val="auto"/>
                <w:sz w:val="26"/>
                <w:szCs w:val="26"/>
              </w:rPr>
            </w:pPr>
            <w:r w:rsidRPr="00A766F0">
              <w:rPr>
                <w:color w:val="auto"/>
              </w:rPr>
              <w:t>IoT compromise</w:t>
            </w:r>
          </w:p>
        </w:tc>
        <w:tc>
          <w:tcPr>
            <w:tcW w:w="1858" w:type="dxa"/>
          </w:tcPr>
          <w:p w14:paraId="6E0532FF"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w:t>
            </w:r>
          </w:p>
        </w:tc>
        <w:tc>
          <w:tcPr>
            <w:tcW w:w="1858" w:type="dxa"/>
          </w:tcPr>
          <w:p w14:paraId="58825A78"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w:t>
            </w:r>
          </w:p>
        </w:tc>
        <w:tc>
          <w:tcPr>
            <w:tcW w:w="1858" w:type="dxa"/>
            <w:shd w:val="clear" w:color="auto" w:fill="C00000"/>
          </w:tcPr>
          <w:p w14:paraId="1BD594EC" w14:textId="4B1AFFE3" w:rsidR="00BF678B" w:rsidRPr="00A766F0" w:rsidRDefault="002B0C25"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(5*5) = 25</w:t>
            </w:r>
          </w:p>
        </w:tc>
        <w:tc>
          <w:tcPr>
            <w:tcW w:w="1858" w:type="dxa"/>
          </w:tcPr>
          <w:p w14:paraId="6BBEE7B7" w14:textId="77777777" w:rsidR="00BF678B" w:rsidRPr="00A766F0" w:rsidRDefault="00000000" w:rsidP="00BF678B">
            <w:pPr>
              <w:shd w:val="clear" w:color="auto" w:fill="auto"/>
              <w:cnfStyle w:val="000000000000" w:firstRow="0" w:lastRow="0" w:firstColumn="0" w:lastColumn="0" w:oddVBand="0" w:evenVBand="0" w:oddHBand="0" w:evenHBand="0" w:firstRowFirstColumn="0" w:firstRowLastColumn="0" w:lastRowFirstColumn="0" w:lastRowLastColumn="0"/>
              <w:rPr>
                <w:sz w:val="26"/>
                <w:szCs w:val="26"/>
              </w:rPr>
            </w:pPr>
            <w:r w:rsidRPr="00A766F0">
              <w:t>Network segmentation</w:t>
            </w:r>
          </w:p>
        </w:tc>
      </w:tr>
      <w:tr w:rsidR="00C76FEE" w:rsidRPr="00A766F0" w14:paraId="782FD9A3" w14:textId="77777777" w:rsidTr="00E763CF">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1858" w:type="dxa"/>
          </w:tcPr>
          <w:p w14:paraId="594CFD57" w14:textId="77777777" w:rsidR="00BF678B" w:rsidRPr="00A766F0" w:rsidRDefault="00000000" w:rsidP="00BF678B">
            <w:pPr>
              <w:shd w:val="clear" w:color="auto" w:fill="auto"/>
              <w:rPr>
                <w:color w:val="auto"/>
                <w:sz w:val="26"/>
                <w:szCs w:val="26"/>
              </w:rPr>
            </w:pPr>
            <w:r w:rsidRPr="00A766F0">
              <w:rPr>
                <w:color w:val="auto"/>
              </w:rPr>
              <w:t>Insider threat</w:t>
            </w:r>
          </w:p>
        </w:tc>
        <w:tc>
          <w:tcPr>
            <w:tcW w:w="1858" w:type="dxa"/>
          </w:tcPr>
          <w:p w14:paraId="799FD79B"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w:t>
            </w:r>
          </w:p>
        </w:tc>
        <w:tc>
          <w:tcPr>
            <w:tcW w:w="1858" w:type="dxa"/>
          </w:tcPr>
          <w:p w14:paraId="041F4FD2"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w:t>
            </w:r>
          </w:p>
        </w:tc>
        <w:tc>
          <w:tcPr>
            <w:tcW w:w="1858" w:type="dxa"/>
            <w:shd w:val="clear" w:color="auto" w:fill="FFC000"/>
          </w:tcPr>
          <w:p w14:paraId="4045DE2A" w14:textId="3065EF7B"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(3*3) = 9</w:t>
            </w:r>
          </w:p>
        </w:tc>
        <w:tc>
          <w:tcPr>
            <w:tcW w:w="1858" w:type="dxa"/>
          </w:tcPr>
          <w:p w14:paraId="5368D7E9"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RBAC and monitoring</w:t>
            </w:r>
          </w:p>
        </w:tc>
      </w:tr>
      <w:tr w:rsidR="00C76FEE" w:rsidRPr="00A766F0" w14:paraId="392E0F4F" w14:textId="77777777" w:rsidTr="00E763CF">
        <w:trPr>
          <w:trHeight w:val="997"/>
        </w:trPr>
        <w:tc>
          <w:tcPr>
            <w:cnfStyle w:val="001000000000" w:firstRow="0" w:lastRow="0" w:firstColumn="1" w:lastColumn="0" w:oddVBand="0" w:evenVBand="0" w:oddHBand="0" w:evenHBand="0" w:firstRowFirstColumn="0" w:firstRowLastColumn="0" w:lastRowFirstColumn="0" w:lastRowLastColumn="0"/>
            <w:tcW w:w="1858" w:type="dxa"/>
          </w:tcPr>
          <w:p w14:paraId="5EBD33CE" w14:textId="77777777" w:rsidR="00BF678B" w:rsidRPr="00A766F0" w:rsidRDefault="00000000" w:rsidP="00BF678B">
            <w:pPr>
              <w:shd w:val="clear" w:color="auto" w:fill="auto"/>
              <w:rPr>
                <w:color w:val="auto"/>
                <w:sz w:val="26"/>
                <w:szCs w:val="26"/>
              </w:rPr>
            </w:pPr>
            <w:r w:rsidRPr="00A766F0">
              <w:rPr>
                <w:color w:val="auto"/>
              </w:rPr>
              <w:t>Vendor compromise</w:t>
            </w:r>
          </w:p>
        </w:tc>
        <w:tc>
          <w:tcPr>
            <w:tcW w:w="1858" w:type="dxa"/>
          </w:tcPr>
          <w:p w14:paraId="1B794DC4"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w:t>
            </w:r>
          </w:p>
        </w:tc>
        <w:tc>
          <w:tcPr>
            <w:tcW w:w="1858" w:type="dxa"/>
          </w:tcPr>
          <w:p w14:paraId="17A90936" w14:textId="77777777" w:rsidR="00BF678B" w:rsidRPr="00A766F0" w:rsidRDefault="00000000"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w:t>
            </w:r>
          </w:p>
        </w:tc>
        <w:tc>
          <w:tcPr>
            <w:tcW w:w="1858" w:type="dxa"/>
            <w:shd w:val="clear" w:color="auto" w:fill="EE0000"/>
          </w:tcPr>
          <w:p w14:paraId="4AD30826" w14:textId="07D45E40" w:rsidR="00BF678B" w:rsidRPr="00A766F0" w:rsidRDefault="002B0C25" w:rsidP="00BF678B">
            <w:pPr>
              <w:shd w:val="clear" w:color="auto" w:fill="auto"/>
              <w:jc w:val="center"/>
              <w:cnfStyle w:val="000000000000" w:firstRow="0" w:lastRow="0" w:firstColumn="0" w:lastColumn="0" w:oddVBand="0" w:evenVBand="0" w:oddHBand="0" w:evenHBand="0" w:firstRowFirstColumn="0" w:firstRowLastColumn="0" w:lastRowFirstColumn="0" w:lastRowLastColumn="0"/>
              <w:rPr>
                <w:sz w:val="26"/>
                <w:szCs w:val="26"/>
              </w:rPr>
            </w:pPr>
            <w:r w:rsidRPr="00A766F0">
              <w:t>(4*4) = 16</w:t>
            </w:r>
          </w:p>
        </w:tc>
        <w:tc>
          <w:tcPr>
            <w:tcW w:w="1858" w:type="dxa"/>
          </w:tcPr>
          <w:p w14:paraId="1CEC881A" w14:textId="77777777" w:rsidR="00BF678B" w:rsidRPr="00A766F0" w:rsidRDefault="00000000" w:rsidP="00BF678B">
            <w:pPr>
              <w:shd w:val="clear" w:color="auto" w:fill="auto"/>
              <w:cnfStyle w:val="000000000000" w:firstRow="0" w:lastRow="0" w:firstColumn="0" w:lastColumn="0" w:oddVBand="0" w:evenVBand="0" w:oddHBand="0" w:evenHBand="0" w:firstRowFirstColumn="0" w:firstRowLastColumn="0" w:lastRowFirstColumn="0" w:lastRowLastColumn="0"/>
              <w:rPr>
                <w:sz w:val="26"/>
                <w:szCs w:val="26"/>
              </w:rPr>
            </w:pPr>
            <w:r w:rsidRPr="00A766F0">
              <w:t>Vendor audits</w:t>
            </w:r>
          </w:p>
        </w:tc>
      </w:tr>
      <w:tr w:rsidR="00C76FEE" w:rsidRPr="00A766F0" w14:paraId="7C3CFD18" w14:textId="77777777" w:rsidTr="00E763CF">
        <w:trPr>
          <w:cnfStyle w:val="000000100000" w:firstRow="0" w:lastRow="0" w:firstColumn="0" w:lastColumn="0" w:oddVBand="0" w:evenVBand="0" w:oddHBand="1" w:evenHBand="0" w:firstRowFirstColumn="0" w:firstRowLastColumn="0" w:lastRowFirstColumn="0" w:lastRowLastColumn="0"/>
          <w:trHeight w:val="978"/>
        </w:trPr>
        <w:tc>
          <w:tcPr>
            <w:cnfStyle w:val="001000000000" w:firstRow="0" w:lastRow="0" w:firstColumn="1" w:lastColumn="0" w:oddVBand="0" w:evenVBand="0" w:oddHBand="0" w:evenHBand="0" w:firstRowFirstColumn="0" w:firstRowLastColumn="0" w:lastRowFirstColumn="0" w:lastRowLastColumn="0"/>
            <w:tcW w:w="1858" w:type="dxa"/>
          </w:tcPr>
          <w:p w14:paraId="370E1694" w14:textId="77777777" w:rsidR="00BF678B" w:rsidRPr="00A766F0" w:rsidRDefault="00000000" w:rsidP="00BF678B">
            <w:pPr>
              <w:shd w:val="clear" w:color="auto" w:fill="auto"/>
              <w:rPr>
                <w:color w:val="auto"/>
                <w:sz w:val="26"/>
                <w:szCs w:val="26"/>
              </w:rPr>
            </w:pPr>
            <w:r w:rsidRPr="00A766F0">
              <w:rPr>
                <w:color w:val="auto"/>
              </w:rPr>
              <w:t>Ransomware attack</w:t>
            </w:r>
          </w:p>
        </w:tc>
        <w:tc>
          <w:tcPr>
            <w:tcW w:w="1858" w:type="dxa"/>
          </w:tcPr>
          <w:p w14:paraId="3284ED2E"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w:t>
            </w:r>
          </w:p>
        </w:tc>
        <w:tc>
          <w:tcPr>
            <w:tcW w:w="1858" w:type="dxa"/>
          </w:tcPr>
          <w:p w14:paraId="308BC724" w14:textId="77777777" w:rsidR="00BF678B" w:rsidRPr="00A766F0" w:rsidRDefault="00000000"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4</w:t>
            </w:r>
          </w:p>
        </w:tc>
        <w:tc>
          <w:tcPr>
            <w:tcW w:w="1858" w:type="dxa"/>
            <w:shd w:val="clear" w:color="auto" w:fill="C00000"/>
          </w:tcPr>
          <w:p w14:paraId="7D638A37" w14:textId="5AB87602" w:rsidR="00BF678B" w:rsidRPr="00A766F0" w:rsidRDefault="002B0C25" w:rsidP="00BF678B">
            <w:pPr>
              <w:shd w:val="clear" w:color="auto" w:fill="auto"/>
              <w:jc w:val="center"/>
              <w:cnfStyle w:val="000000100000" w:firstRow="0" w:lastRow="0" w:firstColumn="0" w:lastColumn="0" w:oddVBand="0" w:evenVBand="0" w:oddHBand="1" w:evenHBand="0" w:firstRowFirstColumn="0" w:firstRowLastColumn="0" w:lastRowFirstColumn="0" w:lastRowLastColumn="0"/>
              <w:rPr>
                <w:sz w:val="26"/>
                <w:szCs w:val="26"/>
              </w:rPr>
            </w:pPr>
            <w:r w:rsidRPr="00A766F0">
              <w:t>(5*4) = 20</w:t>
            </w:r>
          </w:p>
        </w:tc>
        <w:tc>
          <w:tcPr>
            <w:tcW w:w="1858" w:type="dxa"/>
          </w:tcPr>
          <w:p w14:paraId="6EBA4D86" w14:textId="77777777" w:rsidR="00BF678B" w:rsidRPr="00A766F0" w:rsidRDefault="00000000" w:rsidP="00BF678B">
            <w:pPr>
              <w:shd w:val="clear" w:color="auto" w:fill="auto"/>
              <w:cnfStyle w:val="000000100000" w:firstRow="0" w:lastRow="0" w:firstColumn="0" w:lastColumn="0" w:oddVBand="0" w:evenVBand="0" w:oddHBand="1" w:evenHBand="0" w:firstRowFirstColumn="0" w:firstRowLastColumn="0" w:lastRowFirstColumn="0" w:lastRowLastColumn="0"/>
              <w:rPr>
                <w:sz w:val="26"/>
                <w:szCs w:val="26"/>
              </w:rPr>
            </w:pPr>
            <w:r w:rsidRPr="00A766F0">
              <w:t>Backup and EDR</w:t>
            </w:r>
          </w:p>
        </w:tc>
      </w:tr>
    </w:tbl>
    <w:p w14:paraId="4AC685D1" w14:textId="77777777" w:rsidR="002374E6" w:rsidRPr="00A766F0" w:rsidRDefault="00000000">
      <w:pPr>
        <w:jc w:val="center"/>
        <w:rPr>
          <w:b/>
          <w:bCs/>
        </w:rPr>
      </w:pPr>
      <w:r w:rsidRPr="00A766F0">
        <w:rPr>
          <w:b/>
          <w:bCs/>
        </w:rPr>
        <w:t>Table 2: Risk Matrix</w:t>
      </w:r>
    </w:p>
    <w:p w14:paraId="3D0885C2" w14:textId="215AA8E4" w:rsidR="002374E6" w:rsidRPr="00A766F0" w:rsidRDefault="00000000">
      <w:r w:rsidRPr="00A766F0">
        <w:t xml:space="preserve">Continuous monitoring needs to be implemented using security information and management systems to detect the appropriate endpoints and enable automatic threat intelligence. </w:t>
      </w:r>
    </w:p>
    <w:p w14:paraId="0B002D5C" w14:textId="77777777" w:rsidR="002374E6" w:rsidRPr="00A766F0" w:rsidRDefault="00000000">
      <w:pPr>
        <w:pStyle w:val="Heading2"/>
        <w:keepNext w:val="0"/>
        <w:keepLines w:val="0"/>
        <w:spacing w:before="480"/>
      </w:pPr>
      <w:bookmarkStart w:id="29" w:name="_gu3kskrmx93x" w:colFirst="0" w:colLast="0"/>
      <w:bookmarkStart w:id="30" w:name="_Toc234408843"/>
      <w:bookmarkEnd w:id="29"/>
      <w:r w:rsidRPr="00A766F0">
        <w:t>4.4 Security Policies and Access Controls</w:t>
      </w:r>
      <w:bookmarkEnd w:id="30"/>
    </w:p>
    <w:p w14:paraId="20D8D9A5" w14:textId="2E0E08D9" w:rsidR="002374E6" w:rsidRPr="00A766F0" w:rsidRDefault="00000000">
      <w:r w:rsidRPr="00A766F0">
        <w:t xml:space="preserve">The application of the Zero Trust Architecture (ZTA) can be effective for the management of the risk associated with remote access and unmanaged devices. It assumes that no device or system needs to be automatically trusted based on the network location. The </w:t>
      </w:r>
      <w:r w:rsidRPr="00A766F0">
        <w:lastRenderedPageBreak/>
        <w:t xml:space="preserve">model with multifactor authentication needs to be used mandatorily for the organisational system. Role-based access must ensure that access is distributed accordingly based on the power and requirement </w:t>
      </w:r>
      <w:r w:rsidR="000408E7" w:rsidRPr="00A766F0">
        <w:t>[1]</w:t>
      </w:r>
      <w:r w:rsidRPr="00A766F0">
        <w:t xml:space="preserve">. Additionally, data encryption needs to be implemented during data transitions. Security awareness training should also be conducted regularly for the reduction of social engineering, phishing or any insider threat, maintaining the acceptable use policies, remote working policy and data handling procedure. </w:t>
      </w:r>
      <w:r w:rsidR="00836438" w:rsidRPr="00A766F0">
        <w:t xml:space="preserve">AI-based SIEM framework also helps in the analysis of the activities of users and highlight the different behaviours while prioritising the threats automatically.  </w:t>
      </w:r>
    </w:p>
    <w:p w14:paraId="3A2263C3" w14:textId="77777777" w:rsidR="002374E6" w:rsidRPr="00A766F0" w:rsidRDefault="00000000">
      <w:pPr>
        <w:pStyle w:val="Heading2"/>
        <w:keepNext w:val="0"/>
        <w:keepLines w:val="0"/>
        <w:spacing w:before="480"/>
      </w:pPr>
      <w:bookmarkStart w:id="31" w:name="_d3wzht5y991b" w:colFirst="0" w:colLast="0"/>
      <w:bookmarkStart w:id="32" w:name="_Toc234408844"/>
      <w:bookmarkEnd w:id="31"/>
      <w:r w:rsidRPr="00A766F0">
        <w:t>4.5 Compliance, Legal Considerations and Vendor</w:t>
      </w:r>
      <w:bookmarkEnd w:id="32"/>
    </w:p>
    <w:p w14:paraId="5459FAFE" w14:textId="27A23D0D" w:rsidR="002374E6" w:rsidRPr="00A766F0" w:rsidRDefault="00000000">
      <w:r w:rsidRPr="00A766F0">
        <w:t>The operations of ALL multinational regulation environments need to comply with the GDPR and data protection law on the ISO 27001 governance requirements.</w:t>
      </w:r>
      <w:r w:rsidR="000408E7" w:rsidRPr="00A766F0">
        <w:t xml:space="preserve"> </w:t>
      </w:r>
      <w:r w:rsidRPr="00A766F0">
        <w:t xml:space="preserve">The cross-border data transmission should also maintain a system through appropriate contracts with encryption and security standards. </w:t>
      </w:r>
      <w:r w:rsidR="000408E7" w:rsidRPr="00A766F0">
        <w:t>T</w:t>
      </w:r>
      <w:r w:rsidRPr="00A766F0">
        <w:t>he encryption standard of minimisation and operational principle with fairness and accountability with maintenance</w:t>
      </w:r>
      <w:r w:rsidR="000408E7" w:rsidRPr="00A766F0">
        <w:t xml:space="preserve"> [17]</w:t>
      </w:r>
      <w:r w:rsidRPr="00A766F0">
        <w:t xml:space="preserve">. </w:t>
      </w:r>
    </w:p>
    <w:p w14:paraId="5BEAE353" w14:textId="2CC1DB05" w:rsidR="002B0C25" w:rsidRPr="00A766F0" w:rsidRDefault="00000000">
      <w:r w:rsidRPr="00A766F0">
        <w:t xml:space="preserve">Considering the outsourcing of 88% of the infrastructure for ALL, it is essential to manage third parties and operational necessity and shift from each vendor integration need to a verified shared responsibility model. The security assessment needs to be conducted before onboarding and periodic contractual relationship development </w:t>
      </w:r>
      <w:r w:rsidR="006A36EC" w:rsidRPr="00A766F0">
        <w:t>[23]</w:t>
      </w:r>
      <w:r w:rsidR="000408E7" w:rsidRPr="00A766F0">
        <w:t>.</w:t>
      </w:r>
      <w:r w:rsidRPr="00A766F0">
        <w:t xml:space="preserve"> </w:t>
      </w:r>
      <w:r w:rsidR="000408E7" w:rsidRPr="00A766F0">
        <w:t>The table</w:t>
      </w:r>
      <w:r w:rsidR="002B0C25" w:rsidRPr="00A766F0">
        <w:t xml:space="preserve"> 3</w:t>
      </w:r>
      <w:r w:rsidRPr="00A766F0">
        <w:t xml:space="preserve"> below, represent the area of each vendor and recommended controls</w:t>
      </w:r>
      <w:r w:rsidR="000408E7" w:rsidRPr="00A766F0">
        <w:t xml:space="preserve"> procedure</w:t>
      </w:r>
      <w:r w:rsidRPr="00A766F0">
        <w:t xml:space="preserve"> for them. </w:t>
      </w:r>
    </w:p>
    <w:p w14:paraId="46C5C921" w14:textId="18C24876" w:rsidR="00EF38AB" w:rsidRPr="00A766F0" w:rsidRDefault="002B0C25">
      <w:r w:rsidRPr="00A766F0">
        <w:br w:type="page"/>
      </w:r>
    </w:p>
    <w:p w14:paraId="5A388F20" w14:textId="4E43E905" w:rsidR="00730449" w:rsidRPr="00A766F0" w:rsidRDefault="00730449">
      <w:pPr>
        <w:jc w:val="center"/>
        <w:rPr>
          <w:b/>
          <w:bCs/>
        </w:rPr>
      </w:pPr>
      <w:r w:rsidRPr="00A766F0">
        <w:rPr>
          <w:b/>
          <w:bCs/>
          <w:noProof/>
        </w:rPr>
        <w:lastRenderedPageBreak/>
        <w:drawing>
          <wp:inline distT="0" distB="0" distL="0" distR="0" wp14:anchorId="1E4F34C4" wp14:editId="67C29EAD">
            <wp:extent cx="5542479" cy="3000375"/>
            <wp:effectExtent l="0" t="0" r="1270" b="0"/>
            <wp:docPr id="82357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72402" name=""/>
                    <pic:cNvPicPr/>
                  </pic:nvPicPr>
                  <pic:blipFill>
                    <a:blip r:embed="rId15"/>
                    <a:stretch>
                      <a:fillRect/>
                    </a:stretch>
                  </pic:blipFill>
                  <pic:spPr>
                    <a:xfrm>
                      <a:off x="0" y="0"/>
                      <a:ext cx="5545722" cy="3002131"/>
                    </a:xfrm>
                    <a:prstGeom prst="rect">
                      <a:avLst/>
                    </a:prstGeom>
                  </pic:spPr>
                </pic:pic>
              </a:graphicData>
            </a:graphic>
          </wp:inline>
        </w:drawing>
      </w:r>
    </w:p>
    <w:p w14:paraId="746EA5F6" w14:textId="0BC9DD39" w:rsidR="002374E6" w:rsidRPr="00A766F0" w:rsidRDefault="00000000">
      <w:pPr>
        <w:jc w:val="center"/>
        <w:rPr>
          <w:b/>
          <w:bCs/>
        </w:rPr>
      </w:pPr>
      <w:r w:rsidRPr="00A766F0">
        <w:rPr>
          <w:b/>
          <w:bCs/>
        </w:rPr>
        <w:t>Table 3: Vendor Risk Assessment</w:t>
      </w:r>
    </w:p>
    <w:p w14:paraId="7DAD6DA9" w14:textId="16964ECA" w:rsidR="003F2015" w:rsidRPr="00A766F0" w:rsidRDefault="003F2015" w:rsidP="003F2015">
      <w:pPr>
        <w:pStyle w:val="Heading2"/>
      </w:pPr>
      <w:bookmarkStart w:id="33" w:name="_Toc234408845"/>
      <w:r w:rsidRPr="00A766F0">
        <w:t>4.7 Contingency Planning</w:t>
      </w:r>
      <w:bookmarkEnd w:id="33"/>
    </w:p>
    <w:p w14:paraId="53E1B3D2" w14:textId="695A04DC" w:rsidR="002374E6" w:rsidRPr="00A766F0" w:rsidRDefault="003F2015">
      <w:r w:rsidRPr="00A766F0">
        <w:t xml:space="preserve">The Contingency planning must support the continuity of the business planning for the </w:t>
      </w:r>
      <w:proofErr w:type="spellStart"/>
      <w:r w:rsidRPr="00A766F0">
        <w:t>the</w:t>
      </w:r>
      <w:proofErr w:type="spellEnd"/>
      <w:r w:rsidRPr="00A766F0">
        <w:t xml:space="preserve"> development of alternative procedures for the events of major cyber events related to the vital logistics functions. Contingency exercises, alternative communication procedures, manual shipping procedures, and cyber challenging activities for the performance of the operation facilitation in case the cloud becomes unavailable</w:t>
      </w:r>
      <w:r w:rsidR="002B0C25" w:rsidRPr="00A766F0">
        <w:t xml:space="preserve">. </w:t>
      </w:r>
    </w:p>
    <w:p w14:paraId="56E8D089" w14:textId="77777777" w:rsidR="002B0C25" w:rsidRPr="00A766F0" w:rsidRDefault="002B0C25">
      <w:pPr>
        <w:rPr>
          <w:b/>
          <w:bCs/>
          <w:sz w:val="28"/>
          <w:szCs w:val="28"/>
        </w:rPr>
      </w:pPr>
      <w:bookmarkStart w:id="34" w:name="_dtul232feyx3" w:colFirst="0" w:colLast="0"/>
      <w:bookmarkStart w:id="35" w:name="_Toc234408846"/>
      <w:bookmarkEnd w:id="34"/>
      <w:r w:rsidRPr="00A766F0">
        <w:br w:type="page"/>
      </w:r>
    </w:p>
    <w:p w14:paraId="14BC5708" w14:textId="7C40A437" w:rsidR="002374E6" w:rsidRPr="00A766F0" w:rsidRDefault="00000000">
      <w:pPr>
        <w:pStyle w:val="Heading1"/>
      </w:pPr>
      <w:r w:rsidRPr="00A766F0">
        <w:lastRenderedPageBreak/>
        <w:t>5. Critical Discussion: Importance of Continuous Regulatory and Standards Updates</w:t>
      </w:r>
      <w:bookmarkEnd w:id="35"/>
      <w:r w:rsidRPr="00A766F0">
        <w:t xml:space="preserve"> </w:t>
      </w:r>
    </w:p>
    <w:p w14:paraId="18639C49" w14:textId="3C733DD5" w:rsidR="002374E6" w:rsidRPr="00A766F0" w:rsidRDefault="007177AE">
      <w:r w:rsidRPr="00A766F0">
        <w:t>In recent times, the utilisation of advanced technology has influenced the global cybersecurity system and has driven changes within business operations.</w:t>
      </w:r>
      <w:r w:rsidR="003E0846" w:rsidRPr="00A766F0">
        <w:t xml:space="preserve"> </w:t>
      </w:r>
      <w:r w:rsidR="000408E7" w:rsidRPr="00A766F0">
        <w:t>The</w:t>
      </w:r>
      <w:r w:rsidRPr="00A766F0">
        <w:t xml:space="preserve"> companies are increasingly utilising the cloud-based infrastructures along with advanced technologies like AI or IoT</w:t>
      </w:r>
      <w:r w:rsidR="000408E7" w:rsidRPr="00A766F0">
        <w:t xml:space="preserve"> [15]</w:t>
      </w:r>
      <w:r w:rsidRPr="00A766F0">
        <w:t xml:space="preserve">. These technologies, on the other hand, also pose some challenges in terms of cyber threats threatening the business operations system of the companies related to governance and regulatory control. Therefore, it is crucial to always keep the cyber rules and standards up to date </w:t>
      </w:r>
      <w:r w:rsidR="00E541E1" w:rsidRPr="00A766F0">
        <w:t>to</w:t>
      </w:r>
      <w:r w:rsidRPr="00A766F0">
        <w:t xml:space="preserve"> meet the current cyber framework of operations.</w:t>
      </w:r>
    </w:p>
    <w:p w14:paraId="406F4FD9" w14:textId="561F14C9" w:rsidR="002374E6" w:rsidRPr="00A766F0" w:rsidRDefault="00000000">
      <w:pPr>
        <w:pStyle w:val="Heading2"/>
      </w:pPr>
      <w:bookmarkStart w:id="36" w:name="_hqfjg1n43rsj" w:colFirst="0" w:colLast="0"/>
      <w:bookmarkStart w:id="37" w:name="_Toc234408847"/>
      <w:bookmarkEnd w:id="36"/>
      <w:r w:rsidRPr="00A766F0">
        <w:t xml:space="preserve">5.1 New Technologies and Evolving </w:t>
      </w:r>
      <w:r w:rsidR="002B0C25" w:rsidRPr="00A766F0">
        <w:t>Issues</w:t>
      </w:r>
      <w:bookmarkEnd w:id="37"/>
      <w:r w:rsidRPr="00A766F0">
        <w:t xml:space="preserve"> </w:t>
      </w:r>
    </w:p>
    <w:p w14:paraId="619C802D" w14:textId="15E85DE2" w:rsidR="007177AE" w:rsidRPr="00A766F0" w:rsidRDefault="007177AE" w:rsidP="007177AE">
      <w:pPr>
        <w:tabs>
          <w:tab w:val="left" w:pos="7230"/>
        </w:tabs>
        <w:rPr>
          <w:b/>
          <w:bCs/>
        </w:rPr>
      </w:pPr>
      <w:bookmarkStart w:id="38" w:name="_c8u6vxf2y89w" w:colFirst="0" w:colLast="0"/>
      <w:bookmarkEnd w:id="38"/>
      <w:r w:rsidRPr="00A766F0">
        <w:t>Integration of new technology within the global supply chain environment has altered the operation and management of the corporate organisation along with the threat perspective</w:t>
      </w:r>
      <w:r w:rsidR="001B555B" w:rsidRPr="00A766F0">
        <w:t xml:space="preserve"> [9]</w:t>
      </w:r>
      <w:r w:rsidRPr="00A766F0">
        <w:t xml:space="preserve">. Global companies like ALL need to maintain the security standard for the prevention of compromising systematic business paths through its Digital infrastructure. The cyber security events have significantly increased in number in recent years, and now these are being influenced using autonomous systems or artificial intelligence. When combined with the framework of advanced technology and data infrastructure, these frameworks are effective in addressing vulnerabilities within the existing system. </w:t>
      </w:r>
      <w:r w:rsidR="00FD19FD" w:rsidRPr="00A766F0">
        <w:t>H</w:t>
      </w:r>
      <w:r w:rsidRPr="00A766F0">
        <w:t xml:space="preserve">ackers are using advanced language, </w:t>
      </w:r>
      <w:r w:rsidR="00F10A84" w:rsidRPr="00A766F0">
        <w:t>le</w:t>
      </w:r>
      <w:r w:rsidR="00F10A84">
        <w:t>arning</w:t>
      </w:r>
      <w:r w:rsidRPr="00A766F0">
        <w:t xml:space="preserve"> models and autonomous software for easy discovery of enterprise-wide vulnerability and patch configurations</w:t>
      </w:r>
      <w:r w:rsidR="000408E7" w:rsidRPr="00A766F0">
        <w:t xml:space="preserve"> [</w:t>
      </w:r>
      <w:r w:rsidR="00764EF2" w:rsidRPr="00A766F0">
        <w:t>13]</w:t>
      </w:r>
      <w:r w:rsidRPr="00A766F0">
        <w:t xml:space="preserve">. </w:t>
      </w:r>
      <w:r w:rsidR="00BA367A">
        <w:t>These risks require stronger governance.</w:t>
      </w:r>
      <w:r w:rsidR="003B7116" w:rsidRPr="00A766F0">
        <w:t xml:space="preserve"> The Future cybersecurity governance framework further demands the preparation of the quantum-resistant cryptography, autonomous AI </w:t>
      </w:r>
      <w:r w:rsidR="00D9782F" w:rsidRPr="00A766F0">
        <w:t xml:space="preserve">application. </w:t>
      </w:r>
    </w:p>
    <w:p w14:paraId="68FDCB4E" w14:textId="160F3CCF" w:rsidR="002374E6" w:rsidRPr="00A766F0" w:rsidRDefault="00000000">
      <w:pPr>
        <w:pStyle w:val="Heading2"/>
      </w:pPr>
      <w:bookmarkStart w:id="39" w:name="_Toc234408848"/>
      <w:r w:rsidRPr="00A766F0">
        <w:t>5.2 Necessity of Continuous Regulatory Standard Updates</w:t>
      </w:r>
      <w:bookmarkEnd w:id="39"/>
    </w:p>
    <w:p w14:paraId="5ADED474" w14:textId="1AA73D43" w:rsidR="007177AE" w:rsidRPr="00A766F0" w:rsidRDefault="007177AE" w:rsidP="007177AE">
      <w:r w:rsidRPr="00A766F0">
        <w:t xml:space="preserve">Continuous development in any business is one of the most necessary aspects, specifically in the case of digital technology. Continuous upgradation of the regulatory </w:t>
      </w:r>
      <w:r w:rsidRPr="00A766F0">
        <w:lastRenderedPageBreak/>
        <w:t xml:space="preserve">and compliance environment with security norms is necessary for reducing cyber threats. In the constantly changing environment of the governance framework and cyber attacking, the traditional policies are not effective for addressing these issues </w:t>
      </w:r>
      <w:r w:rsidR="003E0846" w:rsidRPr="00A766F0">
        <w:t>[13]</w:t>
      </w:r>
      <w:r w:rsidRPr="00A766F0">
        <w:t xml:space="preserve">. Therefore, it is essential to adopt a new and measured infrastructure that can be aligned with the ongoing change of the technology and can be effective in stopping attacks by reducing fragmentation in the regulatory space. </w:t>
      </w:r>
      <w:r w:rsidR="00D9782F" w:rsidRPr="00A766F0">
        <w:t xml:space="preserve">Individuals like Chief Information Security Officer (CISO) should coordinate cross-functional cyber security implementation and the vendor security workshops for spreading the security awareness events to validate organisational </w:t>
      </w:r>
      <w:proofErr w:type="spellStart"/>
      <w:r w:rsidR="00D9782F" w:rsidRPr="00A766F0">
        <w:t>capavilities</w:t>
      </w:r>
      <w:proofErr w:type="spellEnd"/>
      <w:r w:rsidR="00D9782F" w:rsidRPr="00A766F0">
        <w:t>.</w:t>
      </w:r>
      <w:r w:rsidRPr="00A766F0">
        <w:t xml:space="preserve"> For example, under the NIS 2 Directive </w:t>
      </w:r>
      <w:r w:rsidR="001B2278" w:rsidRPr="00A766F0">
        <w:t>[18]</w:t>
      </w:r>
      <w:r w:rsidRPr="00A766F0">
        <w:t xml:space="preserve"> as per the European Union, a network of information, security directive and digital operations need to have a collaborative environment for proper implementation with appropriate security measures. The</w:t>
      </w:r>
      <w:r w:rsidR="00764EF2" w:rsidRPr="00A766F0">
        <w:t xml:space="preserve"> GDPR regulations </w:t>
      </w:r>
      <w:r w:rsidRPr="00A766F0">
        <w:t>have also focused on strict handling of personal data and maintaining boundaries under the legal article for data protection</w:t>
      </w:r>
      <w:r w:rsidR="00764EF2" w:rsidRPr="00A766F0">
        <w:t xml:space="preserve"> [4]</w:t>
      </w:r>
      <w:r w:rsidRPr="00A766F0">
        <w:t>. Previously, the cyber-attack at SolarWind have represented how attackers can gain access towards thousands of organisational information through that party software vendor</w:t>
      </w:r>
      <w:r w:rsidR="00764EF2" w:rsidRPr="00A766F0">
        <w:t xml:space="preserve"> </w:t>
      </w:r>
      <w:r w:rsidR="001B555B" w:rsidRPr="00A766F0">
        <w:t>[6]</w:t>
      </w:r>
      <w:r w:rsidRPr="00A766F0">
        <w:t xml:space="preserve">. These further represent the necessity of maintaining standards within the business infrastructure in terms of vendor management and ongoing security adoption.  </w:t>
      </w:r>
    </w:p>
    <w:p w14:paraId="5E828824" w14:textId="77777777" w:rsidR="002374E6" w:rsidRPr="00A766F0" w:rsidRDefault="00000000">
      <w:pPr>
        <w:pStyle w:val="Heading2"/>
      </w:pPr>
      <w:bookmarkStart w:id="40" w:name="_osqds4zbotqi" w:colFirst="0" w:colLast="0"/>
      <w:bookmarkStart w:id="41" w:name="_Toc234408849"/>
      <w:bookmarkEnd w:id="40"/>
      <w:r w:rsidRPr="00A766F0">
        <w:t>5.3 Consequences of Outdated Security Standards</w:t>
      </w:r>
      <w:bookmarkEnd w:id="41"/>
    </w:p>
    <w:p w14:paraId="50ADC257" w14:textId="58EE7126" w:rsidR="002374E6" w:rsidRPr="00A766F0" w:rsidRDefault="00000000">
      <w:r w:rsidRPr="00A766F0">
        <w:t xml:space="preserve">In case of any failure in updating the </w:t>
      </w:r>
      <w:r w:rsidR="00764EF2" w:rsidRPr="00A766F0">
        <w:t>governance,</w:t>
      </w:r>
      <w:r w:rsidR="00236B7D" w:rsidRPr="00A766F0">
        <w:t xml:space="preserve"> </w:t>
      </w:r>
      <w:r w:rsidRPr="00A766F0">
        <w:t>framework and maintaining compliance standards, there can be several operational, financial and reputational damages for the organisations</w:t>
      </w:r>
      <w:r w:rsidR="003E0846" w:rsidRPr="00A766F0">
        <w:t xml:space="preserve"> [16]</w:t>
      </w:r>
      <w:r w:rsidRPr="00A766F0">
        <w:t xml:space="preserve">. Additionally, the dependency on traditional governance frameworks further introduces catastrophic corporate risk due to the non-adaptation of emerging regulatory frameworks to manage the current threat. The catastrophic impact in the case study of </w:t>
      </w:r>
      <w:proofErr w:type="spellStart"/>
      <w:r w:rsidRPr="00A766F0">
        <w:t>MOVEit</w:t>
      </w:r>
      <w:proofErr w:type="spellEnd"/>
      <w:r w:rsidRPr="00A766F0">
        <w:t xml:space="preserve"> has represented the necessity of maintaining adequate patch management practices </w:t>
      </w:r>
      <w:r w:rsidR="001B555B" w:rsidRPr="00A766F0">
        <w:t>[5]</w:t>
      </w:r>
      <w:r w:rsidRPr="00A766F0">
        <w:t>. The operation disruption can also become a severe challenge during cyber incidents where companies lack updated responses for breach incidents and a resilient strategy.</w:t>
      </w:r>
    </w:p>
    <w:p w14:paraId="350567B6" w14:textId="77777777" w:rsidR="002374E6" w:rsidRPr="00A766F0" w:rsidRDefault="00000000">
      <w:pPr>
        <w:pStyle w:val="Heading1"/>
      </w:pPr>
      <w:bookmarkStart w:id="42" w:name="_3x87npigi805" w:colFirst="0" w:colLast="0"/>
      <w:bookmarkStart w:id="43" w:name="_Toc234408850"/>
      <w:bookmarkEnd w:id="42"/>
      <w:r w:rsidRPr="00A766F0">
        <w:lastRenderedPageBreak/>
        <w:t>6. Conclusion</w:t>
      </w:r>
      <w:bookmarkEnd w:id="43"/>
      <w:r w:rsidRPr="00A766F0">
        <w:t xml:space="preserve"> </w:t>
      </w:r>
    </w:p>
    <w:p w14:paraId="62C4C067" w14:textId="2CF4DC92" w:rsidR="002374E6" w:rsidRPr="00A766F0" w:rsidRDefault="00000000" w:rsidP="00AB299B">
      <w:r w:rsidRPr="00A766F0">
        <w:t xml:space="preserve">Currently, </w:t>
      </w:r>
      <w:proofErr w:type="spellStart"/>
      <w:r w:rsidRPr="00A766F0">
        <w:t>AeroLink</w:t>
      </w:r>
      <w:proofErr w:type="spellEnd"/>
      <w:r w:rsidRPr="00A766F0">
        <w:t xml:space="preserve"> Logistics faces significant threats to cybersecurity, governance and challenges of compliance primarily arising from excessive dependency on cloud computing</w:t>
      </w:r>
      <w:r w:rsidR="007177AE" w:rsidRPr="00A766F0">
        <w:t xml:space="preserve">. </w:t>
      </w:r>
      <w:r w:rsidR="005E41B2" w:rsidRPr="00A766F0">
        <w:t xml:space="preserve">The security weaknesses at </w:t>
      </w:r>
      <w:proofErr w:type="spellStart"/>
      <w:r w:rsidR="005E41B2" w:rsidRPr="00A766F0">
        <w:t>AeroLink</w:t>
      </w:r>
      <w:proofErr w:type="spellEnd"/>
      <w:r w:rsidR="005E41B2" w:rsidRPr="00A766F0">
        <w:t xml:space="preserve"> Logistics largely generated from the high dependence on outsourced cloud infrastructure along with the immature governance</w:t>
      </w:r>
      <w:r w:rsidR="007177AE" w:rsidRPr="00A766F0">
        <w:t xml:space="preserve"> compliance related issue that are primarily developing from the excessive dependency on cloud computing and advanced technologies. Development in these areas is also driving demand for integrated architecture and cloud tracking without any unified security framework like NIST CSF, ISO or COBIT 2019 that represents the capability of individual frameworks to reduce the gap between market requirements of security frameworks and actual implementation procedures. </w:t>
      </w:r>
      <w:r w:rsidR="00BA367A">
        <w:t>Future work should evaluate AI-based governance tools and Zero Trust maturity in global logistics.</w:t>
      </w:r>
      <w:r w:rsidR="00907215">
        <w:t xml:space="preserve"> </w:t>
      </w:r>
    </w:p>
    <w:p w14:paraId="3A400E80" w14:textId="77777777" w:rsidR="00AB299B" w:rsidRPr="00A766F0" w:rsidRDefault="00AB299B">
      <w:pPr>
        <w:rPr>
          <w:b/>
          <w:bCs/>
          <w:sz w:val="28"/>
          <w:szCs w:val="28"/>
        </w:rPr>
      </w:pPr>
      <w:bookmarkStart w:id="44" w:name="_kucebun8ldv6" w:colFirst="0" w:colLast="0"/>
      <w:bookmarkEnd w:id="44"/>
      <w:r w:rsidRPr="00A766F0">
        <w:br w:type="page"/>
      </w:r>
    </w:p>
    <w:p w14:paraId="31160A9B" w14:textId="2D2D3467" w:rsidR="002374E6" w:rsidRPr="00A766F0" w:rsidRDefault="00000000">
      <w:pPr>
        <w:pStyle w:val="Heading1"/>
      </w:pPr>
      <w:bookmarkStart w:id="45" w:name="_Toc234408851"/>
      <w:r w:rsidRPr="00A766F0">
        <w:lastRenderedPageBreak/>
        <w:t>Referenc</w:t>
      </w:r>
      <w:r w:rsidR="004D7DCA" w:rsidRPr="00A766F0">
        <w:t>es</w:t>
      </w:r>
      <w:bookmarkEnd w:id="45"/>
    </w:p>
    <w:p w14:paraId="20B978FA" w14:textId="77777777" w:rsidR="004D7DCA" w:rsidRPr="00A766F0" w:rsidRDefault="004D7DCA" w:rsidP="004D7DCA">
      <w:r w:rsidRPr="00A766F0">
        <w:t>[1] M. Fareed and A. A. Yassin, “Privacy-preserving multi-factor authentication and role-based access control scheme for the E-healthcare system,” </w:t>
      </w:r>
      <w:r w:rsidRPr="00A766F0">
        <w:rPr>
          <w:i/>
          <w:iCs/>
        </w:rPr>
        <w:t>Bulletin of Electrical Engineering and Informatics</w:t>
      </w:r>
      <w:r w:rsidRPr="00A766F0">
        <w:t>, vol. 11, no. 4, pp. 2131–2141, Aug. 2022.</w:t>
      </w:r>
    </w:p>
    <w:p w14:paraId="0662E42B" w14:textId="77777777" w:rsidR="004D7DCA" w:rsidRPr="00A766F0" w:rsidRDefault="004D7DCA" w:rsidP="004D7DCA">
      <w:r w:rsidRPr="00A766F0">
        <w:t>[2] L. A. Alexei, “Design &amp; development of a cyber security conceptual framework for higher education institutions in the Republic of Moldova,” </w:t>
      </w:r>
      <w:r w:rsidRPr="00A766F0">
        <w:rPr>
          <w:i/>
          <w:iCs/>
        </w:rPr>
        <w:t>Scientific and Practical Cyber Security Journal (SPCSJ)</w:t>
      </w:r>
      <w:r w:rsidRPr="00A766F0">
        <w:t>, no. 1, pp. 35–52, 2022.</w:t>
      </w:r>
    </w:p>
    <w:p w14:paraId="1AD7F4D4" w14:textId="77777777" w:rsidR="004D7DCA" w:rsidRPr="00A766F0" w:rsidRDefault="004D7DCA" w:rsidP="004D7DCA">
      <w:r w:rsidRPr="00A766F0">
        <w:t xml:space="preserve">[3] </w:t>
      </w:r>
      <w:proofErr w:type="spellStart"/>
      <w:r w:rsidRPr="00A766F0">
        <w:t>Aerolink</w:t>
      </w:r>
      <w:proofErr w:type="spellEnd"/>
      <w:r w:rsidRPr="00A766F0">
        <w:t xml:space="preserve"> Logistics, “ALL Home - </w:t>
      </w:r>
      <w:proofErr w:type="spellStart"/>
      <w:r w:rsidRPr="00A766F0">
        <w:t>Aerolink</w:t>
      </w:r>
      <w:proofErr w:type="spellEnd"/>
      <w:r w:rsidRPr="00A766F0">
        <w:t xml:space="preserve"> Logistics,” 2026. [Online]. Available: </w:t>
      </w:r>
      <w:hyperlink r:id="rId16" w:history="1">
        <w:r w:rsidRPr="00A766F0">
          <w:rPr>
            <w:rStyle w:val="Hyperlink"/>
          </w:rPr>
          <w:t>https://alinklogonline.com/</w:t>
        </w:r>
      </w:hyperlink>
      <w:r w:rsidRPr="00A766F0">
        <w:t>. [Accessed: May 29, 2026].</w:t>
      </w:r>
    </w:p>
    <w:p w14:paraId="69D82D20" w14:textId="77777777" w:rsidR="004D7DCA" w:rsidRPr="00A766F0" w:rsidRDefault="004D7DCA" w:rsidP="004D7DCA">
      <w:r w:rsidRPr="00A766F0">
        <w:t>[4] General Data Protection Regulation, “Art. 32 GDPR – Security of processing,” 2026. [Online]. Available: </w:t>
      </w:r>
      <w:hyperlink r:id="rId17" w:history="1">
        <w:r w:rsidRPr="00A766F0">
          <w:rPr>
            <w:rStyle w:val="Hyperlink"/>
          </w:rPr>
          <w:t>https://gdpr-info.eu/art-32-gdpr/</w:t>
        </w:r>
      </w:hyperlink>
      <w:r w:rsidRPr="00A766F0">
        <w:t>. [Accessed: May 29, 2026].</w:t>
      </w:r>
    </w:p>
    <w:p w14:paraId="254802BD" w14:textId="77777777" w:rsidR="004D7DCA" w:rsidRPr="00A766F0" w:rsidRDefault="004D7DCA" w:rsidP="004D7DCA">
      <w:r w:rsidRPr="00A766F0">
        <w:t xml:space="preserve">[5] Gross Shuman P.C., “Cyber Case Study: </w:t>
      </w:r>
      <w:proofErr w:type="spellStart"/>
      <w:r w:rsidRPr="00A766F0">
        <w:t>MOVEit</w:t>
      </w:r>
      <w:proofErr w:type="spellEnd"/>
      <w:r w:rsidRPr="00A766F0">
        <w:t xml:space="preserve"> Data Breach,” 2026. [Online]. Available: </w:t>
      </w:r>
      <w:hyperlink r:id="rId18" w:history="1">
        <w:r w:rsidRPr="00A766F0">
          <w:rPr>
            <w:rStyle w:val="Hyperlink"/>
          </w:rPr>
          <w:t>https://www.gross-shuman.com/documents/Intranet%20Content/Cyber%20Case%20Study%20-%20MOVEit%20Data%20Breach.pdf</w:t>
        </w:r>
      </w:hyperlink>
      <w:r w:rsidRPr="00A766F0">
        <w:t>. [Accessed: May 29, 2026].</w:t>
      </w:r>
    </w:p>
    <w:p w14:paraId="569DC588" w14:textId="77777777" w:rsidR="004D7DCA" w:rsidRPr="00A766F0" w:rsidRDefault="004D7DCA" w:rsidP="004D7DCA">
      <w:r w:rsidRPr="00A766F0">
        <w:t xml:space="preserve">[6] A. </w:t>
      </w:r>
      <w:proofErr w:type="spellStart"/>
      <w:r w:rsidRPr="00A766F0">
        <w:t>Gurbanova</w:t>
      </w:r>
      <w:proofErr w:type="spellEnd"/>
      <w:r w:rsidRPr="00A766F0">
        <w:t>, “Security vulnerabilities and strategic responses: The SolarWinds supply chain attack and its implications for global cybersecurity,” n.d.</w:t>
      </w:r>
    </w:p>
    <w:p w14:paraId="7DAFC712" w14:textId="77777777" w:rsidR="004D7DCA" w:rsidRPr="00A766F0" w:rsidRDefault="004D7DCA" w:rsidP="004D7DCA">
      <w:r w:rsidRPr="00A766F0">
        <w:t>[7] ISACA, “ISACA® frameworks, standards and models,” 2026. [Online]. Available: </w:t>
      </w:r>
      <w:hyperlink r:id="rId19" w:history="1">
        <w:r w:rsidRPr="00A766F0">
          <w:rPr>
            <w:rStyle w:val="Hyperlink"/>
          </w:rPr>
          <w:t>https://www.isaca.org/resources/frameworks-standards-and-models</w:t>
        </w:r>
      </w:hyperlink>
      <w:r w:rsidRPr="00A766F0">
        <w:t>. [Accessed: May 28, 2026].</w:t>
      </w:r>
    </w:p>
    <w:p w14:paraId="5B75077B" w14:textId="77777777" w:rsidR="004D7DCA" w:rsidRPr="00A766F0" w:rsidRDefault="004D7DCA" w:rsidP="004D7DCA">
      <w:r w:rsidRPr="00A766F0">
        <w:t>[8] International Organization for Standardization, “ISO - Standards,” 2026. [Online]. Available: </w:t>
      </w:r>
      <w:hyperlink r:id="rId20" w:history="1">
        <w:r w:rsidRPr="00A766F0">
          <w:rPr>
            <w:rStyle w:val="Hyperlink"/>
          </w:rPr>
          <w:t>https://www.iso.org/standards.html</w:t>
        </w:r>
      </w:hyperlink>
      <w:r w:rsidRPr="00A766F0">
        <w:t>. [Accessed: May 28, 2026].</w:t>
      </w:r>
    </w:p>
    <w:p w14:paraId="33ACE2F5" w14:textId="77777777" w:rsidR="004D7DCA" w:rsidRPr="00A766F0" w:rsidRDefault="004D7DCA" w:rsidP="004D7DCA">
      <w:r w:rsidRPr="00A766F0">
        <w:t>[9] S. Jones, “Supply chain risk management in the era of globalization,” </w:t>
      </w:r>
      <w:r w:rsidRPr="00A766F0">
        <w:rPr>
          <w:i/>
          <w:iCs/>
        </w:rPr>
        <w:t>European Journal of Supply Chain Management</w:t>
      </w:r>
      <w:r w:rsidRPr="00A766F0">
        <w:t>, vol. 1, no. 1, pp. 11–21, 2023.</w:t>
      </w:r>
    </w:p>
    <w:p w14:paraId="0A8BB2B7" w14:textId="77777777" w:rsidR="004D7DCA" w:rsidRPr="00A766F0" w:rsidRDefault="004D7DCA" w:rsidP="004D7DCA">
      <w:r w:rsidRPr="00A766F0">
        <w:lastRenderedPageBreak/>
        <w:t>[10] K. K. Olanrewaju, “Business data breaches-impact on brand reputation and employee integrity: A case study of Desjardins in Canada,” </w:t>
      </w:r>
      <w:proofErr w:type="spellStart"/>
      <w:r w:rsidRPr="00A766F0">
        <w:rPr>
          <w:i/>
          <w:iCs/>
        </w:rPr>
        <w:t>Texila</w:t>
      </w:r>
      <w:proofErr w:type="spellEnd"/>
      <w:r w:rsidRPr="00A766F0">
        <w:rPr>
          <w:i/>
          <w:iCs/>
        </w:rPr>
        <w:t xml:space="preserve"> International Journal of Academic Research</w:t>
      </w:r>
      <w:r w:rsidRPr="00A766F0">
        <w:t>, 2025.</w:t>
      </w:r>
    </w:p>
    <w:p w14:paraId="2C53C490" w14:textId="77777777" w:rsidR="004D7DCA" w:rsidRPr="00A766F0" w:rsidRDefault="004D7DCA" w:rsidP="004D7DCA">
      <w:r w:rsidRPr="00A766F0">
        <w:t>[11] M. Parmar and A. Miles, “Cyber security frameworks (CSFs): An assessment between the NIST CSF v2.0 and EU standards,” in </w:t>
      </w:r>
      <w:r w:rsidRPr="00A766F0">
        <w:rPr>
          <w:i/>
          <w:iCs/>
        </w:rPr>
        <w:t>Proc. 2024 Security for Space Systems (3S)</w:t>
      </w:r>
      <w:r w:rsidRPr="00A766F0">
        <w:t>, May 2024, pp. 1–7.</w:t>
      </w:r>
    </w:p>
    <w:p w14:paraId="24A896FD" w14:textId="77777777" w:rsidR="004D7DCA" w:rsidRPr="00A766F0" w:rsidRDefault="004D7DCA" w:rsidP="004D7DCA">
      <w:r w:rsidRPr="00A766F0">
        <w:t>[12] D. S. Lim and S. J. Lee, “Privacy protection in AI transformation environments: Focusing on integrated log system and AHP scenario prioritization,” </w:t>
      </w:r>
      <w:r w:rsidRPr="00A766F0">
        <w:rPr>
          <w:i/>
          <w:iCs/>
        </w:rPr>
        <w:t>Sensors</w:t>
      </w:r>
      <w:r w:rsidRPr="00A766F0">
        <w:t>, vol. 25, no. 16, p. 5181, Aug. 2025.</w:t>
      </w:r>
    </w:p>
    <w:p w14:paraId="72B5371B" w14:textId="77777777" w:rsidR="004D7DCA" w:rsidRPr="00A766F0" w:rsidRDefault="004D7DCA" w:rsidP="004D7DCA">
      <w:r w:rsidRPr="00A766F0">
        <w:t>[13] M. O. Faruq, “Vendor risk management in cloud-centric architectures: A systematic review of SOC 2, FedRAMP, and ISO 27001 practices,” </w:t>
      </w:r>
      <w:r w:rsidRPr="00A766F0">
        <w:rPr>
          <w:i/>
          <w:iCs/>
        </w:rPr>
        <w:t>International Journal of Business and Economics Insights</w:t>
      </w:r>
      <w:r w:rsidRPr="00A766F0">
        <w:t>, vol. 4, no. 1, pp. 1–32, Mar. 2024.</w:t>
      </w:r>
    </w:p>
    <w:p w14:paraId="2D1006CA" w14:textId="77777777" w:rsidR="004D7DCA" w:rsidRPr="00A766F0" w:rsidRDefault="004D7DCA" w:rsidP="004D7DCA">
      <w:r w:rsidRPr="00A766F0">
        <w:t>[14] National Institute of Standards and Technology, “The NIST Cybersecurity Framework (CSF) 2.0,” NIST CSWP 29, 2026. [Online]. Available: </w:t>
      </w:r>
      <w:hyperlink r:id="rId21" w:history="1">
        <w:r w:rsidRPr="00A766F0">
          <w:rPr>
            <w:rStyle w:val="Hyperlink"/>
          </w:rPr>
          <w:t>https://nvlpubs.nist.gov/nistpubs/CSWP/NIST.CSWP.29.pdf</w:t>
        </w:r>
      </w:hyperlink>
      <w:r w:rsidRPr="00A766F0">
        <w:t>. [Accessed: May 28, 2026].</w:t>
      </w:r>
    </w:p>
    <w:p w14:paraId="5AE13026" w14:textId="77777777" w:rsidR="004D7DCA" w:rsidRPr="00A766F0" w:rsidRDefault="004D7DCA" w:rsidP="004D7DCA">
      <w:r w:rsidRPr="00A766F0">
        <w:t>[15] G. Poornima, “Cloud-native intelligent systems for predictive analytics infrastructure optimization and secure digital platforms,” </w:t>
      </w:r>
      <w:r w:rsidRPr="00A766F0">
        <w:rPr>
          <w:i/>
          <w:iCs/>
        </w:rPr>
        <w:t>International Journal of Research Publications in Engineering, Technology and Management (IJRPETM)</w:t>
      </w:r>
      <w:r w:rsidRPr="00A766F0">
        <w:t>, vol. 7, no. 5, pp. 11221–11232, Sep. 2024.</w:t>
      </w:r>
    </w:p>
    <w:p w14:paraId="0C010790" w14:textId="77777777" w:rsidR="004D7DCA" w:rsidRPr="00A766F0" w:rsidRDefault="004D7DCA" w:rsidP="004D7DCA">
      <w:r w:rsidRPr="00A766F0">
        <w:t>[16] M. Sathye, “Defiance as an image restoration strategy: Refining the reputation risk management framework,” </w:t>
      </w:r>
      <w:r w:rsidRPr="00A766F0">
        <w:rPr>
          <w:i/>
          <w:iCs/>
        </w:rPr>
        <w:t>Qualitative Research in Accounting &amp; Management</w:t>
      </w:r>
      <w:r w:rsidRPr="00A766F0">
        <w:t>, vol. 21, no. 5, pp. 494–523, Nov. 2024.</w:t>
      </w:r>
    </w:p>
    <w:p w14:paraId="1E8BC60E" w14:textId="77777777" w:rsidR="004D7DCA" w:rsidRPr="00A766F0" w:rsidRDefault="004D7DCA" w:rsidP="004D7DCA">
      <w:r w:rsidRPr="00A766F0">
        <w:t>[17] A. I. Pathirana and M. Wilenius, “ISO 27001 and global privacy compliance,” n.d.</w:t>
      </w:r>
    </w:p>
    <w:p w14:paraId="7339B70A" w14:textId="77777777" w:rsidR="004D7DCA" w:rsidRPr="00A766F0" w:rsidRDefault="004D7DCA" w:rsidP="004D7DCA">
      <w:r w:rsidRPr="00A766F0">
        <w:t>[18] Cyber Risk GmbH, “The NIS 2 Directive: Updates, compliance, training,” 2026. [Online]. Available: </w:t>
      </w:r>
      <w:hyperlink r:id="rId22" w:history="1">
        <w:r w:rsidRPr="00A766F0">
          <w:rPr>
            <w:rStyle w:val="Hyperlink"/>
          </w:rPr>
          <w:t>https://www.nis-2-directive.com/</w:t>
        </w:r>
      </w:hyperlink>
      <w:r w:rsidRPr="00A766F0">
        <w:t>. [Accessed: May 29, 2026].</w:t>
      </w:r>
    </w:p>
    <w:p w14:paraId="082FDE11" w14:textId="32282605" w:rsidR="004D7DCA" w:rsidRPr="00A766F0" w:rsidRDefault="004D7DCA" w:rsidP="004D7DCA">
      <w:r w:rsidRPr="00A766F0">
        <w:lastRenderedPageBreak/>
        <w:t>[19] National Institute of Standards and Technology, “Cybersecurity Framework,” 2026. [Online]</w:t>
      </w:r>
      <w:r w:rsidR="00A22CC0">
        <w:t>.</w:t>
      </w:r>
      <w:r w:rsidRPr="00A766F0">
        <w:t xml:space="preserve"> </w:t>
      </w:r>
    </w:p>
    <w:p w14:paraId="2F66E727" w14:textId="77777777" w:rsidR="004D7DCA" w:rsidRPr="00A766F0" w:rsidRDefault="004D7DCA" w:rsidP="004D7DCA">
      <w:r w:rsidRPr="00A766F0">
        <w:t xml:space="preserve">[20] M. </w:t>
      </w:r>
      <w:proofErr w:type="spellStart"/>
      <w:r w:rsidRPr="00A766F0">
        <w:t>Ponugoti</w:t>
      </w:r>
      <w:proofErr w:type="spellEnd"/>
      <w:r w:rsidRPr="00A766F0">
        <w:t>, “Integrating full-stack development with regulatory compliance in enterprise systems architecture,” </w:t>
      </w:r>
      <w:r w:rsidRPr="00A766F0">
        <w:rPr>
          <w:i/>
          <w:iCs/>
        </w:rPr>
        <w:t>International Journal of Research Publications in Engineering, Technology and Management (IJRPETM)</w:t>
      </w:r>
      <w:r w:rsidRPr="00A766F0">
        <w:t>, vol. 5, no. 2, pp. 6550–6563, May 2022.</w:t>
      </w:r>
    </w:p>
    <w:p w14:paraId="19BE86C2" w14:textId="77777777" w:rsidR="004D7DCA" w:rsidRPr="00A766F0" w:rsidRDefault="004D7DCA" w:rsidP="004D7DCA">
      <w:r w:rsidRPr="00A766F0">
        <w:t>[21] E. Stefani, “Assessment of the relationship between information technology governance and artificial intelligence governance in organizations: Expansion of the COBIT 2019 framework,” n.d.</w:t>
      </w:r>
    </w:p>
    <w:p w14:paraId="3D446DCF" w14:textId="77777777" w:rsidR="004D7DCA" w:rsidRPr="00A766F0" w:rsidRDefault="004D7DCA" w:rsidP="004D7DCA">
      <w:r w:rsidRPr="00A766F0">
        <w:t>[22] T. Vassiliadis and J. Hedström, “The challenges and opportunities in incident response for companies,” n.d.</w:t>
      </w:r>
    </w:p>
    <w:p w14:paraId="053573EC" w14:textId="77777777" w:rsidR="004D7DCA" w:rsidRPr="00A766F0" w:rsidRDefault="004D7DCA" w:rsidP="004D7DCA">
      <w:r w:rsidRPr="00A766F0">
        <w:t>[23] A. C. Almeida, M. M. Marques, and A. Goncalves, “Onboarding of new staff in critical information systems: A risk-based framework with evidence from the Portuguese regulatory context,” n.d.</w:t>
      </w:r>
    </w:p>
    <w:p w14:paraId="6EACD06A" w14:textId="77777777" w:rsidR="004D7DCA" w:rsidRPr="00A766F0" w:rsidRDefault="004D7DCA" w:rsidP="004D7DCA">
      <w:r w:rsidRPr="00A766F0">
        <w:t xml:space="preserve">[24] A. </w:t>
      </w:r>
      <w:proofErr w:type="spellStart"/>
      <w:r w:rsidRPr="00A766F0">
        <w:t>Dimakopoulou</w:t>
      </w:r>
      <w:proofErr w:type="spellEnd"/>
      <w:r w:rsidRPr="00A766F0">
        <w:t xml:space="preserve"> and K. </w:t>
      </w:r>
      <w:proofErr w:type="spellStart"/>
      <w:r w:rsidRPr="00A766F0">
        <w:t>Rantos</w:t>
      </w:r>
      <w:proofErr w:type="spellEnd"/>
      <w:r w:rsidRPr="00A766F0">
        <w:t>, “Comprehensive analysis of maritime cybersecurity landscape based on the NIST CSF v2.0,” </w:t>
      </w:r>
      <w:r w:rsidRPr="00A766F0">
        <w:rPr>
          <w:i/>
          <w:iCs/>
        </w:rPr>
        <w:t>Journal of Marine Science and Engineering</w:t>
      </w:r>
      <w:r w:rsidRPr="00A766F0">
        <w:t>, vol. 12, no. 6, p. 919, May 2024.</w:t>
      </w:r>
    </w:p>
    <w:p w14:paraId="76C46EBC" w14:textId="77777777" w:rsidR="004D7DCA" w:rsidRPr="00A766F0" w:rsidRDefault="004D7DCA" w:rsidP="004D7DCA">
      <w:r w:rsidRPr="00A766F0">
        <w:t>[25] B. M. Vaghani, “Integrating quality at source into supplier management: A pathway to cost efficiency and regulatory compliance,” </w:t>
      </w:r>
      <w:r w:rsidRPr="00A766F0">
        <w:rPr>
          <w:i/>
          <w:iCs/>
        </w:rPr>
        <w:t>Journal of Current Science and Research Review</w:t>
      </w:r>
      <w:r w:rsidRPr="00A766F0">
        <w:t>, vol. 2, no. 2, pp. 56–68, Dec. 2024.</w:t>
      </w:r>
    </w:p>
    <w:p w14:paraId="49243610" w14:textId="1C3D71F8" w:rsidR="006C5CE7" w:rsidRPr="00A766F0" w:rsidRDefault="006C5CE7" w:rsidP="004D7DCA"/>
    <w:sectPr w:rsidR="006C5CE7" w:rsidRPr="00A766F0" w:rsidSect="00E763CF">
      <w:headerReference w:type="default" r:id="rId23"/>
      <w:footerReference w:type="default" r:id="rId24"/>
      <w:pgSz w:w="12240" w:h="15840"/>
      <w:pgMar w:top="1440" w:right="1440" w:bottom="1440" w:left="1440" w:header="720" w:footer="352"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A3B87" w14:textId="77777777" w:rsidR="00FC263E" w:rsidRDefault="00FC263E">
      <w:pPr>
        <w:spacing w:before="0" w:after="0" w:line="240" w:lineRule="auto"/>
      </w:pPr>
      <w:r>
        <w:separator/>
      </w:r>
    </w:p>
  </w:endnote>
  <w:endnote w:type="continuationSeparator" w:id="0">
    <w:p w14:paraId="4BD00290" w14:textId="77777777" w:rsidR="00FC263E" w:rsidRDefault="00FC26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35AA6734-E954-BD47-9423-234534C74304}"/>
    <w:embedBold r:id="rId2" w:fontKey="{95633C8C-B685-9045-A187-7AB7B58CC8AA}"/>
    <w:embedItalic r:id="rId3" w:fontKey="{4E357863-D908-5E47-8643-FC9E8D4EF9EF}"/>
    <w:embedBoldItalic r:id="rId4" w:fontKey="{3A71E503-58C4-4C41-946D-192BC75EF7B4}"/>
  </w:font>
  <w:font w:name="Arial">
    <w:panose1 w:val="020B0604020202020204"/>
    <w:charset w:val="00"/>
    <w:family w:val="swiss"/>
    <w:pitch w:val="variable"/>
    <w:sig w:usb0="E0002EFF" w:usb1="C000785B" w:usb2="00000009" w:usb3="00000000" w:csb0="000001FF" w:csb1="00000000"/>
    <w:embedRegular r:id="rId5" w:fontKey="{D2E11330-68D3-EA40-AF4A-21A3F99DC1B7}"/>
    <w:embedBold r:id="rId6" w:fontKey="{884ECCAF-193C-E044-9E4C-F7D79F43A6F8}"/>
    <w:embedItalic r:id="rId7" w:fontKey="{F4CF5F42-50A3-4543-9F8F-95C3811AC16A}"/>
    <w:embedBoldItalic r:id="rId8" w:fontKey="{8D1CD5FC-678F-9444-AD2C-A9844FCF5FB8}"/>
  </w:font>
  <w:font w:name="Calibri">
    <w:panose1 w:val="020F0502020204030204"/>
    <w:charset w:val="00"/>
    <w:family w:val="swiss"/>
    <w:pitch w:val="variable"/>
    <w:sig w:usb0="E4002EFF" w:usb1="C200247B" w:usb2="00000009" w:usb3="00000000" w:csb0="000001FF" w:csb1="00000000"/>
    <w:embedRegular r:id="rId9" w:fontKey="{DF8D0596-F565-1848-A3BF-EF0364BA25D9}"/>
    <w:embedItalic r:id="rId10" w:fontKey="{8C865546-E258-A44A-8896-BA8BB0E9AB47}"/>
  </w:font>
  <w:font w:name="Cambria">
    <w:panose1 w:val="02040503050406030204"/>
    <w:charset w:val="00"/>
    <w:family w:val="roman"/>
    <w:pitch w:val="variable"/>
    <w:sig w:usb0="E00006FF" w:usb1="420024FF" w:usb2="02000000" w:usb3="00000000" w:csb0="0000019F" w:csb1="00000000"/>
    <w:embedRegular r:id="rId11" w:fontKey="{05B1552C-4577-3341-A94B-04AB173C80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007830"/>
      <w:docPartObj>
        <w:docPartGallery w:val="Page Numbers (Bottom of Page)"/>
        <w:docPartUnique/>
      </w:docPartObj>
    </w:sdtPr>
    <w:sdtEndPr>
      <w:rPr>
        <w:noProof/>
      </w:rPr>
    </w:sdtEndPr>
    <w:sdtContent>
      <w:p w14:paraId="7AFF7314" w14:textId="3782C3F2" w:rsidR="002B0C25" w:rsidRDefault="002B0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7E09E" w14:textId="325ED433" w:rsidR="002374E6" w:rsidRDefault="002374E6" w:rsidP="00AA6501">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68724" w14:textId="77777777" w:rsidR="00FC263E" w:rsidRDefault="00FC263E">
      <w:pPr>
        <w:spacing w:before="0" w:after="0" w:line="240" w:lineRule="auto"/>
      </w:pPr>
      <w:r>
        <w:separator/>
      </w:r>
    </w:p>
  </w:footnote>
  <w:footnote w:type="continuationSeparator" w:id="0">
    <w:p w14:paraId="4211EB62" w14:textId="77777777" w:rsidR="00FC263E" w:rsidRDefault="00FC263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9F2BA" w14:textId="77777777" w:rsidR="00BF678B" w:rsidRDefault="00000000">
    <w:pPr>
      <w:pStyle w:val="Header"/>
    </w:pPr>
    <w:r w:rsidRPr="00A406E5">
      <w:rPr>
        <w:rFonts w:cs="Arial"/>
        <w:noProof/>
      </w:rPr>
      <w:drawing>
        <wp:anchor distT="0" distB="0" distL="114300" distR="114300" simplePos="0" relativeHeight="251658240" behindDoc="0" locked="0" layoutInCell="1" allowOverlap="1" wp14:anchorId="2FC8E654" wp14:editId="4938FDD4">
          <wp:simplePos x="0" y="0"/>
          <wp:positionH relativeFrom="margin">
            <wp:posOffset>5419090</wp:posOffset>
          </wp:positionH>
          <wp:positionV relativeFrom="paragraph">
            <wp:posOffset>-238125</wp:posOffset>
          </wp:positionV>
          <wp:extent cx="1209675" cy="438150"/>
          <wp:effectExtent l="0" t="0" r="9525" b="0"/>
          <wp:wrapSquare wrapText="bothSides"/>
          <wp:docPr id="637149704" name="Picture 63714970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62421097" name="Picture 1" descr="Discover University of Wales Trinity Saint David"/>
                  <pic:cNvPicPr/>
                </pic:nvPicPr>
                <pic:blipFill>
                  <a:blip r:embed="rId1" r:link="rId2">
                    <a:extLst>
                      <a:ext uri="{28A0092B-C50C-407E-A947-70E740481C1C}">
                        <a14:useLocalDpi xmlns:a14="http://schemas.microsoft.com/office/drawing/2010/main" val="0"/>
                      </a:ext>
                    </a:extLst>
                  </a:blip>
                  <a:stretch>
                    <a:fillRect/>
                  </a:stretch>
                </pic:blipFill>
                <pic:spPr bwMode="auto">
                  <a:xfrm>
                    <a:off x="0" y="0"/>
                    <a:ext cx="1209675" cy="4381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158B8"/>
    <w:multiLevelType w:val="hybridMultilevel"/>
    <w:tmpl w:val="C30E82A2"/>
    <w:lvl w:ilvl="0" w:tplc="3208B6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69434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1"/>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74E6"/>
    <w:rsid w:val="00024154"/>
    <w:rsid w:val="000408E7"/>
    <w:rsid w:val="000C52B9"/>
    <w:rsid w:val="000F01FB"/>
    <w:rsid w:val="00133247"/>
    <w:rsid w:val="00162487"/>
    <w:rsid w:val="00196978"/>
    <w:rsid w:val="001B2278"/>
    <w:rsid w:val="001B555B"/>
    <w:rsid w:val="00217CCE"/>
    <w:rsid w:val="0022478B"/>
    <w:rsid w:val="00225CA7"/>
    <w:rsid w:val="00236B7D"/>
    <w:rsid w:val="002374E6"/>
    <w:rsid w:val="00285A6B"/>
    <w:rsid w:val="002B0C25"/>
    <w:rsid w:val="003444AD"/>
    <w:rsid w:val="003B7116"/>
    <w:rsid w:val="003E0846"/>
    <w:rsid w:val="003F2015"/>
    <w:rsid w:val="003F7FFA"/>
    <w:rsid w:val="004162F4"/>
    <w:rsid w:val="00431688"/>
    <w:rsid w:val="00486551"/>
    <w:rsid w:val="004C7577"/>
    <w:rsid w:val="004D7DCA"/>
    <w:rsid w:val="004F2174"/>
    <w:rsid w:val="00535BB6"/>
    <w:rsid w:val="00563379"/>
    <w:rsid w:val="005E41B2"/>
    <w:rsid w:val="00610515"/>
    <w:rsid w:val="006219BA"/>
    <w:rsid w:val="006A36EC"/>
    <w:rsid w:val="006B5DA0"/>
    <w:rsid w:val="006C5CE7"/>
    <w:rsid w:val="00703145"/>
    <w:rsid w:val="007177AE"/>
    <w:rsid w:val="0072291B"/>
    <w:rsid w:val="007273DA"/>
    <w:rsid w:val="00730449"/>
    <w:rsid w:val="00753225"/>
    <w:rsid w:val="00764EF2"/>
    <w:rsid w:val="007C5CE2"/>
    <w:rsid w:val="007D0709"/>
    <w:rsid w:val="00820AB2"/>
    <w:rsid w:val="00836438"/>
    <w:rsid w:val="008420F5"/>
    <w:rsid w:val="008B0D54"/>
    <w:rsid w:val="008D12BB"/>
    <w:rsid w:val="008D4D20"/>
    <w:rsid w:val="008F4ECF"/>
    <w:rsid w:val="00907215"/>
    <w:rsid w:val="00911A61"/>
    <w:rsid w:val="00951B20"/>
    <w:rsid w:val="00984450"/>
    <w:rsid w:val="009D552F"/>
    <w:rsid w:val="00A0715A"/>
    <w:rsid w:val="00A22CC0"/>
    <w:rsid w:val="00A44D1B"/>
    <w:rsid w:val="00A766F0"/>
    <w:rsid w:val="00AA6501"/>
    <w:rsid w:val="00AB299B"/>
    <w:rsid w:val="00AB4701"/>
    <w:rsid w:val="00B40CFD"/>
    <w:rsid w:val="00B72004"/>
    <w:rsid w:val="00B8008D"/>
    <w:rsid w:val="00BA367A"/>
    <w:rsid w:val="00BF678B"/>
    <w:rsid w:val="00C0595F"/>
    <w:rsid w:val="00C41795"/>
    <w:rsid w:val="00C76FEE"/>
    <w:rsid w:val="00C8110E"/>
    <w:rsid w:val="00CA77CA"/>
    <w:rsid w:val="00CC4BA7"/>
    <w:rsid w:val="00D03184"/>
    <w:rsid w:val="00D83D6D"/>
    <w:rsid w:val="00D9782F"/>
    <w:rsid w:val="00DB7776"/>
    <w:rsid w:val="00E32DBB"/>
    <w:rsid w:val="00E3446A"/>
    <w:rsid w:val="00E4041C"/>
    <w:rsid w:val="00E45E5A"/>
    <w:rsid w:val="00E472EF"/>
    <w:rsid w:val="00E541E1"/>
    <w:rsid w:val="00E763CF"/>
    <w:rsid w:val="00E804FB"/>
    <w:rsid w:val="00EC6DA8"/>
    <w:rsid w:val="00EF38AB"/>
    <w:rsid w:val="00F10A84"/>
    <w:rsid w:val="00F155AF"/>
    <w:rsid w:val="00F31878"/>
    <w:rsid w:val="00FA4513"/>
    <w:rsid w:val="00FC263E"/>
    <w:rsid w:val="00FD19FD"/>
    <w:rsid w:val="00FD4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58C16"/>
  <w15:docId w15:val="{EA3C6F67-1698-4C79-A7C8-3E65C1DA5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hd w:val="clear" w:color="auto" w:fill="FFFFFF"/>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1C"/>
    <w:rPr>
      <w:rFonts w:ascii="Arial" w:hAnsi="Arial"/>
    </w:rPr>
  </w:style>
  <w:style w:type="paragraph" w:styleId="Heading1">
    <w:name w:val="heading 1"/>
    <w:basedOn w:val="Normal"/>
    <w:next w:val="Normal"/>
    <w:uiPriority w:val="9"/>
    <w:qFormat/>
    <w:rsid w:val="00E763CF"/>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outlineLvl w:val="3"/>
    </w:pPr>
    <w:rPr>
      <w:i/>
      <w:iCs/>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paragraph" w:styleId="Header">
    <w:name w:val="header"/>
    <w:basedOn w:val="Normal"/>
    <w:link w:val="HeaderChar"/>
    <w:uiPriority w:val="99"/>
    <w:unhideWhenUsed/>
    <w:rsid w:val="00BF678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678B"/>
    <w:rPr>
      <w:shd w:val="clear" w:color="auto" w:fill="FFFFFF"/>
    </w:rPr>
  </w:style>
  <w:style w:type="paragraph" w:styleId="Footer">
    <w:name w:val="footer"/>
    <w:basedOn w:val="Normal"/>
    <w:link w:val="FooterChar"/>
    <w:uiPriority w:val="99"/>
    <w:unhideWhenUsed/>
    <w:rsid w:val="00BF678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678B"/>
    <w:rPr>
      <w:shd w:val="clear" w:color="auto" w:fill="FFFFFF"/>
    </w:rPr>
  </w:style>
  <w:style w:type="paragraph" w:styleId="TOCHeading">
    <w:name w:val="TOC Heading"/>
    <w:basedOn w:val="Heading1"/>
    <w:next w:val="Normal"/>
    <w:uiPriority w:val="39"/>
    <w:unhideWhenUsed/>
    <w:qFormat/>
    <w:rsid w:val="00BF678B"/>
    <w:pPr>
      <w:shd w:val="clear" w:color="auto" w:fill="auto"/>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F678B"/>
    <w:pPr>
      <w:tabs>
        <w:tab w:val="right" w:leader="dot" w:pos="9350"/>
      </w:tabs>
      <w:spacing w:after="100"/>
    </w:pPr>
    <w:rPr>
      <w:b/>
      <w:bCs/>
      <w:noProof/>
    </w:rPr>
  </w:style>
  <w:style w:type="paragraph" w:styleId="TOC2">
    <w:name w:val="toc 2"/>
    <w:basedOn w:val="Normal"/>
    <w:next w:val="Normal"/>
    <w:autoRedefine/>
    <w:uiPriority w:val="39"/>
    <w:unhideWhenUsed/>
    <w:rsid w:val="00BF678B"/>
    <w:pPr>
      <w:spacing w:after="100"/>
      <w:ind w:left="240"/>
    </w:pPr>
  </w:style>
  <w:style w:type="character" w:styleId="Hyperlink">
    <w:name w:val="Hyperlink"/>
    <w:basedOn w:val="DefaultParagraphFont"/>
    <w:uiPriority w:val="99"/>
    <w:unhideWhenUsed/>
    <w:rsid w:val="00BF678B"/>
    <w:rPr>
      <w:color w:val="0000FF" w:themeColor="hyperlink"/>
      <w:u w:val="single"/>
    </w:rPr>
  </w:style>
  <w:style w:type="table" w:styleId="TableGrid">
    <w:name w:val="Table Grid"/>
    <w:basedOn w:val="TableNormal"/>
    <w:uiPriority w:val="39"/>
    <w:rsid w:val="00BF678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F678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3">
    <w:name w:val="Grid Table 5 Dark Accent 3"/>
    <w:basedOn w:val="TableNormal"/>
    <w:uiPriority w:val="50"/>
    <w:rsid w:val="00BF67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2">
    <w:name w:val="Grid Table 5 Dark Accent 2"/>
    <w:basedOn w:val="TableNormal"/>
    <w:uiPriority w:val="50"/>
    <w:rsid w:val="00BF67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PlainTable5">
    <w:name w:val="Plain Table 5"/>
    <w:basedOn w:val="TableNormal"/>
    <w:uiPriority w:val="45"/>
    <w:rsid w:val="00BF678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EF38AB"/>
    <w:rPr>
      <w:color w:val="605E5C"/>
      <w:shd w:val="clear" w:color="auto" w:fill="E1DFDD"/>
    </w:rPr>
  </w:style>
  <w:style w:type="paragraph" w:styleId="ListParagraph">
    <w:name w:val="List Paragraph"/>
    <w:basedOn w:val="Normal"/>
    <w:uiPriority w:val="34"/>
    <w:qFormat/>
    <w:rsid w:val="00EF38AB"/>
    <w:pPr>
      <w:ind w:left="720"/>
      <w:contextualSpacing/>
    </w:pPr>
  </w:style>
  <w:style w:type="character" w:styleId="Strong">
    <w:name w:val="Strong"/>
    <w:basedOn w:val="DefaultParagraphFont"/>
    <w:uiPriority w:val="22"/>
    <w:qFormat/>
    <w:rsid w:val="00C811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ross-shuman.com/documents/Intranet%20Content/Cyber%20Case%20Study%20-%20MOVEit%20Data%20Breach.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nvlpubs.nist.gov/nistpubs/CSWP/NIST.CSWP.29.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gdpr-info.eu/art-32-gdp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linklogonline.com/" TargetMode="External"/><Relationship Id="rId20" Type="http://schemas.openxmlformats.org/officeDocument/2006/relationships/hyperlink" Target="https://www.iso.org/standar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isaca.org/resources/frameworks-standards-and-mode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is-2-directive.com/"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BE7A6-A3F4-4634-920A-6C4B63660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22</Pages>
  <Words>4667</Words>
  <Characters>26607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31212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Pushpendra</dc:creator>
  <cp:keywords/>
  <dc:description/>
  <cp:lastModifiedBy>Smit Pravinbhai Tejani</cp:lastModifiedBy>
  <cp:revision>81</cp:revision>
  <dcterms:created xsi:type="dcterms:W3CDTF">2026-05-29T07:15:00Z</dcterms:created>
  <dcterms:modified xsi:type="dcterms:W3CDTF">2026-07-30T00:56:00Z</dcterms:modified>
  <cp:category/>
</cp:coreProperties>
</file>