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8C5830" w:rsidRDefault="008C5830" w:rsidP="00604764"/>
    <w:p w14:paraId="30E02A34" w14:textId="77777777" w:rsidR="00604764" w:rsidRDefault="00604764" w:rsidP="00604764"/>
    <w:p w14:paraId="34B06060" w14:textId="77777777" w:rsidR="00604764" w:rsidRDefault="00604764" w:rsidP="00604764"/>
    <w:p w14:paraId="359AFB48" w14:textId="77777777" w:rsidR="00604764" w:rsidRDefault="00604764" w:rsidP="00604764"/>
    <w:p w14:paraId="39E2AA5D" w14:textId="77777777" w:rsidR="00604764" w:rsidRDefault="00604764" w:rsidP="00604764"/>
    <w:p w14:paraId="0E014CDF" w14:textId="77777777" w:rsidR="00604764" w:rsidRDefault="00604764" w:rsidP="00604764"/>
    <w:p w14:paraId="79C5F27A" w14:textId="77777777" w:rsidR="00604764" w:rsidRDefault="00604764" w:rsidP="00604764"/>
    <w:p w14:paraId="68D889B3" w14:textId="77777777" w:rsidR="00604764" w:rsidRDefault="00604764" w:rsidP="00604764"/>
    <w:p w14:paraId="45A39CA7" w14:textId="77777777" w:rsidR="00604764" w:rsidRDefault="00604764" w:rsidP="00604764"/>
    <w:p w14:paraId="00000003" w14:textId="42480868" w:rsidR="008C5830" w:rsidRDefault="009D17E4" w:rsidP="006C5256">
      <w:pPr>
        <w:jc w:val="center"/>
        <w:rPr>
          <w:b/>
          <w:bCs/>
          <w:sz w:val="40"/>
          <w:szCs w:val="36"/>
        </w:rPr>
      </w:pPr>
      <w:r w:rsidRPr="009D17E4">
        <w:rPr>
          <w:b/>
          <w:bCs/>
          <w:sz w:val="40"/>
          <w:szCs w:val="36"/>
        </w:rPr>
        <w:t>FINANCIAL MANAGEMENT AND DECISION MAKING</w:t>
      </w:r>
    </w:p>
    <w:p w14:paraId="5F4ACDB9" w14:textId="3B8C393E" w:rsidR="00BF2CEC" w:rsidRDefault="00BF2CEC" w:rsidP="006C5256">
      <w:pPr>
        <w:jc w:val="center"/>
        <w:rPr>
          <w:b/>
          <w:bCs/>
          <w:sz w:val="40"/>
          <w:szCs w:val="36"/>
        </w:rPr>
      </w:pPr>
      <w:r>
        <w:rPr>
          <w:b/>
          <w:bCs/>
          <w:sz w:val="40"/>
          <w:szCs w:val="36"/>
        </w:rPr>
        <w:t>Student Name: Iuliana-Daniela Giurea</w:t>
      </w:r>
    </w:p>
    <w:p w14:paraId="72FBB3B5" w14:textId="46946BCA" w:rsidR="00BF2CEC" w:rsidRDefault="00BF2CEC" w:rsidP="006C5256">
      <w:pPr>
        <w:jc w:val="center"/>
        <w:rPr>
          <w:b/>
          <w:bCs/>
          <w:sz w:val="40"/>
          <w:szCs w:val="36"/>
        </w:rPr>
      </w:pPr>
      <w:r>
        <w:rPr>
          <w:b/>
          <w:bCs/>
          <w:sz w:val="40"/>
          <w:szCs w:val="36"/>
        </w:rPr>
        <w:t>Student ID: 2226406</w:t>
      </w:r>
    </w:p>
    <w:p w14:paraId="11A3FA5B" w14:textId="3C9B152D" w:rsidR="00651613" w:rsidRPr="009D17E4" w:rsidRDefault="00651613" w:rsidP="006C5256">
      <w:pPr>
        <w:jc w:val="center"/>
        <w:rPr>
          <w:sz w:val="32"/>
          <w:szCs w:val="28"/>
        </w:rPr>
      </w:pPr>
      <w:r>
        <w:rPr>
          <w:b/>
          <w:bCs/>
          <w:sz w:val="40"/>
          <w:szCs w:val="36"/>
        </w:rPr>
        <w:t>Lecturer’s name: Tristan Hawkins</w:t>
      </w:r>
    </w:p>
    <w:p w14:paraId="1CEA0DAE" w14:textId="77777777" w:rsidR="002A567E" w:rsidRDefault="00604764" w:rsidP="00604764">
      <w:r>
        <w:br w:type="page"/>
      </w:r>
    </w:p>
    <w:sdt>
      <w:sdtPr>
        <w:rPr>
          <w:rFonts w:ascii="Times New Roman" w:eastAsia="Arial" w:hAnsi="Times New Roman" w:cs="Arial"/>
          <w:color w:val="auto"/>
          <w:sz w:val="24"/>
          <w:szCs w:val="22"/>
          <w:lang w:val="en"/>
        </w:rPr>
        <w:id w:val="571777231"/>
        <w:docPartObj>
          <w:docPartGallery w:val="Table of Contents"/>
          <w:docPartUnique/>
        </w:docPartObj>
      </w:sdtPr>
      <w:sdtEndPr>
        <w:rPr>
          <w:b/>
          <w:bCs/>
        </w:rPr>
      </w:sdtEndPr>
      <w:sdtContent>
        <w:p w14:paraId="5A1BA0BB" w14:textId="514CF971" w:rsidR="002A567E" w:rsidRPr="002A567E" w:rsidRDefault="002A567E" w:rsidP="002A567E">
          <w:pPr>
            <w:pStyle w:val="TOCHeading"/>
            <w:jc w:val="center"/>
            <w:rPr>
              <w:rFonts w:ascii="Times New Roman" w:hAnsi="Times New Roman" w:cs="Times New Roman"/>
              <w:b/>
              <w:bCs/>
              <w:color w:val="auto"/>
              <w:sz w:val="24"/>
              <w:szCs w:val="24"/>
            </w:rPr>
          </w:pPr>
          <w:r w:rsidRPr="002A567E">
            <w:rPr>
              <w:rFonts w:ascii="Times New Roman" w:hAnsi="Times New Roman" w:cs="Times New Roman"/>
              <w:b/>
              <w:bCs/>
              <w:color w:val="auto"/>
              <w:sz w:val="24"/>
              <w:szCs w:val="24"/>
            </w:rPr>
            <w:t>Table of Contents</w:t>
          </w:r>
        </w:p>
        <w:p w14:paraId="39F43F33" w14:textId="1266C717" w:rsidR="00EA1E93" w:rsidRDefault="002A567E">
          <w:pPr>
            <w:pStyle w:val="TOC1"/>
            <w:tabs>
              <w:tab w:val="right" w:leader="dot" w:pos="9350"/>
            </w:tabs>
            <w:rPr>
              <w:rFonts w:asciiTheme="minorHAnsi" w:eastAsiaTheme="minorEastAsia" w:hAnsiTheme="minorHAnsi" w:cstheme="minorBidi"/>
              <w:noProof/>
              <w:kern w:val="2"/>
              <w:sz w:val="22"/>
              <w:lang w:val="en-GB"/>
              <w14:ligatures w14:val="standardContextual"/>
            </w:rPr>
          </w:pPr>
          <w:r>
            <w:fldChar w:fldCharType="begin"/>
          </w:r>
          <w:r>
            <w:instrText xml:space="preserve"> TOC \o "1-3" \h \z \u </w:instrText>
          </w:r>
          <w:r>
            <w:fldChar w:fldCharType="separate"/>
          </w:r>
          <w:hyperlink w:anchor="_Toc165965436" w:history="1">
            <w:r w:rsidR="00EA1E93" w:rsidRPr="00DC60CC">
              <w:rPr>
                <w:rStyle w:val="Hyperlink"/>
                <w:noProof/>
              </w:rPr>
              <w:t>Introduction</w:t>
            </w:r>
            <w:r w:rsidR="00EA1E93">
              <w:rPr>
                <w:noProof/>
                <w:webHidden/>
              </w:rPr>
              <w:tab/>
            </w:r>
            <w:r w:rsidR="00EA1E93">
              <w:rPr>
                <w:noProof/>
                <w:webHidden/>
              </w:rPr>
              <w:fldChar w:fldCharType="begin"/>
            </w:r>
            <w:r w:rsidR="00EA1E93">
              <w:rPr>
                <w:noProof/>
                <w:webHidden/>
              </w:rPr>
              <w:instrText xml:space="preserve"> PAGEREF _Toc165965436 \h </w:instrText>
            </w:r>
            <w:r w:rsidR="00EA1E93">
              <w:rPr>
                <w:noProof/>
                <w:webHidden/>
              </w:rPr>
            </w:r>
            <w:r w:rsidR="00EA1E93">
              <w:rPr>
                <w:noProof/>
                <w:webHidden/>
              </w:rPr>
              <w:fldChar w:fldCharType="separate"/>
            </w:r>
            <w:r w:rsidR="00EA1E93">
              <w:rPr>
                <w:noProof/>
                <w:webHidden/>
              </w:rPr>
              <w:t>2</w:t>
            </w:r>
            <w:r w:rsidR="00EA1E93">
              <w:rPr>
                <w:noProof/>
                <w:webHidden/>
              </w:rPr>
              <w:fldChar w:fldCharType="end"/>
            </w:r>
          </w:hyperlink>
        </w:p>
        <w:p w14:paraId="6A296A21" w14:textId="02CA7A07" w:rsidR="00EA1E93"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65965437" w:history="1">
            <w:r w:rsidR="00EA1E93" w:rsidRPr="00DC60CC">
              <w:rPr>
                <w:rStyle w:val="Hyperlink"/>
                <w:noProof/>
              </w:rPr>
              <w:t>Discussion</w:t>
            </w:r>
            <w:r w:rsidR="00EA1E93">
              <w:rPr>
                <w:noProof/>
                <w:webHidden/>
              </w:rPr>
              <w:tab/>
            </w:r>
            <w:r w:rsidR="00EA1E93">
              <w:rPr>
                <w:noProof/>
                <w:webHidden/>
              </w:rPr>
              <w:fldChar w:fldCharType="begin"/>
            </w:r>
            <w:r w:rsidR="00EA1E93">
              <w:rPr>
                <w:noProof/>
                <w:webHidden/>
              </w:rPr>
              <w:instrText xml:space="preserve"> PAGEREF _Toc165965437 \h </w:instrText>
            </w:r>
            <w:r w:rsidR="00EA1E93">
              <w:rPr>
                <w:noProof/>
                <w:webHidden/>
              </w:rPr>
            </w:r>
            <w:r w:rsidR="00EA1E93">
              <w:rPr>
                <w:noProof/>
                <w:webHidden/>
              </w:rPr>
              <w:fldChar w:fldCharType="separate"/>
            </w:r>
            <w:r w:rsidR="00EA1E93">
              <w:rPr>
                <w:noProof/>
                <w:webHidden/>
              </w:rPr>
              <w:t>2</w:t>
            </w:r>
            <w:r w:rsidR="00EA1E93">
              <w:rPr>
                <w:noProof/>
                <w:webHidden/>
              </w:rPr>
              <w:fldChar w:fldCharType="end"/>
            </w:r>
          </w:hyperlink>
        </w:p>
        <w:p w14:paraId="51D975B0" w14:textId="4AB6FE4A" w:rsidR="00EA1E93" w:rsidRDefault="00000000">
          <w:pPr>
            <w:pStyle w:val="TOC2"/>
            <w:tabs>
              <w:tab w:val="right" w:leader="dot" w:pos="9350"/>
            </w:tabs>
            <w:rPr>
              <w:rFonts w:asciiTheme="minorHAnsi" w:eastAsiaTheme="minorEastAsia" w:hAnsiTheme="minorHAnsi" w:cstheme="minorBidi"/>
              <w:noProof/>
              <w:kern w:val="2"/>
              <w:sz w:val="22"/>
              <w:lang w:val="en-GB"/>
              <w14:ligatures w14:val="standardContextual"/>
            </w:rPr>
          </w:pPr>
          <w:hyperlink w:anchor="_Toc165965438" w:history="1">
            <w:r w:rsidR="00EA1E93" w:rsidRPr="00DC60CC">
              <w:rPr>
                <w:rStyle w:val="Hyperlink"/>
                <w:noProof/>
              </w:rPr>
              <w:t>Total Revenue</w:t>
            </w:r>
            <w:r w:rsidR="00EA1E93">
              <w:rPr>
                <w:noProof/>
                <w:webHidden/>
              </w:rPr>
              <w:tab/>
            </w:r>
            <w:r w:rsidR="00EA1E93">
              <w:rPr>
                <w:noProof/>
                <w:webHidden/>
              </w:rPr>
              <w:fldChar w:fldCharType="begin"/>
            </w:r>
            <w:r w:rsidR="00EA1E93">
              <w:rPr>
                <w:noProof/>
                <w:webHidden/>
              </w:rPr>
              <w:instrText xml:space="preserve"> PAGEREF _Toc165965438 \h </w:instrText>
            </w:r>
            <w:r w:rsidR="00EA1E93">
              <w:rPr>
                <w:noProof/>
                <w:webHidden/>
              </w:rPr>
            </w:r>
            <w:r w:rsidR="00EA1E93">
              <w:rPr>
                <w:noProof/>
                <w:webHidden/>
              </w:rPr>
              <w:fldChar w:fldCharType="separate"/>
            </w:r>
            <w:r w:rsidR="00EA1E93">
              <w:rPr>
                <w:noProof/>
                <w:webHidden/>
              </w:rPr>
              <w:t>2</w:t>
            </w:r>
            <w:r w:rsidR="00EA1E93">
              <w:rPr>
                <w:noProof/>
                <w:webHidden/>
              </w:rPr>
              <w:fldChar w:fldCharType="end"/>
            </w:r>
          </w:hyperlink>
        </w:p>
        <w:p w14:paraId="1E84CAE3" w14:textId="6B1A80BB" w:rsidR="00EA1E93"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65965439" w:history="1">
            <w:r w:rsidR="00EA1E93" w:rsidRPr="00DC60CC">
              <w:rPr>
                <w:rStyle w:val="Hyperlink"/>
                <w:noProof/>
              </w:rPr>
              <w:t>Market position</w:t>
            </w:r>
            <w:r w:rsidR="00EA1E93">
              <w:rPr>
                <w:noProof/>
                <w:webHidden/>
              </w:rPr>
              <w:tab/>
            </w:r>
            <w:r w:rsidR="00EA1E93">
              <w:rPr>
                <w:noProof/>
                <w:webHidden/>
              </w:rPr>
              <w:fldChar w:fldCharType="begin"/>
            </w:r>
            <w:r w:rsidR="00EA1E93">
              <w:rPr>
                <w:noProof/>
                <w:webHidden/>
              </w:rPr>
              <w:instrText xml:space="preserve"> PAGEREF _Toc165965439 \h </w:instrText>
            </w:r>
            <w:r w:rsidR="00EA1E93">
              <w:rPr>
                <w:noProof/>
                <w:webHidden/>
              </w:rPr>
            </w:r>
            <w:r w:rsidR="00EA1E93">
              <w:rPr>
                <w:noProof/>
                <w:webHidden/>
              </w:rPr>
              <w:fldChar w:fldCharType="separate"/>
            </w:r>
            <w:r w:rsidR="00EA1E93">
              <w:rPr>
                <w:noProof/>
                <w:webHidden/>
              </w:rPr>
              <w:t>4</w:t>
            </w:r>
            <w:r w:rsidR="00EA1E93">
              <w:rPr>
                <w:noProof/>
                <w:webHidden/>
              </w:rPr>
              <w:fldChar w:fldCharType="end"/>
            </w:r>
          </w:hyperlink>
        </w:p>
        <w:p w14:paraId="67683A28" w14:textId="05FD4649" w:rsidR="00EA1E93"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65965440" w:history="1">
            <w:r w:rsidR="00EA1E93" w:rsidRPr="00DC60CC">
              <w:rPr>
                <w:rStyle w:val="Hyperlink"/>
                <w:noProof/>
              </w:rPr>
              <w:t>Growth potential</w:t>
            </w:r>
            <w:r w:rsidR="00EA1E93">
              <w:rPr>
                <w:noProof/>
                <w:webHidden/>
              </w:rPr>
              <w:tab/>
            </w:r>
            <w:r w:rsidR="00EA1E93">
              <w:rPr>
                <w:noProof/>
                <w:webHidden/>
              </w:rPr>
              <w:fldChar w:fldCharType="begin"/>
            </w:r>
            <w:r w:rsidR="00EA1E93">
              <w:rPr>
                <w:noProof/>
                <w:webHidden/>
              </w:rPr>
              <w:instrText xml:space="preserve"> PAGEREF _Toc165965440 \h </w:instrText>
            </w:r>
            <w:r w:rsidR="00EA1E93">
              <w:rPr>
                <w:noProof/>
                <w:webHidden/>
              </w:rPr>
            </w:r>
            <w:r w:rsidR="00EA1E93">
              <w:rPr>
                <w:noProof/>
                <w:webHidden/>
              </w:rPr>
              <w:fldChar w:fldCharType="separate"/>
            </w:r>
            <w:r w:rsidR="00EA1E93">
              <w:rPr>
                <w:noProof/>
                <w:webHidden/>
              </w:rPr>
              <w:t>6</w:t>
            </w:r>
            <w:r w:rsidR="00EA1E93">
              <w:rPr>
                <w:noProof/>
                <w:webHidden/>
              </w:rPr>
              <w:fldChar w:fldCharType="end"/>
            </w:r>
          </w:hyperlink>
        </w:p>
        <w:p w14:paraId="248C0C9D" w14:textId="0630E8E6" w:rsidR="00EA1E93"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65965441" w:history="1">
            <w:r w:rsidR="00EA1E93" w:rsidRPr="00DC60CC">
              <w:rPr>
                <w:rStyle w:val="Hyperlink"/>
                <w:noProof/>
              </w:rPr>
              <w:t>Financial Commitment to CSR</w:t>
            </w:r>
            <w:r w:rsidR="00EA1E93">
              <w:rPr>
                <w:noProof/>
                <w:webHidden/>
              </w:rPr>
              <w:tab/>
            </w:r>
            <w:r w:rsidR="00EA1E93">
              <w:rPr>
                <w:noProof/>
                <w:webHidden/>
              </w:rPr>
              <w:fldChar w:fldCharType="begin"/>
            </w:r>
            <w:r w:rsidR="00EA1E93">
              <w:rPr>
                <w:noProof/>
                <w:webHidden/>
              </w:rPr>
              <w:instrText xml:space="preserve"> PAGEREF _Toc165965441 \h </w:instrText>
            </w:r>
            <w:r w:rsidR="00EA1E93">
              <w:rPr>
                <w:noProof/>
                <w:webHidden/>
              </w:rPr>
            </w:r>
            <w:r w:rsidR="00EA1E93">
              <w:rPr>
                <w:noProof/>
                <w:webHidden/>
              </w:rPr>
              <w:fldChar w:fldCharType="separate"/>
            </w:r>
            <w:r w:rsidR="00EA1E93">
              <w:rPr>
                <w:noProof/>
                <w:webHidden/>
              </w:rPr>
              <w:t>7</w:t>
            </w:r>
            <w:r w:rsidR="00EA1E93">
              <w:rPr>
                <w:noProof/>
                <w:webHidden/>
              </w:rPr>
              <w:fldChar w:fldCharType="end"/>
            </w:r>
          </w:hyperlink>
        </w:p>
        <w:p w14:paraId="2BCCB515" w14:textId="2AB2F017" w:rsidR="00EA1E93"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65965442" w:history="1">
            <w:r w:rsidR="00EA1E93" w:rsidRPr="00DC60CC">
              <w:rPr>
                <w:rStyle w:val="Hyperlink"/>
                <w:noProof/>
              </w:rPr>
              <w:t>Conclusion</w:t>
            </w:r>
            <w:r w:rsidR="00EA1E93">
              <w:rPr>
                <w:noProof/>
                <w:webHidden/>
              </w:rPr>
              <w:tab/>
            </w:r>
            <w:r w:rsidR="00EA1E93">
              <w:rPr>
                <w:noProof/>
                <w:webHidden/>
              </w:rPr>
              <w:fldChar w:fldCharType="begin"/>
            </w:r>
            <w:r w:rsidR="00EA1E93">
              <w:rPr>
                <w:noProof/>
                <w:webHidden/>
              </w:rPr>
              <w:instrText xml:space="preserve"> PAGEREF _Toc165965442 \h </w:instrText>
            </w:r>
            <w:r w:rsidR="00EA1E93">
              <w:rPr>
                <w:noProof/>
                <w:webHidden/>
              </w:rPr>
            </w:r>
            <w:r w:rsidR="00EA1E93">
              <w:rPr>
                <w:noProof/>
                <w:webHidden/>
              </w:rPr>
              <w:fldChar w:fldCharType="separate"/>
            </w:r>
            <w:r w:rsidR="00EA1E93">
              <w:rPr>
                <w:noProof/>
                <w:webHidden/>
              </w:rPr>
              <w:t>8</w:t>
            </w:r>
            <w:r w:rsidR="00EA1E93">
              <w:rPr>
                <w:noProof/>
                <w:webHidden/>
              </w:rPr>
              <w:fldChar w:fldCharType="end"/>
            </w:r>
          </w:hyperlink>
        </w:p>
        <w:p w14:paraId="674BBC7F" w14:textId="70D476C0" w:rsidR="00EA1E93"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65965443" w:history="1">
            <w:r w:rsidR="00EA1E93" w:rsidRPr="00DC60CC">
              <w:rPr>
                <w:rStyle w:val="Hyperlink"/>
                <w:noProof/>
              </w:rPr>
              <w:t>References</w:t>
            </w:r>
            <w:r w:rsidR="00EA1E93">
              <w:rPr>
                <w:noProof/>
                <w:webHidden/>
              </w:rPr>
              <w:tab/>
            </w:r>
            <w:r w:rsidR="00EA1E93">
              <w:rPr>
                <w:noProof/>
                <w:webHidden/>
              </w:rPr>
              <w:fldChar w:fldCharType="begin"/>
            </w:r>
            <w:r w:rsidR="00EA1E93">
              <w:rPr>
                <w:noProof/>
                <w:webHidden/>
              </w:rPr>
              <w:instrText xml:space="preserve"> PAGEREF _Toc165965443 \h </w:instrText>
            </w:r>
            <w:r w:rsidR="00EA1E93">
              <w:rPr>
                <w:noProof/>
                <w:webHidden/>
              </w:rPr>
            </w:r>
            <w:r w:rsidR="00EA1E93">
              <w:rPr>
                <w:noProof/>
                <w:webHidden/>
              </w:rPr>
              <w:fldChar w:fldCharType="separate"/>
            </w:r>
            <w:r w:rsidR="00EA1E93">
              <w:rPr>
                <w:noProof/>
                <w:webHidden/>
              </w:rPr>
              <w:t>9</w:t>
            </w:r>
            <w:r w:rsidR="00EA1E93">
              <w:rPr>
                <w:noProof/>
                <w:webHidden/>
              </w:rPr>
              <w:fldChar w:fldCharType="end"/>
            </w:r>
          </w:hyperlink>
        </w:p>
        <w:p w14:paraId="70F1FB93" w14:textId="5F8B341E" w:rsidR="002A567E" w:rsidRDefault="002A567E">
          <w:r>
            <w:rPr>
              <w:b/>
              <w:bCs/>
            </w:rPr>
            <w:fldChar w:fldCharType="end"/>
          </w:r>
        </w:p>
      </w:sdtContent>
    </w:sdt>
    <w:p w14:paraId="00000004" w14:textId="62474913" w:rsidR="002A567E" w:rsidRDefault="002A567E">
      <w:pPr>
        <w:spacing w:after="0" w:line="276" w:lineRule="auto"/>
        <w:jc w:val="left"/>
      </w:pPr>
      <w:r>
        <w:br w:type="page"/>
      </w:r>
    </w:p>
    <w:p w14:paraId="00000007" w14:textId="77777777" w:rsidR="008C5830" w:rsidRDefault="00000000" w:rsidP="00604764">
      <w:pPr>
        <w:pStyle w:val="Heading1"/>
      </w:pPr>
      <w:bookmarkStart w:id="0" w:name="_Toc165965436"/>
      <w:r>
        <w:lastRenderedPageBreak/>
        <w:t>Introduction</w:t>
      </w:r>
      <w:bookmarkEnd w:id="0"/>
      <w:r>
        <w:t xml:space="preserve"> </w:t>
      </w:r>
    </w:p>
    <w:p w14:paraId="3376B0FF" w14:textId="4332DFB5" w:rsidR="00EA7FD2" w:rsidRDefault="005005C3" w:rsidP="001C30DC">
      <w:r w:rsidRPr="005005C3">
        <w:t>The report provides a comprehensive analysis of the revenue performance, market position, growth potential, and financial commitment to Corporate Social Responsibility (CSR) of two prominent hotel chains</w:t>
      </w:r>
      <w:r w:rsidR="00C0414C">
        <w:t xml:space="preserve"> namely</w:t>
      </w:r>
      <w:r w:rsidRPr="005005C3">
        <w:t xml:space="preserve"> Shangri La Hotels and Travelodge Hotels. It dissects their ways of making money, business models, markets they serve, strategies booked for business in the future, and so on. During the process of going through their financial data as well as their strategic projects, the report seeks to give adequate interpretations about the reasons for their revenue growth and market positioning as well as the satisfactory areas for them to move on with. Moreover, it assesses their CSR commitments and their effects beyond the community and environment which makes it relevant for this age.</w:t>
      </w:r>
    </w:p>
    <w:p w14:paraId="682C4580" w14:textId="4253FE2B" w:rsidR="00EA7FD2" w:rsidRDefault="00EA7FD2" w:rsidP="00EA7FD2">
      <w:pPr>
        <w:pStyle w:val="Heading1"/>
      </w:pPr>
      <w:bookmarkStart w:id="1" w:name="_Toc165965437"/>
      <w:r>
        <w:t>Discussion</w:t>
      </w:r>
      <w:bookmarkEnd w:id="1"/>
      <w:r>
        <w:t xml:space="preserve"> </w:t>
      </w:r>
    </w:p>
    <w:p w14:paraId="7D6DA2C4" w14:textId="70AD9D5B" w:rsidR="00DC343D" w:rsidRPr="00DC343D" w:rsidRDefault="00DC343D" w:rsidP="00DC343D">
      <w:pPr>
        <w:pStyle w:val="Heading2"/>
      </w:pPr>
      <w:bookmarkStart w:id="2" w:name="_Toc165965438"/>
      <w:r w:rsidRPr="00DC343D">
        <w:t>Total Revenue</w:t>
      </w:r>
      <w:bookmarkEnd w:id="2"/>
    </w:p>
    <w:p w14:paraId="639651C0" w14:textId="3E357C63" w:rsidR="00EA7FD2" w:rsidRPr="001C30DC" w:rsidRDefault="00EA7FD2" w:rsidP="00EA7FD2">
      <w:pPr>
        <w:jc w:val="center"/>
      </w:pPr>
      <w:r w:rsidRPr="00EA7FD2">
        <w:rPr>
          <w:noProof/>
        </w:rPr>
        <w:drawing>
          <wp:inline distT="0" distB="0" distL="0" distR="0" wp14:anchorId="24F1B49D" wp14:editId="67AAABEC">
            <wp:extent cx="4511431" cy="2667231"/>
            <wp:effectExtent l="0" t="0" r="3810" b="0"/>
            <wp:docPr id="1097336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336780" name=""/>
                    <pic:cNvPicPr/>
                  </pic:nvPicPr>
                  <pic:blipFill>
                    <a:blip r:embed="rId8"/>
                    <a:stretch>
                      <a:fillRect/>
                    </a:stretch>
                  </pic:blipFill>
                  <pic:spPr>
                    <a:xfrm>
                      <a:off x="0" y="0"/>
                      <a:ext cx="4511431" cy="2667231"/>
                    </a:xfrm>
                    <a:prstGeom prst="rect">
                      <a:avLst/>
                    </a:prstGeom>
                  </pic:spPr>
                </pic:pic>
              </a:graphicData>
            </a:graphic>
          </wp:inline>
        </w:drawing>
      </w:r>
    </w:p>
    <w:p w14:paraId="1F4EF5B8" w14:textId="0AC03C2D" w:rsidR="00FB334E" w:rsidRDefault="00DC343D" w:rsidP="00DC343D">
      <w:pPr>
        <w:jc w:val="center"/>
      </w:pPr>
      <w:r>
        <w:t>Figure 1: Revenue comparison</w:t>
      </w:r>
    </w:p>
    <w:p w14:paraId="752A99BD" w14:textId="561B33F3" w:rsidR="00DC343D" w:rsidRDefault="00DC343D" w:rsidP="00DC343D">
      <w:pPr>
        <w:jc w:val="center"/>
      </w:pPr>
      <w:r>
        <w:t>(Source: Learner)</w:t>
      </w:r>
    </w:p>
    <w:p w14:paraId="27CB2245" w14:textId="27E9AC4E" w:rsidR="00B26363" w:rsidRDefault="00B26363" w:rsidP="00B26363">
      <w:r>
        <w:lastRenderedPageBreak/>
        <w:t>In the year 2022, Shangri-La Hotels churned total income of 1,462, U. S.  dollars. A 40% rise in revenue from the previous year’s $1241 million to $1627 million in 2012 is a sharply increasing trend, which is highly significant.  Contrary to Asuite's 400% revenue growth, Travelodge's revenue in the year 2022 were lower and only $566 was collected. 284 out of 1,000(0. 284 for 1000) in contrast to the United States at $284. The extraordinary disparity in revenue performance between the two chains observed brings a number of reasons to look into the root causes of these fluctuations. The revenue growth of the Shangri-La Hotel as a product of the following main factors such as the company's thoughtful strategic push both nationally and globally has most certain to bring new sources of revenue. The Shangri-La not only spread its presence to lucrative markets but also leveraged the travel piece to capture more of the hospitality market. Another tactic employed by the similarly targeted luxury and premium services promotion may have been essential in attracting high spenders, and thus higher average room rates and larger RevPAR. As well, the Shangri-La has different packages including hotel accommodation, restaurants, and spa centers to maintain its revenue.  As a result, the business has expanded its market which leads to its long-term profits</w:t>
      </w:r>
      <w:r w:rsidR="00DA2AFC">
        <w:t xml:space="preserve"> (</w:t>
      </w:r>
      <w:r w:rsidR="00DA2AFC" w:rsidRPr="00CA3478">
        <w:t>Zhang</w:t>
      </w:r>
      <w:r w:rsidR="00DA2AFC">
        <w:t xml:space="preserve"> </w:t>
      </w:r>
      <w:r w:rsidR="00DA2AFC" w:rsidRPr="00DA2AFC">
        <w:rPr>
          <w:i/>
          <w:iCs/>
        </w:rPr>
        <w:t>et al.,</w:t>
      </w:r>
      <w:r w:rsidR="00DA2AFC" w:rsidRPr="00CA3478">
        <w:t xml:space="preserve"> 2020</w:t>
      </w:r>
      <w:r w:rsidR="00DA2AFC">
        <w:t>)</w:t>
      </w:r>
      <w:r>
        <w:t xml:space="preserve">.  </w:t>
      </w:r>
    </w:p>
    <w:p w14:paraId="4DEB5CF2" w14:textId="4A3FBDDF" w:rsidR="00B26363" w:rsidRDefault="00B26363" w:rsidP="00B26363">
      <w:r>
        <w:t>Negatively, the percentage rise/drop in Travelodge Hotels' revenue does not track that of Lifestyle Hotels indicating a different direction under different market dynamics. The hotel chain's revenue increase may have a lot to do with the fact that they moved into a higher yet priced rooms or an increment in occupancy rates.  In the absence of such deductions it may be hard to conclude if there was any significant growth due to expansions. The fact that growth is not proportional to GDP even if it is lower than others could imply weakness or bottlenecks experienced by Travelodge, like the fierce competition in the budget hotel segment or the general risk associated with the turbulent economic environment and its effect on travel and hotel bookings. Moreover, such problems as changes in customers’ consumption habits, transportation mode movements, global issues, or any other disruption may arrive. Sometimes (for instance, during pandemics or geopolitical tensions) there is a possibility that Travelodge also suffered from loss of revenue</w:t>
      </w:r>
      <w:r w:rsidR="00DA2AFC">
        <w:t xml:space="preserve"> (</w:t>
      </w:r>
      <w:r w:rsidR="00DA2AFC" w:rsidRPr="00CA3478">
        <w:t>Zhang</w:t>
      </w:r>
      <w:r w:rsidR="00DA2AFC">
        <w:t xml:space="preserve"> </w:t>
      </w:r>
      <w:r w:rsidR="00DA2AFC" w:rsidRPr="00DA2AFC">
        <w:rPr>
          <w:i/>
          <w:iCs/>
        </w:rPr>
        <w:t>et al.,</w:t>
      </w:r>
      <w:r w:rsidR="00DA2AFC">
        <w:t xml:space="preserve"> 2020)</w:t>
      </w:r>
      <w:r>
        <w:t>.</w:t>
      </w:r>
    </w:p>
    <w:p w14:paraId="3FAF0104" w14:textId="788F913E" w:rsidR="00B26363" w:rsidRDefault="00B26363" w:rsidP="00B26363">
      <w:r>
        <w:t xml:space="preserve">Identifying the revenue generation sources of each organization and exploring deeper into the underlying business model and revenue drivers independently become insights into the approaches </w:t>
      </w:r>
      <w:r>
        <w:lastRenderedPageBreak/>
        <w:t>that the enterprises focus on. Shangri-la Hotel probably generates incomes from different channels, such as room takings, food and drink services, spa and star convention rooms, and loyality programs. The brand's upscale image combined with its capacity to furnish unique guest experience at a number of touchpoints through which it attracts, earns more prices at its various sales channels. This supports revenue streams. Unlike Travelodge Hotels which will earn most of the income from room bookings and the fee as mentioned above rather than other sources of revenue compared to Shangri-La. This demonstrates clearly the master role played by room occupancy as well how the strategies of room pricing and costs management influence greatly the overall revenue development of Travelodge Company</w:t>
      </w:r>
      <w:r w:rsidR="00DA2AFC">
        <w:t xml:space="preserve"> (</w:t>
      </w:r>
      <w:r w:rsidR="00DA2AFC" w:rsidRPr="00CA3478">
        <w:t>Bi</w:t>
      </w:r>
      <w:r w:rsidR="00DA2AFC">
        <w:t xml:space="preserve"> </w:t>
      </w:r>
      <w:r w:rsidR="00DA2AFC" w:rsidRPr="00DA2AFC">
        <w:rPr>
          <w:i/>
          <w:iCs/>
        </w:rPr>
        <w:t>et al.,</w:t>
      </w:r>
      <w:r w:rsidR="00DA2AFC">
        <w:t xml:space="preserve"> 2020)</w:t>
      </w:r>
      <w:r>
        <w:t>.</w:t>
      </w:r>
    </w:p>
    <w:p w14:paraId="7485A199" w14:textId="15865180" w:rsidR="00DC343D" w:rsidRDefault="00B26363" w:rsidP="00B26363">
      <w:r>
        <w:t>Revenues of Shangri-la Hotels were growing in the past year as the company managed to perform its strategic initiatives successfully leading to seizing market opportunities. The brand has put emphasis on quality, innovation and customer-centric consciousness to enable it to sustain growth in future. As long as it considers the changing preferences in the consumer market and trends, the future is bright. On the other hand, Travelodge Hotels' revenue growth, while positive, might seem to only a minor extent and this could in a way expose the company to the factors beyong its control. To fulfill and augment the financial performance, Travelodge can try to explore opportunities for distinction, invest into uplifting guest experiences and emphasize the operational amelioration to improve profit declination in the competitive market environment</w:t>
      </w:r>
      <w:r w:rsidR="00DA2AFC">
        <w:t xml:space="preserve"> 9</w:t>
      </w:r>
      <w:r w:rsidR="00DA2AFC" w:rsidRPr="00DA2AFC">
        <w:t xml:space="preserve"> </w:t>
      </w:r>
      <w:r w:rsidR="00DA2AFC" w:rsidRPr="00CA3478">
        <w:t>Olimovich, Kudratovna, and Sayfitdinovich, 2020</w:t>
      </w:r>
      <w:r w:rsidR="00DA2AFC">
        <w:t>)</w:t>
      </w:r>
      <w:r>
        <w:t>.</w:t>
      </w:r>
    </w:p>
    <w:p w14:paraId="5D92F345" w14:textId="1C34E764" w:rsidR="00390DB3" w:rsidRDefault="002E4956" w:rsidP="00EA1E93">
      <w:pPr>
        <w:pStyle w:val="Heading2"/>
      </w:pPr>
      <w:bookmarkStart w:id="3" w:name="_Toc165965439"/>
      <w:r>
        <w:t>Market position</w:t>
      </w:r>
      <w:bookmarkEnd w:id="3"/>
    </w:p>
    <w:p w14:paraId="00C13DA8" w14:textId="381655F8" w:rsidR="00955983" w:rsidRDefault="00955983" w:rsidP="00955983">
      <w:r>
        <w:t xml:space="preserve">Shangri-La Hotels and Travelodge Hotels have been identified as two brands which serve different segments of travel market with the hotel services that are tailored to the different needs of the travelers. Hotels Shangri-La, which is well known for offering the finest accommodation and amazing services to guests as a result, holds the prime market position in high-end sector which is manifested by the quality facilities and personalized services. The signature Luxe Brand's high-end appeal targets well-off travelers who want to take it to the highest level with the finest amenities, privacy, and glamor in their hotel lodging. Shangri-La's hotels are usually made in the very heart of beautiful places that are popular destinations for tourists, which serves to highlight the fascination of these hotels for demanding visitors. Shangri-La Hotels' approach is oriented </w:t>
      </w:r>
      <w:r>
        <w:lastRenderedPageBreak/>
        <w:t>around what they call the Shangri-La experience, which involves making guests feel always pampered by the luxury amenities on one hand and focusing on first-class services on the other.  It results in a loyal clientele that is interested in top-of-the-line quality and experiencing the ultimate luxury. This particular brand gives Shangri-la is able to charge a premium with regards to pricing due to its establishment as a luxurious brand, thus ensuring the hotel a competitive edge in the luxury hotel segment which will enable it to dominate the niche market while promoting the perception of the brand as one of class and elegance in the hospitality industry</w:t>
      </w:r>
      <w:r w:rsidR="00DA2AFC">
        <w:t xml:space="preserve"> (</w:t>
      </w:r>
      <w:r w:rsidR="00DA2AFC" w:rsidRPr="00CA3478">
        <w:t>Tong-On, Siripipatthanakul, and Phayaphrom, 2021</w:t>
      </w:r>
      <w:r w:rsidR="00DA2AFC">
        <w:t>)</w:t>
      </w:r>
      <w:r>
        <w:t xml:space="preserve">.  </w:t>
      </w:r>
    </w:p>
    <w:p w14:paraId="4AF24244" w14:textId="4C3E72A5" w:rsidR="00955983" w:rsidRDefault="00955983" w:rsidP="00955983">
      <w:r>
        <w:t>On the other side, Travelodge Hotels are targeting a slightly different market segment where officers in search for affordable lodgings without giving up quality and convenience are concerned. Travelodge being known as a value orientated hotel chain, is always seen as placed in the low end price market and consequently popular among a varying customer groups.  These are price conscious travelers like backpackers, those on business travel, and also families. Travelodge's hotels have a wide range of location within the cities and they are close to the bus terminals, major roads, or popular destinations which make travelers to find a good place that is not high-cost to stay. Nevertheless, Travelodge enjoys the same market as Shangri-La, as both share the aspirations of serving clean, cozy rooms with all the essential amenities at competitive rates.  However, Travelodge lacks in opulence and amenities that are hallmarks of luxury hotels. This positioning gives Travelodge the ability to compete in most segments of the economy and mid-range hotels, tending to value-conscious and price-sensitive travelers, and budgetary consumers who stay focus on money when choosing place to dine</w:t>
      </w:r>
      <w:r w:rsidR="00DA2AFC">
        <w:t xml:space="preserve"> (</w:t>
      </w:r>
      <w:r w:rsidR="00DA2AFC" w:rsidRPr="00CA3478">
        <w:t>Kim, Lee, and Kim, 2020</w:t>
      </w:r>
      <w:r w:rsidR="00DA2AFC">
        <w:t>)</w:t>
      </w:r>
      <w:r>
        <w:t>.</w:t>
      </w:r>
    </w:p>
    <w:p w14:paraId="19D56C8A" w14:textId="11B936E5" w:rsidR="002E4956" w:rsidRDefault="00955983" w:rsidP="00955983">
      <w:r w:rsidRPr="00955983">
        <w:t xml:space="preserve">The Shangri-La Hotels holds smaller but more profitable share within the luxury hotel realm, going head-to-head with the well-established high-end hotel brands like Four Seasons, Ritz-Carlton, Mandarin Oriental. Although the niche character of quality lays the foundation for the Shangri-La niche market, it is also a powerful global market player in key destinations that is the point of attraction for the most diligent customers who would want to spend money on top-notch luxury experiences. While Travelodge Hotels have a lesser market share compared to other budget and mid-range hotel industry giants such as Holiday Inn Express and Hampton by Hilton; it has however, managed to compete effectively with the rest of the economy hotel operators such as ibis </w:t>
      </w:r>
      <w:r w:rsidRPr="00955983">
        <w:lastRenderedPageBreak/>
        <w:t>Budget. Travelodge is located in almost all travel destinations and can also contributes to its easier market penetration since it is suitable for the one’s with business or for simple leisure who are looking for cheap accommodation</w:t>
      </w:r>
      <w:r w:rsidR="00DA2AFC">
        <w:t xml:space="preserve"> (</w:t>
      </w:r>
      <w:r w:rsidR="00DA2AFC" w:rsidRPr="00CA3478">
        <w:t>Ezzaouia, and Bulchand-Gidumal, 2020</w:t>
      </w:r>
      <w:r w:rsidR="00DA2AFC">
        <w:t>)</w:t>
      </w:r>
      <w:r w:rsidRPr="00955983">
        <w:t>.</w:t>
      </w:r>
    </w:p>
    <w:p w14:paraId="37676B92" w14:textId="386CB8CC" w:rsidR="00955983" w:rsidRDefault="004F69C6" w:rsidP="00EA1E93">
      <w:pPr>
        <w:pStyle w:val="Heading2"/>
      </w:pPr>
      <w:bookmarkStart w:id="4" w:name="_Toc165965440"/>
      <w:r>
        <w:t>Growth potential</w:t>
      </w:r>
      <w:bookmarkEnd w:id="4"/>
    </w:p>
    <w:p w14:paraId="07E3DF79" w14:textId="766094B5" w:rsidR="006D5730" w:rsidRDefault="006D5730" w:rsidP="006D5730">
      <w:r>
        <w:t>Shangri-La Hotel group has a great potential for further development that stems from its aggressive strategic initiatives, as well as emerging market prospects, and its good brand image. Nowadays, Centering on global enlargement, Shangri-La remains to opt for new market entrances as the economy flows in key destinations across Asia, Europe, the Middle East, and North America, indeed, making use of the rising demand for the luxury hotel industry services in emerging markets and established travel centers. The brand's “innovation” and “differentiation” aspect is evident in their ongoing investment of new hotel developments, renovations of the old buildings, and the improvement of customers’ experience.  By so, the brand is in a place to gain market share and increase their revenues in existing and new market. Not only this, but Shangri-La could achieve an advantage over its competitors by representing the sustainability movement, wellness travel, and experiential travel, which would match upcoming societal trends and create an opportunity to engage environmentalist and experience-focused travelers. While Shangri-La Hotels may face bottlenecks to growth such as the hyper competition in the luxury segment, legal limitations in some markets, and economic unpredictability affecting travel and consumer spending choices, it will, nonetheless, make further progress in the future</w:t>
      </w:r>
      <w:r w:rsidR="00DA2AFC">
        <w:t xml:space="preserve"> (</w:t>
      </w:r>
      <w:r w:rsidR="00DA2AFC" w:rsidRPr="00CA3478">
        <w:t>Kapoor, and Kapoor, 2021</w:t>
      </w:r>
      <w:r w:rsidR="00DA2AFC">
        <w:t>)</w:t>
      </w:r>
      <w:r>
        <w:t xml:space="preserve">. </w:t>
      </w:r>
    </w:p>
    <w:p w14:paraId="64A0B950" w14:textId="3872EADE" w:rsidR="004F69C6" w:rsidRDefault="006D5730" w:rsidP="006D5730">
      <w:r>
        <w:t xml:space="preserve"> However, in case of Travelodge Hotels, which is well positioned to attain growth in a mid-tier market segment through a value-for-money and budget-friendly accommodation approach, Travelodge Hotels has the potential to expand in the same or a different market segment that is characterized by value offerings and budget-friendly places to stay. Utilizing the rich legacy and the credibility existing in the market, Travelodge can take up growth prospects by concentrating on areas which are already emerged, studying the neglected locations and broadening the array of services to get a wide range of customer segmentation. Further distributing channels filled with online travel agencies, corporate customers and travel intermediaries and positioning the brand as their priority partner will generate higher occupancy rates.  As a result, revenue growth can be guaranteed. In addition, Travelodge can think over franchising and asset-empty extension way to </w:t>
      </w:r>
      <w:r>
        <w:lastRenderedPageBreak/>
        <w:t>implement growth completeness wbile decreasing capital cost pitfalls. With Travelodge being set to record positive growth levels, the company could not be immune from issues like saturation in some markets, competing pricing policies implemented by peers, and technical problems associated with maintaining the value quality in a growing fleet of hotels</w:t>
      </w:r>
      <w:r w:rsidR="00DA2AFC">
        <w:t xml:space="preserve"> (</w:t>
      </w:r>
      <w:r w:rsidR="00DA2AFC" w:rsidRPr="00CA3478">
        <w:t>Schalk-Nador, and Rašovská, 2024</w:t>
      </w:r>
      <w:r w:rsidR="00DA2AFC">
        <w:t>)</w:t>
      </w:r>
      <w:r>
        <w:t>.</w:t>
      </w:r>
    </w:p>
    <w:p w14:paraId="0248E657" w14:textId="794D1E1C" w:rsidR="006D5730" w:rsidRDefault="002E5C2D" w:rsidP="00EA1E93">
      <w:pPr>
        <w:pStyle w:val="Heading2"/>
      </w:pPr>
      <w:bookmarkStart w:id="5" w:name="_Toc165965441"/>
      <w:r w:rsidRPr="002E5C2D">
        <w:t>Financial Commitment to CSR</w:t>
      </w:r>
      <w:bookmarkEnd w:id="5"/>
    </w:p>
    <w:p w14:paraId="0F1E114E" w14:textId="5BB36819" w:rsidR="001C22DF" w:rsidRDefault="001C22DF" w:rsidP="001C22DF">
      <w:r>
        <w:t>Shangri-La Hotels, understood as a sign of strong financial commitment to Corporate Social Responsibility (CSR) activities, it has invested large sums for sustainable procedures, community projects, and humanistic activities. As In its latest 2022 annual CSR report, Shangri-La has injected more than USD18 millions to social responsibility projects which is marked increase from the recent years. Corporate Social Responsibility (CSR) of the company covers the company’s main areas of focus, such as environmental care, employee wellbeing and community engagement. Case in point, Shangri-la government has developed a holistic sustainability program which has resulted in a -35% energy consumption, -25% of water usage and waste production that is under control. Moreover, the brand has good relationship with local communities by implementing its education, empowerment of youth, health programs, organizing of disaster relief efforts and so much more. Both the CSR and SRI projects of Shangri-La depend on proper allocation and delivery of budget to be effective.  Boosting the company’s credibility and profitability, these allocation makes the business environment a part of the community</w:t>
      </w:r>
      <w:r w:rsidR="00DA2AFC">
        <w:t xml:space="preserve"> (</w:t>
      </w:r>
      <w:r w:rsidR="00DA2AFC" w:rsidRPr="00CA3478">
        <w:t>Yeon, Song, and Lee, 2020</w:t>
      </w:r>
      <w:r w:rsidR="00DA2AFC">
        <w:t>)</w:t>
      </w:r>
      <w:r>
        <w:t xml:space="preserve">. </w:t>
      </w:r>
    </w:p>
    <w:p w14:paraId="2615487D" w14:textId="037F650B" w:rsidR="002E5C2D" w:rsidRDefault="001C22DF" w:rsidP="001C22DF">
      <w:r>
        <w:t xml:space="preserve"> On the other hand, Travelodge hotels are like that of slightly less commitment to CSR programs compared to the owned by Shangri-La. The Travelodge acknowledges and definitely understands the need for CSR and being accountable towards the society; but as its investment in such activities seems to be less in quantity. While it could be imagined that the financial data on CSR expenses is not included in Travelodge's publicly announced or documents disclosures. Nevertheless, when it comes to the quantitative approach and qualitative evaluations because of the wide range of competitors operating within the economy hotel sector we can just suppose that Travelodge's CSR spending will proportionally correspond to its overall revenue and market share within the economy hotel segment. This mark will engage in projects like energy efficiency, waste disposal, and community support.  While they may not allocate that large number of resources on these </w:t>
      </w:r>
      <w:r>
        <w:lastRenderedPageBreak/>
        <w:t>projects, as it can be the case of bigger brands like Shangri-La. Even though this travel company invests only a small percentage of its CSR budget into specific projects, Travelodge yet has a big impact on the society and the environment through joint actions with community groups. While the travel industry is becoming more diverse and t becomes more demanding for companies to be responsible, Travelodge could look in deeper into expanding their CSR program in order to further become a distinctive feature in the marketplace and also align itself with the wider sustainability goals</w:t>
      </w:r>
      <w:r w:rsidR="00DA2AFC">
        <w:t xml:space="preserve"> (</w:t>
      </w:r>
      <w:r w:rsidR="00DA2AFC" w:rsidRPr="00CA3478">
        <w:t>Iranmanesh</w:t>
      </w:r>
      <w:r w:rsidR="00DA2AFC" w:rsidRPr="00DA2AFC">
        <w:rPr>
          <w:i/>
          <w:iCs/>
        </w:rPr>
        <w:t xml:space="preserve"> et al.,</w:t>
      </w:r>
      <w:r w:rsidR="00DA2AFC">
        <w:t xml:space="preserve"> 2022)</w:t>
      </w:r>
      <w:r>
        <w:t>.</w:t>
      </w:r>
    </w:p>
    <w:p w14:paraId="12A1F75D" w14:textId="1AAE5527" w:rsidR="001C22DF" w:rsidRDefault="001C22DF" w:rsidP="001C22DF">
      <w:pPr>
        <w:pStyle w:val="Heading1"/>
      </w:pPr>
      <w:bookmarkStart w:id="6" w:name="_Toc165965442"/>
      <w:r>
        <w:t>Conclusion</w:t>
      </w:r>
      <w:bookmarkEnd w:id="6"/>
    </w:p>
    <w:p w14:paraId="1B0C67FE" w14:textId="2A7CB104" w:rsidR="001C22DF" w:rsidRDefault="001C22DF" w:rsidP="001C22DF">
      <w:r w:rsidRPr="001C22DF">
        <w:t>For the year 2022, Shangri-La hotels recorded an impressive surge of 40% in revenue amounting to $1,462 million.  The honorable mention goes to the integrated global expansion initiatives, premium service promotions and numerous sources of revenue. The upscale positioning of the brand and concentration on the delivery of personalized experience make it a loved one especially among people who love luxury brands such as Four Seasons and Ritz-Carlton. On the contrary, as Travelodge Hotels made only $566 million in revenues taking into consideration the impact of budget segments of competitive groups as well the unpredictability of the economy. Travelodge is a value-conscious hotelier brand that provides reasonable accommodation and does not left opulence for the affluence but remains economically efficient. Although both Shangri-La and Travelodge identical approaches towards Corporate Social Responsibility can be noted, the extent of investments that Shangri-La makes is larger than that of Travelodge, while the latter closely resembles its ‘economy’ hotel positioning through CSR campaign.</w:t>
      </w:r>
    </w:p>
    <w:p w14:paraId="1DC43571" w14:textId="77777777" w:rsidR="00BE1396" w:rsidRDefault="00BE1396" w:rsidP="001C22DF"/>
    <w:p w14:paraId="22F3E320" w14:textId="015D1952" w:rsidR="00BE1396" w:rsidRDefault="00BE1396">
      <w:pPr>
        <w:spacing w:after="0" w:line="276" w:lineRule="auto"/>
        <w:jc w:val="left"/>
      </w:pPr>
      <w:r>
        <w:br w:type="page"/>
      </w:r>
    </w:p>
    <w:p w14:paraId="6BA11855" w14:textId="0F2D2F80" w:rsidR="00BE1396" w:rsidRDefault="00BE1396" w:rsidP="00BE1396">
      <w:pPr>
        <w:pStyle w:val="Heading1"/>
      </w:pPr>
      <w:bookmarkStart w:id="7" w:name="_Toc165965443"/>
      <w:r>
        <w:lastRenderedPageBreak/>
        <w:t>References</w:t>
      </w:r>
      <w:bookmarkEnd w:id="7"/>
    </w:p>
    <w:p w14:paraId="7EBBADAE" w14:textId="77777777" w:rsidR="00BE1396" w:rsidRPr="00CA3478" w:rsidRDefault="00BE1396" w:rsidP="00BE1396">
      <w:r w:rsidRPr="00CA3478">
        <w:t xml:space="preserve">Bi, J.W., Liu, Y., Fan, Z.P. and Zhang, J., </w:t>
      </w:r>
      <w:r>
        <w:t>(2020)</w:t>
      </w:r>
      <w:r w:rsidRPr="00CA3478">
        <w:t>. Exploring asymmetric effects of attribute performance on customer satisfaction in the hotel industry. Tourism Management, 77, p.104006.</w:t>
      </w:r>
    </w:p>
    <w:p w14:paraId="0102E380" w14:textId="77777777" w:rsidR="00BE1396" w:rsidRPr="00CA3478" w:rsidRDefault="00BE1396" w:rsidP="00BE1396">
      <w:r w:rsidRPr="00CA3478">
        <w:t xml:space="preserve">Ezzaouia, I. and Bulchand-Gidumal, J., </w:t>
      </w:r>
      <w:r>
        <w:t>(2020)</w:t>
      </w:r>
      <w:r w:rsidRPr="00CA3478">
        <w:t>. Factors influencing the adoption of information technology in the hotel industry. An analysis in a developing country. Tourism Management Perspectives, 34, p.100675.</w:t>
      </w:r>
    </w:p>
    <w:p w14:paraId="66DE5F91" w14:textId="77777777" w:rsidR="00BE1396" w:rsidRDefault="00BE1396" w:rsidP="00BE1396">
      <w:r w:rsidRPr="00CA3478">
        <w:t xml:space="preserve">Iranmanesh, M., Ghobakhloo, M., Nilashi, M., Tseng, M.L., Yadegaridehkordi, E. and Leung, N., </w:t>
      </w:r>
      <w:r>
        <w:t>(2022)</w:t>
      </w:r>
      <w:r w:rsidRPr="00CA3478">
        <w:t>. Applications of disruptive digital technologies in hotel industry: A systematic review. International Journal of Hospitality Management, 107, p.103304.</w:t>
      </w:r>
    </w:p>
    <w:p w14:paraId="7C05351C" w14:textId="77777777" w:rsidR="00BE1396" w:rsidRPr="00CA3478" w:rsidRDefault="00BE1396" w:rsidP="00BE1396">
      <w:r w:rsidRPr="00CA3478">
        <w:t xml:space="preserve">Kapoor, R. and Kapoor, K., </w:t>
      </w:r>
      <w:r>
        <w:t>(2021)</w:t>
      </w:r>
      <w:r w:rsidRPr="00CA3478">
        <w:t>. The transition from traditional to digital marketing: a study of the evolution of e-marketing in the Indian hotel industry. Worldwide Hospitality and Tourism Themes, 13(2), pp.199-213.</w:t>
      </w:r>
    </w:p>
    <w:p w14:paraId="6ED36D01" w14:textId="77777777" w:rsidR="00BE1396" w:rsidRPr="00CA3478" w:rsidRDefault="00BE1396" w:rsidP="00BE1396">
      <w:r w:rsidRPr="00CA3478">
        <w:t xml:space="preserve">Kim, W.H., Lee, S.H. and Kim, K.S., </w:t>
      </w:r>
      <w:r>
        <w:t>(2020)</w:t>
      </w:r>
      <w:r w:rsidRPr="00CA3478">
        <w:t>. Effects of sensory marketing on customer satisfaction and revisit intention in the hotel industry: the moderating roles of customers’ prior experience and gender. Anatolia, 31(4), pp.523-535.</w:t>
      </w:r>
    </w:p>
    <w:p w14:paraId="4009A6B1" w14:textId="77777777" w:rsidR="00BE1396" w:rsidRPr="00CA3478" w:rsidRDefault="00BE1396" w:rsidP="00BE1396">
      <w:r w:rsidRPr="00CA3478">
        <w:t xml:space="preserve">Olimovich, D.I., Kudratovna, F.S. and Sayfitdinovich, I.B., </w:t>
      </w:r>
      <w:r>
        <w:t>(2020)</w:t>
      </w:r>
      <w:r w:rsidRPr="00CA3478">
        <w:t>. The importance of marketing analysis for predicting the prospects of restaurants in Bukhara hotels. Economics, (1 (44)), pp.29-31.</w:t>
      </w:r>
    </w:p>
    <w:p w14:paraId="4D4C9A5C" w14:textId="77777777" w:rsidR="00BE1396" w:rsidRPr="00CA3478" w:rsidRDefault="00BE1396" w:rsidP="00BE1396">
      <w:r w:rsidRPr="00CA3478">
        <w:t xml:space="preserve">Schalk-Nador, S.V. and Rašovská, I., </w:t>
      </w:r>
      <w:r>
        <w:t>(2024)</w:t>
      </w:r>
      <w:r w:rsidRPr="00CA3478">
        <w:t>. Opportunities for the United States hotel industry to recover from COVID-19: a multi-period DEA analysis of key efficiency determinants. Journal of Hospitality and Tourism Insights, 7(1), pp.189-206.</w:t>
      </w:r>
    </w:p>
    <w:p w14:paraId="0ECA8EE5" w14:textId="77777777" w:rsidR="00BE1396" w:rsidRPr="00CA3478" w:rsidRDefault="00BE1396" w:rsidP="00BE1396">
      <w:r w:rsidRPr="00CA3478">
        <w:t xml:space="preserve">Tong-On, P., Siripipatthanakul, S. and Phayaphrom, B., </w:t>
      </w:r>
      <w:r>
        <w:t>(2021)</w:t>
      </w:r>
      <w:r w:rsidRPr="00CA3478">
        <w:t>. The implementation of business intelligence using data analytics and its effects towards on performance in the hotel industry in Thailand. International Journal of Behavioral Analytics, 1(2).</w:t>
      </w:r>
    </w:p>
    <w:p w14:paraId="0BD8A802" w14:textId="77777777" w:rsidR="00BE1396" w:rsidRPr="00CA3478" w:rsidRDefault="00BE1396" w:rsidP="00BE1396">
      <w:r w:rsidRPr="00CA3478">
        <w:lastRenderedPageBreak/>
        <w:t xml:space="preserve">Yeon, J., Song, H.J. and Lee, S., </w:t>
      </w:r>
      <w:r>
        <w:t>(2020)</w:t>
      </w:r>
      <w:r w:rsidRPr="00CA3478">
        <w:t>. Impact of short-term rental regulation on hotel industry: a difference-in-differences approach. Annals of Tourism Research, 83, p.102939.</w:t>
      </w:r>
    </w:p>
    <w:p w14:paraId="11B20CC7" w14:textId="77777777" w:rsidR="00BE1396" w:rsidRPr="00CA3478" w:rsidRDefault="00BE1396" w:rsidP="00BE1396">
      <w:r w:rsidRPr="00CA3478">
        <w:t xml:space="preserve">Zhang, D., Tu, J., Zhou, L. and Yu, Z., </w:t>
      </w:r>
      <w:r>
        <w:t>(2020)</w:t>
      </w:r>
      <w:r w:rsidRPr="00CA3478">
        <w:t>. Higher tourism specialization, better hotel industry efficiency?. International journal of hospitality management, 87, p.102509.</w:t>
      </w:r>
    </w:p>
    <w:p w14:paraId="76A0DCAC" w14:textId="77777777" w:rsidR="00BE1396" w:rsidRPr="00CA3478" w:rsidRDefault="00BE1396" w:rsidP="00BE1396">
      <w:r w:rsidRPr="00CA3478">
        <w:t xml:space="preserve">Zhang, F., Xiao, Q., Law, R. and Lee, S., </w:t>
      </w:r>
      <w:r>
        <w:t>(2020)</w:t>
      </w:r>
      <w:r w:rsidRPr="00CA3478">
        <w:t>. Mergers and acquisitions in the hotel industry: A comprehensive review. International Journal of Hospitality Management, 91, p.102418.</w:t>
      </w:r>
    </w:p>
    <w:p w14:paraId="094B61A2" w14:textId="77777777" w:rsidR="00BE1396" w:rsidRPr="001C22DF" w:rsidRDefault="00BE1396" w:rsidP="001C22DF"/>
    <w:sectPr w:rsidR="00BE1396" w:rsidRPr="001C22DF" w:rsidSect="00A9095A">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BA70F7" w14:textId="77777777" w:rsidR="00A9095A" w:rsidRDefault="00A9095A" w:rsidP="00604764">
      <w:r>
        <w:separator/>
      </w:r>
    </w:p>
  </w:endnote>
  <w:endnote w:type="continuationSeparator" w:id="0">
    <w:p w14:paraId="2262B6C7" w14:textId="77777777" w:rsidR="00A9095A" w:rsidRDefault="00A9095A" w:rsidP="006047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0161603"/>
      <w:docPartObj>
        <w:docPartGallery w:val="Page Numbers (Bottom of Page)"/>
        <w:docPartUnique/>
      </w:docPartObj>
    </w:sdtPr>
    <w:sdtContent>
      <w:sdt>
        <w:sdtPr>
          <w:id w:val="-1769616900"/>
          <w:docPartObj>
            <w:docPartGallery w:val="Page Numbers (Top of Page)"/>
            <w:docPartUnique/>
          </w:docPartObj>
        </w:sdtPr>
        <w:sdtContent>
          <w:p w14:paraId="5FD8696B" w14:textId="202AEE8B" w:rsidR="00604764" w:rsidRDefault="00604764" w:rsidP="00604764">
            <w:pPr>
              <w:pStyle w:val="Footer"/>
            </w:pPr>
            <w:r>
              <w:rPr>
                <w:lang w:val="en-GB"/>
              </w:rPr>
              <w:t xml:space="preserve">Page </w:t>
            </w:r>
            <w:r>
              <w:rPr>
                <w:szCs w:val="24"/>
              </w:rPr>
              <w:fldChar w:fldCharType="begin"/>
            </w:r>
            <w:r>
              <w:instrText>PAGE</w:instrText>
            </w:r>
            <w:r>
              <w:rPr>
                <w:szCs w:val="24"/>
              </w:rPr>
              <w:fldChar w:fldCharType="separate"/>
            </w:r>
            <w:r>
              <w:rPr>
                <w:lang w:val="en-GB"/>
              </w:rPr>
              <w:t>2</w:t>
            </w:r>
            <w:r>
              <w:rPr>
                <w:szCs w:val="24"/>
              </w:rPr>
              <w:fldChar w:fldCharType="end"/>
            </w:r>
            <w:r>
              <w:rPr>
                <w:lang w:val="en-GB"/>
              </w:rPr>
              <w:t xml:space="preserve"> of </w:t>
            </w:r>
            <w:r>
              <w:rPr>
                <w:szCs w:val="24"/>
              </w:rPr>
              <w:fldChar w:fldCharType="begin"/>
            </w:r>
            <w:r>
              <w:instrText>NUMPAGES</w:instrText>
            </w:r>
            <w:r>
              <w:rPr>
                <w:szCs w:val="24"/>
              </w:rPr>
              <w:fldChar w:fldCharType="separate"/>
            </w:r>
            <w:r>
              <w:rPr>
                <w:lang w:val="en-GB"/>
              </w:rPr>
              <w:t>2</w:t>
            </w:r>
            <w:r>
              <w:rPr>
                <w:szCs w:val="24"/>
              </w:rPr>
              <w:fldChar w:fldCharType="end"/>
            </w:r>
          </w:p>
        </w:sdtContent>
      </w:sdt>
    </w:sdtContent>
  </w:sdt>
  <w:p w14:paraId="5A935822" w14:textId="77777777" w:rsidR="00F80E82" w:rsidRDefault="00F80E82" w:rsidP="00604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BB2C9C" w14:textId="77777777" w:rsidR="00A9095A" w:rsidRDefault="00A9095A" w:rsidP="00604764">
      <w:r>
        <w:separator/>
      </w:r>
    </w:p>
  </w:footnote>
  <w:footnote w:type="continuationSeparator" w:id="0">
    <w:p w14:paraId="070BA6AA" w14:textId="77777777" w:rsidR="00A9095A" w:rsidRDefault="00A9095A" w:rsidP="006047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AF3715"/>
    <w:multiLevelType w:val="multilevel"/>
    <w:tmpl w:val="D5140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C76DE1"/>
    <w:multiLevelType w:val="multilevel"/>
    <w:tmpl w:val="2390C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CE37EE"/>
    <w:multiLevelType w:val="multilevel"/>
    <w:tmpl w:val="BD003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8547700">
    <w:abstractNumId w:val="0"/>
  </w:num>
  <w:num w:numId="2" w16cid:durableId="1570000401">
    <w:abstractNumId w:val="2"/>
  </w:num>
  <w:num w:numId="3" w16cid:durableId="1376196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830"/>
    <w:rsid w:val="000B2BE6"/>
    <w:rsid w:val="000C6635"/>
    <w:rsid w:val="000D69D2"/>
    <w:rsid w:val="000E33BE"/>
    <w:rsid w:val="00107C3B"/>
    <w:rsid w:val="001500F3"/>
    <w:rsid w:val="00172FAF"/>
    <w:rsid w:val="001C22DF"/>
    <w:rsid w:val="001C30DC"/>
    <w:rsid w:val="001E5597"/>
    <w:rsid w:val="002106D2"/>
    <w:rsid w:val="00284E6A"/>
    <w:rsid w:val="002A567E"/>
    <w:rsid w:val="002B294B"/>
    <w:rsid w:val="002E1135"/>
    <w:rsid w:val="002E4956"/>
    <w:rsid w:val="002E5C2D"/>
    <w:rsid w:val="003811CD"/>
    <w:rsid w:val="00390DB3"/>
    <w:rsid w:val="003D3FFE"/>
    <w:rsid w:val="003F2D2B"/>
    <w:rsid w:val="00401ACC"/>
    <w:rsid w:val="00432AED"/>
    <w:rsid w:val="00480349"/>
    <w:rsid w:val="004A1F89"/>
    <w:rsid w:val="004F2C1F"/>
    <w:rsid w:val="004F69C6"/>
    <w:rsid w:val="005005C3"/>
    <w:rsid w:val="00502D68"/>
    <w:rsid w:val="00521392"/>
    <w:rsid w:val="0052190E"/>
    <w:rsid w:val="0056627C"/>
    <w:rsid w:val="005D5372"/>
    <w:rsid w:val="00604764"/>
    <w:rsid w:val="00644573"/>
    <w:rsid w:val="00651613"/>
    <w:rsid w:val="006B5789"/>
    <w:rsid w:val="006C4714"/>
    <w:rsid w:val="006C5256"/>
    <w:rsid w:val="006C7FB3"/>
    <w:rsid w:val="006D5730"/>
    <w:rsid w:val="007258A6"/>
    <w:rsid w:val="00776F23"/>
    <w:rsid w:val="00786D37"/>
    <w:rsid w:val="00791C35"/>
    <w:rsid w:val="007A3434"/>
    <w:rsid w:val="007B0D1F"/>
    <w:rsid w:val="008B0502"/>
    <w:rsid w:val="008C5830"/>
    <w:rsid w:val="00955983"/>
    <w:rsid w:val="00977123"/>
    <w:rsid w:val="00997A36"/>
    <w:rsid w:val="009D17E4"/>
    <w:rsid w:val="009E1AD1"/>
    <w:rsid w:val="00A5652A"/>
    <w:rsid w:val="00A65B14"/>
    <w:rsid w:val="00A9095A"/>
    <w:rsid w:val="00AA4FA6"/>
    <w:rsid w:val="00AD695D"/>
    <w:rsid w:val="00B22DB9"/>
    <w:rsid w:val="00B26363"/>
    <w:rsid w:val="00B54484"/>
    <w:rsid w:val="00B75B3D"/>
    <w:rsid w:val="00BD1F06"/>
    <w:rsid w:val="00BD6F8F"/>
    <w:rsid w:val="00BE1396"/>
    <w:rsid w:val="00BE7E4D"/>
    <w:rsid w:val="00BF2CEC"/>
    <w:rsid w:val="00C0414C"/>
    <w:rsid w:val="00C8385E"/>
    <w:rsid w:val="00C8389E"/>
    <w:rsid w:val="00CB102B"/>
    <w:rsid w:val="00D070E1"/>
    <w:rsid w:val="00D43A77"/>
    <w:rsid w:val="00D448C4"/>
    <w:rsid w:val="00D82E6F"/>
    <w:rsid w:val="00D91E30"/>
    <w:rsid w:val="00D95B06"/>
    <w:rsid w:val="00D973E6"/>
    <w:rsid w:val="00DA2AFC"/>
    <w:rsid w:val="00DC343D"/>
    <w:rsid w:val="00E302CE"/>
    <w:rsid w:val="00E41DB1"/>
    <w:rsid w:val="00E5414E"/>
    <w:rsid w:val="00E6310F"/>
    <w:rsid w:val="00EA1E93"/>
    <w:rsid w:val="00EA7FD2"/>
    <w:rsid w:val="00EB5077"/>
    <w:rsid w:val="00F10259"/>
    <w:rsid w:val="00F200F2"/>
    <w:rsid w:val="00F31124"/>
    <w:rsid w:val="00F41C35"/>
    <w:rsid w:val="00F80E82"/>
    <w:rsid w:val="00F83C27"/>
    <w:rsid w:val="00FA3A70"/>
    <w:rsid w:val="00FB33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D70A1E"/>
  <w15:docId w15:val="{4D1F4CA4-245A-4B3F-9FCD-79C1D58FE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764"/>
    <w:pPr>
      <w:spacing w:after="240" w:line="360" w:lineRule="auto"/>
      <w:jc w:val="both"/>
    </w:pPr>
    <w:rPr>
      <w:rFonts w:ascii="Times New Roman" w:hAnsi="Times New Roman"/>
      <w:sz w:val="24"/>
    </w:rPr>
  </w:style>
  <w:style w:type="paragraph" w:styleId="Heading1">
    <w:name w:val="heading 1"/>
    <w:basedOn w:val="Normal"/>
    <w:next w:val="Normal"/>
    <w:uiPriority w:val="9"/>
    <w:qFormat/>
    <w:rsid w:val="00604764"/>
    <w:pPr>
      <w:keepNext/>
      <w:keepLines/>
      <w:spacing w:before="400" w:after="120"/>
      <w:outlineLvl w:val="0"/>
    </w:pPr>
    <w:rPr>
      <w:b/>
      <w:sz w:val="28"/>
      <w:szCs w:val="40"/>
    </w:rPr>
  </w:style>
  <w:style w:type="paragraph" w:styleId="Heading2">
    <w:name w:val="heading 2"/>
    <w:basedOn w:val="Normal"/>
    <w:next w:val="Normal"/>
    <w:uiPriority w:val="9"/>
    <w:unhideWhenUsed/>
    <w:qFormat/>
    <w:rsid w:val="007258A6"/>
    <w:pPr>
      <w:keepNext/>
      <w:keepLines/>
      <w:spacing w:before="360" w:after="120"/>
      <w:outlineLvl w:val="1"/>
    </w:pPr>
    <w:rPr>
      <w:b/>
      <w:sz w:val="26"/>
      <w:szCs w:val="32"/>
    </w:rPr>
  </w:style>
  <w:style w:type="paragraph" w:styleId="Heading3">
    <w:name w:val="heading 3"/>
    <w:basedOn w:val="Normal"/>
    <w:next w:val="Normal"/>
    <w:uiPriority w:val="9"/>
    <w:unhideWhenUsed/>
    <w:qFormat/>
    <w:rsid w:val="00E6310F"/>
    <w:pPr>
      <w:keepNext/>
      <w:keepLines/>
      <w:spacing w:before="320" w:after="80"/>
      <w:outlineLvl w:val="2"/>
    </w:pPr>
    <w:rPr>
      <w:b/>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80E82"/>
    <w:pPr>
      <w:tabs>
        <w:tab w:val="center" w:pos="4513"/>
        <w:tab w:val="right" w:pos="9026"/>
      </w:tabs>
      <w:spacing w:line="240" w:lineRule="auto"/>
    </w:pPr>
  </w:style>
  <w:style w:type="character" w:customStyle="1" w:styleId="HeaderChar">
    <w:name w:val="Header Char"/>
    <w:basedOn w:val="DefaultParagraphFont"/>
    <w:link w:val="Header"/>
    <w:uiPriority w:val="99"/>
    <w:rsid w:val="00F80E82"/>
  </w:style>
  <w:style w:type="paragraph" w:styleId="Footer">
    <w:name w:val="footer"/>
    <w:basedOn w:val="Normal"/>
    <w:link w:val="FooterChar"/>
    <w:uiPriority w:val="99"/>
    <w:unhideWhenUsed/>
    <w:rsid w:val="00F80E82"/>
    <w:pPr>
      <w:tabs>
        <w:tab w:val="center" w:pos="4513"/>
        <w:tab w:val="right" w:pos="9026"/>
      </w:tabs>
      <w:spacing w:line="240" w:lineRule="auto"/>
    </w:pPr>
  </w:style>
  <w:style w:type="character" w:customStyle="1" w:styleId="FooterChar">
    <w:name w:val="Footer Char"/>
    <w:basedOn w:val="DefaultParagraphFont"/>
    <w:link w:val="Footer"/>
    <w:uiPriority w:val="99"/>
    <w:rsid w:val="00F80E82"/>
  </w:style>
  <w:style w:type="paragraph" w:styleId="TOCHeading">
    <w:name w:val="TOC Heading"/>
    <w:basedOn w:val="Heading1"/>
    <w:next w:val="Normal"/>
    <w:uiPriority w:val="39"/>
    <w:unhideWhenUsed/>
    <w:qFormat/>
    <w:rsid w:val="002A567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GB"/>
    </w:rPr>
  </w:style>
  <w:style w:type="paragraph" w:styleId="TOC1">
    <w:name w:val="toc 1"/>
    <w:basedOn w:val="Normal"/>
    <w:next w:val="Normal"/>
    <w:autoRedefine/>
    <w:uiPriority w:val="39"/>
    <w:unhideWhenUsed/>
    <w:rsid w:val="002A567E"/>
    <w:pPr>
      <w:spacing w:after="100"/>
    </w:pPr>
  </w:style>
  <w:style w:type="character" w:styleId="Hyperlink">
    <w:name w:val="Hyperlink"/>
    <w:basedOn w:val="DefaultParagraphFont"/>
    <w:uiPriority w:val="99"/>
    <w:unhideWhenUsed/>
    <w:rsid w:val="002A567E"/>
    <w:rPr>
      <w:color w:val="0000FF" w:themeColor="hyperlink"/>
      <w:u w:val="single"/>
    </w:rPr>
  </w:style>
  <w:style w:type="table" w:styleId="TableGrid">
    <w:name w:val="Table Grid"/>
    <w:basedOn w:val="TableNormal"/>
    <w:uiPriority w:val="39"/>
    <w:rsid w:val="0097712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77123"/>
    <w:pPr>
      <w:spacing w:before="100" w:beforeAutospacing="1" w:after="100" w:afterAutospacing="1" w:line="240" w:lineRule="auto"/>
      <w:jc w:val="left"/>
    </w:pPr>
    <w:rPr>
      <w:rFonts w:eastAsia="Times New Roman" w:cs="Times New Roman"/>
      <w:szCs w:val="24"/>
      <w:lang w:val="en-GB"/>
    </w:rPr>
  </w:style>
  <w:style w:type="paragraph" w:styleId="TOC2">
    <w:name w:val="toc 2"/>
    <w:basedOn w:val="Normal"/>
    <w:next w:val="Normal"/>
    <w:autoRedefine/>
    <w:uiPriority w:val="39"/>
    <w:unhideWhenUsed/>
    <w:rsid w:val="00BE7E4D"/>
    <w:pPr>
      <w:spacing w:after="100"/>
      <w:ind w:left="240"/>
    </w:pPr>
  </w:style>
  <w:style w:type="paragraph" w:styleId="TOC3">
    <w:name w:val="toc 3"/>
    <w:basedOn w:val="Normal"/>
    <w:next w:val="Normal"/>
    <w:autoRedefine/>
    <w:uiPriority w:val="39"/>
    <w:unhideWhenUsed/>
    <w:rsid w:val="001C30D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7979623">
      <w:bodyDiv w:val="1"/>
      <w:marLeft w:val="0"/>
      <w:marRight w:val="0"/>
      <w:marTop w:val="0"/>
      <w:marBottom w:val="0"/>
      <w:divBdr>
        <w:top w:val="none" w:sz="0" w:space="0" w:color="auto"/>
        <w:left w:val="none" w:sz="0" w:space="0" w:color="auto"/>
        <w:bottom w:val="none" w:sz="0" w:space="0" w:color="auto"/>
        <w:right w:val="none" w:sz="0" w:space="0" w:color="auto"/>
      </w:divBdr>
      <w:divsChild>
        <w:div w:id="1498573657">
          <w:marLeft w:val="0"/>
          <w:marRight w:val="0"/>
          <w:marTop w:val="0"/>
          <w:marBottom w:val="0"/>
          <w:divBdr>
            <w:top w:val="single" w:sz="6" w:space="0" w:color="auto"/>
            <w:left w:val="single" w:sz="6" w:space="0" w:color="auto"/>
            <w:bottom w:val="single" w:sz="6" w:space="0" w:color="auto"/>
            <w:right w:val="single" w:sz="6" w:space="0" w:color="auto"/>
          </w:divBdr>
        </w:div>
      </w:divsChild>
    </w:div>
    <w:div w:id="667442377">
      <w:bodyDiv w:val="1"/>
      <w:marLeft w:val="0"/>
      <w:marRight w:val="0"/>
      <w:marTop w:val="0"/>
      <w:marBottom w:val="0"/>
      <w:divBdr>
        <w:top w:val="none" w:sz="0" w:space="0" w:color="auto"/>
        <w:left w:val="none" w:sz="0" w:space="0" w:color="auto"/>
        <w:bottom w:val="none" w:sz="0" w:space="0" w:color="auto"/>
        <w:right w:val="none" w:sz="0" w:space="0" w:color="auto"/>
      </w:divBdr>
    </w:div>
    <w:div w:id="1014068574">
      <w:bodyDiv w:val="1"/>
      <w:marLeft w:val="0"/>
      <w:marRight w:val="0"/>
      <w:marTop w:val="0"/>
      <w:marBottom w:val="0"/>
      <w:divBdr>
        <w:top w:val="none" w:sz="0" w:space="0" w:color="auto"/>
        <w:left w:val="none" w:sz="0" w:space="0" w:color="auto"/>
        <w:bottom w:val="none" w:sz="0" w:space="0" w:color="auto"/>
        <w:right w:val="none" w:sz="0" w:space="0" w:color="auto"/>
      </w:divBdr>
      <w:divsChild>
        <w:div w:id="191453783">
          <w:marLeft w:val="0"/>
          <w:marRight w:val="0"/>
          <w:marTop w:val="0"/>
          <w:marBottom w:val="0"/>
          <w:divBdr>
            <w:top w:val="single" w:sz="2" w:space="0" w:color="E3E3E3"/>
            <w:left w:val="single" w:sz="2" w:space="0" w:color="E3E3E3"/>
            <w:bottom w:val="single" w:sz="2" w:space="0" w:color="E3E3E3"/>
            <w:right w:val="single" w:sz="2" w:space="0" w:color="E3E3E3"/>
          </w:divBdr>
          <w:divsChild>
            <w:div w:id="1759518405">
              <w:marLeft w:val="0"/>
              <w:marRight w:val="0"/>
              <w:marTop w:val="0"/>
              <w:marBottom w:val="0"/>
              <w:divBdr>
                <w:top w:val="single" w:sz="2" w:space="0" w:color="E3E3E3"/>
                <w:left w:val="single" w:sz="2" w:space="0" w:color="E3E3E3"/>
                <w:bottom w:val="single" w:sz="2" w:space="0" w:color="E3E3E3"/>
                <w:right w:val="single" w:sz="2" w:space="0" w:color="E3E3E3"/>
              </w:divBdr>
              <w:divsChild>
                <w:div w:id="923145740">
                  <w:marLeft w:val="0"/>
                  <w:marRight w:val="0"/>
                  <w:marTop w:val="0"/>
                  <w:marBottom w:val="0"/>
                  <w:divBdr>
                    <w:top w:val="single" w:sz="2" w:space="0" w:color="E3E3E3"/>
                    <w:left w:val="single" w:sz="2" w:space="0" w:color="E3E3E3"/>
                    <w:bottom w:val="single" w:sz="2" w:space="0" w:color="E3E3E3"/>
                    <w:right w:val="single" w:sz="2" w:space="0" w:color="E3E3E3"/>
                  </w:divBdr>
                  <w:divsChild>
                    <w:div w:id="882330777">
                      <w:marLeft w:val="0"/>
                      <w:marRight w:val="0"/>
                      <w:marTop w:val="0"/>
                      <w:marBottom w:val="0"/>
                      <w:divBdr>
                        <w:top w:val="single" w:sz="2" w:space="0" w:color="E3E3E3"/>
                        <w:left w:val="single" w:sz="2" w:space="0" w:color="E3E3E3"/>
                        <w:bottom w:val="single" w:sz="2" w:space="0" w:color="E3E3E3"/>
                        <w:right w:val="single" w:sz="2" w:space="0" w:color="E3E3E3"/>
                      </w:divBdr>
                      <w:divsChild>
                        <w:div w:id="1528830896">
                          <w:marLeft w:val="0"/>
                          <w:marRight w:val="0"/>
                          <w:marTop w:val="0"/>
                          <w:marBottom w:val="0"/>
                          <w:divBdr>
                            <w:top w:val="single" w:sz="2" w:space="0" w:color="E3E3E3"/>
                            <w:left w:val="single" w:sz="2" w:space="0" w:color="E3E3E3"/>
                            <w:bottom w:val="single" w:sz="2" w:space="0" w:color="E3E3E3"/>
                            <w:right w:val="single" w:sz="2" w:space="0" w:color="E3E3E3"/>
                          </w:divBdr>
                          <w:divsChild>
                            <w:div w:id="679234014">
                              <w:marLeft w:val="0"/>
                              <w:marRight w:val="0"/>
                              <w:marTop w:val="0"/>
                              <w:marBottom w:val="0"/>
                              <w:divBdr>
                                <w:top w:val="single" w:sz="2" w:space="0" w:color="E3E3E3"/>
                                <w:left w:val="single" w:sz="2" w:space="0" w:color="E3E3E3"/>
                                <w:bottom w:val="single" w:sz="2" w:space="0" w:color="E3E3E3"/>
                                <w:right w:val="single" w:sz="2" w:space="0" w:color="E3E3E3"/>
                              </w:divBdr>
                              <w:divsChild>
                                <w:div w:id="653068847">
                                  <w:marLeft w:val="0"/>
                                  <w:marRight w:val="0"/>
                                  <w:marTop w:val="100"/>
                                  <w:marBottom w:val="100"/>
                                  <w:divBdr>
                                    <w:top w:val="single" w:sz="2" w:space="0" w:color="E3E3E3"/>
                                    <w:left w:val="single" w:sz="2" w:space="0" w:color="E3E3E3"/>
                                    <w:bottom w:val="single" w:sz="2" w:space="0" w:color="E3E3E3"/>
                                    <w:right w:val="single" w:sz="2" w:space="0" w:color="E3E3E3"/>
                                  </w:divBdr>
                                  <w:divsChild>
                                    <w:div w:id="449931739">
                                      <w:marLeft w:val="0"/>
                                      <w:marRight w:val="0"/>
                                      <w:marTop w:val="0"/>
                                      <w:marBottom w:val="0"/>
                                      <w:divBdr>
                                        <w:top w:val="single" w:sz="2" w:space="0" w:color="E3E3E3"/>
                                        <w:left w:val="single" w:sz="2" w:space="0" w:color="E3E3E3"/>
                                        <w:bottom w:val="single" w:sz="2" w:space="0" w:color="E3E3E3"/>
                                        <w:right w:val="single" w:sz="2" w:space="0" w:color="E3E3E3"/>
                                      </w:divBdr>
                                      <w:divsChild>
                                        <w:div w:id="889079116">
                                          <w:marLeft w:val="0"/>
                                          <w:marRight w:val="0"/>
                                          <w:marTop w:val="0"/>
                                          <w:marBottom w:val="0"/>
                                          <w:divBdr>
                                            <w:top w:val="single" w:sz="2" w:space="0" w:color="E3E3E3"/>
                                            <w:left w:val="single" w:sz="2" w:space="0" w:color="E3E3E3"/>
                                            <w:bottom w:val="single" w:sz="2" w:space="0" w:color="E3E3E3"/>
                                            <w:right w:val="single" w:sz="2" w:space="0" w:color="E3E3E3"/>
                                          </w:divBdr>
                                          <w:divsChild>
                                            <w:div w:id="39595429">
                                              <w:marLeft w:val="0"/>
                                              <w:marRight w:val="0"/>
                                              <w:marTop w:val="0"/>
                                              <w:marBottom w:val="0"/>
                                              <w:divBdr>
                                                <w:top w:val="single" w:sz="2" w:space="0" w:color="E3E3E3"/>
                                                <w:left w:val="single" w:sz="2" w:space="0" w:color="E3E3E3"/>
                                                <w:bottom w:val="single" w:sz="2" w:space="0" w:color="E3E3E3"/>
                                                <w:right w:val="single" w:sz="2" w:space="0" w:color="E3E3E3"/>
                                              </w:divBdr>
                                              <w:divsChild>
                                                <w:div w:id="1064062031">
                                                  <w:marLeft w:val="0"/>
                                                  <w:marRight w:val="0"/>
                                                  <w:marTop w:val="0"/>
                                                  <w:marBottom w:val="0"/>
                                                  <w:divBdr>
                                                    <w:top w:val="single" w:sz="2" w:space="0" w:color="E3E3E3"/>
                                                    <w:left w:val="single" w:sz="2" w:space="0" w:color="E3E3E3"/>
                                                    <w:bottom w:val="single" w:sz="2" w:space="0" w:color="E3E3E3"/>
                                                    <w:right w:val="single" w:sz="2" w:space="0" w:color="E3E3E3"/>
                                                  </w:divBdr>
                                                  <w:divsChild>
                                                    <w:div w:id="755520993">
                                                      <w:marLeft w:val="0"/>
                                                      <w:marRight w:val="0"/>
                                                      <w:marTop w:val="0"/>
                                                      <w:marBottom w:val="0"/>
                                                      <w:divBdr>
                                                        <w:top w:val="single" w:sz="2" w:space="0" w:color="E3E3E3"/>
                                                        <w:left w:val="single" w:sz="2" w:space="0" w:color="E3E3E3"/>
                                                        <w:bottom w:val="single" w:sz="2" w:space="0" w:color="E3E3E3"/>
                                                        <w:right w:val="single" w:sz="2" w:space="0" w:color="E3E3E3"/>
                                                      </w:divBdr>
                                                      <w:divsChild>
                                                        <w:div w:id="488597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24075958">
          <w:marLeft w:val="0"/>
          <w:marRight w:val="0"/>
          <w:marTop w:val="0"/>
          <w:marBottom w:val="0"/>
          <w:divBdr>
            <w:top w:val="none" w:sz="0" w:space="0" w:color="auto"/>
            <w:left w:val="none" w:sz="0" w:space="0" w:color="auto"/>
            <w:bottom w:val="none" w:sz="0" w:space="0" w:color="auto"/>
            <w:right w:val="none" w:sz="0" w:space="0" w:color="auto"/>
          </w:divBdr>
          <w:divsChild>
            <w:div w:id="1590119220">
              <w:marLeft w:val="0"/>
              <w:marRight w:val="0"/>
              <w:marTop w:val="100"/>
              <w:marBottom w:val="100"/>
              <w:divBdr>
                <w:top w:val="single" w:sz="2" w:space="0" w:color="E3E3E3"/>
                <w:left w:val="single" w:sz="2" w:space="0" w:color="E3E3E3"/>
                <w:bottom w:val="single" w:sz="2" w:space="0" w:color="E3E3E3"/>
                <w:right w:val="single" w:sz="2" w:space="0" w:color="E3E3E3"/>
              </w:divBdr>
              <w:divsChild>
                <w:div w:id="1139613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77559770">
      <w:bodyDiv w:val="1"/>
      <w:marLeft w:val="0"/>
      <w:marRight w:val="0"/>
      <w:marTop w:val="0"/>
      <w:marBottom w:val="0"/>
      <w:divBdr>
        <w:top w:val="none" w:sz="0" w:space="0" w:color="auto"/>
        <w:left w:val="none" w:sz="0" w:space="0" w:color="auto"/>
        <w:bottom w:val="none" w:sz="0" w:space="0" w:color="auto"/>
        <w:right w:val="none" w:sz="0" w:space="0" w:color="auto"/>
      </w:divBdr>
    </w:div>
    <w:div w:id="1120950166">
      <w:bodyDiv w:val="1"/>
      <w:marLeft w:val="0"/>
      <w:marRight w:val="0"/>
      <w:marTop w:val="0"/>
      <w:marBottom w:val="0"/>
      <w:divBdr>
        <w:top w:val="none" w:sz="0" w:space="0" w:color="auto"/>
        <w:left w:val="none" w:sz="0" w:space="0" w:color="auto"/>
        <w:bottom w:val="none" w:sz="0" w:space="0" w:color="auto"/>
        <w:right w:val="none" w:sz="0" w:space="0" w:color="auto"/>
      </w:divBdr>
      <w:divsChild>
        <w:div w:id="1977753068">
          <w:marLeft w:val="0"/>
          <w:marRight w:val="0"/>
          <w:marTop w:val="0"/>
          <w:marBottom w:val="0"/>
          <w:divBdr>
            <w:top w:val="single" w:sz="6" w:space="0" w:color="auto"/>
            <w:left w:val="single" w:sz="6" w:space="0" w:color="auto"/>
            <w:bottom w:val="single" w:sz="6" w:space="0" w:color="auto"/>
            <w:right w:val="single" w:sz="6" w:space="0" w:color="auto"/>
          </w:divBdr>
        </w:div>
      </w:divsChild>
    </w:div>
    <w:div w:id="1422482220">
      <w:bodyDiv w:val="1"/>
      <w:marLeft w:val="0"/>
      <w:marRight w:val="0"/>
      <w:marTop w:val="0"/>
      <w:marBottom w:val="0"/>
      <w:divBdr>
        <w:top w:val="none" w:sz="0" w:space="0" w:color="auto"/>
        <w:left w:val="none" w:sz="0" w:space="0" w:color="auto"/>
        <w:bottom w:val="none" w:sz="0" w:space="0" w:color="auto"/>
        <w:right w:val="none" w:sz="0" w:space="0" w:color="auto"/>
      </w:divBdr>
      <w:divsChild>
        <w:div w:id="1419474727">
          <w:marLeft w:val="0"/>
          <w:marRight w:val="0"/>
          <w:marTop w:val="0"/>
          <w:marBottom w:val="0"/>
          <w:divBdr>
            <w:top w:val="single" w:sz="6" w:space="0" w:color="auto"/>
            <w:left w:val="single" w:sz="6" w:space="0" w:color="auto"/>
            <w:bottom w:val="single" w:sz="6" w:space="0" w:color="auto"/>
            <w:right w:val="single" w:sz="6" w:space="0" w:color="auto"/>
          </w:divBdr>
        </w:div>
      </w:divsChild>
    </w:div>
    <w:div w:id="1618294290">
      <w:bodyDiv w:val="1"/>
      <w:marLeft w:val="0"/>
      <w:marRight w:val="0"/>
      <w:marTop w:val="0"/>
      <w:marBottom w:val="0"/>
      <w:divBdr>
        <w:top w:val="none" w:sz="0" w:space="0" w:color="auto"/>
        <w:left w:val="none" w:sz="0" w:space="0" w:color="auto"/>
        <w:bottom w:val="none" w:sz="0" w:space="0" w:color="auto"/>
        <w:right w:val="none" w:sz="0" w:space="0" w:color="auto"/>
      </w:divBdr>
    </w:div>
    <w:div w:id="21278938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D3FCE-8BC6-49E9-BE25-FD627210E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11</Pages>
  <Words>2839</Words>
  <Characters>16185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Iuliana-Daniela Giurea (2226406)</cp:lastModifiedBy>
  <cp:revision>3</cp:revision>
  <dcterms:created xsi:type="dcterms:W3CDTF">2024-05-06T10:10:00Z</dcterms:created>
  <dcterms:modified xsi:type="dcterms:W3CDTF">2024-05-07T09:41:00Z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6f08fedd2393e6c13b03f058e747c7fdf1ab3f066db369a00d82b7f91506f072</vt:lpwstr>
  </property>
</Properties>
</file>