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01FA95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41E75">
              <w:rPr>
                <w:rFonts w:ascii="Times New Roman" w:hAnsi="Times New Roman" w:cs="Times New Roman"/>
                <w:b/>
                <w:color w:val="auto"/>
                <w:sz w:val="48"/>
              </w:rPr>
              <w:t xml:space="preserve">Christine 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7C39F916" w14:textId="77777777" w:rsidR="00441E75" w:rsidRDefault="00441E75" w:rsidP="00441E7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proofErr w:type="spellStart"/>
            <w:r>
              <w:rPr>
                <w:rFonts w:ascii="Times New Roman" w:hAnsi="Times New Roman" w:cs="Times New Roman"/>
                <w:b/>
                <w:color w:val="auto"/>
                <w:sz w:val="48"/>
              </w:rPr>
              <w:t>christinejones@gwynedd.llyw.cymru</w:t>
            </w:r>
            <w:proofErr w:type="spellEnd"/>
          </w:p>
          <w:p w14:paraId="5715B2F5" w14:textId="77777777" w:rsidR="00441E75" w:rsidRDefault="00441E75" w:rsidP="00441E75">
            <w:pPr>
              <w:overflowPunct/>
              <w:autoSpaceDE/>
              <w:autoSpaceDN/>
              <w:adjustRightInd/>
              <w:ind w:right="-957"/>
              <w:textAlignment w:val="auto"/>
              <w:rPr>
                <w:rFonts w:ascii="Times New Roman" w:hAnsi="Times New Roman" w:cs="Times New Roman"/>
                <w:b/>
                <w:color w:val="auto"/>
                <w:sz w:val="48"/>
              </w:rPr>
            </w:pPr>
          </w:p>
          <w:p w14:paraId="767F457B" w14:textId="77777777" w:rsidR="00441E75" w:rsidRPr="005D3F07" w:rsidRDefault="00441E75" w:rsidP="00441E7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2127371</w:t>
            </w:r>
          </w:p>
          <w:p w14:paraId="0B996FC8" w14:textId="77777777" w:rsidR="00441E75" w:rsidRPr="005D3F07" w:rsidRDefault="00441E75" w:rsidP="00441E75">
            <w:pPr>
              <w:overflowPunct/>
              <w:autoSpaceDE/>
              <w:autoSpaceDN/>
              <w:adjustRightInd/>
              <w:ind w:right="-957"/>
              <w:textAlignment w:val="auto"/>
              <w:rPr>
                <w:rFonts w:ascii="Times New Roman" w:hAnsi="Times New Roman" w:cs="Times New Roman"/>
                <w:b/>
                <w:color w:val="auto"/>
                <w:sz w:val="48"/>
              </w:rPr>
            </w:pPr>
          </w:p>
          <w:p w14:paraId="5F84129B" w14:textId="1861F4F2" w:rsidR="0085230E" w:rsidRPr="005D3F07" w:rsidRDefault="00441E75" w:rsidP="00441E7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360392F8" w14:textId="77777777" w:rsidR="00441E75" w:rsidRPr="00441E75" w:rsidRDefault="00441E75" w:rsidP="00441E75">
            <w:pPr>
              <w:spacing w:after="240" w:line="480" w:lineRule="auto"/>
              <w:rPr>
                <w:sz w:val="24"/>
                <w:szCs w:val="24"/>
              </w:rPr>
            </w:pPr>
            <w:r w:rsidRPr="00441E75">
              <w:rPr>
                <w:sz w:val="24"/>
                <w:szCs w:val="24"/>
              </w:rPr>
              <w:t>TASK 3</w:t>
            </w:r>
          </w:p>
          <w:p w14:paraId="4229F2BC" w14:textId="77777777" w:rsidR="00441E75" w:rsidRPr="00441E75" w:rsidRDefault="00441E75" w:rsidP="00441E75">
            <w:pPr>
              <w:pStyle w:val="Default"/>
              <w:spacing w:after="240" w:line="480" w:lineRule="auto"/>
              <w:rPr>
                <w:color w:val="auto"/>
              </w:rPr>
            </w:pPr>
            <w:r w:rsidRPr="00441E75">
              <w:rPr>
                <w:color w:val="auto"/>
              </w:rPr>
              <w:t xml:space="preserve">This case study narrates my involvement and assessment of mother to who I will refer to as 4 and her two daughters whom I will refer to as 5, whom is 9 years of age and 6, who is 2 years of age. The aim of this case study is to exhibit how my practice relates to safeguarding of children and illustrate how I facilitate my practice within the Code of Professional Practice, Social Care Wales (2020). My intention is to critically reflect on a Risk and Parenting assessment regarding the safety and wellbeing of 5 and 6 as directed by the family court whilst utilising the Gibbs Reflective Cycle (1988) to support me. This model will allow me to follow a structure of 6 phases to reflect on, being </w:t>
            </w:r>
          </w:p>
          <w:p w14:paraId="5E51EA71" w14:textId="77777777" w:rsidR="00441E75" w:rsidRPr="00441E75" w:rsidRDefault="00441E75" w:rsidP="00441E75">
            <w:pPr>
              <w:numPr>
                <w:ilvl w:val="0"/>
                <w:numId w:val="54"/>
              </w:numPr>
              <w:shd w:val="clear" w:color="auto" w:fill="FFFFFF"/>
              <w:overflowPunct/>
              <w:autoSpaceDE/>
              <w:autoSpaceDN/>
              <w:adjustRightInd/>
              <w:spacing w:before="100" w:beforeAutospacing="1" w:after="240" w:line="480" w:lineRule="auto"/>
              <w:textAlignment w:val="auto"/>
              <w:rPr>
                <w:sz w:val="24"/>
                <w:szCs w:val="24"/>
              </w:rPr>
            </w:pPr>
            <w:r w:rsidRPr="00441E75">
              <w:rPr>
                <w:sz w:val="24"/>
                <w:szCs w:val="24"/>
              </w:rPr>
              <w:lastRenderedPageBreak/>
              <w:t>Description of the experience</w:t>
            </w:r>
          </w:p>
          <w:p w14:paraId="079BCA38" w14:textId="77777777" w:rsidR="00441E75" w:rsidRPr="00441E75" w:rsidRDefault="00441E75" w:rsidP="00441E75">
            <w:pPr>
              <w:numPr>
                <w:ilvl w:val="0"/>
                <w:numId w:val="54"/>
              </w:numPr>
              <w:shd w:val="clear" w:color="auto" w:fill="FFFFFF"/>
              <w:overflowPunct/>
              <w:autoSpaceDE/>
              <w:autoSpaceDN/>
              <w:adjustRightInd/>
              <w:spacing w:before="100" w:beforeAutospacing="1" w:after="240" w:line="480" w:lineRule="auto"/>
              <w:textAlignment w:val="auto"/>
              <w:rPr>
                <w:sz w:val="24"/>
                <w:szCs w:val="24"/>
              </w:rPr>
            </w:pPr>
            <w:r w:rsidRPr="00441E75">
              <w:rPr>
                <w:sz w:val="24"/>
                <w:szCs w:val="24"/>
              </w:rPr>
              <w:t>Feelings and thoughts about the experience</w:t>
            </w:r>
          </w:p>
          <w:p w14:paraId="7EA97FA9" w14:textId="77777777" w:rsidR="00441E75" w:rsidRPr="00441E75" w:rsidRDefault="00441E75" w:rsidP="00441E75">
            <w:pPr>
              <w:numPr>
                <w:ilvl w:val="0"/>
                <w:numId w:val="54"/>
              </w:numPr>
              <w:shd w:val="clear" w:color="auto" w:fill="FFFFFF"/>
              <w:overflowPunct/>
              <w:autoSpaceDE/>
              <w:autoSpaceDN/>
              <w:adjustRightInd/>
              <w:spacing w:before="100" w:beforeAutospacing="1" w:after="240" w:line="480" w:lineRule="auto"/>
              <w:textAlignment w:val="auto"/>
              <w:rPr>
                <w:sz w:val="24"/>
                <w:szCs w:val="24"/>
              </w:rPr>
            </w:pPr>
            <w:r w:rsidRPr="00441E75">
              <w:rPr>
                <w:sz w:val="24"/>
                <w:szCs w:val="24"/>
              </w:rPr>
              <w:t>Evaluation of the experience, both good and bad</w:t>
            </w:r>
          </w:p>
          <w:p w14:paraId="479374E0" w14:textId="77777777" w:rsidR="00441E75" w:rsidRPr="00441E75" w:rsidRDefault="00441E75" w:rsidP="00441E75">
            <w:pPr>
              <w:numPr>
                <w:ilvl w:val="0"/>
                <w:numId w:val="54"/>
              </w:numPr>
              <w:shd w:val="clear" w:color="auto" w:fill="FFFFFF"/>
              <w:overflowPunct/>
              <w:autoSpaceDE/>
              <w:autoSpaceDN/>
              <w:adjustRightInd/>
              <w:spacing w:before="100" w:beforeAutospacing="1" w:after="240" w:line="480" w:lineRule="auto"/>
              <w:textAlignment w:val="auto"/>
              <w:rPr>
                <w:sz w:val="24"/>
                <w:szCs w:val="24"/>
              </w:rPr>
            </w:pPr>
            <w:r w:rsidRPr="00441E75">
              <w:rPr>
                <w:sz w:val="24"/>
                <w:szCs w:val="24"/>
              </w:rPr>
              <w:t>Analysis to make sense of the situation</w:t>
            </w:r>
          </w:p>
          <w:p w14:paraId="7EF7803A" w14:textId="77777777" w:rsidR="00441E75" w:rsidRPr="00441E75" w:rsidRDefault="00441E75" w:rsidP="00441E75">
            <w:pPr>
              <w:numPr>
                <w:ilvl w:val="0"/>
                <w:numId w:val="54"/>
              </w:numPr>
              <w:shd w:val="clear" w:color="auto" w:fill="FFFFFF"/>
              <w:overflowPunct/>
              <w:autoSpaceDE/>
              <w:autoSpaceDN/>
              <w:adjustRightInd/>
              <w:spacing w:before="100" w:beforeAutospacing="1" w:after="240" w:line="480" w:lineRule="auto"/>
              <w:textAlignment w:val="auto"/>
              <w:rPr>
                <w:sz w:val="24"/>
                <w:szCs w:val="24"/>
              </w:rPr>
            </w:pPr>
            <w:r w:rsidRPr="00441E75">
              <w:rPr>
                <w:sz w:val="24"/>
                <w:szCs w:val="24"/>
              </w:rPr>
              <w:t>Conclusion about what you learned and what you could have done differently</w:t>
            </w:r>
          </w:p>
          <w:p w14:paraId="77FF1C84" w14:textId="77777777" w:rsidR="00441E75" w:rsidRPr="00441E75" w:rsidRDefault="00441E75" w:rsidP="00441E75">
            <w:pPr>
              <w:numPr>
                <w:ilvl w:val="0"/>
                <w:numId w:val="54"/>
              </w:numPr>
              <w:shd w:val="clear" w:color="auto" w:fill="FFFFFF"/>
              <w:overflowPunct/>
              <w:autoSpaceDE/>
              <w:autoSpaceDN/>
              <w:adjustRightInd/>
              <w:spacing w:before="100" w:beforeAutospacing="1" w:after="240" w:line="480" w:lineRule="auto"/>
              <w:textAlignment w:val="auto"/>
              <w:rPr>
                <w:sz w:val="24"/>
                <w:szCs w:val="24"/>
              </w:rPr>
            </w:pPr>
            <w:r w:rsidRPr="00441E75">
              <w:rPr>
                <w:sz w:val="24"/>
                <w:szCs w:val="24"/>
              </w:rPr>
              <w:t>Action plan for how you would deal with similar situations in the future, or general changes you might find appropriate (Gibbs, 1988).</w:t>
            </w:r>
          </w:p>
          <w:p w14:paraId="10F5E014" w14:textId="77777777" w:rsidR="00441E75" w:rsidRPr="00441E75" w:rsidRDefault="00441E75" w:rsidP="00441E75">
            <w:pPr>
              <w:pStyle w:val="Default"/>
              <w:spacing w:after="240" w:line="480" w:lineRule="auto"/>
              <w:rPr>
                <w:color w:val="auto"/>
              </w:rPr>
            </w:pPr>
          </w:p>
          <w:p w14:paraId="43A216F0" w14:textId="77777777" w:rsidR="00441E75" w:rsidRPr="00441E75" w:rsidRDefault="00441E75" w:rsidP="00441E75">
            <w:pPr>
              <w:pStyle w:val="Default"/>
              <w:spacing w:after="240" w:line="480" w:lineRule="auto"/>
              <w:rPr>
                <w:color w:val="auto"/>
              </w:rPr>
            </w:pPr>
            <w:r w:rsidRPr="00441E75">
              <w:rPr>
                <w:color w:val="auto"/>
              </w:rPr>
              <w:t xml:space="preserve">These assessments will enable the Local Authority (LA) to gather information and synthesise their findings on 4’s parenting capacity and her ability to safeguard her children. It will also identify any risks involved to assist the court in making their final decision on appropriate long-term permanency for 5 and 6. </w:t>
            </w:r>
          </w:p>
          <w:p w14:paraId="3C56CD74" w14:textId="77777777" w:rsidR="00441E75" w:rsidRPr="00441E75" w:rsidRDefault="00441E75" w:rsidP="00441E75">
            <w:pPr>
              <w:pStyle w:val="Default"/>
              <w:spacing w:after="240" w:line="480" w:lineRule="auto"/>
              <w:rPr>
                <w:color w:val="auto"/>
              </w:rPr>
            </w:pPr>
            <w:r w:rsidRPr="00441E75">
              <w:rPr>
                <w:color w:val="auto"/>
              </w:rPr>
              <w:t>As noted in part 3 of the Social Services and Well-being (Wales) ACT (2014) (SSWBA) there is a duty for the LA to assess the needs of individuals in need of care and support whilst working in partnership with these individuals and their carers to ascertain their strengths and fully understand their needs, denoting that 4 also has a right to be assessed.</w:t>
            </w:r>
          </w:p>
          <w:p w14:paraId="6914B3EE" w14:textId="77777777" w:rsidR="00441E75" w:rsidRPr="00441E75" w:rsidRDefault="00441E75" w:rsidP="00441E75">
            <w:pPr>
              <w:pStyle w:val="Default"/>
              <w:spacing w:after="240" w:line="480" w:lineRule="auto"/>
              <w:rPr>
                <w:color w:val="auto"/>
              </w:rPr>
            </w:pPr>
            <w:r w:rsidRPr="00441E75">
              <w:rPr>
                <w:color w:val="auto"/>
              </w:rPr>
              <w:t xml:space="preserve">By commencing with Gibbs’ (1988) first stage of description, it brings me to how this family first came to the LA’s attention. This family was allocated to the children’s services as a care </w:t>
            </w:r>
            <w:r w:rsidRPr="00441E75">
              <w:rPr>
                <w:color w:val="auto"/>
              </w:rPr>
              <w:lastRenderedPageBreak/>
              <w:t xml:space="preserve">and support case as assessed by the duty team and soon allocated to me and a senior worker to conduct a section 47 investigation (Children Act 1989). A section 47 investigation places duty on the LA to make </w:t>
            </w:r>
            <w:r w:rsidRPr="00441E75">
              <w:rPr>
                <w:i/>
                <w:iCs/>
                <w:color w:val="auto"/>
              </w:rPr>
              <w:t xml:space="preserve">“enquiries as they consider necessary to enable them to decide whether they should take any action to safeguard or promote the child’s welfare” </w:t>
            </w:r>
            <w:r w:rsidRPr="00441E75">
              <w:rPr>
                <w:color w:val="auto"/>
              </w:rPr>
              <w:t>if there is “</w:t>
            </w:r>
            <w:r w:rsidRPr="00441E75">
              <w:rPr>
                <w:i/>
                <w:iCs/>
                <w:color w:val="auto"/>
              </w:rPr>
              <w:t xml:space="preserve">reasonable cause to suspect that a child who lives, or is found, in their area is suffering, or is likely to suffer, significant harm” </w:t>
            </w:r>
            <w:r w:rsidRPr="00441E75">
              <w:rPr>
                <w:color w:val="auto"/>
              </w:rPr>
              <w:t xml:space="preserve">(Children Act, 1989). </w:t>
            </w:r>
          </w:p>
          <w:p w14:paraId="5A4794AA" w14:textId="77777777" w:rsidR="00441E75" w:rsidRPr="00441E75" w:rsidRDefault="00441E75" w:rsidP="00441E75">
            <w:pPr>
              <w:pStyle w:val="Default"/>
              <w:spacing w:after="240" w:line="480" w:lineRule="auto"/>
              <w:rPr>
                <w:color w:val="auto"/>
              </w:rPr>
            </w:pPr>
            <w:r w:rsidRPr="00441E75">
              <w:rPr>
                <w:color w:val="auto"/>
              </w:rPr>
              <w:t>This investigation was prompted as progressing to stage two of the reflective model which embraces feelings regarding the situation, I felt the threshold of harm was apparent during the duty teams’ initial assessment, with further child protection referrals made by 5 and 6’s health visitor under section 130 of the SSWBA (2014) of poor home conditions and neglect, with 5 and 6 presenting as unkempt. After discussions in supervision, we agreed that there were many concerning factors in the initial assessment that needed further investigations. This made me feel a little apprehensive as I felt I was questioning another social worker’ decision, however, the Wales Safeguarding Procedures (2020) intends to guide all who are employed in their statutory to follow a standardise practice across Wales, and effective safeguarding requires a shared understanding of assessing and intervening.</w:t>
            </w:r>
          </w:p>
          <w:p w14:paraId="071F2A7C" w14:textId="77777777" w:rsidR="00441E75" w:rsidRPr="00441E75" w:rsidRDefault="00441E75" w:rsidP="00441E75">
            <w:pPr>
              <w:pStyle w:val="Default"/>
              <w:spacing w:after="240" w:line="480" w:lineRule="auto"/>
              <w:rPr>
                <w:color w:val="auto"/>
              </w:rPr>
            </w:pPr>
            <w:r w:rsidRPr="00441E75">
              <w:rPr>
                <w:color w:val="auto"/>
              </w:rPr>
              <w:t>Following this investigation</w:t>
            </w:r>
            <w:r w:rsidRPr="00441E75">
              <w:rPr>
                <w:b/>
                <w:bCs/>
                <w:color w:val="auto"/>
              </w:rPr>
              <w:t xml:space="preserve">, </w:t>
            </w:r>
            <w:r w:rsidRPr="00441E75">
              <w:rPr>
                <w:color w:val="auto"/>
              </w:rPr>
              <w:t xml:space="preserve">a Strategy Discussion between team managers and the police was undertaken, and subsequently case was referred to a Child Protection Case Conference as ‘Determination 3’ which is </w:t>
            </w:r>
            <w:r w:rsidRPr="00441E75">
              <w:rPr>
                <w:rStyle w:val="Strong"/>
                <w:color w:val="auto"/>
              </w:rPr>
              <w:t>“</w:t>
            </w:r>
            <w:r w:rsidRPr="00441E75">
              <w:rPr>
                <w:rStyle w:val="Strong"/>
                <w:b w:val="0"/>
                <w:bCs w:val="0"/>
                <w:color w:val="auto"/>
              </w:rPr>
              <w:t xml:space="preserve">concerns are substantiated, and the child is judged to be experiencing or at risk of harm, abuse or neglect and a child protection conference should be convened” was established (Wales Safeguarding Procedures, 2020). </w:t>
            </w:r>
            <w:r w:rsidRPr="00441E75">
              <w:rPr>
                <w:color w:val="auto"/>
              </w:rPr>
              <w:t xml:space="preserve">To comply with regulations the conference was held within 15 working days of the strategy </w:t>
            </w:r>
            <w:r w:rsidRPr="00441E75">
              <w:rPr>
                <w:color w:val="auto"/>
              </w:rPr>
              <w:lastRenderedPageBreak/>
              <w:t>meeting. As I was the social worker holding this case it was my duty to write a report to the case conference with a recommendation of category of harm. To help me with this I accessed supervision and we discussed the presenting concerns raised by other professionals of poor home conditions and neglect and synthesised with my own findings during the s47 (Children Act 1989) and concluded that 5 and 6 were recommended to be placed on the child protection register under the category of neglect and emotional abuse.</w:t>
            </w:r>
          </w:p>
          <w:p w14:paraId="51AD79AA" w14:textId="77777777" w:rsidR="00441E75" w:rsidRPr="00441E75" w:rsidRDefault="00441E75" w:rsidP="00441E75">
            <w:pPr>
              <w:pStyle w:val="Default"/>
              <w:spacing w:after="240" w:line="480" w:lineRule="auto"/>
              <w:rPr>
                <w:color w:val="auto"/>
              </w:rPr>
            </w:pPr>
            <w:r w:rsidRPr="00441E75">
              <w:rPr>
                <w:color w:val="auto"/>
              </w:rPr>
              <w:t>Neglect is defined as “</w:t>
            </w:r>
            <w:r w:rsidRPr="00441E75">
              <w:rPr>
                <w:color w:val="auto"/>
                <w:shd w:val="clear" w:color="auto" w:fill="FFFFFF"/>
              </w:rPr>
              <w:t>the persistent failure to meet a child's basic physical and/or psychological </w:t>
            </w:r>
            <w:r w:rsidRPr="00441E75">
              <w:rPr>
                <w:rStyle w:val="jpfdse"/>
                <w:color w:val="auto"/>
                <w:shd w:val="clear" w:color="auto" w:fill="FFFFFF"/>
              </w:rPr>
              <w:t>needs</w:t>
            </w:r>
            <w:r w:rsidRPr="00441E75">
              <w:rPr>
                <w:color w:val="auto"/>
                <w:shd w:val="clear" w:color="auto" w:fill="FFFFFF"/>
              </w:rPr>
              <w:t>, likely to result in the serious impairment of the child's health or development (Dubowitz, et al, 2005).</w:t>
            </w:r>
          </w:p>
          <w:p w14:paraId="07214574" w14:textId="77777777" w:rsidR="00441E75" w:rsidRPr="00441E75" w:rsidRDefault="00441E75" w:rsidP="00441E75">
            <w:pPr>
              <w:pStyle w:val="Default"/>
              <w:spacing w:after="240" w:line="480" w:lineRule="auto"/>
              <w:rPr>
                <w:color w:val="auto"/>
              </w:rPr>
            </w:pPr>
            <w:r w:rsidRPr="00441E75">
              <w:rPr>
                <w:color w:val="auto"/>
              </w:rPr>
              <w:t xml:space="preserve">During the initial case conference, it was a unanimous decision by all professionals for both 5 and 6’s names to be placed on the child protection register under the category of neglect and emotional abuse. </w:t>
            </w:r>
          </w:p>
          <w:p w14:paraId="22722CB0" w14:textId="77777777" w:rsidR="00441E75" w:rsidRPr="00441E75" w:rsidRDefault="00441E75" w:rsidP="00441E75">
            <w:pPr>
              <w:pStyle w:val="Default"/>
              <w:spacing w:after="240" w:line="480" w:lineRule="auto"/>
              <w:rPr>
                <w:color w:val="auto"/>
              </w:rPr>
            </w:pPr>
            <w:r w:rsidRPr="00441E75">
              <w:rPr>
                <w:color w:val="auto"/>
              </w:rPr>
              <w:t xml:space="preserve">The child protection register is a list of all children within the LA boundaries who are assessed to be suffering, or likely to suffer significant harm and are currently subject to a child protection support plan (Wales Safeguarding Procedures, 2020). By placing a child’s name on the register, it informs all sectors working with the family of the risk the children are posed to and initiates a core group of professionals to meet regularly to construct and develop a child protection plan, and to work collaboratively to reduce these risks of harm (Davies and Ward, 2012). </w:t>
            </w:r>
          </w:p>
          <w:p w14:paraId="11292299" w14:textId="77777777" w:rsidR="00441E75" w:rsidRPr="00441E75" w:rsidRDefault="00441E75" w:rsidP="00441E75">
            <w:pPr>
              <w:pStyle w:val="Default"/>
              <w:spacing w:after="240" w:line="480" w:lineRule="auto"/>
              <w:rPr>
                <w:color w:val="auto"/>
              </w:rPr>
            </w:pPr>
            <w:r w:rsidRPr="00441E75">
              <w:rPr>
                <w:color w:val="auto"/>
              </w:rPr>
              <w:t xml:space="preserve">Wales is the first country to implement the principles and values of the United Nations Convention on the Rights of the Child (UNCRC) (1989) into its legislature of how children </w:t>
            </w:r>
            <w:r w:rsidRPr="00441E75">
              <w:rPr>
                <w:color w:val="auto"/>
              </w:rPr>
              <w:lastRenderedPageBreak/>
              <w:t xml:space="preserve">should be treated. Article 19 of the UNCRC is echoed in the methods of the child protection register along with the SSWBA (2014) where it accentuates </w:t>
            </w:r>
            <w:proofErr w:type="gramStart"/>
            <w:r w:rsidRPr="00441E75">
              <w:rPr>
                <w:color w:val="auto"/>
              </w:rPr>
              <w:t>that children</w:t>
            </w:r>
            <w:proofErr w:type="gramEnd"/>
            <w:r w:rsidRPr="00441E75">
              <w:rPr>
                <w:color w:val="auto"/>
              </w:rPr>
              <w:t xml:space="preserve"> have a right to be protected from violence and abuse and that sectors must have laws to prohibit this violence against children. The Well-being of Future Generations (Wales) Act (WFG) (2015) also denotes how Wales is leading the world on its policy making by being the first country to implement such a law that requires public bodies in Wales to thoroughly consider the long-term impact of their decision making on individuals, communities, and organisations. It places a legal obligation on sectors to improve social, cultural, economic, and environmental well-being whilst working to eradicate social difficulties such as poverty and health inequalities to meet the needs of future generations (WFG, 2015).</w:t>
            </w:r>
          </w:p>
          <w:p w14:paraId="72210612" w14:textId="77777777" w:rsidR="00441E75" w:rsidRPr="00441E75" w:rsidRDefault="00441E75" w:rsidP="00441E75">
            <w:pPr>
              <w:pStyle w:val="Default"/>
              <w:spacing w:after="240" w:line="480" w:lineRule="auto"/>
              <w:rPr>
                <w:color w:val="auto"/>
              </w:rPr>
            </w:pPr>
            <w:r w:rsidRPr="00441E75">
              <w:rPr>
                <w:color w:val="auto"/>
              </w:rPr>
              <w:t xml:space="preserve">Whilst the children remained on the register an incident occurred where 4 had assaulted both 5 and 6, had abandoned them in an area out of the LA boundaries and was subsequently arrested for assault under section 1 of the Children and Young Persons Act, (1933) and being drunk and disorderly under section 91 of the Criminal Justice Act (1967). A Police Protection Order (PPO) was undertaken under Section 46 of the Children Act 1989, and 5 and 6 were consequently placed in their maternal grandparents’ care. 5 and 6 were immediately referred for a child protection medical examination which concluded that bruising to the children was significant and could not be sustained as non-accidental. </w:t>
            </w:r>
          </w:p>
          <w:p w14:paraId="77F2CD1B" w14:textId="77777777" w:rsidR="00441E75" w:rsidRPr="00441E75" w:rsidRDefault="00441E75" w:rsidP="00441E75">
            <w:pPr>
              <w:pStyle w:val="Default"/>
              <w:spacing w:after="240" w:line="480" w:lineRule="auto"/>
              <w:rPr>
                <w:color w:val="auto"/>
              </w:rPr>
            </w:pPr>
            <w:r w:rsidRPr="00441E75">
              <w:rPr>
                <w:color w:val="auto"/>
              </w:rPr>
              <w:t xml:space="preserve">At the time of abandonment 5 and 6 </w:t>
            </w:r>
            <w:proofErr w:type="gramStart"/>
            <w:r w:rsidRPr="00441E75">
              <w:rPr>
                <w:color w:val="auto"/>
              </w:rPr>
              <w:t>were located in</w:t>
            </w:r>
            <w:proofErr w:type="gramEnd"/>
            <w:r w:rsidRPr="00441E75">
              <w:rPr>
                <w:color w:val="auto"/>
              </w:rPr>
              <w:t xml:space="preserve"> England; most of the legislation of the Children Act (1989) still dominates both England and Wales, however, on their return to Wales the accommodation of children who are looked after differs from England as part 3 of the Act had subsequently been replaced by part 6 of the SSWBA (2014).</w:t>
            </w:r>
          </w:p>
          <w:p w14:paraId="38B38CA8" w14:textId="77777777" w:rsidR="00441E75" w:rsidRPr="00441E75" w:rsidRDefault="00441E75" w:rsidP="00441E75">
            <w:pPr>
              <w:pStyle w:val="Default"/>
              <w:spacing w:after="240" w:line="480" w:lineRule="auto"/>
              <w:rPr>
                <w:color w:val="auto"/>
              </w:rPr>
            </w:pPr>
            <w:r w:rsidRPr="00441E75">
              <w:rPr>
                <w:color w:val="auto"/>
              </w:rPr>
              <w:lastRenderedPageBreak/>
              <w:t xml:space="preserve">An Interim Care Order (S38, Children Act 1989) was granted for both 5 and 6 and a request by the family court to provide a Final Statement of Evidence, a Final Care Plan and a Risk and Parenting Assessment for 4 as bail conditions were in place for 4 regarding having direct contact with her children unless stipulated otherwise by the LA. </w:t>
            </w:r>
          </w:p>
          <w:p w14:paraId="5B27C8A5" w14:textId="77777777" w:rsidR="00441E75" w:rsidRPr="00441E75" w:rsidRDefault="00441E75" w:rsidP="00441E75">
            <w:pPr>
              <w:pStyle w:val="Default"/>
              <w:spacing w:after="240" w:line="480" w:lineRule="auto"/>
              <w:rPr>
                <w:color w:val="auto"/>
              </w:rPr>
            </w:pPr>
            <w:r w:rsidRPr="00441E75">
              <w:rPr>
                <w:color w:val="auto"/>
              </w:rPr>
              <w:t>Whilst 5 and 6 are in the care of the LA, the LA has a duty to promote reasonable contact between 4 and her children under section 34 of the Children Act (1989) whilst care proceedings are ongoing.</w:t>
            </w:r>
          </w:p>
          <w:p w14:paraId="204943F3" w14:textId="77777777" w:rsidR="00441E75" w:rsidRPr="00441E75" w:rsidRDefault="00441E75" w:rsidP="00441E75">
            <w:pPr>
              <w:pStyle w:val="Default"/>
              <w:spacing w:after="240" w:line="480" w:lineRule="auto"/>
              <w:rPr>
                <w:color w:val="auto"/>
              </w:rPr>
            </w:pPr>
            <w:r w:rsidRPr="00441E75">
              <w:rPr>
                <w:color w:val="auto"/>
              </w:rPr>
              <w:t xml:space="preserve">Combining both the Feelings and the Evaluation part of the Gibbs (1988) cycle of reflection to consider the experience for both children, </w:t>
            </w:r>
            <w:proofErr w:type="gramStart"/>
            <w:r w:rsidRPr="00441E75">
              <w:rPr>
                <w:color w:val="auto"/>
              </w:rPr>
              <w:t>mother</w:t>
            </w:r>
            <w:proofErr w:type="gramEnd"/>
            <w:r w:rsidRPr="00441E75">
              <w:rPr>
                <w:color w:val="auto"/>
              </w:rPr>
              <w:t xml:space="preserve"> and myself, we discussed during a professional meeting along with the LA’s solicitor our duty to promote contact. </w:t>
            </w:r>
          </w:p>
          <w:p w14:paraId="35C08B3C" w14:textId="77777777" w:rsidR="00441E75" w:rsidRPr="00441E75" w:rsidRDefault="00441E75" w:rsidP="00441E75">
            <w:pPr>
              <w:pStyle w:val="Default"/>
              <w:spacing w:after="240" w:line="480" w:lineRule="auto"/>
              <w:rPr>
                <w:color w:val="auto"/>
              </w:rPr>
            </w:pPr>
            <w:r w:rsidRPr="00441E75">
              <w:rPr>
                <w:color w:val="auto"/>
              </w:rPr>
              <w:t xml:space="preserve">Branson (2019) argued that vicarious trauma, </w:t>
            </w:r>
            <w:r w:rsidRPr="00441E75">
              <w:rPr>
                <w:color w:val="auto"/>
                <w:spacing w:val="6"/>
                <w:shd w:val="clear" w:color="auto" w:fill="FFFFFF"/>
              </w:rPr>
              <w:t xml:space="preserve">which can be defined as second hand trauma to any individual who engages empathetically with an individual that is victim and survivors of traumatic incidents can theoretically be traumatised themselves. </w:t>
            </w:r>
            <w:r w:rsidRPr="00441E75">
              <w:rPr>
                <w:color w:val="auto"/>
              </w:rPr>
              <w:t xml:space="preserve">I did not feel it would be within 5 and 6’s best interest to see 4 at this time as it could re-traumatise 5 of her assault, however we discussed my experience of 5 disclosing her abuse to me and distinguished that my sadness and empathy for 5 and 6 was becoming overly involved emotionally which could result in bystander guilt (Bauman, 2003) and feelings of doubting my practice as I should have intervened sooner. </w:t>
            </w:r>
            <w:proofErr w:type="spellStart"/>
            <w:r w:rsidRPr="00441E75">
              <w:rPr>
                <w:color w:val="auto"/>
                <w:shd w:val="clear" w:color="auto" w:fill="FFFFFF"/>
              </w:rPr>
              <w:t>Senreich</w:t>
            </w:r>
            <w:proofErr w:type="spellEnd"/>
            <w:r w:rsidRPr="00441E75">
              <w:rPr>
                <w:color w:val="auto"/>
                <w:shd w:val="clear" w:color="auto" w:fill="FFFFFF"/>
              </w:rPr>
              <w:t xml:space="preserve"> et al (2020)</w:t>
            </w:r>
            <w:r w:rsidRPr="00441E75">
              <w:rPr>
                <w:color w:val="auto"/>
              </w:rPr>
              <w:t xml:space="preserve"> have identified the fundamental position of practitioners being able to express their thoughts and feelings about how their work impacts their own wellbeing and to explore any additional support they may need. During supervision I acknowledged that my adversity with this case was due to lack of experience working on complex cases and my minimal experience with </w:t>
            </w:r>
            <w:r w:rsidRPr="00441E75">
              <w:rPr>
                <w:color w:val="auto"/>
              </w:rPr>
              <w:lastRenderedPageBreak/>
              <w:t xml:space="preserve">family court cases overwhelmed me. My empathy for the children was discussed as an attribute that makes me a good social worker as I worked in a child cantered manner and worked for their best interest (Schmid, 2001). This impelled me to use the strengths-based theory (Zimmerman, 2013) as we discussed my merits within my practice in this case and in general and recognised that everything that we had done so far has safeguarded 5 and 6, promoted their wellbeing, given them voice and control and an opportunity to thrive. </w:t>
            </w:r>
          </w:p>
          <w:p w14:paraId="36AA3AFD" w14:textId="77777777" w:rsidR="00441E75" w:rsidRPr="00441E75" w:rsidRDefault="00441E75" w:rsidP="00441E75">
            <w:pPr>
              <w:pStyle w:val="Default"/>
              <w:spacing w:after="240" w:line="480" w:lineRule="auto"/>
              <w:rPr>
                <w:color w:val="auto"/>
              </w:rPr>
            </w:pPr>
            <w:r w:rsidRPr="00441E75">
              <w:rPr>
                <w:color w:val="auto"/>
              </w:rPr>
              <w:t xml:space="preserve">This influenced further professional development and we employed the solution focused theory of practice (Parker, 2020) to better understand the situation and how we could work collaboratively to meet the needs of 4, 5 and 6. It was agreed that contact did not have to be direct, and that we would commence with indirect cards and letters for a period of 6 weeks to assess 4’s commitment to contact and to build up to phone calls after re-assessing 5’s wishes regarding seeing 4 to progress to direct contact. </w:t>
            </w:r>
          </w:p>
          <w:p w14:paraId="3BA5CC9C" w14:textId="77777777" w:rsidR="00441E75" w:rsidRPr="00441E75" w:rsidRDefault="00441E75" w:rsidP="00441E75">
            <w:pPr>
              <w:pStyle w:val="Default"/>
              <w:spacing w:after="240" w:line="480" w:lineRule="auto"/>
              <w:rPr>
                <w:color w:val="auto"/>
              </w:rPr>
            </w:pPr>
            <w:r w:rsidRPr="00441E75">
              <w:rPr>
                <w:color w:val="auto"/>
              </w:rPr>
              <w:t>To prevent any bias of my own feelings and values in 5’s wishes and feelings I arranged for an independent advocate to assist. A child advocate works independently from any other association and works in the child’s best interest, representing their voice (</w:t>
            </w:r>
            <w:hyperlink r:id="rId11" w:history="1">
              <w:r w:rsidRPr="00441E75">
                <w:rPr>
                  <w:rStyle w:val="Hyperlink"/>
                  <w:color w:val="auto"/>
                </w:rPr>
                <w:t>Department of Health, 2002</w:t>
              </w:r>
            </w:hyperlink>
            <w:r w:rsidRPr="00441E75">
              <w:rPr>
                <w:color w:val="auto"/>
              </w:rPr>
              <w:t xml:space="preserve">). A child advocate also strives to encourage and empower children to express their wishes and feelings by upholding their human rights as article 12 of the United Nations Convention on the Rights of the Child (UNCRC) (1989) states that </w:t>
            </w:r>
            <w:r w:rsidRPr="00441E75">
              <w:rPr>
                <w:rStyle w:val="Emphasis"/>
                <w:color w:val="auto"/>
              </w:rPr>
              <w:t>"Every child has the right to say what they think in all matters affecting them and to have their views taken seriously"</w:t>
            </w:r>
          </w:p>
          <w:p w14:paraId="62A74833" w14:textId="77777777" w:rsidR="00441E75" w:rsidRPr="00441E75" w:rsidRDefault="00441E75" w:rsidP="00441E75">
            <w:pPr>
              <w:pStyle w:val="Default"/>
              <w:spacing w:after="240" w:line="480" w:lineRule="auto"/>
              <w:rPr>
                <w:color w:val="auto"/>
              </w:rPr>
            </w:pPr>
            <w:r w:rsidRPr="00441E75">
              <w:rPr>
                <w:color w:val="auto"/>
              </w:rPr>
              <w:t xml:space="preserve">In moving on to the analysis aspect of Gibbs (1988) cycle of reflection I noted that my experience in family court was minimal and that I needed to fully be aware of all background </w:t>
            </w:r>
            <w:r w:rsidRPr="00441E75">
              <w:rPr>
                <w:color w:val="auto"/>
              </w:rPr>
              <w:lastRenderedPageBreak/>
              <w:t xml:space="preserve">information regarding this family to support me in undertaking a risk and parenting assessment. </w:t>
            </w:r>
          </w:p>
          <w:p w14:paraId="4689A9F6" w14:textId="77777777" w:rsidR="00441E75" w:rsidRPr="00441E75" w:rsidRDefault="00441E75" w:rsidP="00441E75">
            <w:pPr>
              <w:pStyle w:val="Default"/>
              <w:spacing w:after="240" w:line="480" w:lineRule="auto"/>
              <w:rPr>
                <w:color w:val="auto"/>
              </w:rPr>
            </w:pPr>
            <w:r w:rsidRPr="00441E75">
              <w:rPr>
                <w:color w:val="auto"/>
              </w:rPr>
              <w:t>To gather information needed for the risk assessment I worked collaboratively with the police to congregate information regarding 4’s bail conditions and their intentions and progression with the police interviews. As 5 is 9 years of age the Police requested under section 29 of the Youth Justice and Criminal Evidence Act (1999) that she was an eligible witness to her mother’s assault and her examining to be conducted through an intermediary interview.</w:t>
            </w:r>
          </w:p>
          <w:p w14:paraId="2A4A2F9D" w14:textId="77777777" w:rsidR="00441E75" w:rsidRPr="00441E75" w:rsidRDefault="00441E75" w:rsidP="00441E75">
            <w:pPr>
              <w:pStyle w:val="Default"/>
              <w:spacing w:after="240" w:line="480" w:lineRule="auto"/>
              <w:rPr>
                <w:color w:val="auto"/>
              </w:rPr>
            </w:pPr>
            <w:r w:rsidRPr="00441E75">
              <w:rPr>
                <w:color w:val="auto"/>
              </w:rPr>
              <w:t>In 2004 the Witness Intermediary Scheme (WIS) was firstly directed in England and Wales as a special measure provision in the Youth Justice and Criminal Evidence Act, (1999) (YJCEA 1999) to enable examination of witnesses through an intermediary support, encouraging a two-way communication between the police or court, and witnesses of young age or with communication requirements (ref date). The purpose of Intermediary interviewing is to converse questions to the witness to ensure their understanding, and to communicate back their accounts to the police.</w:t>
            </w:r>
          </w:p>
          <w:p w14:paraId="7B116D6D" w14:textId="77777777" w:rsidR="00441E75" w:rsidRPr="00441E75" w:rsidRDefault="00441E75" w:rsidP="00441E75">
            <w:pPr>
              <w:pStyle w:val="Default"/>
              <w:spacing w:after="240" w:line="480" w:lineRule="auto"/>
              <w:rPr>
                <w:color w:val="auto"/>
              </w:rPr>
            </w:pPr>
            <w:r w:rsidRPr="00441E75">
              <w:rPr>
                <w:color w:val="auto"/>
              </w:rPr>
              <w:t>In addition to gathering information from the police, and to ensure I was working in an informed approach (</w:t>
            </w:r>
            <w:proofErr w:type="spellStart"/>
            <w:r w:rsidRPr="00441E75">
              <w:rPr>
                <w:color w:val="auto"/>
                <w:shd w:val="clear" w:color="auto" w:fill="FFFFFF"/>
              </w:rPr>
              <w:t>Hosken</w:t>
            </w:r>
            <w:proofErr w:type="spellEnd"/>
            <w:r w:rsidRPr="00441E75">
              <w:rPr>
                <w:color w:val="auto"/>
                <w:shd w:val="clear" w:color="auto" w:fill="FFFFFF"/>
              </w:rPr>
              <w:t>, and Goldingay, 2020),</w:t>
            </w:r>
            <w:r w:rsidRPr="00441E75">
              <w:rPr>
                <w:color w:val="auto"/>
              </w:rPr>
              <w:t xml:space="preserve"> I researched all the historic files to include case chronologies and multi-agency assessments on the family, as 5 had previously been on the child protection register when 3 years of age in another LA due to domestic violence between parents and emotional neglect.  I found collaborating with the other LA difficult as they did not share historic files in a timely manner and only supplied chronologies which had minimal information contained within them.  Poor information sharing between </w:t>
            </w:r>
            <w:r w:rsidRPr="00441E75">
              <w:rPr>
                <w:color w:val="auto"/>
              </w:rPr>
              <w:lastRenderedPageBreak/>
              <w:t xml:space="preserve">authorities and sectors is commonly documented as failings in safeguarding (Ofsted, 2010) as information sharing is vital in effective safeguarding so that practitioners do not miss opportunities to take action to keep children safe (Thomson, 2016). I was mindful of individuals rights underpinned by the GDPR and Data Protection Act (2018) for information not to be shared if they did not consent, and the Human Rights article 8 </w:t>
            </w:r>
            <w:r w:rsidRPr="00441E75">
              <w:rPr>
                <w:i/>
                <w:iCs/>
                <w:color w:val="auto"/>
              </w:rPr>
              <w:t xml:space="preserve">‘Right to respect for private and family life’ </w:t>
            </w:r>
            <w:r w:rsidRPr="00441E75">
              <w:rPr>
                <w:color w:val="auto"/>
              </w:rPr>
              <w:t>(Human Rights Act, 1998). However, the Data Protection Act (2018) and human rights law (1998) should not be considered as impediments for information sharing, but rather a framework to share information securely in a timely manner to reduce any risks of harm (Richardson, 2003).</w:t>
            </w:r>
          </w:p>
          <w:p w14:paraId="669FF52B" w14:textId="77777777" w:rsidR="00441E75" w:rsidRPr="00441E75" w:rsidRDefault="00441E75" w:rsidP="00441E75">
            <w:pPr>
              <w:pStyle w:val="Default"/>
              <w:spacing w:after="240" w:line="480" w:lineRule="auto"/>
              <w:rPr>
                <w:color w:val="auto"/>
              </w:rPr>
            </w:pPr>
            <w:r w:rsidRPr="00441E75">
              <w:rPr>
                <w:color w:val="auto"/>
              </w:rPr>
              <w:t>This brought me to the conclusion element of Gibbs (1988) cycle of reflection where I concluded on the impact of information sharing had on my practice and made me think about what I could do differently next time. I learnt that I also have a duty to compel relevant and comprehensive information on LA files in a timely manner to be able to share with other agencies and to comply with organisational and legal requirements if other sectors require information sharing.</w:t>
            </w:r>
          </w:p>
          <w:p w14:paraId="218D5527" w14:textId="77777777" w:rsidR="00441E75" w:rsidRPr="00441E75" w:rsidRDefault="00441E75" w:rsidP="00441E75">
            <w:pPr>
              <w:pStyle w:val="Default"/>
              <w:spacing w:after="240" w:line="480" w:lineRule="auto"/>
              <w:rPr>
                <w:color w:val="auto"/>
              </w:rPr>
            </w:pPr>
            <w:r w:rsidRPr="00441E75">
              <w:rPr>
                <w:color w:val="auto"/>
              </w:rPr>
              <w:t>After gathering relevant information and structuring a chronology of events of my own, I commenced the risk and parenting assessment with 4. I gave her the active offer of language in accordance with the “More than Words” (2012) Welsh Government policy as this enabled 4 to voice her language choice rather than having to request it through the medium of Welsh (</w:t>
            </w:r>
            <w:r w:rsidRPr="00441E75">
              <w:t>Davies, 2010)</w:t>
            </w:r>
            <w:r w:rsidRPr="00441E75">
              <w:rPr>
                <w:color w:val="auto"/>
              </w:rPr>
              <w:t xml:space="preserve">. I was aware that 4 was Welsh first language, however, she lived in an area subject to poverty and dominated by bilingual use of language (Census, 2011). Poverty can have a life-long effect on education and health of individuals, so it was </w:t>
            </w:r>
            <w:r w:rsidRPr="00441E75">
              <w:rPr>
                <w:color w:val="auto"/>
              </w:rPr>
              <w:lastRenderedPageBreak/>
              <w:t xml:space="preserve">important for me to ask 4 about her preferences in language to conduct the assessment as I was unaware of her educated ability to converse in either language. It was imperative for her to feel empowered and able to comfortably discuss matters in her chosen language. Language should not be assumed just because of one’s culture and ethnicity. </w:t>
            </w:r>
            <w:r w:rsidRPr="00441E75">
              <w:rPr>
                <w:iCs/>
                <w:color w:val="auto"/>
              </w:rPr>
              <w:t>Care Council for Wales (2012)</w:t>
            </w:r>
            <w:r w:rsidRPr="00441E75">
              <w:rPr>
                <w:color w:val="auto"/>
              </w:rPr>
              <w:t xml:space="preserve"> noted that some individuals prefer a bilingual approach to assessments, as some families experience difficulties in expressing sensitive accounts in one language.</w:t>
            </w:r>
          </w:p>
          <w:p w14:paraId="46088D8A" w14:textId="77777777" w:rsidR="00441E75" w:rsidRPr="00441E75" w:rsidRDefault="00441E75" w:rsidP="00441E75">
            <w:pPr>
              <w:pStyle w:val="Default"/>
              <w:spacing w:after="240" w:line="480" w:lineRule="auto"/>
              <w:rPr>
                <w:color w:val="auto"/>
              </w:rPr>
            </w:pPr>
            <w:r w:rsidRPr="00441E75">
              <w:rPr>
                <w:color w:val="auto"/>
              </w:rPr>
              <w:t xml:space="preserve">Initially 4 revealed positive engagement with myself, however, her engagement was inconsistent, and she would deviate from the actual task that needed to be completed as she was presenting with her own difficulties currently, and from childhood, and not focusing on either the task ahead or the children’s wellbeing. 4 reported a poor attachment with her carers as a child and learnt to be </w:t>
            </w:r>
            <w:r w:rsidRPr="00441E75">
              <w:rPr>
                <w:color w:val="auto"/>
                <w:spacing w:val="-1"/>
              </w:rPr>
              <w:t xml:space="preserve">overly self-reliant at times, and then rejecting and disengaging when services were offered. However, 4 at other times presented as a helpless victim, seeking to be rescued and demanding others attend to her. </w:t>
            </w:r>
            <w:r w:rsidRPr="00441E75">
              <w:rPr>
                <w:color w:val="auto"/>
              </w:rPr>
              <w:t>To aid me with engaging 4 I chose to utilise the Ecological Systems Theory (</w:t>
            </w:r>
            <w:r w:rsidRPr="00441E75">
              <w:rPr>
                <w:color w:val="auto"/>
                <w:shd w:val="clear" w:color="auto" w:fill="FFFFFF"/>
              </w:rPr>
              <w:t>Bronfenbrenner, 1992</w:t>
            </w:r>
            <w:r w:rsidRPr="00441E75">
              <w:rPr>
                <w:color w:val="auto"/>
              </w:rPr>
              <w:t xml:space="preserve">) and Task-centred practice (Marsh, 1991). </w:t>
            </w:r>
          </w:p>
          <w:p w14:paraId="512AAED7" w14:textId="77777777" w:rsidR="00441E75" w:rsidRPr="00441E75" w:rsidRDefault="00441E75" w:rsidP="00441E75">
            <w:pPr>
              <w:pStyle w:val="Default"/>
              <w:spacing w:after="240" w:line="480" w:lineRule="auto"/>
              <w:rPr>
                <w:color w:val="auto"/>
              </w:rPr>
            </w:pPr>
            <w:r w:rsidRPr="00441E75">
              <w:rPr>
                <w:color w:val="auto"/>
              </w:rPr>
              <w:t>An Ecological systems approach encourages an individual to perceive their ability to make positive changes as their difficulties are viewed as problems within their relationships, community, and society rather than problems within themselves (</w:t>
            </w:r>
            <w:proofErr w:type="spellStart"/>
            <w:r w:rsidRPr="00441E75">
              <w:rPr>
                <w:color w:val="auto"/>
                <w:shd w:val="clear" w:color="auto" w:fill="FFFFFF"/>
              </w:rPr>
              <w:t>Fivush</w:t>
            </w:r>
            <w:proofErr w:type="spellEnd"/>
            <w:r w:rsidRPr="00441E75">
              <w:rPr>
                <w:color w:val="auto"/>
                <w:shd w:val="clear" w:color="auto" w:fill="FFFFFF"/>
              </w:rPr>
              <w:t>, and Merrill, 2016</w:t>
            </w:r>
            <w:r w:rsidRPr="00441E75">
              <w:rPr>
                <w:color w:val="auto"/>
              </w:rPr>
              <w:t xml:space="preserve">). As 4 was presenting with many difficulties of her own the key aim was to make her think about how the </w:t>
            </w:r>
            <w:proofErr w:type="gramStart"/>
            <w:r w:rsidRPr="00441E75">
              <w:rPr>
                <w:color w:val="auto"/>
              </w:rPr>
              <w:t>environment</w:t>
            </w:r>
            <w:proofErr w:type="gramEnd"/>
            <w:r w:rsidRPr="00441E75">
              <w:rPr>
                <w:color w:val="auto"/>
              </w:rPr>
              <w:t xml:space="preserve"> she grew up in has affected her life today, her thinking processes and emotional stability. This theory also supported 4 to share elements regarding her education, culture, and class which helped in gaining an understanding of the impact </w:t>
            </w:r>
            <w:r w:rsidRPr="00441E75">
              <w:rPr>
                <w:color w:val="auto"/>
              </w:rPr>
              <w:lastRenderedPageBreak/>
              <w:t>these would have had on 4’s upbringing to assess her needs at current. This also reinforced evidence-based practice where evaluation of 4’s own experiences of being protected and safeguarded as a child by family and her community helped analyse her protective factors and capacity to keep 5 and 6 safe long-term (</w:t>
            </w:r>
            <w:r w:rsidRPr="00441E75">
              <w:rPr>
                <w:color w:val="auto"/>
                <w:shd w:val="clear" w:color="auto" w:fill="FFFFFF"/>
              </w:rPr>
              <w:t>Rycroft</w:t>
            </w:r>
            <w:r w:rsidRPr="00441E75">
              <w:rPr>
                <w:rFonts w:ascii="Cambria Math" w:hAnsi="Cambria Math" w:cs="Cambria Math"/>
                <w:color w:val="auto"/>
                <w:shd w:val="clear" w:color="auto" w:fill="FFFFFF"/>
              </w:rPr>
              <w:t>‐</w:t>
            </w:r>
            <w:r w:rsidRPr="00441E75">
              <w:rPr>
                <w:color w:val="auto"/>
                <w:shd w:val="clear" w:color="auto" w:fill="FFFFFF"/>
              </w:rPr>
              <w:t>Malone, et al, 2004</w:t>
            </w:r>
            <w:r w:rsidRPr="00441E75">
              <w:rPr>
                <w:color w:val="auto"/>
              </w:rPr>
              <w:t xml:space="preserve">). </w:t>
            </w:r>
          </w:p>
          <w:p w14:paraId="6D82416C" w14:textId="77777777" w:rsidR="00441E75" w:rsidRPr="00441E75" w:rsidRDefault="00441E75" w:rsidP="00441E75">
            <w:pPr>
              <w:pStyle w:val="Default"/>
              <w:spacing w:after="240" w:line="480" w:lineRule="auto"/>
              <w:rPr>
                <w:color w:val="auto"/>
              </w:rPr>
            </w:pPr>
            <w:r w:rsidRPr="00441E75">
              <w:rPr>
                <w:color w:val="auto"/>
              </w:rPr>
              <w:t xml:space="preserve">By combining this with the </w:t>
            </w:r>
            <w:r w:rsidRPr="00441E75">
              <w:rPr>
                <w:rStyle w:val="Strong"/>
                <w:color w:val="auto"/>
                <w:shd w:val="clear" w:color="auto" w:fill="FFFFFF"/>
              </w:rPr>
              <w:t>Task-centred practice which focuses on the present and future (Doel and Marsh, 2017),</w:t>
            </w:r>
            <w:r w:rsidRPr="00441E75">
              <w:rPr>
                <w:color w:val="auto"/>
                <w:shd w:val="clear" w:color="auto" w:fill="FFFFFF"/>
              </w:rPr>
              <w:t xml:space="preserve"> it allowed me to set clear structure and time-limited sessions with 4. 4 would be aware before our sessions of what the task would be on that day so that we did not diverge from it, which also resulted in me knowing that the task was achieved. </w:t>
            </w:r>
          </w:p>
          <w:p w14:paraId="3914CBD7" w14:textId="77777777" w:rsidR="00441E75" w:rsidRPr="00441E75" w:rsidRDefault="00441E75" w:rsidP="00441E75">
            <w:pPr>
              <w:pStyle w:val="Default"/>
              <w:spacing w:after="240" w:line="480" w:lineRule="auto"/>
              <w:rPr>
                <w:color w:val="auto"/>
                <w:shd w:val="clear" w:color="auto" w:fill="FFFFFF"/>
              </w:rPr>
            </w:pPr>
            <w:r w:rsidRPr="00441E75">
              <w:rPr>
                <w:color w:val="auto"/>
                <w:shd w:val="clear" w:color="auto" w:fill="FFFFFF"/>
              </w:rPr>
              <w:t>It was very difficult to get 4 to discuss her parenting of 5 and 6 as she would sustain her innocence in the incident discussed above and could not see how her parenting has affected 5 and 6. 4 was clearly upset regarding 5 and 6 now being in the care of the LA, however, was emotionally unstable, grieving and not accepting what was happening. I found it difficult at times to accept 4’s account of the incidents and was continuously reminding myself of my ethics and to practice non-judgementally. This assessment was an opportunity to make judgements on 4’s protective factors and parenting capacity rather than making judgements about 4</w:t>
            </w:r>
            <w:r w:rsidRPr="00441E75">
              <w:rPr>
                <w:i/>
                <w:iCs/>
                <w:color w:val="auto"/>
              </w:rPr>
              <w:t xml:space="preserve"> </w:t>
            </w:r>
            <w:r w:rsidRPr="00441E75">
              <w:rPr>
                <w:color w:val="auto"/>
              </w:rPr>
              <w:t xml:space="preserve">(Parker, 2020). </w:t>
            </w:r>
          </w:p>
          <w:p w14:paraId="6DDCB777" w14:textId="77777777" w:rsidR="00441E75" w:rsidRPr="00441E75" w:rsidRDefault="00441E75" w:rsidP="00441E75">
            <w:pPr>
              <w:pStyle w:val="Default"/>
              <w:spacing w:after="240" w:line="480" w:lineRule="auto"/>
              <w:rPr>
                <w:color w:val="auto"/>
                <w:shd w:val="clear" w:color="auto" w:fill="FFFFFF"/>
              </w:rPr>
            </w:pPr>
            <w:r w:rsidRPr="00441E75">
              <w:rPr>
                <w:color w:val="auto"/>
                <w:shd w:val="clear" w:color="auto" w:fill="FFFFFF"/>
              </w:rPr>
              <w:t xml:space="preserve">Kubler-Ross (1969) would describe 4’s inability to accept what was happening through the theory of grief and loss. She identified 5 distinct stages that an individual experiences during loss as denial, anger, bargaining, depression and finally acceptance (Kübler-Ross, and Kessler, 2005). Identifying grief and loss and temporary loss is noted to be a core skill of social work practice (Simpson, 2013). Loss does not necessarily represent a death; it can </w:t>
            </w:r>
            <w:r w:rsidRPr="00441E75">
              <w:rPr>
                <w:color w:val="auto"/>
                <w:shd w:val="clear" w:color="auto" w:fill="FFFFFF"/>
              </w:rPr>
              <w:lastRenderedPageBreak/>
              <w:t xml:space="preserve">include a loss of something or someone significant and can have grave impact on the day to day lives of individual (Gordon, 2013).  </w:t>
            </w:r>
          </w:p>
          <w:p w14:paraId="4777518E" w14:textId="77777777" w:rsidR="00441E75" w:rsidRPr="00441E75" w:rsidRDefault="00441E75" w:rsidP="00441E75">
            <w:pPr>
              <w:pStyle w:val="Default"/>
              <w:spacing w:after="240" w:line="480" w:lineRule="auto"/>
              <w:rPr>
                <w:color w:val="auto"/>
                <w:shd w:val="clear" w:color="auto" w:fill="FFFFFF"/>
              </w:rPr>
            </w:pPr>
            <w:r w:rsidRPr="00441E75">
              <w:rPr>
                <w:color w:val="auto"/>
                <w:shd w:val="clear" w:color="auto" w:fill="FFFFFF"/>
              </w:rPr>
              <w:t>It was discussed with 4 that she may be experiencing grief and loss of her children and was currently in stage 1 of denial. This stage can be overwhelming, and an individual may not accept what is happening due to a conscious or unconscious rejection to accept reality and feel helpless, numb and in shock (Hall, 2014). These stages are non-linear and can be experienced at any time (Walsh, 2021) as anger was also evident in 4’s presentation as she was blaming 5 and accusing her of telling lies about the incident. Informing myself of this theory beforehand helped me immensely as I was able to isolate my personal values and concentrate on my professional values and practice in a non-judgemental manner whilst maintaining a person-centred focus on the task as this was 4’s assessment to identify her parenting capacity, her protective factors, and her future needs (</w:t>
            </w:r>
            <w:proofErr w:type="spellStart"/>
            <w:r w:rsidRPr="00441E75">
              <w:rPr>
                <w:color w:val="auto"/>
                <w:shd w:val="clear" w:color="auto" w:fill="FFFFFF"/>
              </w:rPr>
              <w:t>Meams</w:t>
            </w:r>
            <w:proofErr w:type="spellEnd"/>
            <w:r w:rsidRPr="00441E75">
              <w:rPr>
                <w:color w:val="auto"/>
                <w:shd w:val="clear" w:color="auto" w:fill="FFFFFF"/>
              </w:rPr>
              <w:t xml:space="preserve">, et al, 2000). </w:t>
            </w:r>
            <w:r w:rsidRPr="00441E75">
              <w:rPr>
                <w:iCs/>
                <w:color w:val="auto"/>
              </w:rPr>
              <w:t xml:space="preserve">Person-centred practice is essential in social work as its main function is to promote positive changes for individuals with social disadvantages, personal predicaments and to inspire social cohesion (Rogers et al, 2016). Person-centred practice affirmed 4’s voice was strongly heard in the assessment, however, it also accentuated 4’s needs in communication and my duty to offer a responsive communication method to suit her needs. I </w:t>
            </w:r>
            <w:r w:rsidRPr="00441E75">
              <w:rPr>
                <w:color w:val="auto"/>
                <w:shd w:val="clear" w:color="auto" w:fill="FFFFFF"/>
              </w:rPr>
              <w:t xml:space="preserve">recognised that 4 had difficulty structuring her phrases, did not have a wide vocabulary and would often use the same phraseologies in her sentences to answer questions. She was able to retain information, however I was not certain that she had the language acquisition to fully understand what she was reiterating back to me. </w:t>
            </w:r>
          </w:p>
          <w:p w14:paraId="4780A235" w14:textId="77777777" w:rsidR="00441E75" w:rsidRPr="00441E75" w:rsidRDefault="00441E75" w:rsidP="00441E75">
            <w:pPr>
              <w:pStyle w:val="Default"/>
              <w:spacing w:after="240" w:line="480" w:lineRule="auto"/>
              <w:rPr>
                <w:color w:val="auto"/>
                <w:shd w:val="clear" w:color="auto" w:fill="FFFFFF"/>
              </w:rPr>
            </w:pPr>
            <w:r w:rsidRPr="00441E75">
              <w:rPr>
                <w:color w:val="auto"/>
                <w:shd w:val="clear" w:color="auto" w:fill="FFFFFF"/>
              </w:rPr>
              <w:lastRenderedPageBreak/>
              <w:t>By utilising the last two steps of Gibbs (1988) cycle of reflection I learned by having discussions with and gathering information from 4’s accounts of her educational needs as a child, that she may need supplementary support in gaining an understanding of her current situation and to be able to make robust decisions. I wanted to ensure and comply with the Equality Act (2010) that 4 had a right to this opportunity, as measuring an individual’s capacity to understand the information given to her is something that I have learned is vitally important in the past and chose to do differently next time.  By exploring the last step of the reflective cycle and by thinking about my action plan, I decided to refer 4 for a speech and language therapist (SALT) to determine her mental capacity, her ability to understand language to be able to make stable decisions. SALT performs a significant role in determining an individual’s capacity to make decisions by promoting the needs of individuals with communication requirements by supporting them to demonstrate their capacity on decision-making (Enderby, and Emerson, 1996). SALT can also protect individuals with communication needs of being wrongly believed to lack capacity where in fact what they have is difficulties with their thinking skills, comprehension, retention of information and expression skills (</w:t>
            </w:r>
            <w:proofErr w:type="spellStart"/>
            <w:r w:rsidRPr="00441E75">
              <w:rPr>
                <w:color w:val="auto"/>
                <w:shd w:val="clear" w:color="auto" w:fill="FFFFFF"/>
              </w:rPr>
              <w:t>Bourrett</w:t>
            </w:r>
            <w:proofErr w:type="spellEnd"/>
            <w:r w:rsidRPr="00441E75">
              <w:rPr>
                <w:color w:val="auto"/>
                <w:shd w:val="clear" w:color="auto" w:fill="FFFFFF"/>
              </w:rPr>
              <w:t xml:space="preserve"> and Gould, 2021). If an individual is impacted with any of these difficulties it would stipulate that they do have capacity to make decisions, but rather do not have the means to communicate it appropriately (</w:t>
            </w:r>
            <w:proofErr w:type="spellStart"/>
            <w:r w:rsidRPr="00441E75">
              <w:rPr>
                <w:color w:val="auto"/>
                <w:shd w:val="clear" w:color="auto" w:fill="FFFFFF"/>
              </w:rPr>
              <w:t>Jusczyk</w:t>
            </w:r>
            <w:proofErr w:type="spellEnd"/>
            <w:r w:rsidRPr="00441E75">
              <w:rPr>
                <w:color w:val="auto"/>
                <w:shd w:val="clear" w:color="auto" w:fill="FFFFFF"/>
              </w:rPr>
              <w:t xml:space="preserve">, and Luce, 2002). </w:t>
            </w:r>
          </w:p>
          <w:p w14:paraId="2CDB9B21" w14:textId="77777777" w:rsidR="00441E75" w:rsidRPr="00441E75" w:rsidRDefault="00441E75" w:rsidP="00441E75">
            <w:pPr>
              <w:pStyle w:val="Default"/>
              <w:spacing w:after="240" w:line="480" w:lineRule="auto"/>
              <w:rPr>
                <w:color w:val="auto"/>
                <w:shd w:val="clear" w:color="auto" w:fill="FFFFFF"/>
              </w:rPr>
            </w:pPr>
            <w:r w:rsidRPr="00441E75">
              <w:rPr>
                <w:color w:val="auto"/>
                <w:shd w:val="clear" w:color="auto" w:fill="FFFFFF"/>
              </w:rPr>
              <w:t xml:space="preserve">Whilst attempting to remain child-centred in my assessment to certify any risks posed to 5 and 6 whilst in 4’s care, it was agreed during supervision for me to utilise the Parents Assessment Manual (PAMS). PAMS is used where there are child protection concerns with carers who are themselves vulnerable or have learning difficulties or disabilities (Barkley, 2013). This assessment functions with the use of visual aids, simplified written sections and </w:t>
            </w:r>
            <w:r w:rsidRPr="00441E75">
              <w:rPr>
                <w:color w:val="auto"/>
                <w:shd w:val="clear" w:color="auto" w:fill="FFFFFF"/>
              </w:rPr>
              <w:lastRenderedPageBreak/>
              <w:t xml:space="preserve">directly observes parenting tasks to offer a more in-depth measured approach for evidence-based outcomes rather than the practitioner’s objective judgement (ACCA, 2020). </w:t>
            </w:r>
          </w:p>
          <w:p w14:paraId="7FDB0C96" w14:textId="77777777" w:rsidR="00441E75" w:rsidRPr="00441E75" w:rsidRDefault="00441E75" w:rsidP="00441E75">
            <w:pPr>
              <w:pStyle w:val="Default"/>
              <w:spacing w:after="240" w:line="480" w:lineRule="auto"/>
              <w:rPr>
                <w:color w:val="auto"/>
                <w:shd w:val="clear" w:color="auto" w:fill="FFFFFF"/>
              </w:rPr>
            </w:pPr>
            <w:r w:rsidRPr="00441E75">
              <w:rPr>
                <w:color w:val="auto"/>
                <w:shd w:val="clear" w:color="auto" w:fill="FFFFFF"/>
              </w:rPr>
              <w:t>4 found the process of PAMS depreciating and assumed I was being critical of the poor home conditions. To ensure that trust was maintained within our relationship and to continue with child-centred practice I was able to employ the Bruce Thornton Graded Care Profile and Home Conditions Assessment tool provided by the LA to address these issues objectively without personal bias. 4 did not agree that she had neglected her children and failed to recognise that her poor life choices, lack of parenting skills and how she had abandoned her children had an adverse effect on them. 4 refused to acknowledge that they had any difficulties at home and was adamant that 5 was lying. 4 expressed that this is how she was brought up as a child and that she was never harmed. This resulted in 4 completely disengaging with all services.</w:t>
            </w:r>
          </w:p>
          <w:p w14:paraId="117EE143" w14:textId="77777777" w:rsidR="00441E75" w:rsidRPr="00441E75" w:rsidRDefault="00441E75" w:rsidP="00441E75">
            <w:pPr>
              <w:pStyle w:val="Default"/>
              <w:spacing w:after="240" w:line="480" w:lineRule="auto"/>
              <w:rPr>
                <w:bCs/>
                <w:iCs/>
                <w:color w:val="auto"/>
              </w:rPr>
            </w:pPr>
            <w:r w:rsidRPr="00441E75">
              <w:rPr>
                <w:color w:val="auto"/>
                <w:shd w:val="clear" w:color="auto" w:fill="FFFFFF"/>
              </w:rPr>
              <w:t xml:space="preserve">Gibbs (1988) model of reflection brings me back to the conclusion stage at this point. Concluding in any assessment, intervention and in reflection is paramount in acting to further develop any individuals needs and our own professional needs. In reflecting and concluding I realised that </w:t>
            </w:r>
            <w:r w:rsidRPr="00441E75">
              <w:rPr>
                <w:bCs/>
                <w:iCs/>
                <w:color w:val="auto"/>
              </w:rPr>
              <w:t xml:space="preserve">it had not been possible to fully assess 4’s ability to meet 5 and 6’ basic care needs as she failed to fully engage, however, her poor engagement did assist in constructing a risk assessment for contact. 4 was unable to fully acknowledge how her parenting of 5 and 6 has led to this current situation and failed to appreciate the damage her parenting has caused to 5 and 6. 4 was unable to mentalise, fully understand the perception of others or self and had no real insight into how her behaviours and parenting impacted 5 and 6.  4 was not committed to engage with the LA or any other services which reinforced </w:t>
            </w:r>
            <w:r w:rsidRPr="00441E75">
              <w:rPr>
                <w:bCs/>
                <w:iCs/>
                <w:color w:val="auto"/>
              </w:rPr>
              <w:lastRenderedPageBreak/>
              <w:t xml:space="preserve">her lack of commitment to have contact with her children or her commitment to make positive changes in the long term safeguarding permanency of 5 and 6. </w:t>
            </w:r>
          </w:p>
          <w:p w14:paraId="4B948A1A" w14:textId="77777777" w:rsidR="00441E75" w:rsidRPr="00441E75" w:rsidRDefault="00441E75" w:rsidP="00441E75">
            <w:pPr>
              <w:pStyle w:val="Default"/>
              <w:spacing w:after="240" w:line="480" w:lineRule="auto"/>
              <w:rPr>
                <w:color w:val="auto"/>
                <w:spacing w:val="-1"/>
              </w:rPr>
            </w:pPr>
            <w:r w:rsidRPr="00441E75">
              <w:rPr>
                <w:rFonts w:eastAsia="Times New Roman"/>
                <w:color w:val="auto"/>
              </w:rPr>
              <w:t>Poor parent-child relationship factors include negative parental cognitive sets, coercive parent-child relations, inconsistent parental discipline, and attachment difficulties (</w:t>
            </w:r>
            <w:proofErr w:type="spellStart"/>
            <w:r w:rsidRPr="00441E75">
              <w:rPr>
                <w:color w:val="auto"/>
                <w:shd w:val="clear" w:color="auto" w:fill="FFFFFF"/>
              </w:rPr>
              <w:t>Urquiza</w:t>
            </w:r>
            <w:proofErr w:type="spellEnd"/>
            <w:r w:rsidRPr="00441E75">
              <w:rPr>
                <w:color w:val="auto"/>
                <w:shd w:val="clear" w:color="auto" w:fill="FFFFFF"/>
              </w:rPr>
              <w:t>, and McNeil, 1996</w:t>
            </w:r>
            <w:r w:rsidRPr="00441E75">
              <w:rPr>
                <w:rFonts w:eastAsia="Times New Roman"/>
                <w:color w:val="auto"/>
              </w:rPr>
              <w:t xml:space="preserve">). It was clear that 4 had suffered poor attachment from her own childhood, </w:t>
            </w:r>
            <w:r w:rsidRPr="00441E75">
              <w:rPr>
                <w:color w:val="auto"/>
                <w:spacing w:val="-1"/>
              </w:rPr>
              <w:t>however it was concerning that she continued to project this onto 5 and 6 and blamed 5 for her difficulties.</w:t>
            </w:r>
          </w:p>
          <w:p w14:paraId="1C82DB38" w14:textId="77777777" w:rsidR="00441E75" w:rsidRPr="00441E75" w:rsidRDefault="00441E75" w:rsidP="00441E75">
            <w:pPr>
              <w:pStyle w:val="Default"/>
              <w:spacing w:after="240" w:line="480" w:lineRule="auto"/>
              <w:rPr>
                <w:color w:val="auto"/>
                <w:spacing w:val="-1"/>
              </w:rPr>
            </w:pPr>
            <w:r w:rsidRPr="00441E75">
              <w:rPr>
                <w:color w:val="auto"/>
                <w:spacing w:val="-1"/>
              </w:rPr>
              <w:t>Despite my preliminary lack of confidence, apprehensions, and feelings of personal bias in this case I recognised that I have gained invaluable confidence and skills whilst working on this case and I am reassured that my accountability for my recommendation for a full care order, and for 5 and 6 to be placed in foster care is within their best interest, which reinforces prevention of further harm to the children.</w:t>
            </w:r>
          </w:p>
          <w:p w14:paraId="6320A9AA" w14:textId="77777777" w:rsidR="00441E75" w:rsidRPr="00441E75" w:rsidRDefault="00441E75" w:rsidP="00441E75">
            <w:pPr>
              <w:pStyle w:val="Default"/>
              <w:spacing w:after="240" w:line="480" w:lineRule="auto"/>
              <w:rPr>
                <w:color w:val="auto"/>
                <w:spacing w:val="-1"/>
              </w:rPr>
            </w:pPr>
            <w:r w:rsidRPr="00441E75">
              <w:rPr>
                <w:color w:val="auto"/>
                <w:spacing w:val="-1"/>
              </w:rPr>
              <w:t xml:space="preserve">Decision making in child protection will eternally be difficult, however by following Gibbs (1988) cycle of reflection I learnt that there is always a process to follow, thus being legislative processes and processes be able to manage my own emotions and wellbeing. Having this experience positions me in a much better stance for when I will be allocated another case that requires the courts assistance. It has taught me the importance of gathering </w:t>
            </w:r>
            <w:proofErr w:type="gramStart"/>
            <w:r w:rsidRPr="00441E75">
              <w:rPr>
                <w:color w:val="auto"/>
                <w:spacing w:val="-1"/>
              </w:rPr>
              <w:t>factual information</w:t>
            </w:r>
            <w:proofErr w:type="gramEnd"/>
            <w:r w:rsidRPr="00441E75">
              <w:rPr>
                <w:color w:val="auto"/>
                <w:spacing w:val="-1"/>
              </w:rPr>
              <w:t xml:space="preserve"> to form evidence-based analysis of situations and to work collaboratively in these cases as child protection is everyone’s duty. It has taught me that my own values reflect the values of Social Care Wales (2020) and that I should trust my ethics in my practice .It has also highlighted the importance of committing to attend supervision no matter how busy we as practitioners get as not only does supervision allow time to discuss </w:t>
            </w:r>
            <w:proofErr w:type="spellStart"/>
            <w:r w:rsidRPr="00441E75">
              <w:rPr>
                <w:color w:val="auto"/>
                <w:spacing w:val="-1"/>
              </w:rPr>
              <w:lastRenderedPageBreak/>
              <w:t>case loads</w:t>
            </w:r>
            <w:proofErr w:type="spellEnd"/>
            <w:r w:rsidRPr="00441E75">
              <w:rPr>
                <w:color w:val="auto"/>
                <w:spacing w:val="-1"/>
              </w:rPr>
              <w:t xml:space="preserve"> and develop us as practitioners; it also gives us a safe space to discuss our own wellbeing if our workload is impacting us personally. My aspiration for the future is to continue gaining experiences in court cases and in all other aspects of child protection, however, I </w:t>
            </w:r>
            <w:proofErr w:type="spellStart"/>
            <w:r w:rsidRPr="00441E75">
              <w:rPr>
                <w:color w:val="auto"/>
                <w:spacing w:val="-1"/>
              </w:rPr>
              <w:t>aim</w:t>
            </w:r>
            <w:proofErr w:type="spellEnd"/>
            <w:r w:rsidRPr="00441E75">
              <w:rPr>
                <w:color w:val="auto"/>
                <w:spacing w:val="-1"/>
              </w:rPr>
              <w:t xml:space="preserve"> also to remain an empathetic practitioner and co-worker as I feel that supporting your colleagues in this difficult field is essential for personal wellbeing.</w:t>
            </w:r>
          </w:p>
          <w:p w14:paraId="7719D30B" w14:textId="77777777" w:rsidR="00441E75" w:rsidRPr="00441E75" w:rsidRDefault="00441E75" w:rsidP="00441E75">
            <w:pPr>
              <w:pStyle w:val="Default"/>
              <w:spacing w:after="240" w:line="480" w:lineRule="auto"/>
              <w:rPr>
                <w:color w:val="auto"/>
                <w:spacing w:val="-1"/>
              </w:rPr>
            </w:pPr>
            <w:r w:rsidRPr="00441E75">
              <w:rPr>
                <w:color w:val="auto"/>
                <w:spacing w:val="-1"/>
              </w:rPr>
              <w:t>WORD COUNT 4375</w:t>
            </w:r>
          </w:p>
          <w:p w14:paraId="34C2499A" w14:textId="77777777" w:rsidR="00441E75" w:rsidRPr="00286F86" w:rsidRDefault="00441E75" w:rsidP="00441E75">
            <w:pPr>
              <w:pStyle w:val="Default"/>
              <w:spacing w:after="160" w:line="480" w:lineRule="auto"/>
              <w:rPr>
                <w:bCs/>
                <w:iCs/>
              </w:rPr>
            </w:pPr>
          </w:p>
          <w:p w14:paraId="1C8E757C" w14:textId="77777777" w:rsidR="00441E75" w:rsidRDefault="00441E75" w:rsidP="00441E75">
            <w:pPr>
              <w:pStyle w:val="Default"/>
              <w:rPr>
                <w:iCs/>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3D1A3" w14:textId="77777777" w:rsidR="007A4411" w:rsidRDefault="007A4411">
      <w:r>
        <w:separator/>
      </w:r>
    </w:p>
  </w:endnote>
  <w:endnote w:type="continuationSeparator" w:id="0">
    <w:p w14:paraId="23879279" w14:textId="77777777" w:rsidR="007A4411" w:rsidRDefault="007A4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95224" w14:textId="77777777" w:rsidR="007A4411" w:rsidRDefault="007A4411">
      <w:r>
        <w:separator/>
      </w:r>
    </w:p>
  </w:footnote>
  <w:footnote w:type="continuationSeparator" w:id="0">
    <w:p w14:paraId="31BCDFAA" w14:textId="77777777" w:rsidR="007A4411" w:rsidRDefault="007A44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1E61873"/>
    <w:multiLevelType w:val="multilevel"/>
    <w:tmpl w:val="3E9A2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1E75"/>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4411"/>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441E75"/>
    <w:pPr>
      <w:autoSpaceDE w:val="0"/>
      <w:autoSpaceDN w:val="0"/>
      <w:adjustRightInd w:val="0"/>
    </w:pPr>
    <w:rPr>
      <w:rFonts w:ascii="Arial" w:eastAsiaTheme="minorHAnsi" w:hAnsi="Arial" w:cs="Arial"/>
      <w:color w:val="000000"/>
      <w:sz w:val="24"/>
      <w:szCs w:val="24"/>
      <w:lang w:eastAsia="en-US"/>
    </w:rPr>
  </w:style>
  <w:style w:type="character" w:styleId="Strong">
    <w:name w:val="Strong"/>
    <w:basedOn w:val="DefaultParagraphFont"/>
    <w:uiPriority w:val="22"/>
    <w:qFormat/>
    <w:rsid w:val="00441E75"/>
    <w:rPr>
      <w:b/>
      <w:bCs/>
    </w:rPr>
  </w:style>
  <w:style w:type="character" w:styleId="Emphasis">
    <w:name w:val="Emphasis"/>
    <w:basedOn w:val="DefaultParagraphFont"/>
    <w:uiPriority w:val="20"/>
    <w:qFormat/>
    <w:rsid w:val="00441E75"/>
    <w:rPr>
      <w:i/>
      <w:iCs/>
    </w:rPr>
  </w:style>
  <w:style w:type="character" w:customStyle="1" w:styleId="jpfdse">
    <w:name w:val="jpfdse"/>
    <w:basedOn w:val="DefaultParagraphFont"/>
    <w:rsid w:val="00441E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ebarchive.nationalarchives.gov.uk/20130107105354/http:/www.dh.gov.uk/prod_consum_dh/groups/dh_digitalassets/@dh/@en/documents/digitalasset/dh_4018893.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4203</Words>
  <Characters>23961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Chrissy Jones (PLANT)</cp:lastModifiedBy>
  <cp:revision>2</cp:revision>
  <cp:lastPrinted>2020-02-11T19:20:00Z</cp:lastPrinted>
  <dcterms:created xsi:type="dcterms:W3CDTF">2023-02-23T15:21:00Z</dcterms:created>
  <dcterms:modified xsi:type="dcterms:W3CDTF">2023-02-23T15:21:00Z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