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F6A3F" w14:textId="77777777" w:rsidR="007B6AF7" w:rsidRPr="00610361" w:rsidRDefault="007B6AF7" w:rsidP="007B6AF7">
      <w:pPr>
        <w:spacing w:line="480" w:lineRule="auto"/>
        <w:rPr>
          <w:rFonts w:ascii="Arial" w:hAnsi="Arial" w:cs="Arial"/>
          <w:sz w:val="28"/>
          <w:szCs w:val="28"/>
        </w:rPr>
      </w:pPr>
      <w:r w:rsidRPr="00610361">
        <w:rPr>
          <w:rFonts w:ascii="Arial" w:hAnsi="Arial" w:cs="Arial"/>
          <w:sz w:val="28"/>
          <w:szCs w:val="28"/>
        </w:rPr>
        <w:t xml:space="preserve">I </w:t>
      </w:r>
      <w:r w:rsidRPr="007344CF">
        <w:rPr>
          <w:rFonts w:ascii="Arial" w:hAnsi="Arial" w:cs="Arial"/>
          <w:sz w:val="28"/>
          <w:szCs w:val="28"/>
        </w:rPr>
        <w:t xml:space="preserve">Philip Blundell  </w:t>
      </w:r>
      <w:r w:rsidRPr="00610361">
        <w:rPr>
          <w:rFonts w:ascii="Arial" w:hAnsi="Arial" w:cs="Arial"/>
          <w:sz w:val="28"/>
          <w:szCs w:val="28"/>
        </w:rPr>
        <w:t xml:space="preserve">acknowledge the use of </w:t>
      </w:r>
      <w:r w:rsidRPr="007344CF">
        <w:rPr>
          <w:rFonts w:ascii="Arial" w:hAnsi="Arial" w:cs="Arial"/>
          <w:sz w:val="28"/>
          <w:szCs w:val="28"/>
        </w:rPr>
        <w:t xml:space="preserve"> Read and Write, Copilot and scholarly which has been issued to me by the DSA </w:t>
      </w:r>
      <w:r w:rsidRPr="00610361">
        <w:rPr>
          <w:rFonts w:ascii="Arial" w:hAnsi="Arial" w:cs="Arial"/>
          <w:sz w:val="28"/>
          <w:szCs w:val="28"/>
        </w:rPr>
        <w:t xml:space="preserve">on </w:t>
      </w:r>
      <w:r w:rsidRPr="007344CF">
        <w:rPr>
          <w:rFonts w:ascii="Arial" w:hAnsi="Arial" w:cs="Arial"/>
          <w:sz w:val="28"/>
          <w:szCs w:val="28"/>
        </w:rPr>
        <w:t xml:space="preserve">versus dates over the last 6 or so weeks from beginning the course till the day I have handed in my work </w:t>
      </w:r>
      <w:r w:rsidRPr="00610361">
        <w:rPr>
          <w:rFonts w:ascii="Arial" w:hAnsi="Arial" w:cs="Arial"/>
          <w:sz w:val="28"/>
          <w:szCs w:val="28"/>
        </w:rPr>
        <w:t xml:space="preserve"> </w:t>
      </w:r>
      <w:r w:rsidRPr="007344CF">
        <w:rPr>
          <w:rFonts w:ascii="Arial" w:hAnsi="Arial" w:cs="Arial"/>
          <w:sz w:val="28"/>
          <w:szCs w:val="28"/>
        </w:rPr>
        <w:t xml:space="preserve">the </w:t>
      </w:r>
      <w:r w:rsidRPr="00610361">
        <w:rPr>
          <w:rFonts w:ascii="Arial" w:hAnsi="Arial" w:cs="Arial"/>
          <w:sz w:val="28"/>
          <w:szCs w:val="28"/>
        </w:rPr>
        <w:t xml:space="preserve">Purpose </w:t>
      </w:r>
      <w:r w:rsidRPr="007344CF">
        <w:rPr>
          <w:rFonts w:ascii="Arial" w:hAnsi="Arial" w:cs="Arial"/>
          <w:sz w:val="28"/>
          <w:szCs w:val="28"/>
        </w:rPr>
        <w:t xml:space="preserve">of using this is to AI is to  help and support my studies and keep me focused on the assignment </w:t>
      </w:r>
    </w:p>
    <w:p w14:paraId="377BA77D" w14:textId="77777777" w:rsidR="007B6AF7" w:rsidRDefault="007B6AF7" w:rsidP="007B6AF7">
      <w:pPr>
        <w:spacing w:line="480" w:lineRule="auto"/>
        <w:rPr>
          <w:rFonts w:ascii="Arial" w:hAnsi="Arial" w:cs="Arial"/>
          <w:sz w:val="28"/>
          <w:szCs w:val="28"/>
        </w:rPr>
      </w:pPr>
      <w:r w:rsidRPr="00610361">
        <w:rPr>
          <w:rFonts w:ascii="Arial" w:hAnsi="Arial" w:cs="Arial"/>
          <w:sz w:val="28"/>
          <w:szCs w:val="28"/>
        </w:rPr>
        <w:t>I used the prompt(s): </w:t>
      </w:r>
      <w:r w:rsidRPr="00610361">
        <w:rPr>
          <w:rFonts w:ascii="Arial" w:hAnsi="Arial" w:cs="Arial"/>
          <w:b/>
          <w:bCs/>
          <w:sz w:val="28"/>
          <w:szCs w:val="28"/>
        </w:rPr>
        <w:br/>
      </w:r>
      <w:r w:rsidRPr="00610361">
        <w:rPr>
          <w:rFonts w:ascii="Arial" w:hAnsi="Arial" w:cs="Arial"/>
          <w:sz w:val="28"/>
          <w:szCs w:val="28"/>
        </w:rPr>
        <w:t xml:space="preserve">1. </w:t>
      </w:r>
      <w:r w:rsidRPr="007344CF">
        <w:rPr>
          <w:rFonts w:ascii="Arial" w:hAnsi="Arial" w:cs="Arial"/>
          <w:sz w:val="28"/>
          <w:szCs w:val="28"/>
        </w:rPr>
        <w:t xml:space="preserve">Give me the framework and break down the word count of 3750 words </w:t>
      </w:r>
      <w:r w:rsidRPr="00610361">
        <w:rPr>
          <w:rFonts w:ascii="Arial" w:hAnsi="Arial" w:cs="Arial"/>
          <w:sz w:val="28"/>
          <w:szCs w:val="28"/>
        </w:rPr>
        <w:br/>
        <w:t xml:space="preserve">2. </w:t>
      </w:r>
      <w:r w:rsidRPr="007344CF">
        <w:rPr>
          <w:rFonts w:ascii="Arial" w:hAnsi="Arial" w:cs="Arial"/>
          <w:sz w:val="28"/>
          <w:szCs w:val="28"/>
        </w:rPr>
        <w:t>Is my bibliography Harvard referencing</w:t>
      </w:r>
      <w:r>
        <w:rPr>
          <w:rFonts w:ascii="Arial" w:hAnsi="Arial" w:cs="Arial"/>
          <w:sz w:val="28"/>
          <w:szCs w:val="28"/>
        </w:rPr>
        <w:t xml:space="preserve"> correct</w:t>
      </w:r>
      <w:r w:rsidRPr="007344CF">
        <w:rPr>
          <w:rFonts w:ascii="Arial" w:hAnsi="Arial" w:cs="Arial"/>
          <w:sz w:val="28"/>
          <w:szCs w:val="28"/>
        </w:rPr>
        <w:t xml:space="preserve"> </w:t>
      </w:r>
      <w:r w:rsidRPr="00610361">
        <w:rPr>
          <w:rFonts w:ascii="Arial" w:hAnsi="Arial" w:cs="Arial"/>
          <w:sz w:val="28"/>
          <w:szCs w:val="28"/>
        </w:rPr>
        <w:br/>
        <w:t>3.</w:t>
      </w:r>
      <w:r w:rsidRPr="007344CF">
        <w:rPr>
          <w:rFonts w:ascii="Arial" w:hAnsi="Arial" w:cs="Arial"/>
          <w:sz w:val="28"/>
          <w:szCs w:val="28"/>
        </w:rPr>
        <w:t xml:space="preserve"> Please but this into my bibliography Harvard referencing</w:t>
      </w:r>
    </w:p>
    <w:p w14:paraId="1DD52D85" w14:textId="77777777" w:rsidR="007B6AF7" w:rsidRDefault="007B6AF7" w:rsidP="007B6AF7">
      <w:pPr>
        <w:spacing w:line="480" w:lineRule="auto"/>
        <w:rPr>
          <w:rFonts w:ascii="Arial" w:hAnsi="Arial" w:cs="Arial"/>
          <w:sz w:val="28"/>
          <w:szCs w:val="28"/>
        </w:rPr>
      </w:pPr>
      <w:r>
        <w:rPr>
          <w:rFonts w:ascii="Arial" w:hAnsi="Arial" w:cs="Arial"/>
          <w:sz w:val="28"/>
          <w:szCs w:val="28"/>
        </w:rPr>
        <w:t xml:space="preserve">4. I have read this article I think it fits into my assignment but not shaw were it best fits can you help </w:t>
      </w:r>
    </w:p>
    <w:p w14:paraId="16400942" w14:textId="77777777" w:rsidR="007B6AF7" w:rsidRPr="000F523E" w:rsidRDefault="007B6AF7" w:rsidP="007B6AF7">
      <w:pPr>
        <w:spacing w:line="480" w:lineRule="auto"/>
        <w:rPr>
          <w:rFonts w:ascii="Arial" w:hAnsi="Arial" w:cs="Arial"/>
          <w:sz w:val="28"/>
          <w:szCs w:val="28"/>
        </w:rPr>
      </w:pPr>
      <w:r>
        <w:rPr>
          <w:rFonts w:ascii="Arial" w:hAnsi="Arial" w:cs="Arial"/>
          <w:sz w:val="28"/>
          <w:szCs w:val="28"/>
        </w:rPr>
        <w:t xml:space="preserve">5. </w:t>
      </w:r>
      <w:r w:rsidRPr="00985BD2">
        <w:rPr>
          <w:rFonts w:ascii="Arial" w:hAnsi="Arial" w:cs="Arial"/>
          <w:sz w:val="28"/>
          <w:szCs w:val="28"/>
        </w:rPr>
        <w:t>from this list of books can you recommend that will help me in my assignment 1 Why does inequality matter?</w:t>
      </w:r>
      <w:r>
        <w:rPr>
          <w:rFonts w:ascii="Arial" w:hAnsi="Arial" w:cs="Arial"/>
          <w:sz w:val="28"/>
          <w:szCs w:val="28"/>
        </w:rPr>
        <w:t xml:space="preserve"> Know that I have done a couple of drafts.</w:t>
      </w:r>
      <w:r w:rsidRPr="00610361">
        <w:rPr>
          <w:rFonts w:ascii="Arial" w:hAnsi="Arial" w:cs="Arial"/>
          <w:b/>
          <w:bCs/>
          <w:sz w:val="28"/>
          <w:szCs w:val="28"/>
        </w:rPr>
        <w:br/>
      </w:r>
      <w:r w:rsidRPr="00610361">
        <w:rPr>
          <w:rFonts w:ascii="Arial" w:hAnsi="Arial" w:cs="Arial"/>
          <w:sz w:val="28"/>
          <w:szCs w:val="28"/>
        </w:rPr>
        <w:t>I confirm that I have not presented any AI generated text as my own work</w:t>
      </w:r>
      <w:r w:rsidRPr="00610361">
        <w:rPr>
          <w:rFonts w:ascii="Arial" w:hAnsi="Arial" w:cs="Arial"/>
          <w:sz w:val="28"/>
          <w:szCs w:val="28"/>
        </w:rPr>
        <w:br/>
        <w:t>I confirm I have copies of my drafts, notes, and other resources I used before, and after the use of AI tools which I may be asked to provide in</w:t>
      </w:r>
      <w:r w:rsidRPr="00610361">
        <w:rPr>
          <w:rFonts w:ascii="Arial" w:hAnsi="Arial" w:cs="Arial"/>
          <w:sz w:val="28"/>
          <w:szCs w:val="28"/>
          <w:u w:val="single"/>
        </w:rPr>
        <w:t xml:space="preserve"> evidence</w:t>
      </w:r>
    </w:p>
    <w:p w14:paraId="295CFCDC" w14:textId="77777777" w:rsidR="007B6AF7" w:rsidRDefault="007B6AF7" w:rsidP="00E909C4">
      <w:pPr>
        <w:spacing w:line="480" w:lineRule="auto"/>
        <w:rPr>
          <w:rFonts w:ascii="Aptos" w:eastAsia="Aptos" w:hAnsi="Aptos" w:cs="Aptos"/>
          <w:b/>
          <w:bCs/>
          <w:color w:val="000000" w:themeColor="text1"/>
          <w:sz w:val="28"/>
          <w:szCs w:val="28"/>
        </w:rPr>
      </w:pPr>
    </w:p>
    <w:p w14:paraId="6684D154" w14:textId="77777777" w:rsidR="007B6AF7" w:rsidRDefault="007B6AF7">
      <w:pPr>
        <w:rPr>
          <w:rFonts w:ascii="Aptos" w:eastAsia="Aptos" w:hAnsi="Aptos" w:cs="Aptos"/>
          <w:b/>
          <w:bCs/>
          <w:color w:val="000000" w:themeColor="text1"/>
          <w:sz w:val="28"/>
          <w:szCs w:val="28"/>
        </w:rPr>
      </w:pPr>
      <w:r>
        <w:rPr>
          <w:rFonts w:ascii="Aptos" w:eastAsia="Aptos" w:hAnsi="Aptos" w:cs="Aptos"/>
          <w:b/>
          <w:bCs/>
          <w:color w:val="000000" w:themeColor="text1"/>
          <w:sz w:val="28"/>
          <w:szCs w:val="28"/>
        </w:rPr>
        <w:br w:type="page"/>
      </w:r>
    </w:p>
    <w:p w14:paraId="59F602B7" w14:textId="6F5D39F1" w:rsidR="00E909C4" w:rsidRDefault="00E909C4" w:rsidP="00E909C4">
      <w:pPr>
        <w:spacing w:line="480" w:lineRule="auto"/>
        <w:rPr>
          <w:rFonts w:ascii="Aptos" w:eastAsia="Aptos" w:hAnsi="Aptos" w:cs="Aptos"/>
          <w:b/>
          <w:bCs/>
          <w:color w:val="000000" w:themeColor="text1"/>
          <w:sz w:val="28"/>
          <w:szCs w:val="28"/>
        </w:rPr>
      </w:pPr>
      <w:r w:rsidRPr="60FBA77F">
        <w:rPr>
          <w:rFonts w:ascii="Aptos" w:eastAsia="Aptos" w:hAnsi="Aptos" w:cs="Aptos"/>
          <w:b/>
          <w:bCs/>
          <w:color w:val="000000" w:themeColor="text1"/>
          <w:sz w:val="28"/>
          <w:szCs w:val="28"/>
        </w:rPr>
        <w:lastRenderedPageBreak/>
        <w:t xml:space="preserve">Power, Policy and Praxis: Disability, Social Reproduction and Resistance in Preston </w:t>
      </w:r>
      <w:r w:rsidR="00A42D4E" w:rsidRPr="60FBA77F">
        <w:rPr>
          <w:rFonts w:ascii="Aptos" w:eastAsia="Aptos" w:hAnsi="Aptos" w:cs="Aptos"/>
          <w:b/>
          <w:bCs/>
          <w:color w:val="000000" w:themeColor="text1"/>
          <w:sz w:val="28"/>
          <w:szCs w:val="28"/>
        </w:rPr>
        <w:t>by</w:t>
      </w:r>
      <w:r w:rsidRPr="60FBA77F">
        <w:rPr>
          <w:rFonts w:ascii="Aptos" w:eastAsia="Aptos" w:hAnsi="Aptos" w:cs="Aptos"/>
          <w:b/>
          <w:bCs/>
          <w:color w:val="000000" w:themeColor="text1"/>
          <w:sz w:val="28"/>
          <w:szCs w:val="28"/>
        </w:rPr>
        <w:t xml:space="preserve"> Philip Blundell </w:t>
      </w:r>
    </w:p>
    <w:p w14:paraId="7E06D027" w14:textId="1FD48FE7" w:rsidR="004570CE" w:rsidRDefault="00CE1238" w:rsidP="00B22D91">
      <w:pPr>
        <w:spacing w:line="360" w:lineRule="auto"/>
        <w:rPr>
          <w:rFonts w:ascii="Arial" w:eastAsia="Arial" w:hAnsi="Arial" w:cs="Arial"/>
          <w:b/>
          <w:bCs/>
        </w:rPr>
      </w:pPr>
      <w:r w:rsidRPr="00CE1238">
        <w:rPr>
          <w:rFonts w:ascii="Arial" w:eastAsia="Arial" w:hAnsi="Arial" w:cs="Arial"/>
          <w:b/>
          <w:bCs/>
        </w:rPr>
        <w:t>Introduction</w:t>
      </w:r>
    </w:p>
    <w:p w14:paraId="7F3096FA" w14:textId="77777777" w:rsidR="009E3126" w:rsidRPr="006D37B1" w:rsidRDefault="009E3126" w:rsidP="009E3126">
      <w:pPr>
        <w:rPr>
          <w:b/>
          <w:bCs/>
        </w:rPr>
      </w:pPr>
      <w:r w:rsidRPr="006D37B1">
        <w:rPr>
          <w:b/>
          <w:bCs/>
        </w:rPr>
        <w:t>Introduction</w:t>
      </w:r>
    </w:p>
    <w:p w14:paraId="061CEF2F" w14:textId="77777777" w:rsidR="009E3126" w:rsidRPr="006D37B1" w:rsidRDefault="009E3126" w:rsidP="009E3126">
      <w:r w:rsidRPr="006D37B1">
        <w:t xml:space="preserve">Disability, social reproduction, and resistance are deeply interconnected themes that reveal how inequality is sustained and contested within contemporary society. This essay explores these dynamics through the case of Preston, a </w:t>
      </w:r>
      <w:r>
        <w:t>post-industrial</w:t>
      </w:r>
      <w:r w:rsidRPr="006D37B1">
        <w:t xml:space="preserve"> city in Northwest England that has become emblematic of both austerity’s impact and </w:t>
      </w:r>
      <w:r>
        <w:t>community-led</w:t>
      </w:r>
      <w:r w:rsidRPr="006D37B1">
        <w:t xml:space="preserve"> innovation. Preston provides a distinctive lens because it combines the pressures of national welfare retrenchment with experiments in cooperative economics and grassroots mobilisation. Examining disability within this context highlights how exclusion is not simply the result of individual disadvantage but is structurally produced through governance, organisational routines, cultural narratives, and educational practices.</w:t>
      </w:r>
    </w:p>
    <w:p w14:paraId="1F108304" w14:textId="77777777" w:rsidR="009E3126" w:rsidRPr="006D37B1" w:rsidRDefault="009E3126" w:rsidP="009E3126">
      <w:r w:rsidRPr="006D37B1">
        <w:t xml:space="preserve">The theoretical framing draws on Scanlon’s (2017) account of </w:t>
      </w:r>
      <w:r>
        <w:t>status-based</w:t>
      </w:r>
      <w:r w:rsidRPr="006D37B1">
        <w:t xml:space="preserve"> inequality, which emphasises how social hierarchies diminish recognition and opportunity, and Foucault’s (1978) thesis of immanent power, which shows how authority is exercised through everyday procedures rather than overt coercion. </w:t>
      </w:r>
      <w:r>
        <w:t>Luke’s</w:t>
      </w:r>
      <w:r w:rsidRPr="006D37B1">
        <w:t xml:space="preserve"> (2005) </w:t>
      </w:r>
      <w:r>
        <w:t>three-dimensional</w:t>
      </w:r>
      <w:r w:rsidRPr="006D37B1">
        <w:t xml:space="preserve"> model of power further clarifies how exclusion operates not only through visible decisions but also through agenda</w:t>
      </w:r>
      <w:r w:rsidRPr="006D37B1">
        <w:noBreakHyphen/>
        <w:t xml:space="preserve">setting and ideological shaping, silencing alternative perspectives. Giddens’ (1984) structuration theory adds nuance by demonstrating that structures both constrain and enable agency, meaning that disabled people are not passive recipients of policy but active negotiators of its limits. Together, these </w:t>
      </w:r>
    </w:p>
    <w:p w14:paraId="577EF8FC" w14:textId="77777777" w:rsidR="009E3126" w:rsidRPr="006D37B1" w:rsidRDefault="009E3126" w:rsidP="009E3126">
      <w:r w:rsidRPr="006D37B1">
        <w:t>frameworks situate disability as a site where power, reproduction, and resistance converge.</w:t>
      </w:r>
    </w:p>
    <w:p w14:paraId="3D22AECB" w14:textId="77777777" w:rsidR="009E3126" w:rsidRPr="006D37B1" w:rsidRDefault="009E3126" w:rsidP="009E3126">
      <w:r w:rsidRPr="006D37B1">
        <w:t>Social reproduction theory (Bhattacharya &amp; Vogel, 2017) underscores the unpaid and often invisible labours that sustain social life, from caregiving to advocacy. These labours are particularly significant in Preston, where disabled people and carers maintain networks of support that remain unrecognised in official accounting. Beresford’s (2016) notion of the “participation paradox” highlights how institutions invite consultation without ceding control, reinforcing epistemic injustice as described by Fricker (2007). Such dynamics show how inequality is reproduced not only through material deprivation but also through the devaluation of lived knowledge.</w:t>
      </w:r>
    </w:p>
    <w:p w14:paraId="76987404" w14:textId="77777777" w:rsidR="009E3126" w:rsidRPr="006D37B1" w:rsidRDefault="009E3126" w:rsidP="009E3126">
      <w:r w:rsidRPr="006D37B1">
        <w:t>At the same time, Preston offers examples of resistance and reform. Motions debated in union forums, conference speeches, and power</w:t>
      </w:r>
      <w:r w:rsidRPr="006D37B1">
        <w:noBreakHyphen/>
        <w:t xml:space="preserve">mapping workshops illustrate how lived experience can be converted into political capital. Community initiatives such as the Preston </w:t>
      </w:r>
      <w:r>
        <w:t>Co-operative</w:t>
      </w:r>
      <w:r w:rsidRPr="006D37B1">
        <w:t xml:space="preserve"> Education Centre and Disability Solidarity Network demonstrate how grassroots organisations revalue disabled people’s expertise and challenge exclusionary practices. These interventions </w:t>
      </w:r>
      <w:r w:rsidRPr="006D37B1">
        <w:lastRenderedPageBreak/>
        <w:t>reveal that while structures embed inequality, they also contain openings for contestation and transformation.</w:t>
      </w:r>
    </w:p>
    <w:p w14:paraId="51A7A83A" w14:textId="77777777" w:rsidR="009E3126" w:rsidRPr="006D37B1" w:rsidRDefault="009E3126" w:rsidP="009E3126">
      <w:r w:rsidRPr="006D37B1">
        <w:t xml:space="preserve">This essay therefore proceeds by mapping theoretical frameworks of power and social reproduction, analysing locally grounded interventions, and exploring how exclusion is reproduced across education, health, organisational routines, and cultural narratives. It concludes by considering how </w:t>
      </w:r>
      <w:r>
        <w:t>co-production</w:t>
      </w:r>
      <w:r w:rsidRPr="006D37B1">
        <w:t xml:space="preserve"> and epistemic justice can reconfigure governance toward equity, accountability, and inclusive democracy.</w:t>
      </w:r>
    </w:p>
    <w:p w14:paraId="27ED8CC4" w14:textId="77777777" w:rsidR="009E3126" w:rsidRPr="006D37B1" w:rsidRDefault="009E3126" w:rsidP="009E3126">
      <w:pPr>
        <w:rPr>
          <w:b/>
          <w:bCs/>
        </w:rPr>
      </w:pPr>
      <w:r w:rsidRPr="006D37B1">
        <w:rPr>
          <w:b/>
          <w:bCs/>
        </w:rPr>
        <w:t>Section 1: Theories of Power and Social Reproduction</w:t>
      </w:r>
    </w:p>
    <w:p w14:paraId="5F3E10EB" w14:textId="77777777" w:rsidR="009E3126" w:rsidRPr="006D37B1" w:rsidRDefault="009E3126" w:rsidP="009E3126">
      <w:r w:rsidRPr="006D37B1">
        <w:t>Understanding disability, inequality, and resistance requires a robust theoretical framework that can account for both structural constraints and human agency. Several key theorists provide the conceptual tools to analyse how exclusion is reproduced and contested in Preston.</w:t>
      </w:r>
    </w:p>
    <w:p w14:paraId="6B1BFFC7" w14:textId="77777777" w:rsidR="009E3126" w:rsidRPr="006D37B1" w:rsidRDefault="009E3126" w:rsidP="009E3126">
      <w:r w:rsidRPr="006D37B1">
        <w:t xml:space="preserve">Steven Lukes’ (2005) </w:t>
      </w:r>
      <w:r>
        <w:t>three-dimensional</w:t>
      </w:r>
      <w:r w:rsidRPr="006D37B1">
        <w:t xml:space="preserve"> model of power is particularly useful. He distinguishes between overt decision</w:t>
      </w:r>
      <w:r w:rsidRPr="006D37B1">
        <w:noBreakHyphen/>
        <w:t>making, covert agenda</w:t>
      </w:r>
      <w:r w:rsidRPr="006D37B1">
        <w:noBreakHyphen/>
        <w:t>setting, and the deepest level of ideological shaping. This final dimension shows how power operates by defining what counts as legitimate knowledge and acceptable policy options, silencing alternatives before they are even considered. In the context of disability, this explains how bureaucratic descriptors and eligibility criteria appear neutral but actually embed normative assumptions about ability and productivity.</w:t>
      </w:r>
    </w:p>
    <w:p w14:paraId="2C307187" w14:textId="77777777" w:rsidR="009E3126" w:rsidRPr="006D37B1" w:rsidRDefault="009E3126" w:rsidP="009E3126">
      <w:r w:rsidRPr="006D37B1">
        <w:t xml:space="preserve">Anthony Giddens’ (1984) structuration theory adds nuance by emphasising the duality of structure: institutions are both the medium and the outcome of social practices. Structures constrain action, but they also enable it, meaning that disabled people are not passive recipients of policy but active negotiators of its limits. This perspective is vital for recognising how Preston residents organise </w:t>
      </w:r>
      <w:r>
        <w:t>peer-led</w:t>
      </w:r>
      <w:r w:rsidRPr="006D37B1">
        <w:t xml:space="preserve"> support, campaign for accessible transport, and contest exclusionary assessments.</w:t>
      </w:r>
    </w:p>
    <w:p w14:paraId="598001D0" w14:textId="77777777" w:rsidR="009E3126" w:rsidRPr="006D37B1" w:rsidRDefault="009E3126" w:rsidP="009E3126">
      <w:r w:rsidRPr="006D37B1">
        <w:t xml:space="preserve">Social reproduction theory, as articulated by Bhattacharya and Vogel (2017), highlights the unpaid and often invisible labours that sustain social life. Caregiving, advocacy, and peer mentoring are forms of labour that reproduce society but are rarely recognised in official accounting. Their invisibility legitimises austerity by allowing policymakers to ignore the infrastructure of support </w:t>
      </w:r>
    </w:p>
    <w:p w14:paraId="1ED26421" w14:textId="77777777" w:rsidR="009E3126" w:rsidRPr="006D37B1" w:rsidRDefault="009E3126" w:rsidP="009E3126">
      <w:r w:rsidRPr="006D37B1">
        <w:t>maintained by disabled people and carers. This connects directly to Preston, where unpaid labour underpins community resilience yet remains absent from municipal budgets.</w:t>
      </w:r>
    </w:p>
    <w:p w14:paraId="0857F81E" w14:textId="77777777" w:rsidR="009E3126" w:rsidRPr="006D37B1" w:rsidRDefault="009E3126" w:rsidP="009E3126">
      <w:r w:rsidRPr="006D37B1">
        <w:t>Beresford’s (2016) notion of the “participation paradox” further clarifies how institutions invite consultation without ceding control. Disabled people may be asked to contribute to policy discussions, but their lived knowledge is often devalued or sidelined. This links to Miranda Fricker’s (2007) concept of epistemic injustice, which distinguishes between testimonial injustice (where lived testimony is discredited) and hermeneutical injustice (where experiences are misinterpreted due to inadequate conceptual resources). Both forms are evident in Preston’s assessment regimes, which reduce complex lives to checkboxes and thresholds.</w:t>
      </w:r>
    </w:p>
    <w:p w14:paraId="31D65E3B" w14:textId="77777777" w:rsidR="009E3126" w:rsidRPr="006D37B1" w:rsidRDefault="009E3126" w:rsidP="009E3126">
      <w:r w:rsidRPr="006D37B1">
        <w:t>Finally, Pierre Bourdieu’s (1990) theory of symbolic violence explains how deficit</w:t>
      </w:r>
      <w:r w:rsidRPr="006D37B1">
        <w:noBreakHyphen/>
        <w:t xml:space="preserve">based attributions become normalised through education and organisational routines. By privileging </w:t>
      </w:r>
      <w:r w:rsidRPr="006D37B1">
        <w:lastRenderedPageBreak/>
        <w:t>dominant cultural capital, institutions reproduce inequality across generations. Patricia Hill Collins (2011) extends this by showing how intersecting oppressions shape identity and opportunity, reminding us that disability cannot be analysed in isolation from class, race, and gender.</w:t>
      </w:r>
    </w:p>
    <w:p w14:paraId="07E9D447" w14:textId="77777777" w:rsidR="009E3126" w:rsidRPr="006D37B1" w:rsidRDefault="009E3126" w:rsidP="009E3126">
      <w:r w:rsidRPr="006D37B1">
        <w:t>Together, these theories illuminate how power operates across visible, hidden, and ideological dimensions; how structures both constrain and enable agency; how unpaid labour and lived knowledge are devalued; and how symbolic violence reproduces inequality. They provide the conceptual foundation for analysing Preston as a site where exclusion is structurally embedded yet actively contested.</w:t>
      </w:r>
    </w:p>
    <w:p w14:paraId="30816F47" w14:textId="77777777" w:rsidR="009E3126" w:rsidRPr="006D37B1" w:rsidRDefault="009E3126" w:rsidP="009E3126">
      <w:pPr>
        <w:rPr>
          <w:b/>
          <w:bCs/>
        </w:rPr>
      </w:pPr>
      <w:r w:rsidRPr="006D37B1">
        <w:rPr>
          <w:b/>
          <w:bCs/>
        </w:rPr>
        <w:t>Section 2: Locally Grounded Interventions in Preston</w:t>
      </w:r>
    </w:p>
    <w:p w14:paraId="7096B535" w14:textId="77777777" w:rsidR="009E3126" w:rsidRPr="006D37B1" w:rsidRDefault="009E3126" w:rsidP="009E3126">
      <w:r w:rsidRPr="006D37B1">
        <w:t xml:space="preserve">While theories of power and social reproduction explain how inequality is embedded in structures, it is equally important to examine how lived experience is converted into organised political voice. In Preston, a series of interventions </w:t>
      </w:r>
      <w:r>
        <w:t>demonstrates</w:t>
      </w:r>
      <w:r w:rsidRPr="006D37B1">
        <w:t xml:space="preserve"> how disabled people and their allies contest exclusionary practices and reconfigure governance architectures. These interventions range from formal union motions to grassroots workshops, each illustrating how agency can be exercised within and against disabling environments.</w:t>
      </w:r>
    </w:p>
    <w:p w14:paraId="60B297DB" w14:textId="77777777" w:rsidR="009E3126" w:rsidRPr="006D37B1" w:rsidRDefault="009E3126" w:rsidP="009E3126">
      <w:r w:rsidRPr="006D37B1">
        <w:rPr>
          <w:b/>
          <w:bCs/>
        </w:rPr>
        <w:t>The Pension Rights Motion</w:t>
      </w:r>
      <w:r w:rsidRPr="006D37B1">
        <w:t xml:space="preserve"> provides a clear example of how structural inequalities are challenged through collective bargaining. The motion documented how a universal rise in the pension age disproportionately harmed disabled workers in </w:t>
      </w:r>
      <w:r>
        <w:t>low-paid</w:t>
      </w:r>
      <w:r w:rsidRPr="006D37B1">
        <w:t xml:space="preserve">, physically demanding roles. By foregrounding equality impact assessments and calling for </w:t>
      </w:r>
      <w:r>
        <w:t>penalty-free</w:t>
      </w:r>
      <w:r w:rsidRPr="006D37B1">
        <w:t xml:space="preserve"> early access to pensions, it reframed what might otherwise appear as a neutral fiscal measure into a question of distributive justice. The motion also mobilised union networks, demonstrating how collective organisation can amplify individual testimony into systemic critique.</w:t>
      </w:r>
    </w:p>
    <w:p w14:paraId="3E789216" w14:textId="77777777" w:rsidR="009E3126" w:rsidRPr="006D37B1" w:rsidRDefault="009E3126" w:rsidP="009E3126">
      <w:r w:rsidRPr="006D37B1">
        <w:rPr>
          <w:b/>
          <w:bCs/>
        </w:rPr>
        <w:t>The Emergency Motion on Benefits</w:t>
      </w:r>
      <w:r w:rsidRPr="006D37B1">
        <w:t xml:space="preserve"> similarly exposed the inequities of a </w:t>
      </w:r>
      <w:r>
        <w:t>two-tier</w:t>
      </w:r>
      <w:r w:rsidRPr="006D37B1">
        <w:t xml:space="preserve"> benefits regime tied to application dates. Disabled claimants who applied after a certain cut</w:t>
      </w:r>
      <w:r w:rsidRPr="006D37B1">
        <w:noBreakHyphen/>
        <w:t>off were denied entitlements available to earlier applicants, creating arbitrary divisions in support. The motion rejected cosmetic concessions and built coalitions with the Trades Union Congress and Disabled People’s Organisations (DPOs). This intervention illustrates how procedural technicalities can be politicised, transforming bureaucratic anomalies into moral claims about fairness and accountability.</w:t>
      </w:r>
    </w:p>
    <w:p w14:paraId="3289348E" w14:textId="77777777" w:rsidR="009E3126" w:rsidRPr="002C74C5" w:rsidRDefault="009E3126" w:rsidP="009E3126">
      <w:r w:rsidRPr="002C74C5">
        <w:rPr>
          <w:b/>
          <w:bCs/>
        </w:rPr>
        <w:t>Conference speeches</w:t>
      </w:r>
      <w:r w:rsidRPr="002C74C5">
        <w:t xml:space="preserve"> have also played a vital role in converting lived experience into political capital. By layering personal testimony with collective </w:t>
      </w:r>
      <w:r>
        <w:t>claim-making</w:t>
      </w:r>
      <w:r w:rsidRPr="002C74C5">
        <w:t xml:space="preserve">, activists reframed bureaucratic technicalities as moral injury. The phrase “nothing about us without us” </w:t>
      </w:r>
      <w:r w:rsidRPr="00C24C68">
        <w:t>Charlton, 1998)</w:t>
      </w:r>
      <w:r>
        <w:t xml:space="preserve"> </w:t>
      </w:r>
      <w:r w:rsidRPr="002C74C5">
        <w:t xml:space="preserve">captured the demand for participatory governance, insisting that disabled people must not only be consulted but also hold </w:t>
      </w:r>
      <w:r>
        <w:t>decision-making</w:t>
      </w:r>
      <w:r w:rsidRPr="002C74C5">
        <w:t xml:space="preserve"> power. These speeches demonstrate how narrative can be deployed strategically, shifting perceptions from individual grievance to collective injustice.</w:t>
      </w:r>
    </w:p>
    <w:p w14:paraId="54B1E7E7" w14:textId="77777777" w:rsidR="009E3126" w:rsidRDefault="009E3126" w:rsidP="009E3126">
      <w:r w:rsidRPr="002C74C5">
        <w:rPr>
          <w:b/>
          <w:bCs/>
        </w:rPr>
        <w:t>Power</w:t>
      </w:r>
      <w:r w:rsidRPr="002C74C5">
        <w:rPr>
          <w:b/>
          <w:bCs/>
        </w:rPr>
        <w:noBreakHyphen/>
        <w:t>mapping workshops</w:t>
      </w:r>
      <w:r w:rsidRPr="002C74C5">
        <w:t xml:space="preserve"> represent a more tactical intervention, translating qualitative testimony into actionable strategies. Participants identified decision makers, influence routes, and </w:t>
      </w:r>
      <w:r w:rsidRPr="002C74C5">
        <w:lastRenderedPageBreak/>
        <w:t>moments for action, creating maps that linked personal experience to institutional structures. This process exemplifies Giddens’ duality of structure</w:t>
      </w:r>
      <w:r>
        <w:t xml:space="preserve"> </w:t>
      </w:r>
      <w:r w:rsidRPr="00C24C68">
        <w:rPr>
          <w:rFonts w:ascii="Arial" w:hAnsi="Arial" w:cs="Arial"/>
        </w:rPr>
        <w:t>Giddens,</w:t>
      </w:r>
      <w:r>
        <w:rPr>
          <w:rFonts w:ascii="Arial" w:hAnsi="Arial" w:cs="Arial"/>
        </w:rPr>
        <w:t xml:space="preserve"> </w:t>
      </w:r>
      <w:r w:rsidRPr="00C24C68">
        <w:rPr>
          <w:rFonts w:ascii="Arial" w:hAnsi="Arial" w:cs="Arial"/>
        </w:rPr>
        <w:t>1984).</w:t>
      </w:r>
      <w:r w:rsidRPr="002C74C5">
        <w:t xml:space="preserve"> </w:t>
      </w:r>
      <w:r>
        <w:t>While</w:t>
      </w:r>
      <w:r w:rsidRPr="002C74C5">
        <w:t xml:space="preserve"> institutions constrain action, they also provide channels through which agency can be exercised. By equipping activists with tools to navigate complex governance systems, power mapping transformed diffuse frustration into coordinated campaigns.</w:t>
      </w:r>
      <w:r>
        <w:t xml:space="preserve"> </w:t>
      </w:r>
      <w:r w:rsidRPr="002C74C5">
        <w:t xml:space="preserve">Taken together, these interventions illustrate several key dynamics. First, they show how private harms are made legible as public problems. Second, they demonstrate how experiential claims are converted into institutional capital, whether through motions, speeches, or workshops. Third, they highlight the importance of coalition building, as local campaigns often gain traction only when linked to broader networks of unions, DPOs, and advocacy groups. Finally, they reveal how governance can be reconfigured when disabled people are treated not as passive recipients of care but as active </w:t>
      </w:r>
      <w:r>
        <w:t>co-designers</w:t>
      </w:r>
      <w:r w:rsidRPr="002C74C5">
        <w:t xml:space="preserve"> of policy. In Preston, these interventions have begun to shift the narrative from compliance to accountability, from deficit to rights, and from tokenistic consultation to substantive </w:t>
      </w:r>
      <w:r>
        <w:t>co-production</w:t>
      </w:r>
      <w:r w:rsidRPr="002C74C5">
        <w:t>. They</w:t>
      </w:r>
      <w:r>
        <w:t xml:space="preserve"> </w:t>
      </w:r>
      <w:r w:rsidRPr="002C74C5">
        <w:t>exemplify how agency can be exercised within disabling structures, contesting exclusion while simultaneously modelling alternative forms of democratic practice.</w:t>
      </w:r>
    </w:p>
    <w:p w14:paraId="481A6B39" w14:textId="77777777" w:rsidR="009E3126" w:rsidRPr="002C74C5" w:rsidRDefault="009E3126" w:rsidP="009E3126">
      <w:pPr>
        <w:rPr>
          <w:b/>
          <w:bCs/>
        </w:rPr>
      </w:pPr>
      <w:r w:rsidRPr="002C74C5">
        <w:rPr>
          <w:b/>
          <w:bCs/>
        </w:rPr>
        <w:t>Section 3: Structural Dynamics and Agency</w:t>
      </w:r>
    </w:p>
    <w:p w14:paraId="38904F89" w14:textId="77777777" w:rsidR="009E3126" w:rsidRPr="002C74C5" w:rsidRDefault="009E3126" w:rsidP="009E3126">
      <w:r w:rsidRPr="002C74C5">
        <w:t>Understanding how exclusion is reproduced in Preston requires attention to the structural dynamics that shape everyday life. Structures are not simply external constraints; they are embedded in routines, procedures, and cultural narratives that both limit and enable action. Giddens’ (1984) theory of structuration is particularly useful here, emphasising the duality of structure: institutions are simultaneously the medium and the outcome of social practices. This means that while disabled people encounter barriers in governance, education, and welfare systems, they also exercise agency within those very structures, negotiating, resisting, and reshaping them.</w:t>
      </w:r>
    </w:p>
    <w:p w14:paraId="13480ED8" w14:textId="77777777" w:rsidR="009E3126" w:rsidRPr="002C74C5" w:rsidRDefault="009E3126" w:rsidP="009E3126">
      <w:r w:rsidRPr="002C74C5">
        <w:t xml:space="preserve">Procedural rituals exemplify this dynamic. Application forms, eligibility assessments, and committee deliberations appear neutral but carry normative force. They embed exclusion into routine practice by defining what counts as legitimate need and by narrowing the scope of acceptable claims. </w:t>
      </w:r>
      <w:r>
        <w:t>Luke’s</w:t>
      </w:r>
      <w:r w:rsidRPr="002C74C5">
        <w:t xml:space="preserve"> (2005) third dimension of power clarifies how these procedures silence alternatives, presenting restrictive criteria as technical necessities rather than political choices. In Preston, benefit reassessments and housing allocation processes illustrate how bureaucratic routines reproduce inequality by framing disabled people as burdens or risks rather than contributors.</w:t>
      </w:r>
    </w:p>
    <w:p w14:paraId="4E6E204D" w14:textId="77777777" w:rsidR="009E3126" w:rsidRPr="002C74C5" w:rsidRDefault="009E3126" w:rsidP="009E3126">
      <w:r w:rsidRPr="002C74C5">
        <w:t xml:space="preserve">Yet structures are not static. They contain openings for contestation. For example, grievance procedures and appeals processes provide channels through which disabled residents can challenge decisions. While these mechanisms often reproduce power imbalances—requiring claimants to navigate complex rules and provide extensive documentation—they also create opportunities for collective mobilisation. Union advocacy and </w:t>
      </w:r>
      <w:r>
        <w:t>peer-led</w:t>
      </w:r>
      <w:r w:rsidRPr="002C74C5">
        <w:t xml:space="preserve"> support groups in Preston </w:t>
      </w:r>
    </w:p>
    <w:p w14:paraId="71DA0DC6" w14:textId="77777777" w:rsidR="009E3126" w:rsidRPr="002C74C5" w:rsidRDefault="009E3126" w:rsidP="009E3126">
      <w:r w:rsidRPr="002C74C5">
        <w:t>have used these openings to contest unfair assessments, reframing individual grievances as systemic injustices.</w:t>
      </w:r>
    </w:p>
    <w:p w14:paraId="554F6308" w14:textId="77777777" w:rsidR="009E3126" w:rsidRPr="002C74C5" w:rsidRDefault="009E3126" w:rsidP="009E3126">
      <w:r w:rsidRPr="002C74C5">
        <w:lastRenderedPageBreak/>
        <w:t>Bourdieu’s (1990) concept of symbolic violence further illuminates how deficit</w:t>
      </w:r>
      <w:r w:rsidRPr="002C74C5">
        <w:noBreakHyphen/>
        <w:t>based attributions become normalised. Educational institutions, for instance, transmit cultural capital that privileges dominant norms of communication and cognition. This symbolic violence shapes aspirations and identities, discouraging disabled pupils from pursuing higher education or leadership roles. However, community initiatives such as the Preston Co</w:t>
      </w:r>
      <w:r w:rsidRPr="002C74C5">
        <w:noBreakHyphen/>
        <w:t>operative Education Centre challenge these dynamics by revaluing lived expertise and creating spaces where disabled people’s knowledge is recognised as legitimate.</w:t>
      </w:r>
    </w:p>
    <w:p w14:paraId="61971EB8" w14:textId="77777777" w:rsidR="009E3126" w:rsidRDefault="009E3126" w:rsidP="009E3126">
      <w:r w:rsidRPr="002C74C5">
        <w:t>Agency is therefore exercised not only through formal appeals but also through everyday practices of resistance. Disabled residents negotiate home adaptations, organise peer</w:t>
      </w:r>
      <w:r w:rsidRPr="002C74C5">
        <w:noBreakHyphen/>
        <w:t>led workshops, and campaign for accessible transport. These actions may appear small, but collectively they reshape the local governance landscape. They exemplify what Giddens describes as the recursive nature of social practices: each act of negotiation or resistance feeds back into the structures that shape future possibilities.</w:t>
      </w:r>
    </w:p>
    <w:p w14:paraId="7D82597F" w14:textId="77777777" w:rsidR="009E3126" w:rsidRPr="002C74C5" w:rsidRDefault="009E3126" w:rsidP="009E3126">
      <w:pPr>
        <w:rPr>
          <w:b/>
          <w:bCs/>
        </w:rPr>
      </w:pPr>
      <w:r w:rsidRPr="002C74C5">
        <w:rPr>
          <w:b/>
          <w:bCs/>
        </w:rPr>
        <w:t>Section 4: Unpaid Labour and the Participation Paradox</w:t>
      </w:r>
    </w:p>
    <w:p w14:paraId="0CB0697B" w14:textId="77777777" w:rsidR="009E3126" w:rsidRPr="002C74C5" w:rsidRDefault="009E3126" w:rsidP="009E3126">
      <w:r w:rsidRPr="002C74C5">
        <w:t>Disabled people’s unpaid labour is central to sustaining everyday life in Preston, yet it remains largely invisible in official accounting and policy frameworks. This labour takes many forms: caregiving for family members, advocacy in welfare disputes, peer mentoring within community groups, and the emotional work of navigating inaccessible systems. While such contributions are vital to the functioning of local support networks, they are rarely recognised as infrastructure. Instead, municipal budgets record contracted services while excluding informal contributions, creating a distorted picture of resource allocation. This invisibility legitimises austerity by allowing policymakers to claim efficiency while relying on unpaid labour to fill gaps left by cuts.</w:t>
      </w:r>
    </w:p>
    <w:p w14:paraId="66CB4F66" w14:textId="77777777" w:rsidR="009E3126" w:rsidRPr="002C74C5" w:rsidRDefault="009E3126" w:rsidP="009E3126">
      <w:r w:rsidRPr="002C74C5">
        <w:t>Social reproduction theory (Bhattacharya &amp; Vogel, 2017) helps explain why this invisibility matters. By highlighting the unpaid labours that sustain social life, the theory insists that society is reproduced not only through waged work but also through caregiving, advocacy, and mutual aid. In Preston, disabled people and carers provide precisely these forms of labour, ensuring that community networks remain viable despite shrinking public provision. Yet because this labour is not counted, it is treated as expendable, reinforcing inequality and undermining sustainability.</w:t>
      </w:r>
    </w:p>
    <w:p w14:paraId="20B1F358" w14:textId="77777777" w:rsidR="009E3126" w:rsidRDefault="009E3126" w:rsidP="009E3126">
      <w:r w:rsidRPr="002C74C5">
        <w:t>Beresford’s (2016) concept of the “participation paradox” further clarifies how institutions exploit unpaid labour while denying genuine power. Disabled people are often invited to consult on policy or service design, but their contributions are framed as voluntary input rather than authoritative expertise. This tokenistic inclusion allows organisations to claim engagement without ceding control over budgets, agendas, or evaluation frameworks. In practice, disabled people provide unpaid labour by attending meetings, sharing lived experience, and drafting recommendations, yet decisions remain in the hands of professionals and managers.</w:t>
      </w:r>
      <w:r>
        <w:t xml:space="preserve"> </w:t>
      </w:r>
      <w:r w:rsidRPr="002C74C5">
        <w:t xml:space="preserve">Importantly, structural dynamics also highlight the role of unpaid labour. Caregiving, advocacy, and mutual aid sustain Preston’s support networks, yet remain invisible in official accounting. </w:t>
      </w:r>
    </w:p>
    <w:p w14:paraId="65D13109" w14:textId="77777777" w:rsidR="009E3126" w:rsidRPr="002C74C5" w:rsidRDefault="009E3126" w:rsidP="009E3126">
      <w:r w:rsidRPr="002C74C5">
        <w:lastRenderedPageBreak/>
        <w:t>This invisibility legitimises austerity by allowing policymakers to ignore the infrastructure maintained by disabled people and carers. Bhattacharya and Vogel’s (2017) insistence that “human labour is at the heart of creating or reproducing society as a whole” underscores the need to make this labour legible. Recognising unpaid contributions as infrastructure would shift fiscal vocabularies and challenge the austerity narrative.</w:t>
      </w:r>
      <w:r>
        <w:t xml:space="preserve"> </w:t>
      </w:r>
      <w:r w:rsidRPr="002C74C5">
        <w:t>In sum, structural dynamics in Preston reveal how exclusion is embedded in routine practices and normative assumptions, but also how agency is exercised within and against these structures. Disabled people are not passive recipients of policy; they are active negotiators who contest exclusion and model alternative forms of governance. Understanding this interplay between structure and agency is crucial for developing strategies that move beyond compliance toward equity and co</w:t>
      </w:r>
      <w:r w:rsidRPr="002C74C5">
        <w:noBreakHyphen/>
        <w:t>production.</w:t>
      </w:r>
    </w:p>
    <w:p w14:paraId="25531DB5" w14:textId="77777777" w:rsidR="009E3126" w:rsidRPr="002C74C5" w:rsidRDefault="009E3126" w:rsidP="009E3126">
      <w:r w:rsidRPr="002C74C5">
        <w:t>Fricker’s (2007) notion of epistemic injustice adds another layer. Testimonial injustice occurs when lived testimony is discredited, while hermeneutical injustice arises when experiences are misinterpreted due to inadequate conceptual resources. In Preston, both forms are evident. Disabled residents may recount the exhaustion of navigating inaccessible transport or the stress of repeated benefit reassessments, but officials often dismiss these accounts as anecdotal or subjective. The result is that unpaid labour is not only invisible but also devalued, reinforcing the cycle of exclusion.</w:t>
      </w:r>
    </w:p>
    <w:p w14:paraId="00A770C4" w14:textId="77777777" w:rsidR="009E3126" w:rsidRPr="002C74C5" w:rsidRDefault="009E3126" w:rsidP="009E3126">
      <w:r w:rsidRPr="002C74C5">
        <w:t xml:space="preserve">Local examples illustrate these dynamics. </w:t>
      </w:r>
      <w:r>
        <w:t>Peer-led</w:t>
      </w:r>
      <w:r w:rsidRPr="002C74C5">
        <w:t xml:space="preserve"> advocacy groups in Preston provide support for Personal Independence Payment appeals, often succeeding where formal advice services fail. These groups operate on unpaid labour, with volunteers dedicating hours to case preparation and representation. Similarly, community workshops on digital access and budgeting are sustained by disabled activists who share expertise without remuneration. These initiatives demonstrate the value of unpaid labour, yet they also highlight the risks of burnout and dependency when recognition and resources are absent.</w:t>
      </w:r>
    </w:p>
    <w:p w14:paraId="329DB1AC" w14:textId="77777777" w:rsidR="009E3126" w:rsidRPr="002C74C5" w:rsidRDefault="009E3126" w:rsidP="009E3126">
      <w:r w:rsidRPr="002C74C5">
        <w:t>Addressing the participation paradox requires more than symbolic inclusion. It demands epistemic redistribution: granting disabled people and their organisations control over budgets, agendas, and evaluative frameworks. Co</w:t>
      </w:r>
      <w:r w:rsidRPr="002C74C5">
        <w:noBreakHyphen/>
        <w:t>production must move beyond consultation to genuine power</w:t>
      </w:r>
      <w:r w:rsidRPr="002C74C5">
        <w:noBreakHyphen/>
        <w:t>sharing, where unpaid labour is recognised as infrastructure and resourced accordingly. This would not only challenge austerity narratives but also strengthen democratic accountability by embedding lived experience into governance.</w:t>
      </w:r>
    </w:p>
    <w:p w14:paraId="66B5DC3D" w14:textId="77777777" w:rsidR="009E3126" w:rsidRDefault="009E3126" w:rsidP="009E3126">
      <w:r w:rsidRPr="002C74C5">
        <w:t>In sum, unpaid labour in Preston sustains community resilience but remains invisible and undervalued. The participation paradox shows how institutions exploit this labour while denying authority, and epistemic injustice explains how lived knowledge is discredited. Recognising and resourcing unpaid labour is therefore essential for building inclusive systems that value disabled people not as passive consultees but as active producers of social knowledge and civic transformation.</w:t>
      </w:r>
    </w:p>
    <w:p w14:paraId="69CF03CF" w14:textId="77777777" w:rsidR="009E3126" w:rsidRPr="0075713F" w:rsidRDefault="009E3126" w:rsidP="009E3126">
      <w:pPr>
        <w:rPr>
          <w:b/>
          <w:bCs/>
        </w:rPr>
      </w:pPr>
      <w:r w:rsidRPr="0075713F">
        <w:rPr>
          <w:b/>
          <w:bCs/>
        </w:rPr>
        <w:t xml:space="preserve">Section 5: </w:t>
      </w:r>
      <w:r>
        <w:rPr>
          <w:b/>
          <w:bCs/>
        </w:rPr>
        <w:t>Health-Related</w:t>
      </w:r>
      <w:r w:rsidRPr="0075713F">
        <w:rPr>
          <w:b/>
          <w:bCs/>
        </w:rPr>
        <w:t xml:space="preserve"> Exclusion</w:t>
      </w:r>
    </w:p>
    <w:p w14:paraId="45D21715" w14:textId="77777777" w:rsidR="009E3126" w:rsidRPr="0075713F" w:rsidRDefault="009E3126" w:rsidP="009E3126">
      <w:r w:rsidRPr="0075713F">
        <w:lastRenderedPageBreak/>
        <w:t>Health systems in Preston reveal how exclusion is reproduced through bureaucratic descriptors, diagnostic thresholds, and austerity narratives that present themselves as neutral but carry profound normative force. Eligibility criteria for disability benefits and social care often medicalise variations in mobility, cognition, or mental health, reducing complex lived realities to checkboxes. This framing renders exclusion technical rather than political, obscuring the moral choices embedded in resource allocation and presenting restrictive measures as unavoidable efficiency.</w:t>
      </w:r>
    </w:p>
    <w:p w14:paraId="27CC5646" w14:textId="77777777" w:rsidR="009E3126" w:rsidRPr="0075713F" w:rsidRDefault="009E3126" w:rsidP="009E3126">
      <w:r>
        <w:t>Luke’s</w:t>
      </w:r>
      <w:r w:rsidRPr="0075713F">
        <w:t xml:space="preserve"> (2005) third dimension of power is particularly relevant here. By shaping what counts as legitimate need, austerity discourses normalise cuts and silence alternatives. Disabled people are positioned as burdens on the system, and restrictive eligibility criteria are justified as rational management. In practice, this means that many residents in Preston are denied support not because their needs are absent but because they do not fit narrow descriptors. The silencing of alternative framings—such as disability as a social barrier rather than a medical deficit—illustrates how ideological power operates.</w:t>
      </w:r>
    </w:p>
    <w:p w14:paraId="65168682" w14:textId="77777777" w:rsidR="009E3126" w:rsidRPr="0075713F" w:rsidRDefault="009E3126" w:rsidP="009E3126">
      <w:r w:rsidRPr="0075713F">
        <w:t xml:space="preserve">Giddens’ (1984) structuration theory helps explain how these practices are reproduced. Assessment routines, benefit reviews, and medical examinations are institutionalised procedures that both constrain and enable action. They reproduce exclusion by embedding deficit assumptions into everyday practice, yet they also provide sites for contestation. Appeals processes, grievance mechanisms, and advocacy campaigns allow disabled residents to challenge decisions, converting lived experience into institutional capital. In Preston, union advocacy and </w:t>
      </w:r>
      <w:r>
        <w:t>peer-led</w:t>
      </w:r>
      <w:r w:rsidRPr="0075713F">
        <w:t xml:space="preserve"> support groups have successfully contested unfair assessments, reframing individual grievances as systemic injustices.</w:t>
      </w:r>
    </w:p>
    <w:p w14:paraId="2C330338" w14:textId="77777777" w:rsidR="009E3126" w:rsidRPr="0075713F" w:rsidRDefault="009E3126" w:rsidP="009E3126">
      <w:r w:rsidRPr="0075713F">
        <w:t xml:space="preserve">Bourdieu’s (1990) concept of symbolic violence further illuminates the dynamics at play. By privileging medicalised definitions of disability, institutions impose deficit identities that shape </w:t>
      </w:r>
      <w:r>
        <w:t>self-perception</w:t>
      </w:r>
      <w:r w:rsidRPr="0075713F">
        <w:t xml:space="preserve"> and aspirations. This symbolic violence is subtle but pervasive, discouraging disabled people from seeing themselves as contributors to civic life. It is reinforced by organisational routines that treat accessibility adjustments as exceptional rather than standard, perpetuating stigma and marginalisation.</w:t>
      </w:r>
    </w:p>
    <w:p w14:paraId="3C0F3497" w14:textId="77777777" w:rsidR="009E3126" w:rsidRPr="0075713F" w:rsidRDefault="009E3126" w:rsidP="009E3126">
      <w:r w:rsidRPr="0075713F">
        <w:t xml:space="preserve">Local examples highlight these dynamics. Disabled residents often face repeated reassessments for Personal Independence Payment, creating cycles of uncertainty and stress. Community organisations in Preston report that many claimants are forced to appeal decisions, with success rates indicating systemic flaws in initial assessments. </w:t>
      </w:r>
      <w:r>
        <w:t>Peer-led</w:t>
      </w:r>
      <w:r w:rsidRPr="0075713F">
        <w:t xml:space="preserve"> advocacy groups provide unpaid support in navigating these processes, demonstrating both the resilience of disabled communities and the invisibility of their labour.</w:t>
      </w:r>
    </w:p>
    <w:p w14:paraId="2E615601" w14:textId="77777777" w:rsidR="009E3126" w:rsidRPr="0075713F" w:rsidRDefault="009E3126" w:rsidP="009E3126">
      <w:r w:rsidRPr="0075713F">
        <w:t xml:space="preserve">Bhattacharya and Vogel’s (2017) insistence that “human labour is at the heart of creating or reproducing society as a whole” underscores the importance of recognising unpaid caregiving and mutual aid. In Preston, everyday acts of support—helping neighbours with medication, accompanying friends to medical appointments, or sharing knowledge about accessible services—sustain health systems but remain absent from budgets. This invisibility legitimises </w:t>
      </w:r>
      <w:r w:rsidRPr="0075713F">
        <w:lastRenderedPageBreak/>
        <w:t>austerity by allowing policymakers to ignore the infrastructure maintained by disabled people and carers.</w:t>
      </w:r>
    </w:p>
    <w:p w14:paraId="672D3356" w14:textId="77777777" w:rsidR="009E3126" w:rsidRPr="0075713F" w:rsidRDefault="009E3126" w:rsidP="009E3126">
      <w:r w:rsidRPr="0075713F">
        <w:t xml:space="preserve">In sum, </w:t>
      </w:r>
      <w:r>
        <w:t>health-related</w:t>
      </w:r>
      <w:r w:rsidRPr="0075713F">
        <w:t xml:space="preserve"> exclusion in Preston is reproduced through eligibility criteria, medicalised descriptors, and austerity narratives that silence alternative framings. Yet structures also contain </w:t>
      </w:r>
    </w:p>
    <w:p w14:paraId="4C175550" w14:textId="77777777" w:rsidR="009E3126" w:rsidRDefault="009E3126" w:rsidP="009E3126">
      <w:r w:rsidRPr="0075713F">
        <w:t>openings for resistance, as appeals, advocacy, and peer support challenge exclusionary practices. Recognising unpaid labour as infrastructure and reframing disability as a social barrier rather than a medical deficit are essential steps toward building inclusive health systems that value disabled people as active contributors rather than passive recipients.</w:t>
      </w:r>
    </w:p>
    <w:p w14:paraId="3630CD8F" w14:textId="77777777" w:rsidR="009E3126" w:rsidRPr="0075713F" w:rsidRDefault="009E3126" w:rsidP="009E3126">
      <w:pPr>
        <w:rPr>
          <w:b/>
          <w:bCs/>
        </w:rPr>
      </w:pPr>
      <w:r w:rsidRPr="0075713F">
        <w:rPr>
          <w:b/>
          <w:bCs/>
        </w:rPr>
        <w:t>Section 6: Educational Exclusion and Community Alternatives</w:t>
      </w:r>
    </w:p>
    <w:p w14:paraId="094AA538" w14:textId="77777777" w:rsidR="009E3126" w:rsidRPr="0075713F" w:rsidRDefault="009E3126" w:rsidP="009E3126">
      <w:r w:rsidRPr="0075713F">
        <w:t>Education in Preston illustrates how exclusion is reproduced through curricula, assessment regimes, and institutional routines that privilege dominant norms of communication and cognition. Schools and colleges often rely on standardised testing and rigid performance measures that disadvantage pupils who use augmentative communication, embodied learning, or alternative modes of expression. These practices appear neutral but carry normative assumptions about ability, embedding exclusion into everyday educational routines.</w:t>
      </w:r>
    </w:p>
    <w:p w14:paraId="0FB106A6" w14:textId="77777777" w:rsidR="009E3126" w:rsidRPr="0075713F" w:rsidRDefault="009E3126" w:rsidP="009E3126">
      <w:r w:rsidRPr="0075713F">
        <w:t xml:space="preserve">Bourdieu and </w:t>
      </w:r>
      <w:proofErr w:type="spellStart"/>
      <w:r w:rsidRPr="0075713F">
        <w:t>Passeron’s</w:t>
      </w:r>
      <w:proofErr w:type="spellEnd"/>
      <w:r w:rsidRPr="0075713F">
        <w:t xml:space="preserve"> (1990) theory of symbolic violence helps explain how </w:t>
      </w:r>
      <w:r>
        <w:t>deficit-based</w:t>
      </w:r>
      <w:r w:rsidRPr="0075713F">
        <w:t xml:space="preserve"> attributions become naturalised. By privileging dominant cultural capital—such as fluency in written English or conformity to behavioural expectations—schools reproduce inequality across generations. Disabled pupils are often positioned as deficient, requiring remediation rather than recognition, which shapes aspirations and </w:t>
      </w:r>
      <w:r>
        <w:t>self-perceptions</w:t>
      </w:r>
      <w:r w:rsidRPr="0075713F">
        <w:t>. Patricia Hill Collins (2011) extends this analysis by showing how intersecting oppressions of class, race, and gender compound educational disadvantage, reminding us that disability cannot be analysed in isolation.</w:t>
      </w:r>
    </w:p>
    <w:p w14:paraId="1558D5B7" w14:textId="77777777" w:rsidR="009E3126" w:rsidRPr="0075713F" w:rsidRDefault="009E3126" w:rsidP="009E3126">
      <w:r w:rsidRPr="0075713F">
        <w:t xml:space="preserve">Research by Bacon and </w:t>
      </w:r>
      <w:proofErr w:type="spellStart"/>
      <w:r w:rsidRPr="0075713F">
        <w:t>Lalvani</w:t>
      </w:r>
      <w:proofErr w:type="spellEnd"/>
      <w:r w:rsidRPr="0075713F">
        <w:t xml:space="preserve"> (2019) demonstrates how ableist narratives constrain aspirations, with teachers and administrators often discouraging disabled pupils from pursuing higher education or leadership roles. Hernández</w:t>
      </w:r>
      <w:r w:rsidRPr="0075713F">
        <w:noBreakHyphen/>
        <w:t xml:space="preserve">Saca (2025) argues for intersectional approaches that recognise how disability interacts with other identities, challenging deficit models and advocating for pluralised forms of assessment. These insights resonate in Preston, where disabled pupils report being channelled into limited vocational pathways rather than </w:t>
      </w:r>
      <w:r>
        <w:t xml:space="preserve">being </w:t>
      </w:r>
      <w:r w:rsidRPr="0075713F">
        <w:t>supported to pursue diverse ambitions.</w:t>
      </w:r>
    </w:p>
    <w:p w14:paraId="0C0B84EE" w14:textId="77777777" w:rsidR="009E3126" w:rsidRPr="0075713F" w:rsidRDefault="009E3126" w:rsidP="009E3126">
      <w:r w:rsidRPr="0075713F">
        <w:t xml:space="preserve">Research by Bacon and </w:t>
      </w:r>
      <w:proofErr w:type="spellStart"/>
      <w:r w:rsidRPr="0075713F">
        <w:t>Lalvani</w:t>
      </w:r>
      <w:proofErr w:type="spellEnd"/>
      <w:r w:rsidRPr="0075713F">
        <w:t xml:space="preserve"> (2019) demonstrates how ableist narratives constrain aspirations, with teachers and administrators often discouraging disabled pupils from pursuing higher education or leadership roles. Hernández</w:t>
      </w:r>
      <w:r w:rsidRPr="0075713F">
        <w:noBreakHyphen/>
        <w:t xml:space="preserve">Saca (2025) argues for intersectional approaches that recognise how disability interacts with other identities, challenging deficit models and advocating for pluralised forms of assessment. These insights resonate in Preston, where disabled pupils report being channelled into limited vocational pathways rather than </w:t>
      </w:r>
      <w:r>
        <w:t xml:space="preserve">being </w:t>
      </w:r>
      <w:r w:rsidRPr="0075713F">
        <w:t>supported to pursue diverse ambitions.</w:t>
      </w:r>
    </w:p>
    <w:p w14:paraId="30F761D3" w14:textId="77777777" w:rsidR="009E3126" w:rsidRPr="0075713F" w:rsidRDefault="009E3126" w:rsidP="009E3126">
      <w:r w:rsidRPr="0075713F">
        <w:lastRenderedPageBreak/>
        <w:t xml:space="preserve">Community responses have emerged to contest these dynamics. The Preston </w:t>
      </w:r>
      <w:r>
        <w:t>Co-operative</w:t>
      </w:r>
      <w:r w:rsidRPr="0075713F">
        <w:t xml:space="preserve"> Education Centre provides workshops on digital access, benefits navigation, and critical literacy, empowering residents to challenge exclusionary practices. By revaluing lived expertise, the Centre positions disabled people as knowledge producers rather than passive recipients. Similarly, the Disability Solidarity Network runs </w:t>
      </w:r>
      <w:r>
        <w:t>peer-led</w:t>
      </w:r>
      <w:r w:rsidRPr="0075713F">
        <w:t xml:space="preserve"> sessions on budgeting, advocacy, and rights awareness, creating spaces where disabled residents can share strategies and build collective confidence. These initiatives exemplify how grassroots organisations can reconfigure education around equity and agency.</w:t>
      </w:r>
    </w:p>
    <w:p w14:paraId="1D709A72" w14:textId="77777777" w:rsidR="009E3126" w:rsidRPr="0075713F" w:rsidRDefault="009E3126" w:rsidP="009E3126">
      <w:r w:rsidRPr="0075713F">
        <w:t>Such community alternatives also challenge epistemic injustice. Fricker’s (2007) distinction between testimonial and hermeneutical injustice is evident in mainstream education, where disabled pupils’ experiences are often dismissed or misinterpreted. By centring lived knowledge, community organisations provide conceptual resources that make these experiences intelligible and authoritative. This not only empowers individuals but also strengthens collective capacity to demand systemic change.</w:t>
      </w:r>
    </w:p>
    <w:p w14:paraId="03E1C323" w14:textId="77777777" w:rsidR="009E3126" w:rsidRPr="0075713F" w:rsidRDefault="009E3126" w:rsidP="009E3126">
      <w:r w:rsidRPr="0075713F">
        <w:t xml:space="preserve">The persistence of exclusion in formal education underscores the need for structural reform. Pluralising assessment methods, embedding accessibility into curricula, and recognising diverse modes of learning are essential steps. At the same time, supporting </w:t>
      </w:r>
      <w:r>
        <w:t>community-led</w:t>
      </w:r>
      <w:r w:rsidRPr="0075713F">
        <w:t xml:space="preserve"> initiatives ensures that disabled people retain control over knowledge production and educational design. In Preston, these alternatives demonstrate that education can be reconstituted around equity, agency, and </w:t>
      </w:r>
      <w:r>
        <w:t>co-production</w:t>
      </w:r>
      <w:r w:rsidRPr="0075713F">
        <w:t>, challenging symbolic violence and deficit narratives.</w:t>
      </w:r>
    </w:p>
    <w:p w14:paraId="0707C047" w14:textId="77777777" w:rsidR="009E3126" w:rsidRPr="0075713F" w:rsidRDefault="009E3126" w:rsidP="009E3126">
      <w:r w:rsidRPr="0075713F">
        <w:t xml:space="preserve">In sum, educational exclusion in Preston is reproduced through standardised assessments and deficit framings, but community alternatives provide pathways toward epistemic justice. By revaluing lived expertise and embedding </w:t>
      </w:r>
      <w:r>
        <w:t>co-production</w:t>
      </w:r>
      <w:r w:rsidRPr="0075713F">
        <w:t>, these initiatives show how education can move beyond compliance to become a site of empowerment and democratic accountability.</w:t>
      </w:r>
    </w:p>
    <w:p w14:paraId="4F681DDD" w14:textId="77777777" w:rsidR="009E3126" w:rsidRPr="00365765" w:rsidRDefault="009E3126" w:rsidP="009E3126">
      <w:pPr>
        <w:rPr>
          <w:b/>
          <w:bCs/>
        </w:rPr>
      </w:pPr>
      <w:r w:rsidRPr="00365765">
        <w:rPr>
          <w:b/>
          <w:bCs/>
        </w:rPr>
        <w:t>Section 8: Cultural Narratives and Gatekeeping</w:t>
      </w:r>
    </w:p>
    <w:p w14:paraId="684E785B" w14:textId="77777777" w:rsidR="009E3126" w:rsidRPr="00365765" w:rsidRDefault="009E3126" w:rsidP="009E3126">
      <w:r w:rsidRPr="00365765">
        <w:t>Cultural narratives play a decisive role in shaping how disability is understood and how exclusion is reproduced in Preston. These narratives operate through media representations, meritocratic rhetoric, and institutional framings that naturalise inequality by individualising success and masking structural enablers. They are powerful precisely because they appear commonsensical, embedding stigma and deficit assumptions into everyday discourse.</w:t>
      </w:r>
    </w:p>
    <w:p w14:paraId="256C296E" w14:textId="77777777" w:rsidR="009E3126" w:rsidRPr="00365765" w:rsidRDefault="009E3126" w:rsidP="009E3126">
      <w:r w:rsidRPr="00365765">
        <w:t>Meritocracy is one of the most pervasive narratives. McNamee and Miller (2018) argue that the ideology of meritocracy obscures structural inequalities by attributing success to individual effort and failure to personal deficiency. In Preston, this narrative manifests in education and employment, where disabled people are often told to “overcome” barriers through resilience rather than expecting institutions to remove them. Such framings shift responsibility away from governance and onto individuals, reinforcing exclusion while presenting it as natural.</w:t>
      </w:r>
    </w:p>
    <w:p w14:paraId="417E29CB" w14:textId="77777777" w:rsidR="009E3126" w:rsidRPr="00365765" w:rsidRDefault="009E3126" w:rsidP="009E3126">
      <w:r w:rsidRPr="00365765">
        <w:t xml:space="preserve">Local media also contribute to these dynamics. Disabled people are frequently portrayed as heroic exceptions who triumph despite adversity. While superficially positive, Wendell (1996) warns that </w:t>
      </w:r>
      <w:r w:rsidRPr="00365765">
        <w:lastRenderedPageBreak/>
        <w:t>such tropes reinforce paternalism by positioning disabled people as inspirational objects rather than civic contributors. These narratives obscure the infrastructures—accessible transport, peer support, advocacy networks—that make participation possible, thereby sustaining the illusion that success is purely individual.</w:t>
      </w:r>
    </w:p>
    <w:p w14:paraId="20161981" w14:textId="77777777" w:rsidR="009E3126" w:rsidRPr="00365765" w:rsidRDefault="009E3126" w:rsidP="009E3126">
      <w:r w:rsidRPr="00365765">
        <w:t xml:space="preserve">Cameron’s (2013) articulation of the social model of disability provides a </w:t>
      </w:r>
      <w:r>
        <w:t>counter-narrative</w:t>
      </w:r>
      <w:r w:rsidRPr="00365765">
        <w:t>, reframing disability as the product of societal barriers rather than personal deficits. In Preston,</w:t>
      </w:r>
    </w:p>
    <w:p w14:paraId="0ADD2BA7" w14:textId="77777777" w:rsidR="009E3126" w:rsidRPr="00365765" w:rsidRDefault="009E3126" w:rsidP="009E3126">
      <w:r w:rsidRPr="00365765">
        <w:t>accessible refurbishments of public buildings exemplify this shift, though adaptations remain piecemeal and often reactive. The persistence of deficit narratives shows how cultural framings continue to dominate, even when structural reforms are attempted.</w:t>
      </w:r>
    </w:p>
    <w:p w14:paraId="61E06B93" w14:textId="77777777" w:rsidR="009E3126" w:rsidRPr="00365765" w:rsidRDefault="009E3126" w:rsidP="009E3126">
      <w:r w:rsidRPr="00365765">
        <w:t xml:space="preserve">Fricker’s (2007) concept of epistemic injustice is particularly relevant here. Testimonial injustice occurs when disabled people’s accounts are discredited, while hermeneutical injustice arises when experiences are misinterpreted due to inadequate conceptual resources. In Preston, both forms are evident in welfare assessments and media portrayals. Disabled residents’ testimonies about the stress of repeated reassessments are often dismissed as exaggeration, while broader experiences of exclusion are </w:t>
      </w:r>
      <w:proofErr w:type="spellStart"/>
      <w:r w:rsidRPr="00365765">
        <w:t>misframed</w:t>
      </w:r>
      <w:proofErr w:type="spellEnd"/>
      <w:r w:rsidRPr="00365765">
        <w:t xml:space="preserve"> as individual misfortune rather than systemic failure.</w:t>
      </w:r>
    </w:p>
    <w:p w14:paraId="798BD24C" w14:textId="77777777" w:rsidR="009E3126" w:rsidRPr="00365765" w:rsidRDefault="009E3126" w:rsidP="009E3126">
      <w:r w:rsidRPr="00365765">
        <w:t>Thompson (2003) highlights how gatekeeping mechanisms reinforce these narratives by denying opportunity. Eligibility criteria, conditionality regimes, and bureaucratic thresholds translate cultural assumptions into institutional practice. Lister (2024) notes that neoliberal conditionality compounds exclusion by shifting blame onto claimants, presenting support as contingent on compliance rather than as a right. In Preston, this is evident in benefit systems that penalise minor infractions while ignoring structural barriers to participation.</w:t>
      </w:r>
    </w:p>
    <w:p w14:paraId="040F9D08" w14:textId="77777777" w:rsidR="009E3126" w:rsidRPr="00365765" w:rsidRDefault="009E3126" w:rsidP="009E3126">
      <w:r w:rsidRPr="00365765">
        <w:t xml:space="preserve">Yet cultural narratives are not uncontested. Activists in Preston challenge deficit framings through appeals, judicial reviews, watchdog groups, and campaigns for </w:t>
      </w:r>
      <w:r>
        <w:t>co-production</w:t>
      </w:r>
      <w:r w:rsidRPr="00365765">
        <w:t xml:space="preserve">. Transparent eligibility criteria, participatory assessment boards, and responsive review procedures are already being piloted locally. Disabled People’s Organisations in Lancashire have </w:t>
      </w:r>
      <w:r>
        <w:t>co-developed peer-led</w:t>
      </w:r>
      <w:r w:rsidRPr="00365765">
        <w:t xml:space="preserve"> advocacy models for Personal Independence Payment appeals, feeding systemic insights back to authorities. Campaigns for </w:t>
      </w:r>
      <w:r>
        <w:t>co-production</w:t>
      </w:r>
      <w:r w:rsidRPr="00365765">
        <w:t xml:space="preserve"> have secured lived experience representatives on scrutiny panels, shifting focus from compliance to care.</w:t>
      </w:r>
    </w:p>
    <w:p w14:paraId="6607F347" w14:textId="77777777" w:rsidR="009E3126" w:rsidRPr="00365765" w:rsidRDefault="009E3126" w:rsidP="009E3126">
      <w:r w:rsidRPr="00365765">
        <w:t xml:space="preserve">These interventions demonstrate that cultural narratives can be reconfigured when disabled people are treated as </w:t>
      </w:r>
      <w:r>
        <w:t>co-designers</w:t>
      </w:r>
      <w:r w:rsidRPr="00365765">
        <w:t xml:space="preserve"> rather than passive recipients. By embedding lived experience into governance, Preston activists contest stigma and paternalism, replacing deficit framings with narratives of contribution and accountability. The challenge now is to scale these practices beyond pilot schemes and embed them into the architecture of public service governance, ensuring that cultural narratives support rather than undermine inclusive democracy.</w:t>
      </w:r>
    </w:p>
    <w:p w14:paraId="5A0CCD8C" w14:textId="77777777" w:rsidR="009E3126" w:rsidRPr="00365765" w:rsidRDefault="009E3126" w:rsidP="009E3126">
      <w:pPr>
        <w:rPr>
          <w:b/>
          <w:bCs/>
        </w:rPr>
      </w:pPr>
      <w:r w:rsidRPr="00365765">
        <w:rPr>
          <w:b/>
          <w:bCs/>
        </w:rPr>
        <w:t>Conclusion</w:t>
      </w:r>
    </w:p>
    <w:p w14:paraId="38365D22" w14:textId="77777777" w:rsidR="009E3126" w:rsidRPr="00365765" w:rsidRDefault="009E3126" w:rsidP="009E3126">
      <w:r w:rsidRPr="00365765">
        <w:t xml:space="preserve">This essay has examined how disability, social reproduction, and resistance intersect in Preston, showing that exclusion is not an accidental outcome but a systemic condition embedded in </w:t>
      </w:r>
      <w:r w:rsidRPr="00365765">
        <w:lastRenderedPageBreak/>
        <w:t>governance, education, organisational routines, health systems, and cultural narratives. Drawing on theorists such as Scanlon, Foucault, Lukes, Giddens, Bourdieu, Fricker, Beresford, and Ahmed, it has demonstrated how power operates across visible decisions, hidden agendas, and normative practices, embedding inequality into everyday procedures. At the same time, it has highlighted how structures are contested through union motions, conference speeches, power</w:t>
      </w:r>
      <w:r w:rsidRPr="00365765">
        <w:noBreakHyphen/>
        <w:t xml:space="preserve">mapping workshops, </w:t>
      </w:r>
      <w:r>
        <w:t>peer-led</w:t>
      </w:r>
      <w:r w:rsidRPr="00365765">
        <w:t xml:space="preserve"> education, solidarity networks, and campaigns for </w:t>
      </w:r>
      <w:r>
        <w:t>co-production</w:t>
      </w:r>
      <w:r w:rsidRPr="00365765">
        <w:t>. These interventions reveal that lived experience is not simply anecdotal but a vital source of institutional capital and democratic accountability.</w:t>
      </w:r>
    </w:p>
    <w:p w14:paraId="189FC310" w14:textId="77777777" w:rsidR="009E3126" w:rsidRPr="00365765" w:rsidRDefault="009E3126" w:rsidP="009E3126">
      <w:r w:rsidRPr="00365765">
        <w:t xml:space="preserve">The persistence of unpaid labour invisibility, tokenistic participation, and </w:t>
      </w:r>
      <w:r>
        <w:t>non-performative</w:t>
      </w:r>
      <w:r w:rsidRPr="00365765">
        <w:t xml:space="preserve"> diversity policies underscores how epistemic injustice remains embedded in governance. Yet proposals for embedding disability into appraisal systems, linking DEI metrics to KPIs, and adopting </w:t>
      </w:r>
      <w:r>
        <w:t>human-centred</w:t>
      </w:r>
      <w:r w:rsidRPr="00365765">
        <w:t xml:space="preserve"> accessibility show pathways toward structural redesign. Educational reforms that pluralise assessment and recognise diverse modes of learning point to how pedagogy can be reconstituted around equity and agency. Local activism in Preston demonstrates that gatekeeping can be reimagined as a site of accountability, with Disabled People’s Organisations piloting participatory assessment boards and </w:t>
      </w:r>
      <w:r>
        <w:t>peer-led</w:t>
      </w:r>
      <w:r w:rsidRPr="00365765">
        <w:t xml:space="preserve"> advocacy models that shift the focus from compliance to care.</w:t>
      </w:r>
    </w:p>
    <w:p w14:paraId="440AEAE5" w14:textId="77777777" w:rsidR="009E3126" w:rsidRPr="00365765" w:rsidRDefault="009E3126" w:rsidP="009E3126">
      <w:r w:rsidRPr="00365765">
        <w:t xml:space="preserve">Taken together, these insights highlight that exclusion is systemic rather than personal, but resistance is equally systemic, rooted in collective organisation, mutual aid, and </w:t>
      </w:r>
      <w:r>
        <w:t>co-production</w:t>
      </w:r>
      <w:r w:rsidRPr="00365765">
        <w:t xml:space="preserve">. The challenge now is to scale these practices beyond pilot schemes and embed them into the architecture of governance, ensuring that lived experience is not symbolically recognised but substantively empowered. Building inclusive democracy requires courage: shifting from efficiency to empathy, from compliance to </w:t>
      </w:r>
      <w:r>
        <w:t>co-production</w:t>
      </w:r>
      <w:r w:rsidRPr="00365765">
        <w:t>, and from symbolic inclusion to substantive justice.</w:t>
      </w:r>
    </w:p>
    <w:p w14:paraId="5B344464" w14:textId="71E221DD" w:rsidR="009E3126" w:rsidRPr="006D37B1" w:rsidRDefault="009E3126" w:rsidP="009E3126">
      <w:pPr>
        <w:spacing w:line="360" w:lineRule="auto"/>
        <w:rPr>
          <w:rFonts w:ascii="Arial" w:eastAsia="Arial" w:hAnsi="Arial" w:cs="Arial"/>
          <w:b/>
          <w:bCs/>
        </w:rPr>
      </w:pPr>
      <w:r w:rsidRPr="00365765">
        <w:t xml:space="preserve">Ultimately, Preston offers a microcosm of broader struggles for equity and accountability. Its </w:t>
      </w:r>
      <w:r>
        <w:t>community-led</w:t>
      </w:r>
      <w:r w:rsidRPr="00365765">
        <w:t xml:space="preserve"> initiatives, union activism, and grassroots education projects show how disabled people and their allies are already reshaping governance from below. The task ahead is to ensure that these practices are not isolated experiments but embedded into mainstream systems, transforming exclusionary routines into inclusive infrastructures. Only by embedding disabled people’s knowledge and labour into the design, evaluation, and governance of institutions can Preston—and wider society—move toward a model of equity that values diversity as a collective resource and recognises disabled people not as passive recipients of care but as active producers of social knowledge and civic transformation.</w:t>
      </w:r>
    </w:p>
    <w:p w14:paraId="405075C3" w14:textId="77777777" w:rsidR="009E3126" w:rsidRDefault="009E3126" w:rsidP="004570CE">
      <w:pPr>
        <w:jc w:val="center"/>
        <w:rPr>
          <w:b/>
          <w:bCs/>
        </w:rPr>
      </w:pPr>
    </w:p>
    <w:p w14:paraId="68469047" w14:textId="77777777" w:rsidR="009E3126" w:rsidRDefault="009E3126" w:rsidP="004570CE">
      <w:pPr>
        <w:jc w:val="center"/>
        <w:rPr>
          <w:b/>
          <w:bCs/>
        </w:rPr>
      </w:pPr>
    </w:p>
    <w:p w14:paraId="43FCB9C5" w14:textId="69C29121" w:rsidR="00F15772" w:rsidRPr="008F09F0" w:rsidRDefault="00F15772" w:rsidP="004570CE">
      <w:pPr>
        <w:jc w:val="center"/>
        <w:rPr>
          <w:b/>
          <w:bCs/>
        </w:rPr>
      </w:pPr>
      <w:r w:rsidRPr="008F09F0">
        <w:rPr>
          <w:b/>
          <w:bCs/>
        </w:rPr>
        <w:lastRenderedPageBreak/>
        <w:t>Complete Bibliography (Harvard Style)</w:t>
      </w:r>
    </w:p>
    <w:p w14:paraId="30EA11A7" w14:textId="77777777" w:rsidR="00DC6E84" w:rsidRPr="00DC6E84" w:rsidRDefault="00DC6E84" w:rsidP="00DC6E84">
      <w:pPr>
        <w:rPr>
          <w:b/>
          <w:bCs/>
        </w:rPr>
      </w:pPr>
      <w:r w:rsidRPr="00DC6E84">
        <w:rPr>
          <w:b/>
          <w:bCs/>
        </w:rPr>
        <w:t>Reference List</w:t>
      </w:r>
    </w:p>
    <w:p w14:paraId="1EB40112" w14:textId="77777777" w:rsidR="00DC6E84" w:rsidRPr="009B016F" w:rsidRDefault="00DC6E84" w:rsidP="009B016F">
      <w:pPr>
        <w:pStyle w:val="ListParagraph"/>
        <w:numPr>
          <w:ilvl w:val="0"/>
          <w:numId w:val="25"/>
        </w:numPr>
        <w:spacing w:line="360" w:lineRule="auto"/>
        <w:rPr>
          <w:rFonts w:ascii="Arial" w:hAnsi="Arial" w:cs="Arial"/>
        </w:rPr>
      </w:pPr>
      <w:r w:rsidRPr="009B016F">
        <w:rPr>
          <w:rFonts w:ascii="Arial" w:hAnsi="Arial" w:cs="Arial"/>
        </w:rPr>
        <w:t xml:space="preserve">Ahmed, S., 2012. </w:t>
      </w:r>
      <w:r w:rsidRPr="009B016F">
        <w:rPr>
          <w:rFonts w:ascii="Arial" w:hAnsi="Arial" w:cs="Arial"/>
          <w:i/>
          <w:iCs/>
        </w:rPr>
        <w:t>On Being Included: Racism and Diversity in Institutional Life</w:t>
      </w:r>
      <w:r w:rsidRPr="009B016F">
        <w:rPr>
          <w:rFonts w:ascii="Arial" w:hAnsi="Arial" w:cs="Arial"/>
        </w:rPr>
        <w:t>. Durham, NC: Duke University Press.</w:t>
      </w:r>
    </w:p>
    <w:p w14:paraId="7A99DB5D" w14:textId="77777777" w:rsidR="00DC6E84" w:rsidRPr="009B016F" w:rsidRDefault="00DC6E84" w:rsidP="009B016F">
      <w:pPr>
        <w:pStyle w:val="ListParagraph"/>
        <w:numPr>
          <w:ilvl w:val="0"/>
          <w:numId w:val="25"/>
        </w:numPr>
        <w:spacing w:line="360" w:lineRule="auto"/>
        <w:rPr>
          <w:rFonts w:ascii="Arial" w:hAnsi="Arial" w:cs="Arial"/>
        </w:rPr>
      </w:pPr>
      <w:r w:rsidRPr="009B016F">
        <w:rPr>
          <w:rFonts w:ascii="Arial" w:hAnsi="Arial" w:cs="Arial"/>
        </w:rPr>
        <w:t xml:space="preserve">Amis, J.M., Mair, J. and Munir, K.A., 2020. The organisational reproduction of inequality. </w:t>
      </w:r>
      <w:r w:rsidRPr="009B016F">
        <w:rPr>
          <w:rFonts w:ascii="Arial" w:hAnsi="Arial" w:cs="Arial"/>
          <w:i/>
          <w:iCs/>
        </w:rPr>
        <w:t>Academy of Management Annals</w:t>
      </w:r>
      <w:r w:rsidRPr="009B016F">
        <w:rPr>
          <w:rFonts w:ascii="Arial" w:hAnsi="Arial" w:cs="Arial"/>
        </w:rPr>
        <w:t>, 14(1), pp.195–230. https://doi.org/10.5465/annals.2017.0033</w:t>
      </w:r>
    </w:p>
    <w:p w14:paraId="7B817817" w14:textId="77777777" w:rsidR="00DC6E84" w:rsidRPr="009B016F" w:rsidRDefault="00DC6E84" w:rsidP="009B016F">
      <w:pPr>
        <w:pStyle w:val="ListParagraph"/>
        <w:numPr>
          <w:ilvl w:val="0"/>
          <w:numId w:val="25"/>
        </w:numPr>
        <w:spacing w:line="360" w:lineRule="auto"/>
        <w:rPr>
          <w:rFonts w:ascii="Arial" w:hAnsi="Arial" w:cs="Arial"/>
        </w:rPr>
      </w:pPr>
      <w:r w:rsidRPr="009B016F">
        <w:rPr>
          <w:rFonts w:ascii="Arial" w:hAnsi="Arial" w:cs="Arial"/>
        </w:rPr>
        <w:t xml:space="preserve">Bacon, J. and Lalvani, P., 2019. Disability studies and critical pedagogy: rethinking curriculum, teaching and teacher education. </w:t>
      </w:r>
      <w:r w:rsidRPr="009B016F">
        <w:rPr>
          <w:rFonts w:ascii="Arial" w:hAnsi="Arial" w:cs="Arial"/>
          <w:i/>
          <w:iCs/>
        </w:rPr>
        <w:t>International Journal of Inclusive Education</w:t>
      </w:r>
      <w:r w:rsidRPr="009B016F">
        <w:rPr>
          <w:rFonts w:ascii="Arial" w:hAnsi="Arial" w:cs="Arial"/>
        </w:rPr>
        <w:t>, 23(6), pp.587–602.</w:t>
      </w:r>
    </w:p>
    <w:p w14:paraId="30E90D8E" w14:textId="77777777" w:rsidR="00DC6E84" w:rsidRPr="009B016F" w:rsidRDefault="00DC6E84" w:rsidP="009B016F">
      <w:pPr>
        <w:pStyle w:val="ListParagraph"/>
        <w:numPr>
          <w:ilvl w:val="0"/>
          <w:numId w:val="25"/>
        </w:numPr>
        <w:spacing w:line="360" w:lineRule="auto"/>
        <w:rPr>
          <w:rFonts w:ascii="Arial" w:hAnsi="Arial" w:cs="Arial"/>
        </w:rPr>
      </w:pPr>
      <w:r w:rsidRPr="009B016F">
        <w:rPr>
          <w:rFonts w:ascii="Arial" w:hAnsi="Arial" w:cs="Arial"/>
        </w:rPr>
        <w:t xml:space="preserve">Beresford, P., 2016. </w:t>
      </w:r>
      <w:r w:rsidRPr="009B016F">
        <w:rPr>
          <w:rFonts w:ascii="Arial" w:hAnsi="Arial" w:cs="Arial"/>
          <w:i/>
          <w:iCs/>
        </w:rPr>
        <w:t>All Our Welfare: Towards Participatory Social Policy</w:t>
      </w:r>
      <w:r w:rsidRPr="009B016F">
        <w:rPr>
          <w:rFonts w:ascii="Arial" w:hAnsi="Arial" w:cs="Arial"/>
        </w:rPr>
        <w:t>. Bristol: Policy Press.</w:t>
      </w:r>
    </w:p>
    <w:p w14:paraId="77B9DC85" w14:textId="77777777" w:rsidR="00DC6E84" w:rsidRPr="009B016F" w:rsidRDefault="00DC6E84" w:rsidP="009B016F">
      <w:pPr>
        <w:pStyle w:val="ListParagraph"/>
        <w:numPr>
          <w:ilvl w:val="0"/>
          <w:numId w:val="25"/>
        </w:numPr>
        <w:spacing w:line="360" w:lineRule="auto"/>
        <w:rPr>
          <w:rFonts w:ascii="Arial" w:hAnsi="Arial" w:cs="Arial"/>
        </w:rPr>
      </w:pPr>
      <w:r w:rsidRPr="009B016F">
        <w:rPr>
          <w:rFonts w:ascii="Arial" w:hAnsi="Arial" w:cs="Arial"/>
        </w:rPr>
        <w:t xml:space="preserve">Bhattacharya, T. and Vogel, L., 2017. </w:t>
      </w:r>
      <w:r w:rsidRPr="009B016F">
        <w:rPr>
          <w:rFonts w:ascii="Arial" w:hAnsi="Arial" w:cs="Arial"/>
          <w:i/>
          <w:iCs/>
        </w:rPr>
        <w:t xml:space="preserve">Social Reproduction Theory: Remapping Class, </w:t>
      </w:r>
    </w:p>
    <w:p w14:paraId="00B63DF3" w14:textId="755A065A" w:rsidR="00E26F07" w:rsidRPr="009B016F" w:rsidRDefault="00E26F07" w:rsidP="009B016F">
      <w:pPr>
        <w:pStyle w:val="NormalWeb"/>
        <w:numPr>
          <w:ilvl w:val="0"/>
          <w:numId w:val="25"/>
        </w:numPr>
        <w:spacing w:line="360" w:lineRule="auto"/>
        <w:rPr>
          <w:rFonts w:ascii="Arial" w:hAnsi="Arial" w:cs="Arial"/>
        </w:rPr>
      </w:pPr>
      <w:proofErr w:type="spellStart"/>
      <w:r w:rsidRPr="009B016F">
        <w:rPr>
          <w:rStyle w:val="Emphasis"/>
          <w:rFonts w:ascii="Arial" w:eastAsiaTheme="majorEastAsia" w:hAnsi="Arial" w:cs="Arial"/>
        </w:rPr>
        <w:t>Recentering</w:t>
      </w:r>
      <w:proofErr w:type="spellEnd"/>
      <w:r w:rsidRPr="009B016F">
        <w:rPr>
          <w:rStyle w:val="Emphasis"/>
          <w:rFonts w:ascii="Arial" w:eastAsiaTheme="majorEastAsia" w:hAnsi="Arial" w:cs="Arial"/>
        </w:rPr>
        <w:t xml:space="preserve"> Oppression</w:t>
      </w:r>
      <w:r w:rsidRPr="009B016F">
        <w:rPr>
          <w:rFonts w:ascii="Arial" w:hAnsi="Arial" w:cs="Arial"/>
        </w:rPr>
        <w:t>. London: Pluto Press.</w:t>
      </w:r>
    </w:p>
    <w:p w14:paraId="6A734F5E" w14:textId="19B29253" w:rsidR="00E26F07" w:rsidRPr="009B016F" w:rsidRDefault="00E26F07" w:rsidP="009B016F">
      <w:pPr>
        <w:pStyle w:val="NormalWeb"/>
        <w:numPr>
          <w:ilvl w:val="0"/>
          <w:numId w:val="25"/>
        </w:numPr>
        <w:spacing w:line="360" w:lineRule="auto"/>
        <w:rPr>
          <w:rFonts w:ascii="Arial" w:hAnsi="Arial" w:cs="Arial"/>
        </w:rPr>
      </w:pPr>
      <w:r w:rsidRPr="009B016F">
        <w:rPr>
          <w:rFonts w:ascii="Arial" w:hAnsi="Arial" w:cs="Arial"/>
        </w:rPr>
        <w:t xml:space="preserve">Blundell, P., 2025. </w:t>
      </w:r>
      <w:r w:rsidRPr="009B016F">
        <w:rPr>
          <w:rStyle w:val="Emphasis"/>
          <w:rFonts w:ascii="Arial" w:eastAsiaTheme="majorEastAsia" w:hAnsi="Arial" w:cs="Arial"/>
        </w:rPr>
        <w:t>Title of the document</w:t>
      </w:r>
      <w:r w:rsidRPr="009B016F">
        <w:rPr>
          <w:rFonts w:ascii="Arial" w:hAnsi="Arial" w:cs="Arial"/>
        </w:rPr>
        <w:t>. Appendices 1–6. [Unpublished manuscript].</w:t>
      </w:r>
    </w:p>
    <w:p w14:paraId="64B8BCE9" w14:textId="72A435B8" w:rsidR="00E26F07" w:rsidRPr="009B016F" w:rsidRDefault="00E26F07" w:rsidP="009B016F">
      <w:pPr>
        <w:pStyle w:val="NormalWeb"/>
        <w:numPr>
          <w:ilvl w:val="0"/>
          <w:numId w:val="25"/>
        </w:numPr>
        <w:spacing w:line="360" w:lineRule="auto"/>
        <w:rPr>
          <w:rFonts w:ascii="Arial" w:hAnsi="Arial" w:cs="Arial"/>
        </w:rPr>
      </w:pPr>
      <w:r w:rsidRPr="009B016F">
        <w:rPr>
          <w:rFonts w:ascii="Arial" w:hAnsi="Arial" w:cs="Arial"/>
        </w:rPr>
        <w:t xml:space="preserve">Bottomley, M., Bradley, J. and Daw Srdanovic, B., 2024. Co-producing ethics guidelines together with people with learning disabilities. </w:t>
      </w:r>
      <w:r w:rsidRPr="009B016F">
        <w:rPr>
          <w:rStyle w:val="Emphasis"/>
          <w:rFonts w:ascii="Arial" w:eastAsiaTheme="majorEastAsia" w:hAnsi="Arial" w:cs="Arial"/>
        </w:rPr>
        <w:t>British Journal of Learning Disabilities</w:t>
      </w:r>
      <w:r w:rsidRPr="009B016F">
        <w:rPr>
          <w:rFonts w:ascii="Arial" w:hAnsi="Arial" w:cs="Arial"/>
        </w:rPr>
        <w:t>, 52(4), pp.611–632. https://doi.org/10.1111/bld.12590</w:t>
      </w:r>
    </w:p>
    <w:p w14:paraId="1E34344D" w14:textId="20ADBD32" w:rsidR="00E26F07" w:rsidRPr="009B016F" w:rsidRDefault="00E26F07" w:rsidP="009B016F">
      <w:pPr>
        <w:pStyle w:val="NormalWeb"/>
        <w:numPr>
          <w:ilvl w:val="0"/>
          <w:numId w:val="25"/>
        </w:numPr>
        <w:spacing w:line="360" w:lineRule="auto"/>
        <w:rPr>
          <w:rFonts w:ascii="Arial" w:hAnsi="Arial" w:cs="Arial"/>
        </w:rPr>
      </w:pPr>
      <w:r w:rsidRPr="009B016F">
        <w:rPr>
          <w:rFonts w:ascii="Arial" w:hAnsi="Arial" w:cs="Arial"/>
        </w:rPr>
        <w:t xml:space="preserve">Bourdieu, P. and </w:t>
      </w:r>
      <w:proofErr w:type="spellStart"/>
      <w:r w:rsidRPr="009B016F">
        <w:rPr>
          <w:rFonts w:ascii="Arial" w:hAnsi="Arial" w:cs="Arial"/>
        </w:rPr>
        <w:t>Passeron</w:t>
      </w:r>
      <w:proofErr w:type="spellEnd"/>
      <w:r w:rsidRPr="009B016F">
        <w:rPr>
          <w:rFonts w:ascii="Arial" w:hAnsi="Arial" w:cs="Arial"/>
        </w:rPr>
        <w:t xml:space="preserve">, J.C., 1990. </w:t>
      </w:r>
      <w:r w:rsidRPr="009B016F">
        <w:rPr>
          <w:rStyle w:val="Emphasis"/>
          <w:rFonts w:ascii="Arial" w:eastAsiaTheme="majorEastAsia" w:hAnsi="Arial" w:cs="Arial"/>
        </w:rPr>
        <w:t>Reproduction in Education, Society and Culture</w:t>
      </w:r>
      <w:r w:rsidRPr="009B016F">
        <w:rPr>
          <w:rFonts w:ascii="Arial" w:hAnsi="Arial" w:cs="Arial"/>
        </w:rPr>
        <w:t>. 2nd ed. London: Sage Publications.</w:t>
      </w:r>
    </w:p>
    <w:p w14:paraId="53C738E6" w14:textId="443FE9A0" w:rsidR="00E26F07" w:rsidRDefault="00E26F07" w:rsidP="009B016F">
      <w:pPr>
        <w:pStyle w:val="NormalWeb"/>
        <w:numPr>
          <w:ilvl w:val="0"/>
          <w:numId w:val="25"/>
        </w:numPr>
        <w:spacing w:line="360" w:lineRule="auto"/>
        <w:rPr>
          <w:rFonts w:ascii="Arial" w:hAnsi="Arial" w:cs="Arial"/>
        </w:rPr>
      </w:pPr>
      <w:r w:rsidRPr="009B016F">
        <w:rPr>
          <w:rFonts w:ascii="Arial" w:hAnsi="Arial" w:cs="Arial"/>
        </w:rPr>
        <w:t xml:space="preserve">Cameron, C., 2013. </w:t>
      </w:r>
      <w:r w:rsidRPr="009B016F">
        <w:rPr>
          <w:rStyle w:val="Emphasis"/>
          <w:rFonts w:ascii="Arial" w:eastAsiaTheme="majorEastAsia" w:hAnsi="Arial" w:cs="Arial"/>
        </w:rPr>
        <w:t>Disability Studies: A Student's Guide</w:t>
      </w:r>
      <w:r w:rsidRPr="009B016F">
        <w:rPr>
          <w:rFonts w:ascii="Arial" w:hAnsi="Arial" w:cs="Arial"/>
        </w:rPr>
        <w:t>. London: SAGE Publications.</w:t>
      </w:r>
    </w:p>
    <w:p w14:paraId="24DD96E3" w14:textId="029A63CA" w:rsidR="00685B1B" w:rsidRPr="009B016F" w:rsidRDefault="00FB0C6F" w:rsidP="009B016F">
      <w:pPr>
        <w:pStyle w:val="NormalWeb"/>
        <w:numPr>
          <w:ilvl w:val="0"/>
          <w:numId w:val="25"/>
        </w:numPr>
        <w:spacing w:line="360" w:lineRule="auto"/>
        <w:rPr>
          <w:rFonts w:ascii="Arial" w:hAnsi="Arial" w:cs="Arial"/>
        </w:rPr>
      </w:pPr>
      <w:r w:rsidRPr="00FB0C6F">
        <w:rPr>
          <w:rFonts w:ascii="Arial" w:hAnsi="Arial" w:cs="Arial"/>
        </w:rPr>
        <w:t xml:space="preserve">Charlton, J.I. (1998) </w:t>
      </w:r>
      <w:r w:rsidRPr="00FB0C6F">
        <w:rPr>
          <w:rFonts w:ascii="Arial" w:hAnsi="Arial" w:cs="Arial"/>
          <w:i/>
          <w:iCs/>
        </w:rPr>
        <w:t>Nothing About Us Without Us: Disability Oppression and Empowerment</w:t>
      </w:r>
      <w:r w:rsidRPr="00FB0C6F">
        <w:rPr>
          <w:rFonts w:ascii="Arial" w:hAnsi="Arial" w:cs="Arial"/>
        </w:rPr>
        <w:t>. Berkeley: University of California Press.</w:t>
      </w:r>
    </w:p>
    <w:p w14:paraId="1CDEC1F9" w14:textId="62F27D62" w:rsidR="00E26F07" w:rsidRPr="009B016F" w:rsidRDefault="00E26F07" w:rsidP="009B016F">
      <w:pPr>
        <w:pStyle w:val="NormalWeb"/>
        <w:numPr>
          <w:ilvl w:val="0"/>
          <w:numId w:val="25"/>
        </w:numPr>
        <w:spacing w:line="360" w:lineRule="auto"/>
        <w:rPr>
          <w:rFonts w:ascii="Arial" w:hAnsi="Arial" w:cs="Arial"/>
        </w:rPr>
      </w:pPr>
      <w:r w:rsidRPr="009B016F">
        <w:rPr>
          <w:rFonts w:ascii="Arial" w:hAnsi="Arial" w:cs="Arial"/>
        </w:rPr>
        <w:t xml:space="preserve">Coleman, D. and Trudelle, M., 2019. How to make design thinking more disability inclusive. </w:t>
      </w:r>
      <w:r w:rsidRPr="009B016F">
        <w:rPr>
          <w:rStyle w:val="Emphasis"/>
          <w:rFonts w:ascii="Arial" w:eastAsiaTheme="majorEastAsia" w:hAnsi="Arial" w:cs="Arial"/>
        </w:rPr>
        <w:t>Stanford Social Innovation Review</w:t>
      </w:r>
      <w:r w:rsidRPr="009B016F">
        <w:rPr>
          <w:rFonts w:ascii="Arial" w:hAnsi="Arial" w:cs="Arial"/>
        </w:rPr>
        <w:t>. Available at: &lt;https://ssir.org/articles/entry/how_to_make_design_thinking_more_disability_inclusive</w:t>
      </w:r>
    </w:p>
    <w:p w14:paraId="705A0FEB" w14:textId="0BC105C7" w:rsidR="005B3668" w:rsidRPr="009B016F" w:rsidRDefault="005B3668" w:rsidP="009B016F">
      <w:pPr>
        <w:pStyle w:val="NormalWeb"/>
        <w:numPr>
          <w:ilvl w:val="0"/>
          <w:numId w:val="25"/>
        </w:numPr>
        <w:spacing w:line="360" w:lineRule="auto"/>
        <w:rPr>
          <w:rFonts w:ascii="Arial" w:hAnsi="Arial" w:cs="Arial"/>
        </w:rPr>
      </w:pPr>
      <w:r w:rsidRPr="009B016F">
        <w:rPr>
          <w:rFonts w:ascii="Arial" w:hAnsi="Arial" w:cs="Arial"/>
        </w:rPr>
        <w:t xml:space="preserve">Collins, P.H., 2011. </w:t>
      </w:r>
      <w:r w:rsidRPr="009B016F">
        <w:rPr>
          <w:rStyle w:val="Emphasis"/>
          <w:rFonts w:ascii="Arial" w:eastAsiaTheme="majorEastAsia" w:hAnsi="Arial" w:cs="Arial"/>
        </w:rPr>
        <w:t>Black Feminist Thought: Knowledge, Consciousness, and the Politics of Empowerment</w:t>
      </w:r>
      <w:r w:rsidRPr="009B016F">
        <w:rPr>
          <w:rFonts w:ascii="Arial" w:hAnsi="Arial" w:cs="Arial"/>
        </w:rPr>
        <w:t>. 2nd ed. New York: Routledge.</w:t>
      </w:r>
    </w:p>
    <w:p w14:paraId="4A219CF0" w14:textId="0707495C" w:rsidR="005B3668" w:rsidRPr="009B016F" w:rsidRDefault="005B3668" w:rsidP="009B016F">
      <w:pPr>
        <w:pStyle w:val="NormalWeb"/>
        <w:numPr>
          <w:ilvl w:val="0"/>
          <w:numId w:val="25"/>
        </w:numPr>
        <w:spacing w:line="360" w:lineRule="auto"/>
        <w:rPr>
          <w:rFonts w:ascii="Arial" w:hAnsi="Arial" w:cs="Arial"/>
        </w:rPr>
      </w:pPr>
      <w:r w:rsidRPr="009B016F">
        <w:rPr>
          <w:rFonts w:ascii="Arial" w:hAnsi="Arial" w:cs="Arial"/>
        </w:rPr>
        <w:t xml:space="preserve">Foucault, M., 1978. </w:t>
      </w:r>
      <w:r w:rsidRPr="009B016F">
        <w:rPr>
          <w:rStyle w:val="Emphasis"/>
          <w:rFonts w:ascii="Arial" w:eastAsiaTheme="majorEastAsia" w:hAnsi="Arial" w:cs="Arial"/>
        </w:rPr>
        <w:t>The History of Sexuality: An Introduction</w:t>
      </w:r>
      <w:r w:rsidRPr="009B016F">
        <w:rPr>
          <w:rFonts w:ascii="Arial" w:hAnsi="Arial" w:cs="Arial"/>
        </w:rPr>
        <w:t>. Harmondsworth: Penguin.</w:t>
      </w:r>
    </w:p>
    <w:p w14:paraId="068E72B1" w14:textId="3D960C63" w:rsidR="005B3668" w:rsidRPr="009B016F" w:rsidRDefault="005B3668" w:rsidP="009B016F">
      <w:pPr>
        <w:pStyle w:val="NormalWeb"/>
        <w:numPr>
          <w:ilvl w:val="0"/>
          <w:numId w:val="25"/>
        </w:numPr>
        <w:spacing w:line="360" w:lineRule="auto"/>
        <w:rPr>
          <w:rFonts w:ascii="Arial" w:hAnsi="Arial" w:cs="Arial"/>
        </w:rPr>
      </w:pPr>
      <w:r w:rsidRPr="009B016F">
        <w:rPr>
          <w:rFonts w:ascii="Arial" w:hAnsi="Arial" w:cs="Arial"/>
        </w:rPr>
        <w:lastRenderedPageBreak/>
        <w:t xml:space="preserve">Forbes, 2025. DEI Metrics and Organisational Accountability. </w:t>
      </w:r>
      <w:r w:rsidRPr="009B016F">
        <w:rPr>
          <w:rStyle w:val="Emphasis"/>
          <w:rFonts w:ascii="Arial" w:eastAsiaTheme="majorEastAsia" w:hAnsi="Arial" w:cs="Arial"/>
        </w:rPr>
        <w:t>Forbes Insights Report</w:t>
      </w:r>
      <w:r w:rsidRPr="009B016F">
        <w:rPr>
          <w:rFonts w:ascii="Arial" w:hAnsi="Arial" w:cs="Arial"/>
        </w:rPr>
        <w:t>. Available at: &lt;https://www.forbes.com&gt;</w:t>
      </w:r>
    </w:p>
    <w:p w14:paraId="21D29910" w14:textId="4066141F" w:rsidR="005B3668" w:rsidRPr="009B016F" w:rsidRDefault="005B3668" w:rsidP="009B016F">
      <w:pPr>
        <w:pStyle w:val="NormalWeb"/>
        <w:numPr>
          <w:ilvl w:val="0"/>
          <w:numId w:val="25"/>
        </w:numPr>
        <w:spacing w:line="360" w:lineRule="auto"/>
        <w:rPr>
          <w:rFonts w:ascii="Arial" w:hAnsi="Arial" w:cs="Arial"/>
        </w:rPr>
      </w:pPr>
      <w:r w:rsidRPr="009B016F">
        <w:rPr>
          <w:rFonts w:ascii="Arial" w:hAnsi="Arial" w:cs="Arial"/>
        </w:rPr>
        <w:t xml:space="preserve">Fricker, M., 2007. </w:t>
      </w:r>
      <w:r w:rsidRPr="009B016F">
        <w:rPr>
          <w:rStyle w:val="Emphasis"/>
          <w:rFonts w:ascii="Arial" w:eastAsiaTheme="majorEastAsia" w:hAnsi="Arial" w:cs="Arial"/>
        </w:rPr>
        <w:t>Epistemic Injustice: Power and the Ethics of Knowing</w:t>
      </w:r>
      <w:r w:rsidRPr="009B016F">
        <w:rPr>
          <w:rFonts w:ascii="Arial" w:hAnsi="Arial" w:cs="Arial"/>
        </w:rPr>
        <w:t>. Oxford: Oxford University Press.</w:t>
      </w:r>
    </w:p>
    <w:p w14:paraId="2746CD76" w14:textId="271EC128" w:rsidR="005B3668" w:rsidRPr="009B016F" w:rsidRDefault="005B3668" w:rsidP="009B016F">
      <w:pPr>
        <w:pStyle w:val="NormalWeb"/>
        <w:numPr>
          <w:ilvl w:val="0"/>
          <w:numId w:val="25"/>
        </w:numPr>
        <w:spacing w:line="360" w:lineRule="auto"/>
        <w:rPr>
          <w:rFonts w:ascii="Arial" w:hAnsi="Arial" w:cs="Arial"/>
        </w:rPr>
      </w:pPr>
      <w:r w:rsidRPr="009B016F">
        <w:rPr>
          <w:rFonts w:ascii="Arial" w:hAnsi="Arial" w:cs="Arial"/>
        </w:rPr>
        <w:t xml:space="preserve">Giddens, A., 1984. </w:t>
      </w:r>
      <w:r w:rsidRPr="009B016F">
        <w:rPr>
          <w:rStyle w:val="Emphasis"/>
          <w:rFonts w:ascii="Arial" w:eastAsiaTheme="majorEastAsia" w:hAnsi="Arial" w:cs="Arial"/>
        </w:rPr>
        <w:t>The Constitution of Society: Outline of the Theory of Structuration</w:t>
      </w:r>
      <w:r w:rsidRPr="009B016F">
        <w:rPr>
          <w:rFonts w:ascii="Arial" w:hAnsi="Arial" w:cs="Arial"/>
        </w:rPr>
        <w:t>. Cambridge: Polity Press.</w:t>
      </w:r>
    </w:p>
    <w:p w14:paraId="6244E8C1" w14:textId="61E4D17A" w:rsidR="005B3668" w:rsidRPr="009B016F" w:rsidRDefault="005B3668" w:rsidP="009B016F">
      <w:pPr>
        <w:pStyle w:val="NormalWeb"/>
        <w:numPr>
          <w:ilvl w:val="0"/>
          <w:numId w:val="25"/>
        </w:numPr>
        <w:spacing w:line="360" w:lineRule="auto"/>
        <w:rPr>
          <w:rFonts w:ascii="Arial" w:hAnsi="Arial" w:cs="Arial"/>
        </w:rPr>
      </w:pPr>
      <w:r w:rsidRPr="009B016F">
        <w:rPr>
          <w:rFonts w:ascii="Arial" w:hAnsi="Arial" w:cs="Arial"/>
        </w:rPr>
        <w:t xml:space="preserve">Giddens, A. and Sutton, P.W., 2021. </w:t>
      </w:r>
      <w:r w:rsidRPr="009B016F">
        <w:rPr>
          <w:rStyle w:val="Emphasis"/>
          <w:rFonts w:ascii="Arial" w:eastAsiaTheme="majorEastAsia" w:hAnsi="Arial" w:cs="Arial"/>
        </w:rPr>
        <w:t>Sociology</w:t>
      </w:r>
      <w:r w:rsidRPr="009B016F">
        <w:rPr>
          <w:rFonts w:ascii="Arial" w:hAnsi="Arial" w:cs="Arial"/>
        </w:rPr>
        <w:t>. 9th ed. Cambridge: Polity Press.</w:t>
      </w:r>
    </w:p>
    <w:p w14:paraId="552A02D6" w14:textId="22452D22" w:rsidR="00953D74" w:rsidRPr="009B016F" w:rsidRDefault="005B3668" w:rsidP="009B016F">
      <w:pPr>
        <w:pStyle w:val="NormalWeb"/>
        <w:numPr>
          <w:ilvl w:val="0"/>
          <w:numId w:val="25"/>
        </w:numPr>
        <w:spacing w:line="360" w:lineRule="auto"/>
        <w:rPr>
          <w:rFonts w:ascii="Arial" w:hAnsi="Arial" w:cs="Arial"/>
        </w:rPr>
      </w:pPr>
      <w:r w:rsidRPr="009B016F">
        <w:rPr>
          <w:rFonts w:ascii="Arial" w:hAnsi="Arial" w:cs="Arial"/>
        </w:rPr>
        <w:t xml:space="preserve">Hernández-Saca, D.I., 2025. Bringing intersectionality to the forefront: a call for transformation in UK inclusive education. </w:t>
      </w:r>
      <w:r w:rsidRPr="009B016F">
        <w:rPr>
          <w:rStyle w:val="Emphasis"/>
          <w:rFonts w:ascii="Arial" w:eastAsiaTheme="majorEastAsia" w:hAnsi="Arial" w:cs="Arial"/>
        </w:rPr>
        <w:t>International Journal of Inclusive Education</w:t>
      </w:r>
      <w:r w:rsidRPr="009B016F">
        <w:rPr>
          <w:rFonts w:ascii="Arial" w:hAnsi="Arial" w:cs="Arial"/>
        </w:rPr>
        <w:t>. https://doi.org/10.1080/13603116.2025.25554</w:t>
      </w:r>
      <w:r w:rsidR="00953D74" w:rsidRPr="009B016F">
        <w:rPr>
          <w:rFonts w:ascii="Arial" w:hAnsi="Arial" w:cs="Arial"/>
        </w:rPr>
        <w:t xml:space="preserve"> 04 </w:t>
      </w:r>
    </w:p>
    <w:p w14:paraId="47BBB4A4" w14:textId="52E135D6" w:rsidR="00953D74" w:rsidRPr="009B016F" w:rsidRDefault="00953D74" w:rsidP="009B016F">
      <w:pPr>
        <w:pStyle w:val="NormalWeb"/>
        <w:numPr>
          <w:ilvl w:val="0"/>
          <w:numId w:val="25"/>
        </w:numPr>
        <w:spacing w:line="360" w:lineRule="auto"/>
        <w:rPr>
          <w:rFonts w:ascii="Arial" w:hAnsi="Arial" w:cs="Arial"/>
        </w:rPr>
      </w:pPr>
      <w:r w:rsidRPr="009B016F">
        <w:rPr>
          <w:rFonts w:ascii="Arial" w:hAnsi="Arial" w:cs="Arial"/>
        </w:rPr>
        <w:t xml:space="preserve">Hunsicker, A., 2025. Empathy-Driven Accessibility: Rethinking Inclusion. </w:t>
      </w:r>
      <w:r w:rsidRPr="009B016F">
        <w:rPr>
          <w:rStyle w:val="Emphasis"/>
          <w:rFonts w:ascii="Arial" w:eastAsiaTheme="majorEastAsia" w:hAnsi="Arial" w:cs="Arial"/>
        </w:rPr>
        <w:t>Journal of Inclusive Design</w:t>
      </w:r>
      <w:r w:rsidRPr="009B016F">
        <w:rPr>
          <w:rFonts w:ascii="Arial" w:hAnsi="Arial" w:cs="Arial"/>
        </w:rPr>
        <w:t>, 12(1), pp.45–62.</w:t>
      </w:r>
    </w:p>
    <w:p w14:paraId="070DDCCF" w14:textId="24DB2D55" w:rsidR="00953D74" w:rsidRPr="009B016F" w:rsidRDefault="00953D74" w:rsidP="009B016F">
      <w:pPr>
        <w:pStyle w:val="NormalWeb"/>
        <w:numPr>
          <w:ilvl w:val="0"/>
          <w:numId w:val="25"/>
        </w:numPr>
        <w:spacing w:line="360" w:lineRule="auto"/>
        <w:rPr>
          <w:rFonts w:ascii="Arial" w:hAnsi="Arial" w:cs="Arial"/>
        </w:rPr>
      </w:pPr>
      <w:r w:rsidRPr="009B016F">
        <w:rPr>
          <w:rFonts w:ascii="Arial" w:hAnsi="Arial" w:cs="Arial"/>
        </w:rPr>
        <w:t xml:space="preserve">Lister, R., 2024. </w:t>
      </w:r>
      <w:r w:rsidRPr="009B016F">
        <w:rPr>
          <w:rStyle w:val="Emphasis"/>
          <w:rFonts w:ascii="Arial" w:eastAsiaTheme="majorEastAsia" w:hAnsi="Arial" w:cs="Arial"/>
        </w:rPr>
        <w:t>Social Policy in Times of Austerity: Global Challenges</w:t>
      </w:r>
      <w:r w:rsidRPr="009B016F">
        <w:rPr>
          <w:rFonts w:ascii="Arial" w:hAnsi="Arial" w:cs="Arial"/>
        </w:rPr>
        <w:t>. London: Palgrave Macmillan.</w:t>
      </w:r>
    </w:p>
    <w:p w14:paraId="39DCB3E3" w14:textId="0766E083" w:rsidR="00953D74" w:rsidRPr="009B016F" w:rsidRDefault="00953D74" w:rsidP="009B016F">
      <w:pPr>
        <w:pStyle w:val="NormalWeb"/>
        <w:numPr>
          <w:ilvl w:val="0"/>
          <w:numId w:val="25"/>
        </w:numPr>
        <w:spacing w:line="360" w:lineRule="auto"/>
        <w:rPr>
          <w:rFonts w:ascii="Arial" w:hAnsi="Arial" w:cs="Arial"/>
        </w:rPr>
      </w:pPr>
      <w:r w:rsidRPr="009B016F">
        <w:rPr>
          <w:rFonts w:ascii="Arial" w:hAnsi="Arial" w:cs="Arial"/>
        </w:rPr>
        <w:t xml:space="preserve">Lukes, S., 2005. </w:t>
      </w:r>
      <w:r w:rsidRPr="009B016F">
        <w:rPr>
          <w:rStyle w:val="Emphasis"/>
          <w:rFonts w:ascii="Arial" w:eastAsiaTheme="majorEastAsia" w:hAnsi="Arial" w:cs="Arial"/>
        </w:rPr>
        <w:t>Power: A Radical View</w:t>
      </w:r>
      <w:r w:rsidRPr="009B016F">
        <w:rPr>
          <w:rFonts w:ascii="Arial" w:hAnsi="Arial" w:cs="Arial"/>
        </w:rPr>
        <w:t>. 2nd ed. Basingstoke: Palgrave Macmillan.</w:t>
      </w:r>
    </w:p>
    <w:p w14:paraId="62EDD844" w14:textId="10BFB1C6" w:rsidR="00953D74" w:rsidRPr="009B016F" w:rsidRDefault="00953D74" w:rsidP="009B016F">
      <w:pPr>
        <w:pStyle w:val="NormalWeb"/>
        <w:numPr>
          <w:ilvl w:val="0"/>
          <w:numId w:val="25"/>
        </w:numPr>
        <w:spacing w:line="360" w:lineRule="auto"/>
        <w:rPr>
          <w:rFonts w:ascii="Arial" w:hAnsi="Arial" w:cs="Arial"/>
        </w:rPr>
      </w:pPr>
      <w:r w:rsidRPr="009B016F">
        <w:rPr>
          <w:rFonts w:ascii="Arial" w:hAnsi="Arial" w:cs="Arial"/>
        </w:rPr>
        <w:t xml:space="preserve">McNamee, S.J. and Miller, R.K., 2018. </w:t>
      </w:r>
      <w:r w:rsidRPr="009B016F">
        <w:rPr>
          <w:rStyle w:val="Emphasis"/>
          <w:rFonts w:ascii="Arial" w:eastAsiaTheme="majorEastAsia" w:hAnsi="Arial" w:cs="Arial"/>
        </w:rPr>
        <w:t>The Meritocracy Myth</w:t>
      </w:r>
      <w:r w:rsidRPr="009B016F">
        <w:rPr>
          <w:rFonts w:ascii="Arial" w:hAnsi="Arial" w:cs="Arial"/>
        </w:rPr>
        <w:t>. 3rd ed. Lanham, MD: Rowman &amp; Littlefield.</w:t>
      </w:r>
    </w:p>
    <w:p w14:paraId="598E8982" w14:textId="2513A48A" w:rsidR="00953D74" w:rsidRPr="009B016F" w:rsidRDefault="00953D74" w:rsidP="009B016F">
      <w:pPr>
        <w:pStyle w:val="NormalWeb"/>
        <w:numPr>
          <w:ilvl w:val="0"/>
          <w:numId w:val="25"/>
        </w:numPr>
        <w:spacing w:line="360" w:lineRule="auto"/>
        <w:rPr>
          <w:rFonts w:ascii="Arial" w:hAnsi="Arial" w:cs="Arial"/>
        </w:rPr>
      </w:pPr>
      <w:r w:rsidRPr="009B016F">
        <w:rPr>
          <w:rFonts w:ascii="Arial" w:hAnsi="Arial" w:cs="Arial"/>
        </w:rPr>
        <w:t xml:space="preserve">Pavlova, M., 2023. Disability inclusion in diversity metrics: A global review. </w:t>
      </w:r>
      <w:r w:rsidRPr="009B016F">
        <w:rPr>
          <w:rStyle w:val="Emphasis"/>
          <w:rFonts w:ascii="Arial" w:eastAsiaTheme="majorEastAsia" w:hAnsi="Arial" w:cs="Arial"/>
        </w:rPr>
        <w:t>Journal of Diversity Management</w:t>
      </w:r>
      <w:r w:rsidRPr="009B016F">
        <w:rPr>
          <w:rFonts w:ascii="Arial" w:hAnsi="Arial" w:cs="Arial"/>
        </w:rPr>
        <w:t>, 18(2), pp.77–91.</w:t>
      </w:r>
    </w:p>
    <w:p w14:paraId="4C3E3424" w14:textId="7D9C1107" w:rsidR="00953D74" w:rsidRPr="009B016F" w:rsidRDefault="00953D74" w:rsidP="009B016F">
      <w:pPr>
        <w:pStyle w:val="NormalWeb"/>
        <w:numPr>
          <w:ilvl w:val="0"/>
          <w:numId w:val="25"/>
        </w:numPr>
        <w:spacing w:line="360" w:lineRule="auto"/>
        <w:rPr>
          <w:rFonts w:ascii="Arial" w:hAnsi="Arial" w:cs="Arial"/>
        </w:rPr>
      </w:pPr>
      <w:r w:rsidRPr="009B016F">
        <w:rPr>
          <w:rFonts w:ascii="Arial" w:hAnsi="Arial" w:cs="Arial"/>
        </w:rPr>
        <w:t xml:space="preserve">Scanlon, T.M., 2017. </w:t>
      </w:r>
      <w:r w:rsidRPr="009B016F">
        <w:rPr>
          <w:rStyle w:val="Emphasis"/>
          <w:rFonts w:ascii="Arial" w:eastAsiaTheme="majorEastAsia" w:hAnsi="Arial" w:cs="Arial"/>
        </w:rPr>
        <w:t>Moral Dimensions: Permissibility, Meaning, Blame</w:t>
      </w:r>
      <w:r w:rsidRPr="009B016F">
        <w:rPr>
          <w:rFonts w:ascii="Arial" w:hAnsi="Arial" w:cs="Arial"/>
        </w:rPr>
        <w:t>. Cambridge, MA: Harvard University Press.</w:t>
      </w:r>
    </w:p>
    <w:p w14:paraId="096322D9" w14:textId="67464402" w:rsidR="00953D74" w:rsidRPr="009B016F" w:rsidRDefault="00953D74" w:rsidP="009B016F">
      <w:pPr>
        <w:pStyle w:val="NormalWeb"/>
        <w:numPr>
          <w:ilvl w:val="0"/>
          <w:numId w:val="25"/>
        </w:numPr>
        <w:spacing w:line="360" w:lineRule="auto"/>
        <w:rPr>
          <w:rFonts w:ascii="Arial" w:hAnsi="Arial" w:cs="Arial"/>
        </w:rPr>
      </w:pPr>
      <w:r w:rsidRPr="009B016F">
        <w:rPr>
          <w:rFonts w:ascii="Arial" w:hAnsi="Arial" w:cs="Arial"/>
        </w:rPr>
        <w:t xml:space="preserve">Thompson, N., 2003. </w:t>
      </w:r>
      <w:r w:rsidRPr="009B016F">
        <w:rPr>
          <w:rStyle w:val="Emphasis"/>
          <w:rFonts w:ascii="Arial" w:eastAsiaTheme="majorEastAsia" w:hAnsi="Arial" w:cs="Arial"/>
        </w:rPr>
        <w:t>Promoting Equality: Challenging Discrimination and Oppression</w:t>
      </w:r>
      <w:r w:rsidRPr="009B016F">
        <w:rPr>
          <w:rFonts w:ascii="Arial" w:hAnsi="Arial" w:cs="Arial"/>
        </w:rPr>
        <w:t>. 2nd ed. Basingstoke: Palgrave Macmillan.</w:t>
      </w:r>
    </w:p>
    <w:p w14:paraId="3FF2AD0A" w14:textId="77777777" w:rsidR="003A0AE9" w:rsidRPr="009B016F" w:rsidRDefault="003A0AE9" w:rsidP="009B016F">
      <w:pPr>
        <w:pStyle w:val="ListParagraph"/>
        <w:numPr>
          <w:ilvl w:val="0"/>
          <w:numId w:val="25"/>
        </w:numPr>
        <w:spacing w:after="0" w:line="360" w:lineRule="auto"/>
        <w:rPr>
          <w:rFonts w:ascii="Arial" w:eastAsia="Times New Roman" w:hAnsi="Arial" w:cs="Arial"/>
          <w:kern w:val="0"/>
          <w:lang w:eastAsia="en-GB"/>
          <w14:ligatures w14:val="none"/>
        </w:rPr>
      </w:pPr>
      <w:r w:rsidRPr="009B016F">
        <w:rPr>
          <w:rFonts w:ascii="Arial" w:eastAsia="Times New Roman" w:hAnsi="Arial" w:cs="Arial"/>
          <w:kern w:val="0"/>
          <w:lang w:eastAsia="en-GB"/>
          <w14:ligatures w14:val="none"/>
        </w:rPr>
        <w:t>Message Copilot or @ mention a tab</w:t>
      </w:r>
    </w:p>
    <w:p w14:paraId="556B537C" w14:textId="2E23E905" w:rsidR="00D1557A" w:rsidRPr="009B016F" w:rsidRDefault="00D1557A" w:rsidP="009B016F">
      <w:pPr>
        <w:pStyle w:val="NormalWeb"/>
        <w:numPr>
          <w:ilvl w:val="0"/>
          <w:numId w:val="25"/>
        </w:numPr>
        <w:spacing w:line="360" w:lineRule="auto"/>
        <w:rPr>
          <w:rFonts w:ascii="Arial" w:hAnsi="Arial" w:cs="Arial"/>
        </w:rPr>
      </w:pPr>
      <w:proofErr w:type="spellStart"/>
      <w:r w:rsidRPr="009B016F">
        <w:rPr>
          <w:rFonts w:ascii="Arial" w:hAnsi="Arial" w:cs="Arial"/>
        </w:rPr>
        <w:t>Tilmes</w:t>
      </w:r>
      <w:proofErr w:type="spellEnd"/>
      <w:r w:rsidRPr="009B016F">
        <w:rPr>
          <w:rFonts w:ascii="Arial" w:hAnsi="Arial" w:cs="Arial"/>
        </w:rPr>
        <w:t xml:space="preserve">, N., 2022. Disability, fairness, and algorithmic bias in AI recruitment. </w:t>
      </w:r>
      <w:r w:rsidRPr="009B016F">
        <w:rPr>
          <w:rStyle w:val="Emphasis"/>
          <w:rFonts w:ascii="Arial" w:eastAsiaTheme="majorEastAsia" w:hAnsi="Arial" w:cs="Arial"/>
        </w:rPr>
        <w:t>Ethics and Information Technology</w:t>
      </w:r>
      <w:r w:rsidRPr="009B016F">
        <w:rPr>
          <w:rFonts w:ascii="Arial" w:hAnsi="Arial" w:cs="Arial"/>
        </w:rPr>
        <w:t>, 24(2), pp.195–210. https://doi.org/10.1007/s10676-022-09633-2</w:t>
      </w:r>
    </w:p>
    <w:p w14:paraId="116EAE04" w14:textId="32AF2D6C" w:rsidR="00D1557A" w:rsidRPr="009B016F" w:rsidRDefault="00D1557A" w:rsidP="009B016F">
      <w:pPr>
        <w:pStyle w:val="NormalWeb"/>
        <w:numPr>
          <w:ilvl w:val="0"/>
          <w:numId w:val="25"/>
        </w:numPr>
        <w:spacing w:line="360" w:lineRule="auto"/>
        <w:rPr>
          <w:rFonts w:ascii="Arial" w:hAnsi="Arial" w:cs="Arial"/>
        </w:rPr>
      </w:pPr>
      <w:r w:rsidRPr="009B016F">
        <w:rPr>
          <w:rFonts w:ascii="Arial" w:hAnsi="Arial" w:cs="Arial"/>
        </w:rPr>
        <w:t xml:space="preserve">Trades Union Congress (TUC), 2021. </w:t>
      </w:r>
      <w:r w:rsidRPr="009B016F">
        <w:rPr>
          <w:rStyle w:val="Emphasis"/>
          <w:rFonts w:ascii="Arial" w:eastAsiaTheme="majorEastAsia" w:hAnsi="Arial" w:cs="Arial"/>
        </w:rPr>
        <w:t>Disabled Workers’ Access to Flexible Working as a Reasonable Adjustment</w:t>
      </w:r>
      <w:r w:rsidRPr="009B016F">
        <w:rPr>
          <w:rFonts w:ascii="Arial" w:hAnsi="Arial" w:cs="Arial"/>
        </w:rPr>
        <w:t xml:space="preserve">. London: TUC. Available at: &lt;https://www.tuc.org.uk/research-analysis/reports/disabled-workers-access-flexible-working-reasonable-adjustment&gt; </w:t>
      </w:r>
    </w:p>
    <w:p w14:paraId="2161CDAD" w14:textId="263D5FBF" w:rsidR="00914EF6" w:rsidRPr="009B016F" w:rsidRDefault="00914EF6" w:rsidP="009B016F">
      <w:pPr>
        <w:pStyle w:val="NormalWeb"/>
        <w:numPr>
          <w:ilvl w:val="0"/>
          <w:numId w:val="25"/>
        </w:numPr>
        <w:spacing w:line="360" w:lineRule="auto"/>
        <w:rPr>
          <w:rFonts w:ascii="Arial" w:hAnsi="Arial" w:cs="Arial"/>
        </w:rPr>
      </w:pPr>
      <w:r w:rsidRPr="009B016F">
        <w:rPr>
          <w:rFonts w:ascii="Arial" w:hAnsi="Arial" w:cs="Arial"/>
        </w:rPr>
        <w:t xml:space="preserve">Disability Rights UK, 2024. </w:t>
      </w:r>
      <w:r w:rsidRPr="009B016F">
        <w:rPr>
          <w:rStyle w:val="Emphasis"/>
          <w:rFonts w:ascii="Arial" w:eastAsiaTheme="majorEastAsia" w:hAnsi="Arial" w:cs="Arial"/>
        </w:rPr>
        <w:t>New Research Released on Workplace Reasonable Adjustments</w:t>
      </w:r>
      <w:r w:rsidRPr="009B016F">
        <w:rPr>
          <w:rFonts w:ascii="Arial" w:hAnsi="Arial" w:cs="Arial"/>
        </w:rPr>
        <w:t xml:space="preserve">. London: Disability Rights UK. Available at: </w:t>
      </w:r>
      <w:r w:rsidRPr="009B016F">
        <w:rPr>
          <w:rFonts w:ascii="Arial" w:hAnsi="Arial" w:cs="Arial"/>
        </w:rPr>
        <w:lastRenderedPageBreak/>
        <w:t xml:space="preserve">&lt;https://www.disabilityrightsuk.org/news/new-research-released-workplace-reasonable-adjustments&gt; </w:t>
      </w:r>
    </w:p>
    <w:p w14:paraId="401C3379" w14:textId="76C3A3ED" w:rsidR="00914EF6" w:rsidRPr="009B016F" w:rsidRDefault="00914EF6" w:rsidP="009B016F">
      <w:pPr>
        <w:pStyle w:val="NormalWeb"/>
        <w:numPr>
          <w:ilvl w:val="0"/>
          <w:numId w:val="25"/>
        </w:numPr>
        <w:spacing w:line="360" w:lineRule="auto"/>
        <w:rPr>
          <w:rFonts w:ascii="Arial" w:hAnsi="Arial" w:cs="Arial"/>
        </w:rPr>
      </w:pPr>
      <w:r w:rsidRPr="009B016F">
        <w:rPr>
          <w:rFonts w:ascii="Arial" w:hAnsi="Arial" w:cs="Arial"/>
        </w:rPr>
        <w:t xml:space="preserve">Wendell, S., 1996. </w:t>
      </w:r>
      <w:r w:rsidRPr="009B016F">
        <w:rPr>
          <w:rStyle w:val="Emphasis"/>
          <w:rFonts w:ascii="Arial" w:eastAsiaTheme="majorEastAsia" w:hAnsi="Arial" w:cs="Arial"/>
        </w:rPr>
        <w:t>The Rejected Body: Feminist Philosophical Reflections on Disability</w:t>
      </w:r>
      <w:r w:rsidRPr="009B016F">
        <w:rPr>
          <w:rFonts w:ascii="Arial" w:hAnsi="Arial" w:cs="Arial"/>
        </w:rPr>
        <w:t>. New York: Routledge.</w:t>
      </w:r>
    </w:p>
    <w:p w14:paraId="14EF89B1" w14:textId="4A74A63F" w:rsidR="00914EF6" w:rsidRPr="009B016F" w:rsidRDefault="00914EF6" w:rsidP="009B016F">
      <w:pPr>
        <w:pStyle w:val="NormalWeb"/>
        <w:numPr>
          <w:ilvl w:val="0"/>
          <w:numId w:val="25"/>
        </w:numPr>
        <w:spacing w:line="360" w:lineRule="auto"/>
        <w:rPr>
          <w:rFonts w:ascii="Arial" w:hAnsi="Arial" w:cs="Arial"/>
        </w:rPr>
      </w:pPr>
      <w:r w:rsidRPr="009B016F">
        <w:rPr>
          <w:rFonts w:ascii="Arial" w:hAnsi="Arial" w:cs="Arial"/>
        </w:rPr>
        <w:t xml:space="preserve">van Berkel, R. and Breit, E., 2024. Organisational practices for the inclusion of people with disabilities: A scoping review. </w:t>
      </w:r>
      <w:r w:rsidRPr="009B016F">
        <w:rPr>
          <w:rStyle w:val="Emphasis"/>
          <w:rFonts w:ascii="Arial" w:eastAsiaTheme="majorEastAsia" w:hAnsi="Arial" w:cs="Arial"/>
        </w:rPr>
        <w:t>Journal of Occupational Rehabilitation</w:t>
      </w:r>
      <w:r w:rsidRPr="009B016F">
        <w:rPr>
          <w:rFonts w:ascii="Arial" w:hAnsi="Arial" w:cs="Arial"/>
        </w:rPr>
        <w:t>. https://doi.org/10.1007/s10926-024-10228-5</w:t>
      </w:r>
    </w:p>
    <w:p w14:paraId="528CD0E3" w14:textId="77777777" w:rsidR="00F15772" w:rsidRDefault="00F15772" w:rsidP="00F15772"/>
    <w:p w14:paraId="43ED2839" w14:textId="77777777" w:rsidR="00C7665E" w:rsidRDefault="00C7665E" w:rsidP="00F15772">
      <w:pPr>
        <w:jc w:val="center"/>
        <w:rPr>
          <w:b/>
          <w:bCs/>
          <w:sz w:val="28"/>
          <w:szCs w:val="28"/>
        </w:rPr>
      </w:pPr>
    </w:p>
    <w:p w14:paraId="63A67B14" w14:textId="77777777" w:rsidR="00C7665E" w:rsidRDefault="00C7665E" w:rsidP="00F15772">
      <w:pPr>
        <w:jc w:val="center"/>
        <w:rPr>
          <w:b/>
          <w:bCs/>
          <w:sz w:val="28"/>
          <w:szCs w:val="28"/>
        </w:rPr>
      </w:pPr>
    </w:p>
    <w:p w14:paraId="3A458F2A" w14:textId="77777777" w:rsidR="00C7665E" w:rsidRDefault="00C7665E" w:rsidP="00F15772">
      <w:pPr>
        <w:jc w:val="center"/>
        <w:rPr>
          <w:b/>
          <w:bCs/>
          <w:sz w:val="28"/>
          <w:szCs w:val="28"/>
        </w:rPr>
      </w:pPr>
    </w:p>
    <w:p w14:paraId="13F5914B" w14:textId="77777777" w:rsidR="00C7665E" w:rsidRDefault="00C7665E" w:rsidP="00F15772">
      <w:pPr>
        <w:jc w:val="center"/>
        <w:rPr>
          <w:b/>
          <w:bCs/>
          <w:sz w:val="28"/>
          <w:szCs w:val="28"/>
        </w:rPr>
      </w:pPr>
    </w:p>
    <w:p w14:paraId="27C98EB5" w14:textId="77777777" w:rsidR="00C7665E" w:rsidRDefault="00C7665E" w:rsidP="00F15772">
      <w:pPr>
        <w:jc w:val="center"/>
        <w:rPr>
          <w:b/>
          <w:bCs/>
          <w:sz w:val="28"/>
          <w:szCs w:val="28"/>
        </w:rPr>
      </w:pPr>
    </w:p>
    <w:p w14:paraId="62EF6053" w14:textId="77777777" w:rsidR="00C7665E" w:rsidRDefault="00C7665E" w:rsidP="00F15772">
      <w:pPr>
        <w:jc w:val="center"/>
        <w:rPr>
          <w:b/>
          <w:bCs/>
          <w:sz w:val="28"/>
          <w:szCs w:val="28"/>
        </w:rPr>
      </w:pPr>
    </w:p>
    <w:p w14:paraId="3BD14988" w14:textId="77777777" w:rsidR="00C7665E" w:rsidRDefault="00C7665E" w:rsidP="00F15772">
      <w:pPr>
        <w:jc w:val="center"/>
        <w:rPr>
          <w:b/>
          <w:bCs/>
          <w:sz w:val="28"/>
          <w:szCs w:val="28"/>
        </w:rPr>
      </w:pPr>
    </w:p>
    <w:p w14:paraId="114F6EA9" w14:textId="77777777" w:rsidR="00AE7901" w:rsidRDefault="00AE7901" w:rsidP="00C7665E">
      <w:pPr>
        <w:jc w:val="center"/>
        <w:rPr>
          <w:b/>
          <w:bCs/>
          <w:sz w:val="28"/>
          <w:szCs w:val="28"/>
        </w:rPr>
      </w:pPr>
    </w:p>
    <w:p w14:paraId="4BF2163E" w14:textId="77777777" w:rsidR="009B016F" w:rsidRDefault="009B016F" w:rsidP="00C7665E">
      <w:pPr>
        <w:jc w:val="center"/>
        <w:rPr>
          <w:b/>
          <w:bCs/>
          <w:sz w:val="28"/>
          <w:szCs w:val="28"/>
        </w:rPr>
      </w:pPr>
    </w:p>
    <w:p w14:paraId="7EDDD1D4" w14:textId="77777777" w:rsidR="009B016F" w:rsidRDefault="009B016F" w:rsidP="00C7665E">
      <w:pPr>
        <w:jc w:val="center"/>
        <w:rPr>
          <w:b/>
          <w:bCs/>
          <w:sz w:val="28"/>
          <w:szCs w:val="28"/>
        </w:rPr>
      </w:pPr>
    </w:p>
    <w:p w14:paraId="6B975C56" w14:textId="77777777" w:rsidR="009B016F" w:rsidRDefault="009B016F" w:rsidP="00C7665E">
      <w:pPr>
        <w:jc w:val="center"/>
        <w:rPr>
          <w:b/>
          <w:bCs/>
          <w:sz w:val="28"/>
          <w:szCs w:val="28"/>
        </w:rPr>
      </w:pPr>
    </w:p>
    <w:p w14:paraId="6C84FBEE" w14:textId="77777777" w:rsidR="00715864" w:rsidRDefault="00715864" w:rsidP="00C7665E">
      <w:pPr>
        <w:jc w:val="center"/>
        <w:rPr>
          <w:b/>
          <w:bCs/>
          <w:sz w:val="28"/>
          <w:szCs w:val="28"/>
        </w:rPr>
      </w:pPr>
    </w:p>
    <w:p w14:paraId="58A90475" w14:textId="77777777" w:rsidR="00715864" w:rsidRDefault="00715864" w:rsidP="00C7665E">
      <w:pPr>
        <w:jc w:val="center"/>
        <w:rPr>
          <w:b/>
          <w:bCs/>
          <w:sz w:val="28"/>
          <w:szCs w:val="28"/>
        </w:rPr>
      </w:pPr>
    </w:p>
    <w:p w14:paraId="58889D71" w14:textId="77777777" w:rsidR="00715864" w:rsidRDefault="00715864" w:rsidP="00C7665E">
      <w:pPr>
        <w:jc w:val="center"/>
        <w:rPr>
          <w:b/>
          <w:bCs/>
          <w:sz w:val="28"/>
          <w:szCs w:val="28"/>
        </w:rPr>
      </w:pPr>
    </w:p>
    <w:p w14:paraId="63CB7EC4" w14:textId="77777777" w:rsidR="00715864" w:rsidRDefault="00715864" w:rsidP="00C7665E">
      <w:pPr>
        <w:jc w:val="center"/>
        <w:rPr>
          <w:b/>
          <w:bCs/>
          <w:sz w:val="28"/>
          <w:szCs w:val="28"/>
        </w:rPr>
      </w:pPr>
    </w:p>
    <w:p w14:paraId="571175E2" w14:textId="77777777" w:rsidR="00715864" w:rsidRDefault="00715864" w:rsidP="00C7665E">
      <w:pPr>
        <w:jc w:val="center"/>
        <w:rPr>
          <w:b/>
          <w:bCs/>
          <w:sz w:val="28"/>
          <w:szCs w:val="28"/>
        </w:rPr>
      </w:pPr>
    </w:p>
    <w:p w14:paraId="757D6650" w14:textId="77777777" w:rsidR="00715864" w:rsidRDefault="00715864" w:rsidP="00C7665E">
      <w:pPr>
        <w:jc w:val="center"/>
        <w:rPr>
          <w:b/>
          <w:bCs/>
          <w:sz w:val="28"/>
          <w:szCs w:val="28"/>
        </w:rPr>
      </w:pPr>
    </w:p>
    <w:p w14:paraId="556ABCF6" w14:textId="77777777" w:rsidR="008954B5" w:rsidRDefault="008954B5" w:rsidP="00C7665E">
      <w:pPr>
        <w:jc w:val="center"/>
        <w:rPr>
          <w:b/>
          <w:bCs/>
          <w:sz w:val="28"/>
          <w:szCs w:val="28"/>
        </w:rPr>
      </w:pPr>
    </w:p>
    <w:p w14:paraId="1219F95F" w14:textId="315CEFDD" w:rsidR="00F15772" w:rsidRDefault="00F15772" w:rsidP="00C7665E">
      <w:pPr>
        <w:jc w:val="center"/>
      </w:pPr>
      <w:r w:rsidRPr="00A94DE8">
        <w:rPr>
          <w:b/>
          <w:bCs/>
          <w:sz w:val="28"/>
          <w:szCs w:val="28"/>
        </w:rPr>
        <w:lastRenderedPageBreak/>
        <w:t>APPENDIX 1</w:t>
      </w:r>
    </w:p>
    <w:p w14:paraId="09806A9C" w14:textId="06B4E471" w:rsidR="00F15772" w:rsidRPr="00A94DE8" w:rsidRDefault="00F15772" w:rsidP="00AE7901">
      <w:pPr>
        <w:spacing w:line="360" w:lineRule="auto"/>
        <w:rPr>
          <w:rFonts w:ascii="Arial" w:hAnsi="Arial" w:cs="Arial"/>
        </w:rPr>
      </w:pPr>
      <w:r w:rsidRPr="00A94DE8">
        <w:br/>
      </w:r>
      <w:r w:rsidRPr="00A94DE8">
        <w:rPr>
          <w:rFonts w:ascii="Arial" w:hAnsi="Arial" w:cs="Arial"/>
        </w:rPr>
        <w:t>Speech: by Philip Blundell</w:t>
      </w:r>
      <w:r w:rsidR="00CD76E0">
        <w:rPr>
          <w:rFonts w:ascii="Arial" w:hAnsi="Arial" w:cs="Arial"/>
        </w:rPr>
        <w:t>,</w:t>
      </w:r>
      <w:r w:rsidRPr="00A94DE8">
        <w:rPr>
          <w:rFonts w:ascii="Arial" w:hAnsi="Arial" w:cs="Arial"/>
        </w:rPr>
        <w:t xml:space="preserve"> “Fighting the Brutality of Cuts to Disability Benefits”</w:t>
      </w:r>
      <w:r w:rsidR="00CD76E0">
        <w:rPr>
          <w:rFonts w:ascii="Arial" w:hAnsi="Arial" w:cs="Arial"/>
        </w:rPr>
        <w:t>,</w:t>
      </w:r>
      <w:r w:rsidRPr="00A94DE8">
        <w:rPr>
          <w:rFonts w:ascii="Arial" w:hAnsi="Arial" w:cs="Arial"/>
        </w:rPr>
        <w:t xml:space="preserve"> Unite</w:t>
      </w:r>
      <w:r w:rsidRPr="00A94DE8">
        <w:rPr>
          <w:rFonts w:ascii="Arial" w:hAnsi="Arial" w:cs="Arial"/>
        </w:rPr>
        <w:br/>
        <w:t>Conference 2025, 10/07/2025</w:t>
      </w:r>
      <w:r w:rsidRPr="00A94DE8">
        <w:rPr>
          <w:rFonts w:ascii="Arial" w:hAnsi="Arial" w:cs="Arial"/>
        </w:rPr>
        <w:br/>
        <w:t>"I've seen the best in people and the worst. I've seen eyes filled with love and compassion…</w:t>
      </w:r>
      <w:r w:rsidRPr="00A94DE8">
        <w:rPr>
          <w:rFonts w:ascii="Arial" w:hAnsi="Arial" w:cs="Arial"/>
        </w:rPr>
        <w:br/>
      </w:r>
      <w:r w:rsidR="00CD76E0">
        <w:rPr>
          <w:rFonts w:ascii="Arial" w:hAnsi="Arial" w:cs="Arial"/>
        </w:rPr>
        <w:t>And</w:t>
      </w:r>
      <w:r w:rsidRPr="00A94DE8">
        <w:rPr>
          <w:rFonts w:ascii="Arial" w:hAnsi="Arial" w:cs="Arial"/>
        </w:rPr>
        <w:t xml:space="preserve"> those same eyes, moments later, darkened by indifference or disdain. That contradiction</w:t>
      </w:r>
    </w:p>
    <w:p w14:paraId="64775BBF" w14:textId="3170B977" w:rsidR="00F15772" w:rsidRPr="00A94DE8" w:rsidRDefault="00F15772" w:rsidP="00AE7901">
      <w:pPr>
        <w:spacing w:line="360" w:lineRule="auto"/>
        <w:rPr>
          <w:rFonts w:ascii="Arial" w:hAnsi="Arial" w:cs="Arial"/>
        </w:rPr>
      </w:pPr>
      <w:r w:rsidRPr="00A94DE8">
        <w:rPr>
          <w:rFonts w:ascii="Arial" w:hAnsi="Arial" w:cs="Arial"/>
        </w:rPr>
        <w:t>mirrors the reality facing disabled people today. We are witnessing policy shaped not by</w:t>
      </w:r>
      <w:r w:rsidR="00CD76E0">
        <w:rPr>
          <w:rFonts w:ascii="Arial" w:hAnsi="Arial" w:cs="Arial"/>
        </w:rPr>
        <w:t>.</w:t>
      </w:r>
      <w:r w:rsidRPr="00A94DE8">
        <w:rPr>
          <w:rFonts w:ascii="Arial" w:hAnsi="Arial" w:cs="Arial"/>
        </w:rPr>
        <w:br/>
      </w:r>
      <w:r w:rsidR="00CD76E0">
        <w:rPr>
          <w:rFonts w:ascii="Arial" w:hAnsi="Arial" w:cs="Arial"/>
        </w:rPr>
        <w:t>Empathy</w:t>
      </w:r>
      <w:r w:rsidRPr="00A94DE8">
        <w:rPr>
          <w:rFonts w:ascii="Arial" w:hAnsi="Arial" w:cs="Arial"/>
        </w:rPr>
        <w:t xml:space="preserve"> or fairness, but by arbitrary dates and cold calculations.</w:t>
      </w:r>
      <w:r w:rsidRPr="00A94DE8">
        <w:rPr>
          <w:rFonts w:ascii="Arial" w:hAnsi="Arial" w:cs="Arial"/>
        </w:rPr>
        <w:br/>
        <w:t>How is it just that someone's level of support</w:t>
      </w:r>
      <w:r w:rsidR="00CD76E0">
        <w:rPr>
          <w:rFonts w:ascii="Arial" w:hAnsi="Arial" w:cs="Arial"/>
        </w:rPr>
        <w:t>,</w:t>
      </w:r>
      <w:r w:rsidRPr="00A94DE8">
        <w:rPr>
          <w:rFonts w:ascii="Arial" w:hAnsi="Arial" w:cs="Arial"/>
        </w:rPr>
        <w:t xml:space="preserve"> already meagre</w:t>
      </w:r>
      <w:r w:rsidR="00CD76E0">
        <w:rPr>
          <w:rFonts w:ascii="Arial" w:hAnsi="Arial" w:cs="Arial"/>
        </w:rPr>
        <w:t>,</w:t>
      </w:r>
      <w:r w:rsidRPr="00A94DE8">
        <w:rPr>
          <w:rFonts w:ascii="Arial" w:hAnsi="Arial" w:cs="Arial"/>
        </w:rPr>
        <w:t xml:space="preserve"> can be decided by the luck of</w:t>
      </w:r>
      <w:r w:rsidRPr="00A94DE8">
        <w:rPr>
          <w:rFonts w:ascii="Arial" w:hAnsi="Arial" w:cs="Arial"/>
        </w:rPr>
        <w:br/>
      </w:r>
      <w:r w:rsidR="00CD76E0">
        <w:rPr>
          <w:rFonts w:ascii="Arial" w:hAnsi="Arial" w:cs="Arial"/>
        </w:rPr>
        <w:t>When</w:t>
      </w:r>
      <w:r w:rsidRPr="00A94DE8">
        <w:rPr>
          <w:rFonts w:ascii="Arial" w:hAnsi="Arial" w:cs="Arial"/>
        </w:rPr>
        <w:t xml:space="preserve"> they applied? That a system meant to protect the most vulnerable could split into tiers,</w:t>
      </w:r>
      <w:r w:rsidRPr="00A94DE8">
        <w:rPr>
          <w:rFonts w:ascii="Arial" w:hAnsi="Arial" w:cs="Arial"/>
        </w:rPr>
        <w:br/>
      </w:r>
      <w:r w:rsidR="00CD76E0">
        <w:rPr>
          <w:rFonts w:ascii="Arial" w:hAnsi="Arial" w:cs="Arial"/>
        </w:rPr>
        <w:t>Punishing</w:t>
      </w:r>
      <w:r w:rsidRPr="00A94DE8">
        <w:rPr>
          <w:rFonts w:ascii="Arial" w:hAnsi="Arial" w:cs="Arial"/>
        </w:rPr>
        <w:t xml:space="preserve"> those who fall on the wrong side of a deadline as though their needs matter less?</w:t>
      </w:r>
      <w:r w:rsidRPr="00A94DE8">
        <w:rPr>
          <w:rFonts w:ascii="Arial" w:hAnsi="Arial" w:cs="Arial"/>
        </w:rPr>
        <w:br/>
        <w:t>This isn’t just a technicality</w:t>
      </w:r>
      <w:r w:rsidR="00CD76E0">
        <w:rPr>
          <w:rFonts w:ascii="Arial" w:hAnsi="Arial" w:cs="Arial"/>
        </w:rPr>
        <w:t>,</w:t>
      </w:r>
      <w:r w:rsidRPr="00A94DE8">
        <w:rPr>
          <w:rFonts w:ascii="Arial" w:hAnsi="Arial" w:cs="Arial"/>
        </w:rPr>
        <w:t xml:space="preserve"> it’s a betrayal. And if we don’t challenge it, we risk cementing a</w:t>
      </w:r>
      <w:r w:rsidRPr="00A94DE8">
        <w:rPr>
          <w:rFonts w:ascii="Arial" w:hAnsi="Arial" w:cs="Arial"/>
        </w:rPr>
        <w:br/>
      </w:r>
      <w:r w:rsidR="00CD76E0">
        <w:rPr>
          <w:rFonts w:ascii="Arial" w:hAnsi="Arial" w:cs="Arial"/>
        </w:rPr>
        <w:t xml:space="preserve">A </w:t>
      </w:r>
      <w:r w:rsidRPr="00A94DE8">
        <w:rPr>
          <w:rFonts w:ascii="Arial" w:hAnsi="Arial" w:cs="Arial"/>
        </w:rPr>
        <w:t xml:space="preserve">future where inequality isn’t just </w:t>
      </w:r>
      <w:r w:rsidR="00CD76E0">
        <w:rPr>
          <w:rFonts w:ascii="Arial" w:hAnsi="Arial" w:cs="Arial"/>
        </w:rPr>
        <w:t>tolerated</w:t>
      </w:r>
      <w:r w:rsidRPr="00A94DE8">
        <w:rPr>
          <w:rFonts w:ascii="Arial" w:hAnsi="Arial" w:cs="Arial"/>
        </w:rPr>
        <w:t xml:space="preserve"> it</w:t>
      </w:r>
      <w:r>
        <w:rPr>
          <w:rFonts w:ascii="Arial" w:hAnsi="Arial" w:cs="Arial"/>
        </w:rPr>
        <w:t xml:space="preserve"> i</w:t>
      </w:r>
      <w:r w:rsidRPr="00A94DE8">
        <w:rPr>
          <w:rFonts w:ascii="Arial" w:hAnsi="Arial" w:cs="Arial"/>
        </w:rPr>
        <w:t>s built into the framework of our social support.</w:t>
      </w:r>
      <w:r w:rsidRPr="00A94DE8">
        <w:rPr>
          <w:rFonts w:ascii="Arial" w:hAnsi="Arial" w:cs="Arial"/>
        </w:rPr>
        <w:br/>
        <w:t>We cannot accept a system that draws its lines with indifference. A system where your access</w:t>
      </w:r>
      <w:r w:rsidRPr="00A94DE8">
        <w:rPr>
          <w:rFonts w:ascii="Arial" w:hAnsi="Arial" w:cs="Arial"/>
        </w:rPr>
        <w:br/>
      </w:r>
      <w:r w:rsidR="00CD76E0">
        <w:rPr>
          <w:rFonts w:ascii="Arial" w:hAnsi="Arial" w:cs="Arial"/>
        </w:rPr>
        <w:t>Essential</w:t>
      </w:r>
      <w:r w:rsidRPr="00A94DE8">
        <w:rPr>
          <w:rFonts w:ascii="Arial" w:hAnsi="Arial" w:cs="Arial"/>
        </w:rPr>
        <w:t xml:space="preserve"> support hinges not on your needs, your circumstances, or the barriers you face</w:t>
      </w:r>
      <w:r w:rsidR="00CD76E0">
        <w:rPr>
          <w:rFonts w:ascii="Arial" w:hAnsi="Arial" w:cs="Arial"/>
        </w:rPr>
        <w:t>,</w:t>
      </w:r>
      <w:r w:rsidRPr="00A94DE8">
        <w:rPr>
          <w:rFonts w:ascii="Arial" w:hAnsi="Arial" w:cs="Arial"/>
        </w:rPr>
        <w:t xml:space="preserve"> but</w:t>
      </w:r>
      <w:r w:rsidRPr="00A94DE8">
        <w:rPr>
          <w:rFonts w:ascii="Arial" w:hAnsi="Arial" w:cs="Arial"/>
        </w:rPr>
        <w:br/>
      </w:r>
      <w:r w:rsidR="00CD76E0">
        <w:rPr>
          <w:rFonts w:ascii="Arial" w:hAnsi="Arial" w:cs="Arial"/>
        </w:rPr>
        <w:t>On</w:t>
      </w:r>
      <w:r w:rsidRPr="00A94DE8">
        <w:rPr>
          <w:rFonts w:ascii="Arial" w:hAnsi="Arial" w:cs="Arial"/>
        </w:rPr>
        <w:t xml:space="preserve"> the date you happen to apply. What kind of society decides people’s worth based on a</w:t>
      </w:r>
      <w:r w:rsidRPr="00A94DE8">
        <w:rPr>
          <w:rFonts w:ascii="Arial" w:hAnsi="Arial" w:cs="Arial"/>
        </w:rPr>
        <w:br/>
      </w:r>
      <w:r w:rsidR="00CD76E0">
        <w:rPr>
          <w:rFonts w:ascii="Arial" w:hAnsi="Arial" w:cs="Arial"/>
        </w:rPr>
        <w:t>Calendar</w:t>
      </w:r>
      <w:r w:rsidRPr="00A94DE8">
        <w:rPr>
          <w:rFonts w:ascii="Arial" w:hAnsi="Arial" w:cs="Arial"/>
        </w:rPr>
        <w:t>?</w:t>
      </w:r>
      <w:r w:rsidRPr="00A94DE8">
        <w:rPr>
          <w:rFonts w:ascii="Arial" w:hAnsi="Arial" w:cs="Arial"/>
        </w:rPr>
        <w:br/>
        <w:t>Imagine two individuals with the same disability, the same daily struggles, the same unwavering</w:t>
      </w:r>
      <w:r w:rsidR="00CD76E0">
        <w:rPr>
          <w:rFonts w:ascii="Arial" w:hAnsi="Arial" w:cs="Arial"/>
        </w:rPr>
        <w:t>.</w:t>
      </w:r>
      <w:r w:rsidRPr="00A94DE8">
        <w:rPr>
          <w:rFonts w:ascii="Arial" w:hAnsi="Arial" w:cs="Arial"/>
        </w:rPr>
        <w:br/>
      </w:r>
      <w:r w:rsidR="00CD76E0">
        <w:rPr>
          <w:rFonts w:ascii="Arial" w:hAnsi="Arial" w:cs="Arial"/>
        </w:rPr>
        <w:t>Effort</w:t>
      </w:r>
      <w:r w:rsidRPr="00A94DE8">
        <w:rPr>
          <w:rFonts w:ascii="Arial" w:hAnsi="Arial" w:cs="Arial"/>
        </w:rPr>
        <w:t xml:space="preserve"> to live with dignity. One applies before the cut-off date and receives modest support. The</w:t>
      </w:r>
      <w:r w:rsidRPr="00A94DE8">
        <w:rPr>
          <w:rFonts w:ascii="Arial" w:hAnsi="Arial" w:cs="Arial"/>
        </w:rPr>
        <w:br/>
      </w:r>
      <w:r w:rsidR="00CD76E0">
        <w:rPr>
          <w:rFonts w:ascii="Arial" w:hAnsi="Arial" w:cs="Arial"/>
        </w:rPr>
        <w:t>The Other</w:t>
      </w:r>
      <w:r w:rsidRPr="00A94DE8">
        <w:rPr>
          <w:rFonts w:ascii="Arial" w:hAnsi="Arial" w:cs="Arial"/>
        </w:rPr>
        <w:t xml:space="preserve"> applies after and gets less, simply because the rules changed. Not because their needs</w:t>
      </w:r>
      <w:r w:rsidRPr="00A94DE8">
        <w:rPr>
          <w:rFonts w:ascii="Arial" w:hAnsi="Arial" w:cs="Arial"/>
        </w:rPr>
        <w:br/>
      </w:r>
      <w:r w:rsidR="00CD76E0">
        <w:rPr>
          <w:rFonts w:ascii="Arial" w:hAnsi="Arial" w:cs="Arial"/>
        </w:rPr>
        <w:t>Lessened</w:t>
      </w:r>
      <w:r w:rsidRPr="00A94DE8">
        <w:rPr>
          <w:rFonts w:ascii="Arial" w:hAnsi="Arial" w:cs="Arial"/>
        </w:rPr>
        <w:t>, not because their condition improved</w:t>
      </w:r>
      <w:r w:rsidR="00CD76E0">
        <w:rPr>
          <w:rFonts w:ascii="Arial" w:hAnsi="Arial" w:cs="Arial"/>
        </w:rPr>
        <w:t>,</w:t>
      </w:r>
      <w:r w:rsidRPr="00A94DE8">
        <w:rPr>
          <w:rFonts w:ascii="Arial" w:hAnsi="Arial" w:cs="Arial"/>
        </w:rPr>
        <w:t xml:space="preserve"> but because they didn’t tick the bureaucratic</w:t>
      </w:r>
      <w:r w:rsidRPr="00A94DE8">
        <w:rPr>
          <w:rFonts w:ascii="Arial" w:hAnsi="Arial" w:cs="Arial"/>
        </w:rPr>
        <w:br/>
      </w:r>
      <w:r w:rsidR="00CD76E0">
        <w:rPr>
          <w:rFonts w:ascii="Arial" w:hAnsi="Arial" w:cs="Arial"/>
        </w:rPr>
        <w:t>Box</w:t>
      </w:r>
      <w:r w:rsidRPr="00A94DE8">
        <w:rPr>
          <w:rFonts w:ascii="Arial" w:hAnsi="Arial" w:cs="Arial"/>
        </w:rPr>
        <w:t xml:space="preserve"> on time.</w:t>
      </w:r>
      <w:r w:rsidRPr="00A94DE8">
        <w:rPr>
          <w:rFonts w:ascii="Arial" w:hAnsi="Arial" w:cs="Arial"/>
        </w:rPr>
        <w:br/>
        <w:t>This isn’t reform. It’s rationing. And it’s happening under the guise of ‘fairness.’ And we must</w:t>
      </w:r>
      <w:r w:rsidRPr="00A94DE8">
        <w:rPr>
          <w:rFonts w:ascii="Arial" w:hAnsi="Arial" w:cs="Arial"/>
        </w:rPr>
        <w:br/>
      </w:r>
      <w:r w:rsidR="00CD76E0">
        <w:rPr>
          <w:rFonts w:ascii="Arial" w:hAnsi="Arial" w:cs="Arial"/>
        </w:rPr>
        <w:t>Remember</w:t>
      </w:r>
      <w:r w:rsidRPr="00A94DE8">
        <w:rPr>
          <w:rFonts w:ascii="Arial" w:hAnsi="Arial" w:cs="Arial"/>
        </w:rPr>
        <w:t>, in every reform: Nothing about us without us. Disabled people should never be</w:t>
      </w:r>
      <w:r w:rsidRPr="00A94DE8">
        <w:rPr>
          <w:rFonts w:ascii="Arial" w:hAnsi="Arial" w:cs="Arial"/>
        </w:rPr>
        <w:br/>
      </w:r>
      <w:r w:rsidR="00CD76E0">
        <w:rPr>
          <w:rFonts w:ascii="Arial" w:hAnsi="Arial" w:cs="Arial"/>
        </w:rPr>
        <w:t>Sidelined</w:t>
      </w:r>
      <w:r w:rsidRPr="00A94DE8">
        <w:rPr>
          <w:rFonts w:ascii="Arial" w:hAnsi="Arial" w:cs="Arial"/>
        </w:rPr>
        <w:t xml:space="preserve"> from decisions that shape their survival.</w:t>
      </w:r>
      <w:r w:rsidRPr="00A94DE8">
        <w:rPr>
          <w:rFonts w:ascii="Arial" w:hAnsi="Arial" w:cs="Arial"/>
        </w:rPr>
        <w:br/>
        <w:t>Let me be clear</w:t>
      </w:r>
      <w:r w:rsidR="00CD76E0">
        <w:rPr>
          <w:rFonts w:ascii="Arial" w:hAnsi="Arial" w:cs="Arial"/>
        </w:rPr>
        <w:t>,</w:t>
      </w:r>
      <w:r w:rsidRPr="00A94DE8">
        <w:rPr>
          <w:rFonts w:ascii="Arial" w:hAnsi="Arial" w:cs="Arial"/>
        </w:rPr>
        <w:t xml:space="preserve"> disability doesn’t run on deadlines. Pain doesn’t pause because a policy has</w:t>
      </w:r>
      <w:r w:rsidRPr="00A94DE8">
        <w:rPr>
          <w:rFonts w:ascii="Arial" w:hAnsi="Arial" w:cs="Arial"/>
        </w:rPr>
        <w:br/>
      </w:r>
      <w:r w:rsidR="00CD76E0">
        <w:rPr>
          <w:rFonts w:ascii="Arial" w:hAnsi="Arial" w:cs="Arial"/>
        </w:rPr>
        <w:t>Been</w:t>
      </w:r>
      <w:r w:rsidRPr="00A94DE8">
        <w:rPr>
          <w:rFonts w:ascii="Arial" w:hAnsi="Arial" w:cs="Arial"/>
        </w:rPr>
        <w:t xml:space="preserve"> redrafted. Accessibility doesn't become easier because government spreadsheets say it's</w:t>
      </w:r>
      <w:r w:rsidRPr="00A94DE8">
        <w:rPr>
          <w:rFonts w:ascii="Arial" w:hAnsi="Arial" w:cs="Arial"/>
        </w:rPr>
        <w:br/>
      </w:r>
      <w:r w:rsidR="00CD76E0">
        <w:rPr>
          <w:rFonts w:ascii="Arial" w:hAnsi="Arial" w:cs="Arial"/>
        </w:rPr>
        <w:t>Time</w:t>
      </w:r>
      <w:r w:rsidRPr="00A94DE8">
        <w:rPr>
          <w:rFonts w:ascii="Arial" w:hAnsi="Arial" w:cs="Arial"/>
        </w:rPr>
        <w:t xml:space="preserve"> for savings. These changes, if left unchallenged, will leave us with a two-tier system—</w:t>
      </w:r>
      <w:r w:rsidRPr="00A94DE8">
        <w:rPr>
          <w:rFonts w:ascii="Arial" w:hAnsi="Arial" w:cs="Arial"/>
        </w:rPr>
        <w:br/>
      </w:r>
      <w:r w:rsidR="00CD76E0">
        <w:rPr>
          <w:rFonts w:ascii="Arial" w:hAnsi="Arial" w:cs="Arial"/>
        </w:rPr>
        <w:t>Where</w:t>
      </w:r>
      <w:r w:rsidRPr="00A94DE8">
        <w:rPr>
          <w:rFonts w:ascii="Arial" w:hAnsi="Arial" w:cs="Arial"/>
        </w:rPr>
        <w:t xml:space="preserve"> luck replaces justice, and complexity is weaponised against those who need clarity and</w:t>
      </w:r>
      <w:r w:rsidRPr="00A94DE8">
        <w:rPr>
          <w:rFonts w:ascii="Arial" w:hAnsi="Arial" w:cs="Arial"/>
        </w:rPr>
        <w:br/>
      </w:r>
      <w:r w:rsidR="00CD76E0">
        <w:rPr>
          <w:rFonts w:ascii="Arial" w:hAnsi="Arial" w:cs="Arial"/>
        </w:rPr>
        <w:t>Compassion</w:t>
      </w:r>
      <w:r w:rsidRPr="00A94DE8">
        <w:rPr>
          <w:rFonts w:ascii="Arial" w:hAnsi="Arial" w:cs="Arial"/>
        </w:rPr>
        <w:t xml:space="preserve"> </w:t>
      </w:r>
      <w:r w:rsidR="00CD76E0">
        <w:rPr>
          <w:rFonts w:ascii="Arial" w:hAnsi="Arial" w:cs="Arial"/>
        </w:rPr>
        <w:t xml:space="preserve">is </w:t>
      </w:r>
      <w:r w:rsidRPr="00A94DE8">
        <w:rPr>
          <w:rFonts w:ascii="Arial" w:hAnsi="Arial" w:cs="Arial"/>
        </w:rPr>
        <w:t>the most.</w:t>
      </w:r>
      <w:r w:rsidR="00194341">
        <w:rPr>
          <w:rFonts w:ascii="Arial" w:hAnsi="Arial" w:cs="Arial"/>
        </w:rPr>
        <w:t xml:space="preserve"> </w:t>
      </w:r>
      <w:r w:rsidRPr="00A94DE8">
        <w:rPr>
          <w:rFonts w:ascii="Arial" w:hAnsi="Arial" w:cs="Arial"/>
        </w:rPr>
        <w:t>And once again, we say: Nothing about us without us. Inclusion isn't a</w:t>
      </w:r>
      <w:r w:rsidR="00194341">
        <w:rPr>
          <w:rFonts w:ascii="Arial" w:hAnsi="Arial" w:cs="Arial"/>
        </w:rPr>
        <w:t xml:space="preserve"> </w:t>
      </w:r>
      <w:r w:rsidRPr="00A94DE8">
        <w:rPr>
          <w:rFonts w:ascii="Arial" w:hAnsi="Arial" w:cs="Arial"/>
        </w:rPr>
        <w:t>footnote</w:t>
      </w:r>
      <w:r w:rsidR="00CD76E0">
        <w:rPr>
          <w:rFonts w:ascii="Arial" w:hAnsi="Arial" w:cs="Arial"/>
        </w:rPr>
        <w:t>;</w:t>
      </w:r>
      <w:r w:rsidRPr="00A94DE8">
        <w:rPr>
          <w:rFonts w:ascii="Arial" w:hAnsi="Arial" w:cs="Arial"/>
        </w:rPr>
        <w:t xml:space="preserve"> it must be the</w:t>
      </w:r>
      <w:r w:rsidR="00194341">
        <w:rPr>
          <w:rFonts w:ascii="Arial" w:hAnsi="Arial" w:cs="Arial"/>
        </w:rPr>
        <w:t xml:space="preserve"> </w:t>
      </w:r>
      <w:r w:rsidR="00CD76E0">
        <w:rPr>
          <w:rFonts w:ascii="Arial" w:hAnsi="Arial" w:cs="Arial"/>
        </w:rPr>
        <w:t>Foundation</w:t>
      </w:r>
      <w:r w:rsidRPr="00A94DE8">
        <w:rPr>
          <w:rFonts w:ascii="Arial" w:hAnsi="Arial" w:cs="Arial"/>
        </w:rPr>
        <w:t>.</w:t>
      </w:r>
      <w:r w:rsidR="00194341">
        <w:rPr>
          <w:rFonts w:ascii="Arial" w:hAnsi="Arial" w:cs="Arial"/>
        </w:rPr>
        <w:t xml:space="preserve"> </w:t>
      </w:r>
      <w:r w:rsidRPr="00A94DE8">
        <w:rPr>
          <w:rFonts w:ascii="Arial" w:hAnsi="Arial" w:cs="Arial"/>
        </w:rPr>
        <w:t xml:space="preserve">I speak today not just as a campaigner, but as a man of 64 </w:t>
      </w:r>
      <w:r w:rsidRPr="00A94DE8">
        <w:rPr>
          <w:rFonts w:ascii="Arial" w:hAnsi="Arial" w:cs="Arial"/>
        </w:rPr>
        <w:lastRenderedPageBreak/>
        <w:t>who grew up in poverty in Liverpool,</w:t>
      </w:r>
      <w:r w:rsidR="00194341">
        <w:rPr>
          <w:rFonts w:ascii="Arial" w:hAnsi="Arial" w:cs="Arial"/>
        </w:rPr>
        <w:t xml:space="preserve"> </w:t>
      </w:r>
      <w:r w:rsidR="00CD76E0">
        <w:rPr>
          <w:rFonts w:ascii="Arial" w:hAnsi="Arial" w:cs="Arial"/>
        </w:rPr>
        <w:t>Shaped</w:t>
      </w:r>
      <w:r w:rsidRPr="00A94DE8">
        <w:rPr>
          <w:rFonts w:ascii="Arial" w:hAnsi="Arial" w:cs="Arial"/>
        </w:rPr>
        <w:t xml:space="preserve"> by hardship and fire. I’ve spent my life fighting not only for my own rights, but for those</w:t>
      </w:r>
      <w:r w:rsidR="00194341">
        <w:rPr>
          <w:rFonts w:ascii="Arial" w:hAnsi="Arial" w:cs="Arial"/>
        </w:rPr>
        <w:t xml:space="preserve"> </w:t>
      </w:r>
      <w:r w:rsidR="00CD76E0">
        <w:rPr>
          <w:rFonts w:ascii="Arial" w:hAnsi="Arial" w:cs="Arial"/>
        </w:rPr>
        <w:t>Of</w:t>
      </w:r>
      <w:r w:rsidRPr="00A94DE8">
        <w:rPr>
          <w:rFonts w:ascii="Arial" w:hAnsi="Arial" w:cs="Arial"/>
        </w:rPr>
        <w:t xml:space="preserve"> the many who are left behind. I’ve stood on the front lines of the fair rights movement. I</w:t>
      </w:r>
      <w:r w:rsidR="00194341">
        <w:rPr>
          <w:rFonts w:ascii="Arial" w:hAnsi="Arial" w:cs="Arial"/>
        </w:rPr>
        <w:t xml:space="preserve"> </w:t>
      </w:r>
      <w:r w:rsidR="00CD76E0">
        <w:rPr>
          <w:rFonts w:ascii="Arial" w:hAnsi="Arial" w:cs="Arial"/>
        </w:rPr>
        <w:t>Believed</w:t>
      </w:r>
      <w:r w:rsidRPr="00A94DE8">
        <w:rPr>
          <w:rFonts w:ascii="Arial" w:hAnsi="Arial" w:cs="Arial"/>
        </w:rPr>
        <w:t xml:space="preserve"> in the promised land spoken of in the late ’90s. I remember the hope, the excitement…</w:t>
      </w:r>
      <w:r w:rsidR="00CD76E0">
        <w:rPr>
          <w:rFonts w:ascii="Arial" w:hAnsi="Arial" w:cs="Arial"/>
        </w:rPr>
        <w:t>That</w:t>
      </w:r>
      <w:r w:rsidRPr="00A94DE8">
        <w:rPr>
          <w:rFonts w:ascii="Arial" w:hAnsi="Arial" w:cs="Arial"/>
        </w:rPr>
        <w:t xml:space="preserve"> a strong Labour victory would undo the damage inflicted by 14 long years of Tory austerity</w:t>
      </w:r>
      <w:r w:rsidR="00194341">
        <w:rPr>
          <w:rFonts w:ascii="Arial" w:hAnsi="Arial" w:cs="Arial"/>
        </w:rPr>
        <w:t xml:space="preserve"> </w:t>
      </w:r>
      <w:r w:rsidRPr="00A94DE8">
        <w:rPr>
          <w:rFonts w:ascii="Arial" w:hAnsi="Arial" w:cs="Arial"/>
        </w:rPr>
        <w:t>and misuse of power.</w:t>
      </w:r>
      <w:r w:rsidRPr="00A94DE8">
        <w:rPr>
          <w:rFonts w:ascii="Arial" w:hAnsi="Arial" w:cs="Arial"/>
        </w:rPr>
        <w:br/>
        <w:t>We were told a new dawn had come. That justice was finally within reach. And now, I stand as a</w:t>
      </w:r>
      <w:r w:rsidRPr="00A94DE8">
        <w:rPr>
          <w:rFonts w:ascii="Arial" w:hAnsi="Arial" w:cs="Arial"/>
        </w:rPr>
        <w:br/>
        <w:t>card-carrying Labour member a role once filled with pride, now weighed down by grief.</w:t>
      </w:r>
      <w:r w:rsidRPr="00A94DE8">
        <w:rPr>
          <w:rFonts w:ascii="Arial" w:hAnsi="Arial" w:cs="Arial"/>
        </w:rPr>
        <w:br/>
        <w:t>Because under this Starmer</w:t>
      </w:r>
      <w:r>
        <w:rPr>
          <w:rFonts w:ascii="Arial" w:hAnsi="Arial" w:cs="Arial"/>
        </w:rPr>
        <w:t xml:space="preserve"> </w:t>
      </w:r>
      <w:r w:rsidRPr="00A94DE8">
        <w:rPr>
          <w:rFonts w:ascii="Arial" w:hAnsi="Arial" w:cs="Arial"/>
        </w:rPr>
        <w:t>led government, the betrayal cuts deep. The very people we</w:t>
      </w:r>
      <w:r w:rsidRPr="00A94DE8">
        <w:rPr>
          <w:rFonts w:ascii="Arial" w:hAnsi="Arial" w:cs="Arial"/>
        </w:rPr>
        <w:br/>
        <w:t>vowed to protect</w:t>
      </w:r>
      <w:r>
        <w:rPr>
          <w:rFonts w:ascii="Arial" w:hAnsi="Arial" w:cs="Arial"/>
        </w:rPr>
        <w:t xml:space="preserve"> </w:t>
      </w:r>
      <w:r w:rsidRPr="00A94DE8">
        <w:rPr>
          <w:rFonts w:ascii="Arial" w:hAnsi="Arial" w:cs="Arial"/>
        </w:rPr>
        <w:t>the disabled, the elderly, the most vulnerable members of our great nation</w:t>
      </w:r>
      <w:r w:rsidRPr="00A94DE8">
        <w:rPr>
          <w:rFonts w:ascii="Arial" w:hAnsi="Arial" w:cs="Arial"/>
        </w:rPr>
        <w:br/>
        <w:t>are now being asked to carry the burden once again.</w:t>
      </w:r>
      <w:r w:rsidR="00194341">
        <w:rPr>
          <w:rFonts w:ascii="Arial" w:hAnsi="Arial" w:cs="Arial"/>
        </w:rPr>
        <w:t xml:space="preserve"> </w:t>
      </w:r>
      <w:r w:rsidRPr="00A94DE8">
        <w:rPr>
          <w:rFonts w:ascii="Arial" w:hAnsi="Arial" w:cs="Arial"/>
        </w:rPr>
        <w:t>This isn’t progress. It’s erasure. And we must say clearly: Nothing about us without us. These</w:t>
      </w:r>
      <w:r w:rsidR="00194341">
        <w:rPr>
          <w:rFonts w:ascii="Arial" w:hAnsi="Arial" w:cs="Arial"/>
        </w:rPr>
        <w:t xml:space="preserve"> </w:t>
      </w:r>
      <w:r w:rsidRPr="00A94DE8">
        <w:rPr>
          <w:rFonts w:ascii="Arial" w:hAnsi="Arial" w:cs="Arial"/>
        </w:rPr>
        <w:t>cuts are not mere budget lines they are acts of cruelty dressed up in parliamentary polish.</w:t>
      </w:r>
      <w:r w:rsidR="00194341">
        <w:rPr>
          <w:rFonts w:ascii="Arial" w:hAnsi="Arial" w:cs="Arial"/>
        </w:rPr>
        <w:t xml:space="preserve"> </w:t>
      </w:r>
      <w:r w:rsidRPr="00A94DE8">
        <w:rPr>
          <w:rFonts w:ascii="Arial" w:hAnsi="Arial" w:cs="Arial"/>
        </w:rPr>
        <w:t>It must be said plainly: This is not just about benefit amounts it’s about recognition, about</w:t>
      </w:r>
      <w:r w:rsidR="00086EA4">
        <w:rPr>
          <w:rFonts w:ascii="Arial" w:hAnsi="Arial" w:cs="Arial"/>
        </w:rPr>
        <w:t xml:space="preserve"> </w:t>
      </w:r>
      <w:r w:rsidRPr="00A94DE8">
        <w:rPr>
          <w:rFonts w:ascii="Arial" w:hAnsi="Arial" w:cs="Arial"/>
        </w:rPr>
        <w:t>dignity, about refusing to let disabled people become collateral damage in a cost-cutting</w:t>
      </w:r>
      <w:r w:rsidR="00086EA4">
        <w:rPr>
          <w:rFonts w:ascii="Arial" w:hAnsi="Arial" w:cs="Arial"/>
        </w:rPr>
        <w:t xml:space="preserve"> </w:t>
      </w:r>
      <w:r w:rsidRPr="00A94DE8">
        <w:rPr>
          <w:rFonts w:ascii="Arial" w:hAnsi="Arial" w:cs="Arial"/>
        </w:rPr>
        <w:t>exercise that masquerades as reform. If disabled voices aren’t in the room, then the policies</w:t>
      </w:r>
      <w:r w:rsidR="00086EA4">
        <w:rPr>
          <w:rFonts w:ascii="Arial" w:hAnsi="Arial" w:cs="Arial"/>
        </w:rPr>
        <w:t xml:space="preserve"> </w:t>
      </w:r>
      <w:r w:rsidRPr="00A94DE8">
        <w:rPr>
          <w:rFonts w:ascii="Arial" w:hAnsi="Arial" w:cs="Arial"/>
        </w:rPr>
        <w:t>written will never reflect lived reality. Nothing about us without us isn’t a slogan it’s a demand</w:t>
      </w:r>
      <w:r w:rsidR="00086EA4">
        <w:rPr>
          <w:rFonts w:ascii="Arial" w:hAnsi="Arial" w:cs="Arial"/>
        </w:rPr>
        <w:t xml:space="preserve"> </w:t>
      </w:r>
      <w:r w:rsidRPr="00A94DE8">
        <w:rPr>
          <w:rFonts w:ascii="Arial" w:hAnsi="Arial" w:cs="Arial"/>
        </w:rPr>
        <w:t>rooted in truth.</w:t>
      </w:r>
      <w:r w:rsidR="00086EA4">
        <w:rPr>
          <w:rFonts w:ascii="Arial" w:hAnsi="Arial" w:cs="Arial"/>
        </w:rPr>
        <w:t xml:space="preserve"> </w:t>
      </w:r>
      <w:r w:rsidRPr="00A94DE8">
        <w:rPr>
          <w:rFonts w:ascii="Arial" w:hAnsi="Arial" w:cs="Arial"/>
        </w:rPr>
        <w:t>I don't stand here today as a distant observer. I stand as someone who has lived through the</w:t>
      </w:r>
      <w:r w:rsidR="00086EA4">
        <w:rPr>
          <w:rFonts w:ascii="Arial" w:hAnsi="Arial" w:cs="Arial"/>
        </w:rPr>
        <w:t xml:space="preserve"> </w:t>
      </w:r>
      <w:r w:rsidRPr="00A94DE8">
        <w:rPr>
          <w:rFonts w:ascii="Arial" w:hAnsi="Arial" w:cs="Arial"/>
        </w:rPr>
        <w:t>maze of bureaucracy, who has fought for support not as a privilege, but as a basic right. I’ve</w:t>
      </w:r>
      <w:r w:rsidR="00086EA4">
        <w:rPr>
          <w:rFonts w:ascii="Arial" w:hAnsi="Arial" w:cs="Arial"/>
        </w:rPr>
        <w:t xml:space="preserve"> </w:t>
      </w:r>
      <w:r w:rsidRPr="00A94DE8">
        <w:rPr>
          <w:rFonts w:ascii="Arial" w:hAnsi="Arial" w:cs="Arial"/>
        </w:rPr>
        <w:t>seen the silent suffering of those too exhausted to battle yet another form, another rejection,</w:t>
      </w:r>
      <w:r w:rsidR="00086EA4">
        <w:rPr>
          <w:rFonts w:ascii="Arial" w:hAnsi="Arial" w:cs="Arial"/>
        </w:rPr>
        <w:t xml:space="preserve"> </w:t>
      </w:r>
      <w:r w:rsidRPr="00A94DE8">
        <w:rPr>
          <w:rFonts w:ascii="Arial" w:hAnsi="Arial" w:cs="Arial"/>
        </w:rPr>
        <w:t>another rule change. And I</w:t>
      </w:r>
      <w:r>
        <w:rPr>
          <w:rFonts w:ascii="Arial" w:hAnsi="Arial" w:cs="Arial"/>
        </w:rPr>
        <w:t xml:space="preserve"> ha</w:t>
      </w:r>
      <w:r w:rsidRPr="00A94DE8">
        <w:rPr>
          <w:rFonts w:ascii="Arial" w:hAnsi="Arial" w:cs="Arial"/>
        </w:rPr>
        <w:t>ve stood alongside them</w:t>
      </w:r>
      <w:r>
        <w:rPr>
          <w:rFonts w:ascii="Arial" w:hAnsi="Arial" w:cs="Arial"/>
        </w:rPr>
        <w:t xml:space="preserve"> </w:t>
      </w:r>
      <w:r w:rsidRPr="00A94DE8">
        <w:rPr>
          <w:rFonts w:ascii="Arial" w:hAnsi="Arial" w:cs="Arial"/>
        </w:rPr>
        <w:t>not just in solidarity, but in fierce</w:t>
      </w:r>
      <w:r w:rsidR="00086EA4">
        <w:rPr>
          <w:rFonts w:ascii="Arial" w:hAnsi="Arial" w:cs="Arial"/>
        </w:rPr>
        <w:t xml:space="preserve"> </w:t>
      </w:r>
      <w:r w:rsidRPr="00A94DE8">
        <w:rPr>
          <w:rFonts w:ascii="Arial" w:hAnsi="Arial" w:cs="Arial"/>
        </w:rPr>
        <w:t>determination.</w:t>
      </w:r>
      <w:r w:rsidRPr="00A94DE8">
        <w:rPr>
          <w:rFonts w:ascii="Arial" w:hAnsi="Arial" w:cs="Arial"/>
        </w:rPr>
        <w:br/>
        <w:t>This proposed two-tier system does</w:t>
      </w:r>
      <w:r>
        <w:rPr>
          <w:rFonts w:ascii="Arial" w:hAnsi="Arial" w:cs="Arial"/>
        </w:rPr>
        <w:t xml:space="preserve"> not</w:t>
      </w:r>
      <w:r w:rsidRPr="00A94DE8">
        <w:rPr>
          <w:rFonts w:ascii="Arial" w:hAnsi="Arial" w:cs="Arial"/>
        </w:rPr>
        <w:t xml:space="preserve"> just divide support it divides people. It sends a message</w:t>
      </w:r>
      <w:r w:rsidR="00086EA4">
        <w:rPr>
          <w:rFonts w:ascii="Arial" w:hAnsi="Arial" w:cs="Arial"/>
        </w:rPr>
        <w:t xml:space="preserve"> </w:t>
      </w:r>
      <w:r w:rsidRPr="00A94DE8">
        <w:rPr>
          <w:rFonts w:ascii="Arial" w:hAnsi="Arial" w:cs="Arial"/>
        </w:rPr>
        <w:t>that some disabled lives are more valid than others, and that dignity can be budgeted. I reject</w:t>
      </w:r>
      <w:r w:rsidR="00086EA4">
        <w:rPr>
          <w:rFonts w:ascii="Arial" w:hAnsi="Arial" w:cs="Arial"/>
        </w:rPr>
        <w:t xml:space="preserve"> </w:t>
      </w:r>
      <w:r w:rsidRPr="00A94DE8">
        <w:rPr>
          <w:rFonts w:ascii="Arial" w:hAnsi="Arial" w:cs="Arial"/>
        </w:rPr>
        <w:t>that. And I know many of you do too. And I say again: Nothing about us without us. Reform</w:t>
      </w:r>
      <w:r w:rsidR="00086EA4">
        <w:rPr>
          <w:rFonts w:ascii="Arial" w:hAnsi="Arial" w:cs="Arial"/>
        </w:rPr>
        <w:t xml:space="preserve"> </w:t>
      </w:r>
      <w:r w:rsidRPr="00A94DE8">
        <w:rPr>
          <w:rFonts w:ascii="Arial" w:hAnsi="Arial" w:cs="Arial"/>
        </w:rPr>
        <w:t>must not be imposed</w:t>
      </w:r>
      <w:r>
        <w:rPr>
          <w:rFonts w:ascii="Arial" w:hAnsi="Arial" w:cs="Arial"/>
        </w:rPr>
        <w:t xml:space="preserve"> </w:t>
      </w:r>
      <w:r w:rsidRPr="00A94DE8">
        <w:rPr>
          <w:rFonts w:ascii="Arial" w:hAnsi="Arial" w:cs="Arial"/>
        </w:rPr>
        <w:t>it must be co</w:t>
      </w:r>
      <w:r>
        <w:rPr>
          <w:rFonts w:ascii="Arial" w:hAnsi="Arial" w:cs="Arial"/>
        </w:rPr>
        <w:t>-</w:t>
      </w:r>
      <w:r w:rsidRPr="00A94DE8">
        <w:rPr>
          <w:rFonts w:ascii="Arial" w:hAnsi="Arial" w:cs="Arial"/>
        </w:rPr>
        <w:t>created with those who know the struggle firsthand.</w:t>
      </w:r>
      <w:r w:rsidRPr="00A94DE8">
        <w:rPr>
          <w:rFonts w:ascii="Arial" w:hAnsi="Arial" w:cs="Arial"/>
        </w:rPr>
        <w:br/>
        <w:t>So I ask, what kind of country do we want to be? One that sees disability through the eyes of</w:t>
      </w:r>
      <w:r w:rsidRPr="00A94DE8">
        <w:rPr>
          <w:rFonts w:ascii="Arial" w:hAnsi="Arial" w:cs="Arial"/>
        </w:rPr>
        <w:br/>
        <w:t>compassion</w:t>
      </w:r>
      <w:r>
        <w:rPr>
          <w:rFonts w:ascii="Arial" w:hAnsi="Arial" w:cs="Arial"/>
        </w:rPr>
        <w:t xml:space="preserve"> </w:t>
      </w:r>
      <w:r w:rsidRPr="00A94DE8">
        <w:rPr>
          <w:rFonts w:ascii="Arial" w:hAnsi="Arial" w:cs="Arial"/>
        </w:rPr>
        <w:t>or one that filters it through fiscal convenience? These are not mere policy</w:t>
      </w:r>
      <w:r w:rsidRPr="00A94DE8">
        <w:rPr>
          <w:rFonts w:ascii="Arial" w:hAnsi="Arial" w:cs="Arial"/>
        </w:rPr>
        <w:br/>
        <w:t>choices</w:t>
      </w:r>
      <w:r>
        <w:rPr>
          <w:rFonts w:ascii="Arial" w:hAnsi="Arial" w:cs="Arial"/>
        </w:rPr>
        <w:t xml:space="preserve"> </w:t>
      </w:r>
      <w:r w:rsidRPr="00A94DE8">
        <w:rPr>
          <w:rFonts w:ascii="Arial" w:hAnsi="Arial" w:cs="Arial"/>
        </w:rPr>
        <w:t>they are moral decisions. We must challenge this. Not tomorrow. Not once the</w:t>
      </w:r>
      <w:r w:rsidRPr="00A94DE8">
        <w:rPr>
          <w:rFonts w:ascii="Arial" w:hAnsi="Arial" w:cs="Arial"/>
        </w:rPr>
        <w:br/>
        <w:t>damage is done. But now. Because justice delayed is justice denied. And silence, in the face of</w:t>
      </w:r>
      <w:r w:rsidRPr="00A94DE8">
        <w:rPr>
          <w:rFonts w:ascii="Arial" w:hAnsi="Arial" w:cs="Arial"/>
        </w:rPr>
        <w:br/>
        <w:t>cruelty disguised as reform, is not neutrality</w:t>
      </w:r>
      <w:r>
        <w:rPr>
          <w:rFonts w:ascii="Arial" w:hAnsi="Arial" w:cs="Arial"/>
        </w:rPr>
        <w:t xml:space="preserve"> </w:t>
      </w:r>
      <w:r w:rsidRPr="00A94DE8">
        <w:rPr>
          <w:rFonts w:ascii="Arial" w:hAnsi="Arial" w:cs="Arial"/>
        </w:rPr>
        <w:t>it is complicity. Let us be loud. Let us be united.</w:t>
      </w:r>
      <w:r w:rsidRPr="00A94DE8">
        <w:rPr>
          <w:rFonts w:ascii="Arial" w:hAnsi="Arial" w:cs="Arial"/>
        </w:rPr>
        <w:br/>
        <w:t>And let us remind those in power: Nothing about us without us. We are watching, we are</w:t>
      </w:r>
      <w:r w:rsidRPr="00A94DE8">
        <w:rPr>
          <w:rFonts w:ascii="Arial" w:hAnsi="Arial" w:cs="Arial"/>
        </w:rPr>
        <w:br/>
        <w:t>fighting, and we will not allow this injustice to pass unchallenged." I move this motion and ask</w:t>
      </w:r>
      <w:r w:rsidRPr="00A94DE8">
        <w:rPr>
          <w:rFonts w:ascii="Arial" w:hAnsi="Arial" w:cs="Arial"/>
        </w:rPr>
        <w:br/>
        <w:t>you all to support it</w:t>
      </w:r>
    </w:p>
    <w:p w14:paraId="5207A4EC" w14:textId="77777777" w:rsidR="00F15772" w:rsidRDefault="00F15772" w:rsidP="00F15772"/>
    <w:p w14:paraId="0DEFC08A" w14:textId="77777777" w:rsidR="00F15772" w:rsidRDefault="00F15772" w:rsidP="00F15772"/>
    <w:p w14:paraId="19AB142D" w14:textId="22F99B73" w:rsidR="00F15772" w:rsidRPr="00AE7901" w:rsidRDefault="00F15772" w:rsidP="00AE7901">
      <w:pPr>
        <w:spacing w:line="360" w:lineRule="auto"/>
        <w:jc w:val="center"/>
        <w:rPr>
          <w:rFonts w:ascii="Arial" w:hAnsi="Arial" w:cs="Arial"/>
        </w:rPr>
      </w:pPr>
      <w:r w:rsidRPr="00C32A02">
        <w:rPr>
          <w:rFonts w:ascii="Arial" w:hAnsi="Arial" w:cs="Arial"/>
          <w:sz w:val="28"/>
          <w:szCs w:val="28"/>
        </w:rPr>
        <w:t>APPENDIX 2</w:t>
      </w:r>
      <w:r w:rsidRPr="00C32A02">
        <w:rPr>
          <w:rFonts w:ascii="Arial" w:hAnsi="Arial" w:cs="Arial"/>
          <w:sz w:val="28"/>
          <w:szCs w:val="28"/>
        </w:rPr>
        <w:br/>
      </w:r>
      <w:r w:rsidRPr="00AE7901">
        <w:rPr>
          <w:rFonts w:ascii="Arial" w:hAnsi="Arial" w:cs="Arial"/>
        </w:rPr>
        <w:t>Disabled Workers Oppose Welfare Reforms</w:t>
      </w:r>
      <w:r w:rsidRPr="00AE7901">
        <w:br/>
      </w:r>
      <w:r w:rsidRPr="00AE7901">
        <w:rPr>
          <w:rFonts w:ascii="Arial" w:hAnsi="Arial" w:cs="Arial"/>
        </w:rPr>
        <w:t>Speech by Philip Blundell delegate to the TUC conference 05 June 2025</w:t>
      </w:r>
    </w:p>
    <w:p w14:paraId="5331C75B" w14:textId="22BC3CB4" w:rsidR="00F15772" w:rsidRPr="00AE7901" w:rsidRDefault="00F15772" w:rsidP="00AE7901">
      <w:pPr>
        <w:spacing w:line="360" w:lineRule="auto"/>
        <w:rPr>
          <w:rFonts w:ascii="Arial" w:hAnsi="Arial" w:cs="Arial"/>
        </w:rPr>
      </w:pPr>
      <w:r w:rsidRPr="00AE7901">
        <w:rPr>
          <w:rFonts w:ascii="Arial" w:hAnsi="Arial" w:cs="Arial"/>
        </w:rPr>
        <w:t>This Conference notes the Disability Benefits U-turn on 26th June by the Government who have</w:t>
      </w:r>
      <w:r w:rsidRPr="00AE7901">
        <w:rPr>
          <w:rFonts w:ascii="Arial" w:hAnsi="Arial" w:cs="Arial"/>
        </w:rPr>
        <w:br/>
        <w:t>scaled back their plans to cut the welfare bill</w:t>
      </w:r>
      <w:r w:rsidRPr="00AE7901">
        <w:rPr>
          <w:rFonts w:ascii="Arial" w:hAnsi="Arial" w:cs="Arial"/>
        </w:rPr>
        <w:br/>
        <w:t>Conference wishes to state clearly, and unequivocally, that no number of "concessions" will</w:t>
      </w:r>
      <w:r w:rsidRPr="00AE7901">
        <w:rPr>
          <w:rFonts w:ascii="Arial" w:hAnsi="Arial" w:cs="Arial"/>
        </w:rPr>
        <w:br/>
        <w:t>make this government Bill acceptable. Cuts made to the limited support Disabled people rely</w:t>
      </w:r>
      <w:r w:rsidRPr="00AE7901">
        <w:rPr>
          <w:rFonts w:ascii="Arial" w:hAnsi="Arial" w:cs="Arial"/>
        </w:rPr>
        <w:br/>
        <w:t>on, must be resisted now and in the future.</w:t>
      </w:r>
      <w:r w:rsidR="00086EA4">
        <w:rPr>
          <w:rFonts w:ascii="Arial" w:hAnsi="Arial" w:cs="Arial"/>
        </w:rPr>
        <w:t xml:space="preserve"> </w:t>
      </w:r>
      <w:r w:rsidRPr="00AE7901">
        <w:rPr>
          <w:rFonts w:ascii="Arial" w:hAnsi="Arial" w:cs="Arial"/>
        </w:rPr>
        <w:t>This Conference further notes that:</w:t>
      </w:r>
      <w:r w:rsidR="00086EA4">
        <w:rPr>
          <w:rFonts w:ascii="Arial" w:hAnsi="Arial" w:cs="Arial"/>
        </w:rPr>
        <w:t xml:space="preserve"> </w:t>
      </w:r>
      <w:r w:rsidRPr="00AE7901">
        <w:rPr>
          <w:rFonts w:ascii="Arial" w:hAnsi="Arial" w:cs="Arial"/>
        </w:rPr>
        <w:t>Following the U-turn, the amended proposals will create greater injustice through: Applying the revised PIP</w:t>
      </w:r>
      <w:r w:rsidR="00086EA4">
        <w:rPr>
          <w:rFonts w:ascii="Arial" w:hAnsi="Arial" w:cs="Arial"/>
        </w:rPr>
        <w:t xml:space="preserve"> </w:t>
      </w:r>
      <w:r w:rsidRPr="00AE7901">
        <w:rPr>
          <w:rFonts w:ascii="Arial" w:hAnsi="Arial" w:cs="Arial"/>
        </w:rPr>
        <w:t>proposals to new claimants of Personal Independence</w:t>
      </w:r>
      <w:r w:rsidR="00086EA4">
        <w:rPr>
          <w:rFonts w:ascii="Arial" w:hAnsi="Arial" w:cs="Arial"/>
        </w:rPr>
        <w:t xml:space="preserve"> </w:t>
      </w:r>
      <w:r w:rsidRPr="00AE7901">
        <w:rPr>
          <w:rFonts w:ascii="Arial" w:hAnsi="Arial" w:cs="Arial"/>
        </w:rPr>
        <w:t>Payment (PIP) will create a two-tier workforce and will create a massive barrier to work</w:t>
      </w:r>
      <w:r w:rsidR="00086EA4">
        <w:rPr>
          <w:rFonts w:ascii="Arial" w:hAnsi="Arial" w:cs="Arial"/>
        </w:rPr>
        <w:t xml:space="preserve"> </w:t>
      </w:r>
      <w:r w:rsidRPr="00AE7901">
        <w:rPr>
          <w:rFonts w:ascii="Arial" w:hAnsi="Arial" w:cs="Arial"/>
        </w:rPr>
        <w:t>for newly disabled people</w:t>
      </w:r>
      <w:r w:rsidR="00640D46">
        <w:rPr>
          <w:rFonts w:ascii="Arial" w:hAnsi="Arial" w:cs="Arial"/>
        </w:rPr>
        <w:t xml:space="preserve"> </w:t>
      </w:r>
      <w:r w:rsidRPr="00AE7901">
        <w:rPr>
          <w:rFonts w:ascii="Arial" w:hAnsi="Arial" w:cs="Arial"/>
        </w:rPr>
        <w:t>The reduction of PIP payments for younger people will mean that they will be effectively</w:t>
      </w:r>
      <w:r w:rsidR="00640D46">
        <w:rPr>
          <w:rFonts w:ascii="Arial" w:hAnsi="Arial" w:cs="Arial"/>
        </w:rPr>
        <w:t xml:space="preserve"> </w:t>
      </w:r>
      <w:r w:rsidRPr="00AE7901">
        <w:rPr>
          <w:rFonts w:ascii="Arial" w:hAnsi="Arial" w:cs="Arial"/>
        </w:rPr>
        <w:t>excluded from university and colleges as they cannot access the funding needed to</w:t>
      </w:r>
      <w:r w:rsidR="00640D46">
        <w:rPr>
          <w:rFonts w:ascii="Arial" w:hAnsi="Arial" w:cs="Arial"/>
        </w:rPr>
        <w:t xml:space="preserve"> </w:t>
      </w:r>
      <w:r w:rsidRPr="00AE7901">
        <w:rPr>
          <w:rFonts w:ascii="Arial" w:hAnsi="Arial" w:cs="Arial"/>
        </w:rPr>
        <w:t>offset the higher costs, they generate in order to study</w:t>
      </w:r>
      <w:r w:rsidRPr="00AE7901">
        <w:rPr>
          <w:rFonts w:ascii="Arial" w:hAnsi="Arial" w:cs="Arial"/>
        </w:rPr>
        <w:br/>
        <w:t>Conference remains concerned and expresses anger and disgust at the unacceptable speed</w:t>
      </w:r>
      <w:r w:rsidRPr="00AE7901">
        <w:rPr>
          <w:rFonts w:ascii="Arial" w:hAnsi="Arial" w:cs="Arial"/>
        </w:rPr>
        <w:br/>
        <w:t>that the Government are using to railroad the Universal Credit and Personal Independence</w:t>
      </w:r>
      <w:r w:rsidRPr="00AE7901">
        <w:rPr>
          <w:rFonts w:ascii="Arial" w:hAnsi="Arial" w:cs="Arial"/>
        </w:rPr>
        <w:br/>
        <w:t>Payment Bill through Parliament.</w:t>
      </w:r>
      <w:r w:rsidR="00640D46">
        <w:rPr>
          <w:rFonts w:ascii="Arial" w:hAnsi="Arial" w:cs="Arial"/>
        </w:rPr>
        <w:t xml:space="preserve"> </w:t>
      </w:r>
      <w:r w:rsidRPr="00AE7901">
        <w:rPr>
          <w:rFonts w:ascii="Arial" w:hAnsi="Arial" w:cs="Arial"/>
        </w:rPr>
        <w:t>This Conference calls on Unite to</w:t>
      </w:r>
      <w:r w:rsidR="00640D46">
        <w:rPr>
          <w:rFonts w:ascii="Arial" w:hAnsi="Arial" w:cs="Arial"/>
        </w:rPr>
        <w:t xml:space="preserve"> </w:t>
      </w:r>
      <w:r w:rsidRPr="00AE7901">
        <w:rPr>
          <w:rFonts w:ascii="Arial" w:hAnsi="Arial" w:cs="Arial"/>
        </w:rPr>
        <w:t>Unequivocally reject this sham of alleged concessions to welfare spending so this</w:t>
      </w:r>
      <w:r w:rsidR="00640D46">
        <w:rPr>
          <w:rFonts w:ascii="Arial" w:hAnsi="Arial" w:cs="Arial"/>
        </w:rPr>
        <w:t xml:space="preserve"> The </w:t>
      </w:r>
      <w:r w:rsidRPr="00AE7901">
        <w:rPr>
          <w:rFonts w:ascii="Arial" w:hAnsi="Arial" w:cs="Arial"/>
        </w:rPr>
        <w:t>Labour Government can save face, when the reforms are ill thought out</w:t>
      </w:r>
      <w:r w:rsidR="00640D46">
        <w:rPr>
          <w:rFonts w:ascii="Arial" w:hAnsi="Arial" w:cs="Arial"/>
        </w:rPr>
        <w:t xml:space="preserve"> </w:t>
      </w:r>
      <w:r w:rsidRPr="00AE7901">
        <w:rPr>
          <w:rFonts w:ascii="Arial" w:hAnsi="Arial" w:cs="Arial"/>
        </w:rPr>
        <w:t>Campaign for the Universal Credit and Personal Independence Payment Bill to be</w:t>
      </w:r>
      <w:r w:rsidR="00640D46">
        <w:rPr>
          <w:rFonts w:ascii="Arial" w:hAnsi="Arial" w:cs="Arial"/>
        </w:rPr>
        <w:t xml:space="preserve"> </w:t>
      </w:r>
      <w:r w:rsidRPr="00AE7901">
        <w:rPr>
          <w:rFonts w:ascii="Arial" w:hAnsi="Arial" w:cs="Arial"/>
        </w:rPr>
        <w:t>withdrawn and, if it becomes law, for the law to be repealed as soon as possible</w:t>
      </w:r>
      <w:r w:rsidR="009400F5">
        <w:rPr>
          <w:rFonts w:ascii="Arial" w:hAnsi="Arial" w:cs="Arial"/>
        </w:rPr>
        <w:t xml:space="preserve"> </w:t>
      </w:r>
      <w:r w:rsidRPr="00AE7901">
        <w:rPr>
          <w:rFonts w:ascii="Arial" w:hAnsi="Arial" w:cs="Arial"/>
        </w:rPr>
        <w:t>Stand in solidarity with all disabled workers and disabled people by publicly declaring</w:t>
      </w:r>
      <w:r w:rsidR="009400F5">
        <w:rPr>
          <w:rFonts w:ascii="Arial" w:hAnsi="Arial" w:cs="Arial"/>
        </w:rPr>
        <w:t xml:space="preserve"> </w:t>
      </w:r>
      <w:r w:rsidRPr="00AE7901">
        <w:rPr>
          <w:rFonts w:ascii="Arial" w:hAnsi="Arial" w:cs="Arial"/>
        </w:rPr>
        <w:t>that we will not accept this Bill, or any future Bill, that condemns future generations of</w:t>
      </w:r>
      <w:r w:rsidRPr="00AE7901">
        <w:rPr>
          <w:rFonts w:ascii="Arial" w:hAnsi="Arial" w:cs="Arial"/>
        </w:rPr>
        <w:br/>
        <w:t>Disabled people to devastating cuts in their vital support in order to avoid that fate</w:t>
      </w:r>
      <w:r w:rsidR="009400F5">
        <w:rPr>
          <w:rFonts w:ascii="Arial" w:hAnsi="Arial" w:cs="Arial"/>
        </w:rPr>
        <w:t xml:space="preserve"> </w:t>
      </w:r>
      <w:r w:rsidRPr="00AE7901">
        <w:rPr>
          <w:rFonts w:ascii="Arial" w:hAnsi="Arial" w:cs="Arial"/>
        </w:rPr>
        <w:t>ourselves</w:t>
      </w:r>
    </w:p>
    <w:p w14:paraId="37B9D310" w14:textId="7DA12E68" w:rsidR="00F15772" w:rsidRPr="00AE7901" w:rsidRDefault="00F15772" w:rsidP="00AE7901">
      <w:pPr>
        <w:spacing w:line="360" w:lineRule="auto"/>
        <w:rPr>
          <w:rFonts w:ascii="Arial" w:hAnsi="Arial" w:cs="Arial"/>
        </w:rPr>
      </w:pPr>
      <w:r w:rsidRPr="00AE7901">
        <w:rPr>
          <w:rFonts w:ascii="Arial" w:hAnsi="Arial" w:cs="Arial"/>
        </w:rPr>
        <w:t>• Campaign with the TUC, other unions, and other Disabled people’s organisations to</w:t>
      </w:r>
      <w:r w:rsidRPr="00AE7901">
        <w:rPr>
          <w:rFonts w:ascii="Arial" w:hAnsi="Arial" w:cs="Arial"/>
        </w:rPr>
        <w:br/>
      </w:r>
      <w:r w:rsidR="00C7665E" w:rsidRPr="00AE7901">
        <w:rPr>
          <w:rFonts w:ascii="Arial" w:hAnsi="Arial" w:cs="Arial"/>
        </w:rPr>
        <w:t>Achieve</w:t>
      </w:r>
      <w:r w:rsidRPr="00AE7901">
        <w:rPr>
          <w:rFonts w:ascii="Arial" w:hAnsi="Arial" w:cs="Arial"/>
        </w:rPr>
        <w:t xml:space="preserve"> this aim</w:t>
      </w:r>
    </w:p>
    <w:p w14:paraId="6EE2E0F4" w14:textId="77777777" w:rsidR="00F15772" w:rsidRDefault="00F15772" w:rsidP="00F15772">
      <w:pPr>
        <w:spacing w:line="480" w:lineRule="auto"/>
        <w:rPr>
          <w:rFonts w:ascii="Arial" w:hAnsi="Arial" w:cs="Arial"/>
        </w:rPr>
      </w:pPr>
    </w:p>
    <w:p w14:paraId="79FCF5EA" w14:textId="77777777" w:rsidR="006D7854" w:rsidRDefault="006D7854" w:rsidP="009400F5">
      <w:pPr>
        <w:spacing w:line="480" w:lineRule="auto"/>
        <w:rPr>
          <w:rFonts w:ascii="Arial" w:hAnsi="Arial" w:cs="Arial"/>
        </w:rPr>
      </w:pPr>
    </w:p>
    <w:p w14:paraId="60312D59" w14:textId="77777777" w:rsidR="009E1171" w:rsidRDefault="009E1171" w:rsidP="006D7854">
      <w:pPr>
        <w:spacing w:line="480" w:lineRule="auto"/>
        <w:jc w:val="center"/>
        <w:rPr>
          <w:rFonts w:ascii="Arial" w:hAnsi="Arial" w:cs="Arial"/>
          <w:sz w:val="28"/>
          <w:szCs w:val="28"/>
        </w:rPr>
      </w:pPr>
    </w:p>
    <w:p w14:paraId="4E76517C" w14:textId="568C51F6" w:rsidR="00F15772" w:rsidRPr="00747E6D" w:rsidRDefault="00F15772" w:rsidP="006D7854">
      <w:pPr>
        <w:spacing w:line="480" w:lineRule="auto"/>
        <w:jc w:val="center"/>
        <w:rPr>
          <w:rFonts w:ascii="Arial" w:hAnsi="Arial" w:cs="Arial"/>
          <w:sz w:val="28"/>
          <w:szCs w:val="28"/>
        </w:rPr>
      </w:pPr>
      <w:r w:rsidRPr="00747E6D">
        <w:rPr>
          <w:rFonts w:ascii="Arial" w:hAnsi="Arial" w:cs="Arial"/>
          <w:sz w:val="28"/>
          <w:szCs w:val="28"/>
        </w:rPr>
        <w:lastRenderedPageBreak/>
        <w:t>Appendix 3</w:t>
      </w:r>
    </w:p>
    <w:p w14:paraId="2C20EE18" w14:textId="77777777" w:rsidR="00F15772" w:rsidRPr="00747E6D" w:rsidRDefault="00F15772" w:rsidP="00AE7901">
      <w:pPr>
        <w:spacing w:line="360" w:lineRule="auto"/>
        <w:rPr>
          <w:rFonts w:ascii="Arial" w:hAnsi="Arial" w:cs="Arial"/>
        </w:rPr>
      </w:pPr>
      <w:r w:rsidRPr="00747E6D">
        <w:rPr>
          <w:rFonts w:ascii="Arial" w:hAnsi="Arial" w:cs="Arial"/>
        </w:rPr>
        <w:t>My Personal Response to: Disabled Workers Oppose Welfare Reforms</w:t>
      </w:r>
      <w:r w:rsidRPr="00747E6D">
        <w:rPr>
          <w:rFonts w:ascii="Arial" w:hAnsi="Arial" w:cs="Arial"/>
        </w:rPr>
        <w:br/>
        <w:t>As a disabled and neurodivergent trade unionist, I fully support this motion and commend the</w:t>
      </w:r>
      <w:r w:rsidRPr="00747E6D">
        <w:rPr>
          <w:rFonts w:ascii="Arial" w:hAnsi="Arial" w:cs="Arial"/>
        </w:rPr>
        <w:br/>
        <w:t>Conference for confronting these unjust welfare reforms head-on. While the government’s U-</w:t>
      </w:r>
      <w:r w:rsidRPr="00747E6D">
        <w:rPr>
          <w:rFonts w:ascii="Arial" w:hAnsi="Arial" w:cs="Arial"/>
        </w:rPr>
        <w:br/>
        <w:t>turn may appear to soften the original proposals, the reality is that any dilution of support for</w:t>
      </w:r>
      <w:r w:rsidRPr="00747E6D">
        <w:rPr>
          <w:rFonts w:ascii="Arial" w:hAnsi="Arial" w:cs="Arial"/>
        </w:rPr>
        <w:br/>
        <w:t>disabled people however incremental is a direct attack on dignity, independence, and</w:t>
      </w:r>
      <w:r w:rsidRPr="00747E6D">
        <w:rPr>
          <w:rFonts w:ascii="Arial" w:hAnsi="Arial" w:cs="Arial"/>
        </w:rPr>
        <w:br/>
        <w:t>opportunity. I have personally experienced both direct and indirect discrimination, and I know all</w:t>
      </w:r>
      <w:r w:rsidRPr="00747E6D">
        <w:rPr>
          <w:rFonts w:ascii="Arial" w:hAnsi="Arial" w:cs="Arial"/>
        </w:rPr>
        <w:br/>
        <w:t>too well that even marginal cuts to vital support can leave individuals isolated and excluded</w:t>
      </w:r>
      <w:r w:rsidRPr="00747E6D">
        <w:rPr>
          <w:rFonts w:ascii="Arial" w:hAnsi="Arial" w:cs="Arial"/>
        </w:rPr>
        <w:br/>
        <w:t>from education, employment, and community life. Creating a two-tier system through revised</w:t>
      </w:r>
      <w:r w:rsidRPr="00747E6D">
        <w:rPr>
          <w:rFonts w:ascii="Arial" w:hAnsi="Arial" w:cs="Arial"/>
        </w:rPr>
        <w:br/>
        <w:t>PIP proposals is not just administratively unfair it is morally indefensible. It risks abandoning</w:t>
      </w:r>
      <w:r w:rsidRPr="00747E6D">
        <w:rPr>
          <w:rFonts w:ascii="Arial" w:hAnsi="Arial" w:cs="Arial"/>
        </w:rPr>
        <w:br/>
        <w:t>newly disabled people at the very moment they need stability and security most. As someone</w:t>
      </w:r>
      <w:r w:rsidRPr="00747E6D">
        <w:rPr>
          <w:rFonts w:ascii="Arial" w:hAnsi="Arial" w:cs="Arial"/>
        </w:rPr>
        <w:br/>
        <w:t>who has fought for equity within local authorities, the voluntary sector, and our trade union</w:t>
      </w:r>
      <w:r w:rsidRPr="00747E6D">
        <w:rPr>
          <w:rFonts w:ascii="Arial" w:hAnsi="Arial" w:cs="Arial"/>
        </w:rPr>
        <w:br/>
        <w:t>movement, I echo the call for solidarity, resistance, and principled opposition. We must not</w:t>
      </w:r>
      <w:r w:rsidRPr="00747E6D">
        <w:rPr>
          <w:rFonts w:ascii="Arial" w:hAnsi="Arial" w:cs="Arial"/>
        </w:rPr>
        <w:br/>
        <w:t>allow the state to ration dignity or limit aspiration. The erosion of financial support for disabled</w:t>
      </w:r>
      <w:r w:rsidRPr="00747E6D">
        <w:rPr>
          <w:rFonts w:ascii="Arial" w:hAnsi="Arial" w:cs="Arial"/>
        </w:rPr>
        <w:br/>
        <w:t>students will only further entrench educational and economic inequality and future generations</w:t>
      </w:r>
      <w:r w:rsidRPr="00747E6D">
        <w:rPr>
          <w:rFonts w:ascii="Arial" w:hAnsi="Arial" w:cs="Arial"/>
        </w:rPr>
        <w:br/>
        <w:t>will pay that price. This motion speaks not just to policy, but to our values: fairness, inclusion,</w:t>
      </w:r>
      <w:r w:rsidRPr="00747E6D">
        <w:rPr>
          <w:rFonts w:ascii="Arial" w:hAnsi="Arial" w:cs="Arial"/>
        </w:rPr>
        <w:br/>
        <w:t>and solidarity. I join with others in urging Unite to publicly and unequivocally reject these</w:t>
      </w:r>
      <w:r w:rsidRPr="00747E6D">
        <w:rPr>
          <w:rFonts w:ascii="Arial" w:hAnsi="Arial" w:cs="Arial"/>
        </w:rPr>
        <w:br/>
        <w:t>reforms, to campaign for the full withdrawal of this damaging Bill, and to resist any future</w:t>
      </w:r>
      <w:r w:rsidRPr="00747E6D">
        <w:rPr>
          <w:rFonts w:ascii="Arial" w:hAnsi="Arial" w:cs="Arial"/>
        </w:rPr>
        <w:br/>
        <w:t>legislation that targets disabled people as a source of savings. Now more than ever, we must</w:t>
      </w:r>
      <w:r w:rsidRPr="00747E6D">
        <w:rPr>
          <w:rFonts w:ascii="Arial" w:hAnsi="Arial" w:cs="Arial"/>
        </w:rPr>
        <w:br/>
        <w:t>stand united not only to defend ourselves, but to protect the rights and futures of those who</w:t>
      </w:r>
      <w:r w:rsidRPr="00747E6D">
        <w:rPr>
          <w:rFonts w:ascii="Arial" w:hAnsi="Arial" w:cs="Arial"/>
        </w:rPr>
        <w:br/>
        <w:t>come after us. In solidarity,</w:t>
      </w:r>
    </w:p>
    <w:p w14:paraId="065AE5B7" w14:textId="77777777" w:rsidR="00F15772" w:rsidRDefault="00F15772" w:rsidP="00F15772">
      <w:pPr>
        <w:spacing w:line="480" w:lineRule="auto"/>
        <w:rPr>
          <w:rFonts w:ascii="Arial" w:hAnsi="Arial" w:cs="Arial"/>
        </w:rPr>
      </w:pPr>
    </w:p>
    <w:p w14:paraId="682B4C89" w14:textId="77777777" w:rsidR="00F15772" w:rsidRDefault="00F15772" w:rsidP="00F15772">
      <w:pPr>
        <w:spacing w:line="480" w:lineRule="auto"/>
        <w:rPr>
          <w:rFonts w:ascii="Arial" w:hAnsi="Arial" w:cs="Arial"/>
        </w:rPr>
      </w:pPr>
    </w:p>
    <w:p w14:paraId="6024004E" w14:textId="77777777" w:rsidR="00F15772" w:rsidRDefault="00F15772" w:rsidP="00F15772">
      <w:pPr>
        <w:spacing w:line="480" w:lineRule="auto"/>
        <w:rPr>
          <w:rFonts w:ascii="Arial" w:hAnsi="Arial" w:cs="Arial"/>
        </w:rPr>
      </w:pPr>
    </w:p>
    <w:p w14:paraId="181FB825" w14:textId="77777777" w:rsidR="00AE7901" w:rsidRDefault="00AE7901" w:rsidP="00AE7901">
      <w:pPr>
        <w:spacing w:line="360" w:lineRule="auto"/>
        <w:jc w:val="center"/>
        <w:rPr>
          <w:rFonts w:ascii="Arial" w:hAnsi="Arial" w:cs="Arial"/>
        </w:rPr>
      </w:pPr>
    </w:p>
    <w:p w14:paraId="4A8A5E1E" w14:textId="77777777" w:rsidR="00AE7901" w:rsidRDefault="00AE7901" w:rsidP="00AE7901">
      <w:pPr>
        <w:spacing w:line="360" w:lineRule="auto"/>
        <w:jc w:val="center"/>
        <w:rPr>
          <w:rFonts w:ascii="Arial" w:hAnsi="Arial" w:cs="Arial"/>
        </w:rPr>
      </w:pPr>
    </w:p>
    <w:p w14:paraId="56DFE42E" w14:textId="77777777" w:rsidR="00AE7901" w:rsidRDefault="00AE7901" w:rsidP="00AE7901">
      <w:pPr>
        <w:spacing w:line="360" w:lineRule="auto"/>
        <w:jc w:val="center"/>
        <w:rPr>
          <w:rFonts w:ascii="Arial" w:hAnsi="Arial" w:cs="Arial"/>
        </w:rPr>
      </w:pPr>
    </w:p>
    <w:p w14:paraId="7E57C91B" w14:textId="77777777" w:rsidR="00AE7901" w:rsidRDefault="00AE7901" w:rsidP="00AE7901">
      <w:pPr>
        <w:spacing w:line="360" w:lineRule="auto"/>
        <w:jc w:val="center"/>
        <w:rPr>
          <w:rFonts w:ascii="Arial" w:hAnsi="Arial" w:cs="Arial"/>
        </w:rPr>
      </w:pPr>
    </w:p>
    <w:p w14:paraId="6EC62F86" w14:textId="77777777" w:rsidR="00AE7901" w:rsidRDefault="00AE7901" w:rsidP="00AE7901">
      <w:pPr>
        <w:spacing w:line="360" w:lineRule="auto"/>
        <w:jc w:val="center"/>
        <w:rPr>
          <w:rFonts w:ascii="Arial" w:hAnsi="Arial" w:cs="Arial"/>
        </w:rPr>
      </w:pPr>
    </w:p>
    <w:p w14:paraId="6BFC9907" w14:textId="08CAFFDB" w:rsidR="00AE7901" w:rsidRDefault="00F15772" w:rsidP="00AE7901">
      <w:pPr>
        <w:spacing w:line="360" w:lineRule="auto"/>
        <w:jc w:val="center"/>
        <w:rPr>
          <w:rFonts w:ascii="Arial" w:hAnsi="Arial" w:cs="Arial"/>
        </w:rPr>
      </w:pPr>
      <w:r w:rsidRPr="00B408B7">
        <w:rPr>
          <w:rFonts w:ascii="Arial" w:hAnsi="Arial" w:cs="Arial"/>
        </w:rPr>
        <w:lastRenderedPageBreak/>
        <w:t>Appendix 4</w:t>
      </w:r>
    </w:p>
    <w:p w14:paraId="299DBC6C" w14:textId="5BD3EB74" w:rsidR="00F15772" w:rsidRPr="00B408B7" w:rsidRDefault="00F15772" w:rsidP="00AE7901">
      <w:pPr>
        <w:spacing w:line="360" w:lineRule="auto"/>
        <w:rPr>
          <w:rFonts w:ascii="Arial" w:hAnsi="Arial" w:cs="Arial"/>
        </w:rPr>
      </w:pPr>
      <w:r w:rsidRPr="00B408B7">
        <w:rPr>
          <w:rFonts w:ascii="Arial" w:hAnsi="Arial" w:cs="Arial"/>
        </w:rPr>
        <w:br/>
        <w:t>Motion: Protect Pension Rights for Disabled Workers presented by Philip Blundell</w:t>
      </w:r>
      <w:r w:rsidRPr="00B408B7">
        <w:rPr>
          <w:rFonts w:ascii="Arial" w:hAnsi="Arial" w:cs="Arial"/>
        </w:rPr>
        <w:br/>
        <w:t>The Northwest Disabled Members Committee notes that</w:t>
      </w:r>
      <w:r w:rsidRPr="00B408B7">
        <w:rPr>
          <w:rFonts w:ascii="Arial" w:hAnsi="Arial" w:cs="Arial"/>
        </w:rPr>
        <w:br/>
        <w:t>the Labour government is currently reviewing the State pension age and will assess whether</w:t>
      </w:r>
      <w:r w:rsidRPr="00B408B7">
        <w:rPr>
          <w:rFonts w:ascii="Arial" w:hAnsi="Arial" w:cs="Arial"/>
        </w:rPr>
        <w:br/>
        <w:t>the current rules are appropriate, considering factors like life expectancy and financial</w:t>
      </w:r>
      <w:r w:rsidRPr="00B408B7">
        <w:rPr>
          <w:rFonts w:ascii="Arial" w:hAnsi="Arial" w:cs="Arial"/>
        </w:rPr>
        <w:br/>
        <w:t>implications. If the state pension age is increased this will disproportionately affect people with</w:t>
      </w:r>
      <w:r w:rsidRPr="00B408B7">
        <w:rPr>
          <w:rFonts w:ascii="Arial" w:hAnsi="Arial" w:cs="Arial"/>
        </w:rPr>
        <w:br/>
        <w:t>disabilities, as many disabled workers face significant health challenges, barriers in the</w:t>
      </w:r>
      <w:r w:rsidRPr="00B408B7">
        <w:rPr>
          <w:rFonts w:ascii="Arial" w:hAnsi="Arial" w:cs="Arial"/>
        </w:rPr>
        <w:br/>
        <w:t>workplace, and reduced life expectancy compared to non-disabled people. Increasing the</w:t>
      </w:r>
      <w:r w:rsidRPr="00B408B7">
        <w:rPr>
          <w:rFonts w:ascii="Arial" w:hAnsi="Arial" w:cs="Arial"/>
        </w:rPr>
        <w:br/>
        <w:t>pension age risks forcing disabled people to work longer in unsuitable or unsustainable</w:t>
      </w:r>
      <w:r w:rsidRPr="00B408B7">
        <w:rPr>
          <w:rFonts w:ascii="Arial" w:hAnsi="Arial" w:cs="Arial"/>
        </w:rPr>
        <w:br/>
        <w:t>conditions or force them to retire early with no state pension entitlement. The Northwest</w:t>
      </w:r>
      <w:r w:rsidRPr="00B408B7">
        <w:rPr>
          <w:rFonts w:ascii="Arial" w:hAnsi="Arial" w:cs="Arial"/>
        </w:rPr>
        <w:br/>
        <w:t>Disabled Members Committee strongly believe disabled people should have the right to retire</w:t>
      </w:r>
      <w:r w:rsidRPr="00B408B7">
        <w:rPr>
          <w:rFonts w:ascii="Arial" w:hAnsi="Arial" w:cs="Arial"/>
        </w:rPr>
        <w:br/>
        <w:t>from work earlier than at today’s recognised retirement age, without facing any reduction in</w:t>
      </w:r>
      <w:r w:rsidRPr="00B408B7">
        <w:rPr>
          <w:rFonts w:ascii="Arial" w:hAnsi="Arial" w:cs="Arial"/>
        </w:rPr>
        <w:br/>
        <w:t>State pension provision. This is not just a matter of fairness, but of equality and social justice,</w:t>
      </w:r>
      <w:r w:rsidRPr="00B408B7">
        <w:rPr>
          <w:rFonts w:ascii="Arial" w:hAnsi="Arial" w:cs="Arial"/>
        </w:rPr>
        <w:br/>
        <w:t>reflecting the additional disadvantages disabled people face across their working lives. Any</w:t>
      </w:r>
      <w:r w:rsidRPr="00B408B7">
        <w:rPr>
          <w:rFonts w:ascii="Arial" w:hAnsi="Arial" w:cs="Arial"/>
        </w:rPr>
        <w:br/>
        <w:t>future pension reform must be inclusive of disabled workers' needs and developed through</w:t>
      </w:r>
      <w:r w:rsidRPr="00B408B7">
        <w:rPr>
          <w:rFonts w:ascii="Arial" w:hAnsi="Arial" w:cs="Arial"/>
        </w:rPr>
        <w:br/>
        <w:t>consultation with disability rights organisations, pensioner organisations and trade unions.</w:t>
      </w:r>
      <w:r w:rsidRPr="00B408B7">
        <w:rPr>
          <w:rFonts w:ascii="Arial" w:hAnsi="Arial" w:cs="Arial"/>
        </w:rPr>
        <w:br/>
        <w:t>We reaffirm that we believe 66 is already too late to retire and should be reduced, in particular</w:t>
      </w:r>
      <w:r w:rsidRPr="00B408B7">
        <w:rPr>
          <w:rFonts w:ascii="Arial" w:hAnsi="Arial" w:cs="Arial"/>
        </w:rPr>
        <w:br/>
        <w:t>for Disabled People The Northwest Disabled Members Committee call on Unite,</w:t>
      </w:r>
      <w:r w:rsidRPr="00B408B7">
        <w:rPr>
          <w:rFonts w:ascii="Arial" w:hAnsi="Arial" w:cs="Arial"/>
        </w:rPr>
        <w:br/>
        <w:t>• To launch a national campaign opposing any blanket increase in the pension age that doesn’t</w:t>
      </w:r>
      <w:r w:rsidRPr="00B408B7">
        <w:rPr>
          <w:rFonts w:ascii="Arial" w:hAnsi="Arial" w:cs="Arial"/>
        </w:rPr>
        <w:br/>
        <w:t>give financial protection for disabled people and to campaign for Equality Impact assessments</w:t>
      </w:r>
      <w:r w:rsidRPr="00B408B7">
        <w:rPr>
          <w:rFonts w:ascii="Arial" w:hAnsi="Arial" w:cs="Arial"/>
        </w:rPr>
        <w:br/>
        <w:t>to be carried out to any age increase proposal</w:t>
      </w:r>
      <w:r w:rsidRPr="00B408B7">
        <w:rPr>
          <w:rFonts w:ascii="Arial" w:hAnsi="Arial" w:cs="Arial"/>
        </w:rPr>
        <w:br/>
        <w:t>• We demand that the Labour Government, and Department of Work and Pensions guarantee</w:t>
      </w:r>
      <w:r w:rsidRPr="00B408B7">
        <w:rPr>
          <w:rFonts w:ascii="Arial" w:hAnsi="Arial" w:cs="Arial"/>
        </w:rPr>
        <w:br/>
        <w:t>the right of disabled people to retire earlier than the current retirement age with no loss of State</w:t>
      </w:r>
      <w:r w:rsidRPr="00B408B7">
        <w:rPr>
          <w:rFonts w:ascii="Arial" w:hAnsi="Arial" w:cs="Arial"/>
        </w:rPr>
        <w:br/>
        <w:t>pension income. That any proposal to increase pension age is challenged by Unite the Union,</w:t>
      </w:r>
      <w:r w:rsidRPr="00B408B7">
        <w:rPr>
          <w:rFonts w:ascii="Arial" w:hAnsi="Arial" w:cs="Arial"/>
        </w:rPr>
        <w:br/>
        <w:t>and for Unite to work with disability rights groups, pensioner organisations, and the TUC to</w:t>
      </w:r>
      <w:r w:rsidRPr="00B408B7">
        <w:rPr>
          <w:rFonts w:ascii="Arial" w:hAnsi="Arial" w:cs="Arial"/>
        </w:rPr>
        <w:br/>
        <w:t>build solidarity with joint campaigns highlighting the importance of disabled people’s</w:t>
      </w:r>
      <w:r w:rsidRPr="00B408B7">
        <w:rPr>
          <w:rFonts w:ascii="Arial" w:hAnsi="Arial" w:cs="Arial"/>
        </w:rPr>
        <w:br/>
        <w:t>state retirement age.</w:t>
      </w:r>
    </w:p>
    <w:p w14:paraId="45FA2A52" w14:textId="77777777" w:rsidR="00AE7901" w:rsidRDefault="00F15772" w:rsidP="00AE7901">
      <w:pPr>
        <w:spacing w:line="480" w:lineRule="auto"/>
        <w:rPr>
          <w:rFonts w:ascii="Arial" w:hAnsi="Arial" w:cs="Arial"/>
        </w:rPr>
      </w:pPr>
      <w:r w:rsidRPr="00B408B7">
        <w:rPr>
          <w:rFonts w:ascii="Arial" w:hAnsi="Arial" w:cs="Arial"/>
        </w:rPr>
        <w:br/>
      </w:r>
    </w:p>
    <w:p w14:paraId="02908953" w14:textId="77777777" w:rsidR="00CF0EA7" w:rsidRDefault="00CF0EA7" w:rsidP="00AE7901">
      <w:pPr>
        <w:spacing w:line="360" w:lineRule="auto"/>
        <w:rPr>
          <w:rFonts w:ascii="Arial" w:hAnsi="Arial" w:cs="Arial"/>
        </w:rPr>
      </w:pPr>
    </w:p>
    <w:p w14:paraId="28DE6858" w14:textId="468F4D2D" w:rsidR="00F15772" w:rsidRPr="003E0951" w:rsidRDefault="00F15772" w:rsidP="00CF0EA7">
      <w:pPr>
        <w:spacing w:line="360" w:lineRule="auto"/>
        <w:jc w:val="center"/>
        <w:rPr>
          <w:rFonts w:ascii="Arial" w:hAnsi="Arial" w:cs="Arial"/>
        </w:rPr>
      </w:pPr>
      <w:r w:rsidRPr="00663591">
        <w:rPr>
          <w:rFonts w:ascii="Arial" w:hAnsi="Arial" w:cs="Arial"/>
        </w:rPr>
        <w:lastRenderedPageBreak/>
        <w:t xml:space="preserve">APPENDIX </w:t>
      </w:r>
      <w:r w:rsidR="00C7665E">
        <w:rPr>
          <w:rFonts w:ascii="Arial" w:hAnsi="Arial" w:cs="Arial"/>
        </w:rPr>
        <w:t>5</w:t>
      </w:r>
      <w:r w:rsidRPr="00663591">
        <w:rPr>
          <w:rFonts w:ascii="Arial" w:hAnsi="Arial" w:cs="Arial"/>
        </w:rPr>
        <w:br/>
        <w:t>Speech in support of Motion: Protect Pension Rights for Disabled Workers</w:t>
      </w:r>
      <w:r w:rsidRPr="00663591">
        <w:rPr>
          <w:rFonts w:ascii="Arial" w:hAnsi="Arial" w:cs="Arial"/>
        </w:rPr>
        <w:br/>
        <w:t>The Northwest Disabled Members Committee of the Unite the Union notes that this Labour</w:t>
      </w:r>
      <w:r w:rsidRPr="00663591">
        <w:rPr>
          <w:rFonts w:ascii="Arial" w:hAnsi="Arial" w:cs="Arial"/>
        </w:rPr>
        <w:br/>
        <w:t>government is currently reviewing the State pension age and will assess whether the current</w:t>
      </w:r>
      <w:r w:rsidRPr="00663591">
        <w:rPr>
          <w:rFonts w:ascii="Arial" w:hAnsi="Arial" w:cs="Arial"/>
        </w:rPr>
        <w:br/>
        <w:t>rules are appropriate, considering factors like life expectancy and financial implications. If the</w:t>
      </w:r>
      <w:r w:rsidRPr="00663591">
        <w:rPr>
          <w:rFonts w:ascii="Arial" w:hAnsi="Arial" w:cs="Arial"/>
        </w:rPr>
        <w:br/>
        <w:t>state pension age is increased this will disproportionately affect people with disabilities, as</w:t>
      </w:r>
      <w:r w:rsidRPr="00663591">
        <w:rPr>
          <w:rFonts w:ascii="Arial" w:hAnsi="Arial" w:cs="Arial"/>
        </w:rPr>
        <w:br/>
        <w:t>many disabled workers face significant health challenges, barriers in the workplace, and</w:t>
      </w:r>
      <w:r w:rsidRPr="00663591">
        <w:rPr>
          <w:rFonts w:ascii="Arial" w:hAnsi="Arial" w:cs="Arial"/>
        </w:rPr>
        <w:br/>
        <w:t>reduced life expectancy compared to non-disabled people. Increasing the pension age risks</w:t>
      </w:r>
      <w:r w:rsidRPr="00663591">
        <w:rPr>
          <w:rFonts w:ascii="Arial" w:hAnsi="Arial" w:cs="Arial"/>
        </w:rPr>
        <w:br/>
        <w:t>forcing disabled people to work longer in unsuitable or unsustainable conditions or force them</w:t>
      </w:r>
      <w:r w:rsidRPr="00663591">
        <w:rPr>
          <w:rFonts w:ascii="Arial" w:hAnsi="Arial" w:cs="Arial"/>
        </w:rPr>
        <w:br/>
        <w:t>to retire early with no state pension entitlement.</w:t>
      </w:r>
      <w:r w:rsidRPr="00663591">
        <w:rPr>
          <w:rFonts w:ascii="Arial" w:hAnsi="Arial" w:cs="Arial"/>
        </w:rPr>
        <w:br/>
        <w:t>The Northwest Disabled Members Committee strongly believe disabled people should have the</w:t>
      </w:r>
      <w:r w:rsidRPr="00663591">
        <w:rPr>
          <w:rFonts w:ascii="Arial" w:hAnsi="Arial" w:cs="Arial"/>
        </w:rPr>
        <w:br/>
        <w:t>right to retire from work earlier than today’s recognised retirement age, without facing any</w:t>
      </w:r>
      <w:r w:rsidRPr="00663591">
        <w:rPr>
          <w:rFonts w:ascii="Arial" w:hAnsi="Arial" w:cs="Arial"/>
        </w:rPr>
        <w:br/>
      </w:r>
      <w:r w:rsidR="00CD76E0">
        <w:rPr>
          <w:rFonts w:ascii="Arial" w:hAnsi="Arial" w:cs="Arial"/>
        </w:rPr>
        <w:t>Reduction</w:t>
      </w:r>
      <w:r w:rsidRPr="00663591">
        <w:rPr>
          <w:rFonts w:ascii="Arial" w:hAnsi="Arial" w:cs="Arial"/>
        </w:rPr>
        <w:t xml:space="preserve"> in State pension provision. This is not just a matter of fairness, but of equality and</w:t>
      </w:r>
      <w:r w:rsidRPr="00663591">
        <w:rPr>
          <w:rFonts w:ascii="Arial" w:hAnsi="Arial" w:cs="Arial"/>
        </w:rPr>
        <w:br/>
      </w:r>
      <w:r w:rsidR="00CD76E0">
        <w:rPr>
          <w:rFonts w:ascii="Arial" w:hAnsi="Arial" w:cs="Arial"/>
        </w:rPr>
        <w:t>Social</w:t>
      </w:r>
      <w:r w:rsidRPr="00663591">
        <w:rPr>
          <w:rFonts w:ascii="Arial" w:hAnsi="Arial" w:cs="Arial"/>
        </w:rPr>
        <w:t xml:space="preserve"> justice, reflecting the additional disadvantages disabled people face across their working</w:t>
      </w:r>
      <w:r w:rsidR="00CD76E0">
        <w:rPr>
          <w:rFonts w:ascii="Arial" w:hAnsi="Arial" w:cs="Arial"/>
        </w:rPr>
        <w:t xml:space="preserve"> lives</w:t>
      </w:r>
      <w:r w:rsidRPr="00663591">
        <w:rPr>
          <w:rFonts w:ascii="Arial" w:hAnsi="Arial" w:cs="Arial"/>
        </w:rPr>
        <w:br/>
      </w:r>
      <w:r w:rsidR="00CD76E0">
        <w:rPr>
          <w:rFonts w:ascii="Arial" w:hAnsi="Arial" w:cs="Arial"/>
        </w:rPr>
        <w:t>Lives</w:t>
      </w:r>
      <w:r w:rsidRPr="00663591">
        <w:rPr>
          <w:rFonts w:ascii="Arial" w:hAnsi="Arial" w:cs="Arial"/>
        </w:rPr>
        <w:t>. Any future pension reform must be inclusive of disabled workers' needs and developed</w:t>
      </w:r>
      <w:r w:rsidR="00CD76E0">
        <w:rPr>
          <w:rFonts w:ascii="Arial" w:hAnsi="Arial" w:cs="Arial"/>
        </w:rPr>
        <w:t>.</w:t>
      </w:r>
      <w:r w:rsidRPr="00663591">
        <w:rPr>
          <w:rFonts w:ascii="Arial" w:hAnsi="Arial" w:cs="Arial"/>
        </w:rPr>
        <w:br/>
        <w:t>through consultation with disability rights organisations, pensioner organisations and trade</w:t>
      </w:r>
      <w:r w:rsidRPr="00663591">
        <w:rPr>
          <w:rFonts w:ascii="Arial" w:hAnsi="Arial" w:cs="Arial"/>
        </w:rPr>
        <w:br/>
        <w:t>unions. We reaffirm that we believe 66 is already too late to retire and should be reduced, in</w:t>
      </w:r>
      <w:r w:rsidRPr="00663591">
        <w:rPr>
          <w:rFonts w:ascii="Arial" w:hAnsi="Arial" w:cs="Arial"/>
        </w:rPr>
        <w:br/>
        <w:t>particular for Disabled People The Northwest Disabled Members Committee call on Unite,</w:t>
      </w:r>
      <w:r w:rsidRPr="00663591">
        <w:rPr>
          <w:rFonts w:ascii="Arial" w:hAnsi="Arial" w:cs="Arial"/>
        </w:rPr>
        <w:br/>
        <w:t>• To launch a national campaign opposing any blanket increase in the pension age that doesn’t</w:t>
      </w:r>
      <w:r w:rsidRPr="00663591">
        <w:rPr>
          <w:rFonts w:ascii="Arial" w:hAnsi="Arial" w:cs="Arial"/>
        </w:rPr>
        <w:br/>
        <w:t>give financial protection for disabled people and to campaign for Equality Impact assessments</w:t>
      </w:r>
      <w:r w:rsidRPr="00663591">
        <w:rPr>
          <w:rFonts w:ascii="Arial" w:hAnsi="Arial" w:cs="Arial"/>
        </w:rPr>
        <w:br/>
        <w:t>to be carried out to any age increase proposal</w:t>
      </w:r>
      <w:r w:rsidRPr="00663591">
        <w:rPr>
          <w:rFonts w:ascii="Arial" w:hAnsi="Arial" w:cs="Arial"/>
        </w:rPr>
        <w:br/>
        <w:t>• We demand that the Labour Government, and Department of Work and Pensions guarantee</w:t>
      </w:r>
      <w:r w:rsidRPr="00663591">
        <w:rPr>
          <w:rFonts w:ascii="Arial" w:hAnsi="Arial" w:cs="Arial"/>
        </w:rPr>
        <w:br/>
        <w:t>the right of disabled people to retire earlier than the current retirement age with no loss of State</w:t>
      </w:r>
      <w:r w:rsidRPr="00663591">
        <w:rPr>
          <w:rFonts w:ascii="Arial" w:hAnsi="Arial" w:cs="Arial"/>
        </w:rPr>
        <w:br/>
        <w:t>pension income. That any proposal to increase pension age is challenged by Unite the Union,</w:t>
      </w:r>
      <w:r w:rsidRPr="00663591">
        <w:rPr>
          <w:rFonts w:ascii="Arial" w:hAnsi="Arial" w:cs="Arial"/>
        </w:rPr>
        <w:br/>
        <w:t>and for Unite to work with disability rights groups, pensioner organisations, and the TUC to</w:t>
      </w:r>
      <w:r w:rsidRPr="003E0951">
        <w:rPr>
          <w:rFonts w:ascii="Arial" w:eastAsia="Times New Roman" w:hAnsi="Arial" w:cs="Arial"/>
          <w:sz w:val="18"/>
          <w:szCs w:val="18"/>
          <w:lang w:eastAsia="en-GB"/>
        </w:rPr>
        <w:t xml:space="preserve"> </w:t>
      </w:r>
      <w:r w:rsidRPr="003E0951">
        <w:rPr>
          <w:rFonts w:ascii="Arial" w:hAnsi="Arial" w:cs="Arial"/>
        </w:rPr>
        <w:t>build solidarity with joint campaigns highlighting the importance of disabled people’s</w:t>
      </w:r>
      <w:r w:rsidRPr="003E0951">
        <w:rPr>
          <w:rFonts w:ascii="Arial" w:hAnsi="Arial" w:cs="Arial"/>
        </w:rPr>
        <w:br/>
        <w:t>state retirement age.</w:t>
      </w:r>
      <w:r w:rsidRPr="003E0951">
        <w:rPr>
          <w:rFonts w:ascii="Arial" w:hAnsi="Arial" w:cs="Arial"/>
        </w:rPr>
        <w:br/>
        <w:t>This motion is not abstract. It’s urgent. It’s lived. And it’s ours to act on.</w:t>
      </w:r>
      <w:r w:rsidRPr="003E0951">
        <w:rPr>
          <w:rFonts w:ascii="Arial" w:hAnsi="Arial" w:cs="Arial"/>
        </w:rPr>
        <w:br/>
        <w:t xml:space="preserve">Why This Matters in context According to the 2021 Census, in the area I live in </w:t>
      </w:r>
      <w:proofErr w:type="spellStart"/>
      <w:r w:rsidRPr="003E0951">
        <w:rPr>
          <w:rFonts w:ascii="Arial" w:hAnsi="Arial" w:cs="Arial"/>
        </w:rPr>
        <w:t>Ribbleton</w:t>
      </w:r>
      <w:proofErr w:type="spellEnd"/>
      <w:r w:rsidR="00CD76E0">
        <w:rPr>
          <w:rFonts w:ascii="Arial" w:hAnsi="Arial" w:cs="Arial"/>
        </w:rPr>
        <w:t>,</w:t>
      </w:r>
      <w:r w:rsidRPr="003E0951">
        <w:rPr>
          <w:rFonts w:ascii="Arial" w:hAnsi="Arial" w:cs="Arial"/>
        </w:rPr>
        <w:t xml:space="preserve"> which</w:t>
      </w:r>
      <w:r w:rsidRPr="003E0951">
        <w:rPr>
          <w:rFonts w:ascii="Arial" w:hAnsi="Arial" w:cs="Arial"/>
        </w:rPr>
        <w:br/>
      </w:r>
      <w:r w:rsidR="00CD76E0">
        <w:rPr>
          <w:rFonts w:ascii="Arial" w:hAnsi="Arial" w:cs="Arial"/>
        </w:rPr>
        <w:t>Preston is</w:t>
      </w:r>
      <w:r w:rsidRPr="003E0951">
        <w:rPr>
          <w:rFonts w:ascii="Arial" w:hAnsi="Arial" w:cs="Arial"/>
        </w:rPr>
        <w:t xml:space="preserve"> part of Preston in the northwest of England. The census stated that over 65% of households</w:t>
      </w:r>
      <w:r w:rsidR="00CD76E0">
        <w:rPr>
          <w:rFonts w:ascii="Arial" w:hAnsi="Arial" w:cs="Arial"/>
        </w:rPr>
        <w:t>.</w:t>
      </w:r>
      <w:r w:rsidRPr="003E0951">
        <w:rPr>
          <w:rFonts w:ascii="Arial" w:hAnsi="Arial" w:cs="Arial"/>
        </w:rPr>
        <w:br/>
      </w:r>
      <w:r w:rsidR="00CD76E0">
        <w:rPr>
          <w:rFonts w:ascii="Arial" w:hAnsi="Arial" w:cs="Arial"/>
        </w:rPr>
        <w:t>In</w:t>
      </w:r>
      <w:r w:rsidRPr="003E0951">
        <w:rPr>
          <w:rFonts w:ascii="Arial" w:hAnsi="Arial" w:cs="Arial"/>
        </w:rPr>
        <w:t xml:space="preserve"> </w:t>
      </w:r>
      <w:proofErr w:type="spellStart"/>
      <w:r w:rsidRPr="003E0951">
        <w:rPr>
          <w:rFonts w:ascii="Arial" w:hAnsi="Arial" w:cs="Arial"/>
        </w:rPr>
        <w:t>Ribbleton</w:t>
      </w:r>
      <w:proofErr w:type="spellEnd"/>
      <w:r w:rsidRPr="003E0951">
        <w:rPr>
          <w:rFonts w:ascii="Arial" w:hAnsi="Arial" w:cs="Arial"/>
        </w:rPr>
        <w:t xml:space="preserve"> are deprived in at least one dimension </w:t>
      </w:r>
      <w:r w:rsidR="00CD76E0">
        <w:rPr>
          <w:rFonts w:ascii="Arial" w:hAnsi="Arial" w:cs="Arial"/>
        </w:rPr>
        <w:t xml:space="preserve">of </w:t>
      </w:r>
      <w:r w:rsidRPr="003E0951">
        <w:rPr>
          <w:rFonts w:ascii="Arial" w:hAnsi="Arial" w:cs="Arial"/>
        </w:rPr>
        <w:t>employment, education, health, or housing.</w:t>
      </w:r>
      <w:r w:rsidRPr="003E0951">
        <w:rPr>
          <w:rFonts w:ascii="Arial" w:hAnsi="Arial" w:cs="Arial"/>
        </w:rPr>
        <w:br/>
      </w:r>
      <w:r w:rsidRPr="003E0951">
        <w:rPr>
          <w:rFonts w:ascii="Arial" w:hAnsi="Arial" w:cs="Arial"/>
        </w:rPr>
        <w:lastRenderedPageBreak/>
        <w:t>That’s not just a statistic. That’s a signal. A signal that our structures are not serving everyone</w:t>
      </w:r>
      <w:r w:rsidRPr="003E0951">
        <w:rPr>
          <w:rFonts w:ascii="Arial" w:hAnsi="Arial" w:cs="Arial"/>
        </w:rPr>
        <w:br/>
      </w:r>
      <w:r w:rsidR="00CD76E0">
        <w:rPr>
          <w:rFonts w:ascii="Arial" w:hAnsi="Arial" w:cs="Arial"/>
        </w:rPr>
        <w:t>Equally</w:t>
      </w:r>
      <w:r w:rsidRPr="003E0951">
        <w:rPr>
          <w:rFonts w:ascii="Arial" w:hAnsi="Arial" w:cs="Arial"/>
        </w:rPr>
        <w:t xml:space="preserve">. </w:t>
      </w:r>
      <w:r w:rsidR="00CD76E0">
        <w:rPr>
          <w:rFonts w:ascii="Arial" w:hAnsi="Arial" w:cs="Arial"/>
        </w:rPr>
        <w:t>When</w:t>
      </w:r>
      <w:r w:rsidRPr="003E0951">
        <w:rPr>
          <w:rFonts w:ascii="Arial" w:hAnsi="Arial" w:cs="Arial"/>
        </w:rPr>
        <w:t xml:space="preserve"> we talk about democratic access, we must talk about the </w:t>
      </w:r>
      <w:r w:rsidR="00CD76E0">
        <w:rPr>
          <w:rFonts w:ascii="Arial" w:hAnsi="Arial" w:cs="Arial"/>
        </w:rPr>
        <w:t>physical barriers</w:t>
      </w:r>
      <w:r w:rsidRPr="003E0951">
        <w:rPr>
          <w:rFonts w:ascii="Arial" w:hAnsi="Arial" w:cs="Arial"/>
        </w:rPr>
        <w:t>,</w:t>
      </w:r>
      <w:r w:rsidRPr="003E0951">
        <w:rPr>
          <w:rFonts w:ascii="Arial" w:hAnsi="Arial" w:cs="Arial"/>
        </w:rPr>
        <w:br/>
      </w:r>
      <w:r w:rsidR="00CD76E0">
        <w:rPr>
          <w:rFonts w:ascii="Arial" w:hAnsi="Arial" w:cs="Arial"/>
        </w:rPr>
        <w:t>Procedural</w:t>
      </w:r>
      <w:r w:rsidRPr="003E0951">
        <w:rPr>
          <w:rFonts w:ascii="Arial" w:hAnsi="Arial" w:cs="Arial"/>
        </w:rPr>
        <w:t xml:space="preserve"> and psychological </w:t>
      </w:r>
      <w:r w:rsidR="00CD76E0">
        <w:rPr>
          <w:rFonts w:ascii="Arial" w:hAnsi="Arial" w:cs="Arial"/>
        </w:rPr>
        <w:t xml:space="preserve">factors </w:t>
      </w:r>
      <w:r w:rsidRPr="003E0951">
        <w:rPr>
          <w:rFonts w:ascii="Arial" w:hAnsi="Arial" w:cs="Arial"/>
        </w:rPr>
        <w:t>that keep people from participating. I have seen polling stations</w:t>
      </w:r>
      <w:r w:rsidR="00CD76E0">
        <w:rPr>
          <w:rFonts w:ascii="Arial" w:hAnsi="Arial" w:cs="Arial"/>
        </w:rPr>
        <w:t>.</w:t>
      </w:r>
      <w:r w:rsidRPr="003E0951">
        <w:rPr>
          <w:rFonts w:ascii="Arial" w:hAnsi="Arial" w:cs="Arial"/>
        </w:rPr>
        <w:br/>
      </w:r>
      <w:r w:rsidR="00CD76E0">
        <w:rPr>
          <w:rFonts w:ascii="Arial" w:hAnsi="Arial" w:cs="Arial"/>
        </w:rPr>
        <w:t>Placed</w:t>
      </w:r>
      <w:r w:rsidRPr="003E0951">
        <w:rPr>
          <w:rFonts w:ascii="Arial" w:hAnsi="Arial" w:cs="Arial"/>
        </w:rPr>
        <w:t xml:space="preserve"> outside district boundaries. I’ve seen inaccessible transport routes. I have seen</w:t>
      </w:r>
      <w:r w:rsidRPr="003E0951">
        <w:rPr>
          <w:rFonts w:ascii="Arial" w:hAnsi="Arial" w:cs="Arial"/>
        </w:rPr>
        <w:br/>
      </w:r>
      <w:r w:rsidR="00CD76E0">
        <w:rPr>
          <w:rFonts w:ascii="Arial" w:hAnsi="Arial" w:cs="Arial"/>
        </w:rPr>
        <w:t>Residents</w:t>
      </w:r>
      <w:r w:rsidRPr="003E0951">
        <w:rPr>
          <w:rFonts w:ascii="Arial" w:hAnsi="Arial" w:cs="Arial"/>
        </w:rPr>
        <w:t xml:space="preserve"> turned away not by law, but by design. This motion calls for change. And I support it</w:t>
      </w:r>
      <w:r w:rsidR="00CD76E0">
        <w:rPr>
          <w:rFonts w:ascii="Arial" w:hAnsi="Arial" w:cs="Arial"/>
        </w:rPr>
        <w:t>.</w:t>
      </w:r>
      <w:r w:rsidRPr="003E0951">
        <w:rPr>
          <w:rFonts w:ascii="Arial" w:hAnsi="Arial" w:cs="Arial"/>
        </w:rPr>
        <w:br/>
      </w:r>
      <w:r w:rsidR="00CD76E0">
        <w:rPr>
          <w:rFonts w:ascii="Arial" w:hAnsi="Arial" w:cs="Arial"/>
        </w:rPr>
        <w:t>Because</w:t>
      </w:r>
      <w:r w:rsidRPr="003E0951">
        <w:rPr>
          <w:rFonts w:ascii="Arial" w:hAnsi="Arial" w:cs="Arial"/>
        </w:rPr>
        <w:t xml:space="preserve"> it doesn’t just name the problem</w:t>
      </w:r>
      <w:r w:rsidR="00CD76E0">
        <w:rPr>
          <w:rFonts w:ascii="Arial" w:hAnsi="Arial" w:cs="Arial"/>
        </w:rPr>
        <w:t>,</w:t>
      </w:r>
      <w:r w:rsidRPr="003E0951">
        <w:rPr>
          <w:rFonts w:ascii="Arial" w:hAnsi="Arial" w:cs="Arial"/>
        </w:rPr>
        <w:t xml:space="preserve"> it proposes solutions.</w:t>
      </w:r>
      <w:r w:rsidRPr="003E0951">
        <w:rPr>
          <w:rFonts w:ascii="Arial" w:hAnsi="Arial" w:cs="Arial"/>
        </w:rPr>
        <w:br/>
        <w:t xml:space="preserve">What </w:t>
      </w:r>
      <w:r w:rsidR="00CD76E0">
        <w:rPr>
          <w:rFonts w:ascii="Arial" w:hAnsi="Arial" w:cs="Arial"/>
        </w:rPr>
        <w:t>we’re</w:t>
      </w:r>
      <w:r w:rsidRPr="003E0951">
        <w:rPr>
          <w:rFonts w:ascii="Arial" w:hAnsi="Arial" w:cs="Arial"/>
        </w:rPr>
        <w:t xml:space="preserve"> fighting for</w:t>
      </w:r>
      <w:r w:rsidR="00CD76E0">
        <w:rPr>
          <w:rFonts w:ascii="Arial" w:hAnsi="Arial" w:cs="Arial"/>
        </w:rPr>
        <w:t>,</w:t>
      </w:r>
      <w:r w:rsidRPr="003E0951">
        <w:rPr>
          <w:rFonts w:ascii="Arial" w:hAnsi="Arial" w:cs="Arial"/>
        </w:rPr>
        <w:t xml:space="preserve"> to me it is best summed by this Final Thought from Paulo Freire</w:t>
      </w:r>
      <w:r w:rsidR="00CD76E0">
        <w:rPr>
          <w:rFonts w:ascii="Arial" w:hAnsi="Arial" w:cs="Arial"/>
        </w:rPr>
        <w:t>.</w:t>
      </w:r>
      <w:r w:rsidRPr="003E0951">
        <w:rPr>
          <w:rFonts w:ascii="Arial" w:hAnsi="Arial" w:cs="Arial"/>
        </w:rPr>
        <w:br/>
      </w:r>
      <w:r w:rsidR="00CD76E0">
        <w:rPr>
          <w:rFonts w:ascii="Arial" w:hAnsi="Arial" w:cs="Arial"/>
        </w:rPr>
        <w:t>Once</w:t>
      </w:r>
      <w:r w:rsidRPr="003E0951">
        <w:rPr>
          <w:rFonts w:ascii="Arial" w:hAnsi="Arial" w:cs="Arial"/>
        </w:rPr>
        <w:t xml:space="preserve"> said: “Liberation is a praxis: the action and reflection of men and women upon their world</w:t>
      </w:r>
      <w:r w:rsidRPr="003E0951">
        <w:rPr>
          <w:rFonts w:ascii="Arial" w:hAnsi="Arial" w:cs="Arial"/>
        </w:rPr>
        <w:br/>
      </w:r>
      <w:r w:rsidR="00CD76E0">
        <w:rPr>
          <w:rFonts w:ascii="Arial" w:hAnsi="Arial" w:cs="Arial"/>
        </w:rPr>
        <w:t>to</w:t>
      </w:r>
      <w:r w:rsidRPr="003E0951">
        <w:rPr>
          <w:rFonts w:ascii="Arial" w:hAnsi="Arial" w:cs="Arial"/>
        </w:rPr>
        <w:t xml:space="preserve"> transform it.” This motion is praxis. It is </w:t>
      </w:r>
      <w:r w:rsidR="00CD76E0">
        <w:rPr>
          <w:rFonts w:ascii="Arial" w:hAnsi="Arial" w:cs="Arial"/>
        </w:rPr>
        <w:t xml:space="preserve">a </w:t>
      </w:r>
      <w:r w:rsidRPr="003E0951">
        <w:rPr>
          <w:rFonts w:ascii="Arial" w:hAnsi="Arial" w:cs="Arial"/>
        </w:rPr>
        <w:t>reflection turned into action. It’s our chance to</w:t>
      </w:r>
      <w:r w:rsidRPr="003E0951">
        <w:rPr>
          <w:rFonts w:ascii="Arial" w:hAnsi="Arial" w:cs="Arial"/>
        </w:rPr>
        <w:br/>
      </w:r>
      <w:r w:rsidR="00CD76E0">
        <w:rPr>
          <w:rFonts w:ascii="Arial" w:hAnsi="Arial" w:cs="Arial"/>
        </w:rPr>
        <w:t>Transform</w:t>
      </w:r>
      <w:r w:rsidRPr="003E0951">
        <w:rPr>
          <w:rFonts w:ascii="Arial" w:hAnsi="Arial" w:cs="Arial"/>
        </w:rPr>
        <w:t xml:space="preserve"> not just policy, but possibility. So, in Conclusion</w:t>
      </w:r>
      <w:r w:rsidR="00CD76E0">
        <w:rPr>
          <w:rFonts w:ascii="Arial" w:hAnsi="Arial" w:cs="Arial"/>
        </w:rPr>
        <w:t>,</w:t>
      </w:r>
      <w:r w:rsidRPr="003E0951">
        <w:rPr>
          <w:rFonts w:ascii="Arial" w:hAnsi="Arial" w:cs="Arial"/>
        </w:rPr>
        <w:t xml:space="preserve"> I ask you: support this motion not</w:t>
      </w:r>
      <w:r w:rsidR="00CD76E0">
        <w:rPr>
          <w:rFonts w:ascii="Arial" w:hAnsi="Arial" w:cs="Arial"/>
        </w:rPr>
        <w:t>.</w:t>
      </w:r>
      <w:r w:rsidRPr="003E0951">
        <w:rPr>
          <w:rFonts w:ascii="Arial" w:hAnsi="Arial" w:cs="Arial"/>
        </w:rPr>
        <w:br/>
      </w:r>
      <w:r w:rsidR="00CD76E0">
        <w:rPr>
          <w:rFonts w:ascii="Arial" w:hAnsi="Arial" w:cs="Arial"/>
        </w:rPr>
        <w:t>Because</w:t>
      </w:r>
      <w:r w:rsidRPr="003E0951">
        <w:rPr>
          <w:rFonts w:ascii="Arial" w:hAnsi="Arial" w:cs="Arial"/>
        </w:rPr>
        <w:t xml:space="preserve"> it’s easy, but because it’s right. Because our disabled members deserve better.</w:t>
      </w:r>
      <w:r w:rsidRPr="003E0951">
        <w:rPr>
          <w:rFonts w:ascii="Arial" w:hAnsi="Arial" w:cs="Arial"/>
        </w:rPr>
        <w:br/>
        <w:t>Because their families deserve better. Because we, as a collective, can deliver better. Let’s</w:t>
      </w:r>
      <w:r w:rsidRPr="003E0951">
        <w:rPr>
          <w:rFonts w:ascii="Arial" w:hAnsi="Arial" w:cs="Arial"/>
        </w:rPr>
        <w:br/>
      </w:r>
      <w:r w:rsidR="00CD76E0">
        <w:rPr>
          <w:rFonts w:ascii="Arial" w:hAnsi="Arial" w:cs="Arial"/>
        </w:rPr>
        <w:t>Move</w:t>
      </w:r>
      <w:r w:rsidRPr="003E0951">
        <w:rPr>
          <w:rFonts w:ascii="Arial" w:hAnsi="Arial" w:cs="Arial"/>
        </w:rPr>
        <w:t xml:space="preserve"> forward with courage, clarity, and compassion.</w:t>
      </w:r>
      <w:r w:rsidRPr="003E0951">
        <w:rPr>
          <w:rFonts w:ascii="Arial" w:hAnsi="Arial" w:cs="Arial"/>
        </w:rPr>
        <w:br/>
        <w:t>Thank you.</w:t>
      </w:r>
    </w:p>
    <w:p w14:paraId="1C758D0C" w14:textId="77777777" w:rsidR="00CF0EA7" w:rsidRDefault="00F15772" w:rsidP="00AE7901">
      <w:pPr>
        <w:spacing w:line="480" w:lineRule="auto"/>
        <w:jc w:val="center"/>
        <w:rPr>
          <w:rFonts w:ascii="Arial" w:hAnsi="Arial" w:cs="Arial"/>
          <w:b/>
          <w:bCs/>
        </w:rPr>
      </w:pPr>
      <w:r w:rsidRPr="003E0951">
        <w:rPr>
          <w:rFonts w:ascii="Arial" w:hAnsi="Arial" w:cs="Arial"/>
        </w:rPr>
        <w:br/>
      </w:r>
    </w:p>
    <w:p w14:paraId="6C42294E" w14:textId="77777777" w:rsidR="00CF0EA7" w:rsidRDefault="00CF0EA7" w:rsidP="00AE7901">
      <w:pPr>
        <w:spacing w:line="480" w:lineRule="auto"/>
        <w:jc w:val="center"/>
        <w:rPr>
          <w:rFonts w:ascii="Arial" w:hAnsi="Arial" w:cs="Arial"/>
          <w:b/>
          <w:bCs/>
        </w:rPr>
      </w:pPr>
    </w:p>
    <w:p w14:paraId="0C25E43F" w14:textId="77777777" w:rsidR="00CF0EA7" w:rsidRDefault="00CF0EA7" w:rsidP="00AE7901">
      <w:pPr>
        <w:spacing w:line="480" w:lineRule="auto"/>
        <w:jc w:val="center"/>
        <w:rPr>
          <w:rFonts w:ascii="Arial" w:hAnsi="Arial" w:cs="Arial"/>
          <w:b/>
          <w:bCs/>
        </w:rPr>
      </w:pPr>
    </w:p>
    <w:p w14:paraId="5A5B3BEA" w14:textId="77777777" w:rsidR="00CF0EA7" w:rsidRDefault="00CF0EA7" w:rsidP="00AE7901">
      <w:pPr>
        <w:spacing w:line="480" w:lineRule="auto"/>
        <w:jc w:val="center"/>
        <w:rPr>
          <w:rFonts w:ascii="Arial" w:hAnsi="Arial" w:cs="Arial"/>
          <w:b/>
          <w:bCs/>
        </w:rPr>
      </w:pPr>
    </w:p>
    <w:p w14:paraId="69ACC990" w14:textId="77777777" w:rsidR="00CF0EA7" w:rsidRDefault="00CF0EA7" w:rsidP="00AE7901">
      <w:pPr>
        <w:spacing w:line="480" w:lineRule="auto"/>
        <w:jc w:val="center"/>
        <w:rPr>
          <w:rFonts w:ascii="Arial" w:hAnsi="Arial" w:cs="Arial"/>
          <w:b/>
          <w:bCs/>
        </w:rPr>
      </w:pPr>
    </w:p>
    <w:p w14:paraId="152517C1" w14:textId="77777777" w:rsidR="00CF0EA7" w:rsidRDefault="00CF0EA7" w:rsidP="00AE7901">
      <w:pPr>
        <w:spacing w:line="480" w:lineRule="auto"/>
        <w:jc w:val="center"/>
        <w:rPr>
          <w:rFonts w:ascii="Arial" w:hAnsi="Arial" w:cs="Arial"/>
          <w:b/>
          <w:bCs/>
        </w:rPr>
      </w:pPr>
    </w:p>
    <w:p w14:paraId="4CD0BAB3" w14:textId="77777777" w:rsidR="00CF0EA7" w:rsidRDefault="00CF0EA7" w:rsidP="00AE7901">
      <w:pPr>
        <w:spacing w:line="480" w:lineRule="auto"/>
        <w:jc w:val="center"/>
        <w:rPr>
          <w:rFonts w:ascii="Arial" w:hAnsi="Arial" w:cs="Arial"/>
          <w:b/>
          <w:bCs/>
        </w:rPr>
      </w:pPr>
    </w:p>
    <w:p w14:paraId="0A50E7F7" w14:textId="77777777" w:rsidR="00CF0EA7" w:rsidRDefault="00CF0EA7" w:rsidP="00AE7901">
      <w:pPr>
        <w:spacing w:line="480" w:lineRule="auto"/>
        <w:jc w:val="center"/>
        <w:rPr>
          <w:rFonts w:ascii="Arial" w:hAnsi="Arial" w:cs="Arial"/>
          <w:b/>
          <w:bCs/>
        </w:rPr>
      </w:pPr>
    </w:p>
    <w:p w14:paraId="0864B3B1" w14:textId="77777777" w:rsidR="00CF0EA7" w:rsidRDefault="00CF0EA7" w:rsidP="00AE7901">
      <w:pPr>
        <w:spacing w:line="480" w:lineRule="auto"/>
        <w:jc w:val="center"/>
        <w:rPr>
          <w:rFonts w:ascii="Arial" w:hAnsi="Arial" w:cs="Arial"/>
          <w:b/>
          <w:bCs/>
        </w:rPr>
      </w:pPr>
    </w:p>
    <w:p w14:paraId="467CAAF3" w14:textId="77777777" w:rsidR="00CF0EA7" w:rsidRDefault="00CF0EA7" w:rsidP="00AE7901">
      <w:pPr>
        <w:spacing w:line="480" w:lineRule="auto"/>
        <w:jc w:val="center"/>
        <w:rPr>
          <w:rFonts w:ascii="Arial" w:hAnsi="Arial" w:cs="Arial"/>
          <w:b/>
          <w:bCs/>
        </w:rPr>
      </w:pPr>
    </w:p>
    <w:p w14:paraId="274935F4" w14:textId="1A4E3CBC" w:rsidR="00F15772" w:rsidRPr="00AE7901" w:rsidRDefault="00F15772" w:rsidP="00AE7901">
      <w:pPr>
        <w:spacing w:line="480" w:lineRule="auto"/>
        <w:jc w:val="center"/>
        <w:rPr>
          <w:rFonts w:ascii="Arial" w:hAnsi="Arial" w:cs="Arial"/>
        </w:rPr>
      </w:pPr>
      <w:r w:rsidRPr="008E0F1E">
        <w:rPr>
          <w:rFonts w:ascii="Arial" w:hAnsi="Arial" w:cs="Arial"/>
          <w:b/>
          <w:bCs/>
        </w:rPr>
        <w:lastRenderedPageBreak/>
        <w:t xml:space="preserve">APPENDIX </w:t>
      </w:r>
      <w:r w:rsidR="00C7665E">
        <w:rPr>
          <w:rFonts w:ascii="Arial" w:hAnsi="Arial" w:cs="Arial"/>
          <w:b/>
          <w:bCs/>
        </w:rPr>
        <w:t>6</w:t>
      </w:r>
    </w:p>
    <w:p w14:paraId="3EA79C58" w14:textId="77777777" w:rsidR="00F15772" w:rsidRPr="008E0F1E" w:rsidRDefault="00F15772" w:rsidP="00F15772">
      <w:pPr>
        <w:spacing w:line="480" w:lineRule="auto"/>
        <w:jc w:val="center"/>
        <w:rPr>
          <w:rFonts w:ascii="Arial" w:hAnsi="Arial" w:cs="Arial"/>
          <w:b/>
          <w:bCs/>
        </w:rPr>
      </w:pPr>
      <w:r w:rsidRPr="008E0F1E">
        <w:rPr>
          <w:rFonts w:ascii="Arial" w:hAnsi="Arial" w:cs="Arial"/>
          <w:b/>
          <w:bCs/>
        </w:rPr>
        <w:t xml:space="preserve">Power Matrix </w:t>
      </w:r>
    </w:p>
    <w:tbl>
      <w:tblPr>
        <w:tblStyle w:val="TableGrid"/>
        <w:tblW w:w="10194" w:type="dxa"/>
        <w:tblLook w:val="04A0" w:firstRow="1" w:lastRow="0" w:firstColumn="1" w:lastColumn="0" w:noHBand="0" w:noVBand="1"/>
      </w:tblPr>
      <w:tblGrid>
        <w:gridCol w:w="2046"/>
        <w:gridCol w:w="1614"/>
        <w:gridCol w:w="1966"/>
        <w:gridCol w:w="2032"/>
        <w:gridCol w:w="2536"/>
      </w:tblGrid>
      <w:tr w:rsidR="00F15772" w:rsidRPr="008E0F1E" w14:paraId="65E7D6B4" w14:textId="77777777" w:rsidTr="00313B58">
        <w:trPr>
          <w:trHeight w:val="1668"/>
        </w:trPr>
        <w:tc>
          <w:tcPr>
            <w:tcW w:w="2046" w:type="dxa"/>
          </w:tcPr>
          <w:p w14:paraId="3F25B97B" w14:textId="77777777" w:rsidR="00F15772" w:rsidRPr="008E0F1E" w:rsidRDefault="00F15772" w:rsidP="00464895">
            <w:pPr>
              <w:rPr>
                <w:rFonts w:ascii="Arial" w:hAnsi="Arial" w:cs="Arial"/>
                <w:b/>
                <w:bCs/>
              </w:rPr>
            </w:pPr>
            <w:r w:rsidRPr="008E0F1E">
              <w:rPr>
                <w:rFonts w:ascii="Arial" w:hAnsi="Arial" w:cs="Arial"/>
                <w:b/>
                <w:bCs/>
              </w:rPr>
              <w:t>Type of Power</w:t>
            </w:r>
          </w:p>
          <w:p w14:paraId="25497189" w14:textId="77777777" w:rsidR="00F15772" w:rsidRPr="008E0F1E" w:rsidRDefault="00F15772" w:rsidP="00464895">
            <w:pPr>
              <w:rPr>
                <w:rFonts w:ascii="Arial" w:hAnsi="Arial" w:cs="Arial"/>
                <w:b/>
                <w:bCs/>
              </w:rPr>
            </w:pPr>
          </w:p>
          <w:p w14:paraId="0D95640C" w14:textId="77777777" w:rsidR="00F15772" w:rsidRPr="008E0F1E" w:rsidRDefault="00F15772" w:rsidP="00464895">
            <w:pPr>
              <w:rPr>
                <w:rFonts w:ascii="Arial" w:hAnsi="Arial" w:cs="Arial"/>
                <w:b/>
                <w:bCs/>
              </w:rPr>
            </w:pPr>
          </w:p>
          <w:p w14:paraId="372BDA94" w14:textId="77777777" w:rsidR="00F15772" w:rsidRPr="008E0F1E" w:rsidRDefault="00F15772" w:rsidP="00464895">
            <w:pPr>
              <w:rPr>
                <w:rFonts w:ascii="Arial" w:hAnsi="Arial" w:cs="Arial"/>
                <w:b/>
                <w:bCs/>
              </w:rPr>
            </w:pPr>
          </w:p>
        </w:tc>
        <w:tc>
          <w:tcPr>
            <w:tcW w:w="1614" w:type="dxa"/>
          </w:tcPr>
          <w:p w14:paraId="286D3EC7" w14:textId="77777777" w:rsidR="00F15772" w:rsidRPr="008E0F1E" w:rsidRDefault="00F15772" w:rsidP="00464895">
            <w:pPr>
              <w:rPr>
                <w:rFonts w:ascii="Arial" w:hAnsi="Arial" w:cs="Arial"/>
                <w:b/>
                <w:bCs/>
              </w:rPr>
            </w:pPr>
            <w:r w:rsidRPr="008E0F1E">
              <w:rPr>
                <w:rFonts w:ascii="Arial" w:hAnsi="Arial" w:cs="Arial"/>
                <w:b/>
                <w:bCs/>
              </w:rPr>
              <w:t>Visible Power — Making and enforcing the rules</w:t>
            </w:r>
          </w:p>
        </w:tc>
        <w:tc>
          <w:tcPr>
            <w:tcW w:w="1966" w:type="dxa"/>
          </w:tcPr>
          <w:p w14:paraId="020E1810" w14:textId="77777777" w:rsidR="00F15772" w:rsidRPr="008E0F1E" w:rsidRDefault="00F15772" w:rsidP="00464895">
            <w:pPr>
              <w:rPr>
                <w:rFonts w:ascii="Arial" w:hAnsi="Arial" w:cs="Arial"/>
                <w:b/>
                <w:bCs/>
              </w:rPr>
            </w:pPr>
            <w:r w:rsidRPr="008E0F1E">
              <w:rPr>
                <w:rFonts w:ascii="Arial" w:hAnsi="Arial" w:cs="Arial"/>
                <w:b/>
                <w:bCs/>
              </w:rPr>
              <w:t>Hidden Power — Setting the agenda</w:t>
            </w:r>
          </w:p>
        </w:tc>
        <w:tc>
          <w:tcPr>
            <w:tcW w:w="2032" w:type="dxa"/>
          </w:tcPr>
          <w:p w14:paraId="71BDC107" w14:textId="77777777" w:rsidR="00F15772" w:rsidRPr="008E0F1E" w:rsidRDefault="00F15772" w:rsidP="00464895">
            <w:pPr>
              <w:rPr>
                <w:rFonts w:ascii="Arial" w:hAnsi="Arial" w:cs="Arial"/>
                <w:b/>
                <w:bCs/>
              </w:rPr>
            </w:pPr>
            <w:r w:rsidRPr="008E0F1E">
              <w:rPr>
                <w:rFonts w:ascii="Arial" w:hAnsi="Arial" w:cs="Arial"/>
                <w:b/>
                <w:bCs/>
              </w:rPr>
              <w:t>Systemic Power — Defining the logic of all power relationships</w:t>
            </w:r>
          </w:p>
        </w:tc>
        <w:tc>
          <w:tcPr>
            <w:tcW w:w="2536" w:type="dxa"/>
          </w:tcPr>
          <w:p w14:paraId="17A311A0" w14:textId="77777777" w:rsidR="00F15772" w:rsidRPr="008E0F1E" w:rsidRDefault="00F15772" w:rsidP="00464895">
            <w:pPr>
              <w:rPr>
                <w:rFonts w:ascii="Arial" w:hAnsi="Arial" w:cs="Arial"/>
                <w:b/>
                <w:bCs/>
              </w:rPr>
            </w:pPr>
            <w:r w:rsidRPr="008E0F1E">
              <w:rPr>
                <w:rFonts w:ascii="Arial" w:hAnsi="Arial" w:cs="Arial"/>
                <w:b/>
                <w:bCs/>
              </w:rPr>
              <w:t>Invisible Power — Shaping norms and beliefs</w:t>
            </w:r>
          </w:p>
        </w:tc>
      </w:tr>
      <w:tr w:rsidR="00F15772" w:rsidRPr="008E0F1E" w14:paraId="4ADF7941" w14:textId="77777777" w:rsidTr="00313B58">
        <w:trPr>
          <w:trHeight w:val="4171"/>
        </w:trPr>
        <w:tc>
          <w:tcPr>
            <w:tcW w:w="2046" w:type="dxa"/>
          </w:tcPr>
          <w:p w14:paraId="0A249E59" w14:textId="77777777" w:rsidR="00F15772" w:rsidRPr="008E0F1E" w:rsidRDefault="00F15772" w:rsidP="00464895">
            <w:pPr>
              <w:rPr>
                <w:rFonts w:ascii="Arial" w:hAnsi="Arial" w:cs="Arial"/>
                <w:b/>
                <w:bCs/>
              </w:rPr>
            </w:pPr>
            <w:r w:rsidRPr="008E0F1E">
              <w:rPr>
                <w:rFonts w:ascii="Arial" w:hAnsi="Arial" w:cs="Arial"/>
                <w:b/>
                <w:bCs/>
              </w:rPr>
              <w:t>Power Over — Control, exclusion, coercion</w:t>
            </w:r>
          </w:p>
        </w:tc>
        <w:tc>
          <w:tcPr>
            <w:tcW w:w="1614" w:type="dxa"/>
          </w:tcPr>
          <w:p w14:paraId="39DB5F79" w14:textId="1803620E" w:rsidR="00F15772" w:rsidRPr="008E0F1E" w:rsidRDefault="00F15772" w:rsidP="00464895">
            <w:pPr>
              <w:rPr>
                <w:rFonts w:ascii="Arial" w:hAnsi="Arial" w:cs="Arial"/>
              </w:rPr>
            </w:pPr>
            <w:r w:rsidRPr="008E0F1E">
              <w:rPr>
                <w:rFonts w:ascii="Arial" w:hAnsi="Arial" w:cs="Arial"/>
              </w:rPr>
              <w:t>Government policies that criminalise poverty</w:t>
            </w:r>
            <w:r w:rsidR="00CD76E0">
              <w:rPr>
                <w:rFonts w:ascii="Arial" w:hAnsi="Arial" w:cs="Arial"/>
              </w:rPr>
              <w:t>,</w:t>
            </w:r>
            <w:r w:rsidRPr="008E0F1E">
              <w:rPr>
                <w:rFonts w:ascii="Arial" w:hAnsi="Arial" w:cs="Arial"/>
              </w:rPr>
              <w:t xml:space="preserve"> eligibility criteria that exclude disabled people from employment schemes</w:t>
            </w:r>
            <w:r w:rsidR="00CD76E0">
              <w:rPr>
                <w:rFonts w:ascii="Arial" w:hAnsi="Arial" w:cs="Arial"/>
              </w:rPr>
              <w:t>,</w:t>
            </w:r>
            <w:r w:rsidRPr="008E0F1E">
              <w:rPr>
                <w:rFonts w:ascii="Arial" w:hAnsi="Arial" w:cs="Arial"/>
              </w:rPr>
              <w:t xml:space="preserve"> </w:t>
            </w:r>
            <w:r w:rsidR="00CD76E0">
              <w:rPr>
                <w:rFonts w:ascii="Arial" w:hAnsi="Arial" w:cs="Arial"/>
              </w:rPr>
              <w:t xml:space="preserve">and </w:t>
            </w:r>
            <w:r w:rsidRPr="008E0F1E">
              <w:rPr>
                <w:rFonts w:ascii="Arial" w:hAnsi="Arial" w:cs="Arial"/>
              </w:rPr>
              <w:t>workplace disciplinary practices.</w:t>
            </w:r>
          </w:p>
        </w:tc>
        <w:tc>
          <w:tcPr>
            <w:tcW w:w="1966" w:type="dxa"/>
          </w:tcPr>
          <w:p w14:paraId="2FEA8611" w14:textId="6112B02B" w:rsidR="00F15772" w:rsidRPr="008E0F1E" w:rsidRDefault="00F15772" w:rsidP="00464895">
            <w:pPr>
              <w:rPr>
                <w:rFonts w:ascii="Arial" w:hAnsi="Arial" w:cs="Arial"/>
              </w:rPr>
            </w:pPr>
            <w:r w:rsidRPr="008E0F1E">
              <w:rPr>
                <w:rFonts w:ascii="Arial" w:hAnsi="Arial" w:cs="Arial"/>
              </w:rPr>
              <w:t xml:space="preserve">Decision-makers </w:t>
            </w:r>
            <w:r w:rsidR="00CD76E0">
              <w:rPr>
                <w:rFonts w:ascii="Arial" w:hAnsi="Arial" w:cs="Arial"/>
              </w:rPr>
              <w:t xml:space="preserve">are </w:t>
            </w:r>
            <w:r w:rsidRPr="008E0F1E">
              <w:rPr>
                <w:rFonts w:ascii="Arial" w:hAnsi="Arial" w:cs="Arial"/>
              </w:rPr>
              <w:t xml:space="preserve">excluding disabled voices from consultations; policy agendas </w:t>
            </w:r>
            <w:r w:rsidR="00CD76E0">
              <w:rPr>
                <w:rFonts w:ascii="Arial" w:hAnsi="Arial" w:cs="Arial"/>
              </w:rPr>
              <w:t xml:space="preserve">are </w:t>
            </w:r>
            <w:r w:rsidRPr="008E0F1E">
              <w:rPr>
                <w:rFonts w:ascii="Arial" w:hAnsi="Arial" w:cs="Arial"/>
              </w:rPr>
              <w:t>focused on individual responsibility rather than structural barriers.</w:t>
            </w:r>
          </w:p>
        </w:tc>
        <w:tc>
          <w:tcPr>
            <w:tcW w:w="2032" w:type="dxa"/>
          </w:tcPr>
          <w:p w14:paraId="5325FD3C" w14:textId="77777777" w:rsidR="00F15772" w:rsidRPr="008E0F1E" w:rsidRDefault="00F15772" w:rsidP="00464895">
            <w:pPr>
              <w:rPr>
                <w:rFonts w:ascii="Arial" w:hAnsi="Arial" w:cs="Arial"/>
              </w:rPr>
            </w:pPr>
            <w:r w:rsidRPr="008E0F1E">
              <w:rPr>
                <w:rFonts w:ascii="Arial" w:hAnsi="Arial" w:cs="Arial"/>
              </w:rPr>
              <w:t>Neoliberal logic equating productivity with worth; institutionalised ableism embedded in recruitment, education, and welfare systems</w:t>
            </w:r>
          </w:p>
        </w:tc>
        <w:tc>
          <w:tcPr>
            <w:tcW w:w="2536" w:type="dxa"/>
          </w:tcPr>
          <w:p w14:paraId="7370D670" w14:textId="77777777" w:rsidR="00F15772" w:rsidRPr="008E0F1E" w:rsidRDefault="00F15772" w:rsidP="00464895">
            <w:pPr>
              <w:rPr>
                <w:rFonts w:ascii="Arial" w:hAnsi="Arial" w:cs="Arial"/>
              </w:rPr>
            </w:pPr>
            <w:r w:rsidRPr="008E0F1E">
              <w:rPr>
                <w:rFonts w:ascii="Arial" w:hAnsi="Arial" w:cs="Arial"/>
              </w:rPr>
              <w:t>Cultural narratives portraying disabled people as dependent or ‘less capable’; internalised stigma that silences resistance.</w:t>
            </w:r>
          </w:p>
        </w:tc>
      </w:tr>
      <w:tr w:rsidR="00F15772" w:rsidRPr="008E0F1E" w14:paraId="18B74789" w14:textId="77777777" w:rsidTr="00313B58">
        <w:trPr>
          <w:trHeight w:val="3322"/>
        </w:trPr>
        <w:tc>
          <w:tcPr>
            <w:tcW w:w="2046" w:type="dxa"/>
          </w:tcPr>
          <w:p w14:paraId="7A3B821C" w14:textId="77777777" w:rsidR="00F15772" w:rsidRPr="008E0F1E" w:rsidRDefault="00F15772" w:rsidP="00464895">
            <w:pPr>
              <w:rPr>
                <w:rFonts w:ascii="Arial" w:hAnsi="Arial" w:cs="Arial"/>
              </w:rPr>
            </w:pPr>
          </w:p>
          <w:p w14:paraId="57FB61A9" w14:textId="77777777" w:rsidR="00F15772" w:rsidRPr="008E0F1E" w:rsidRDefault="00F15772" w:rsidP="00464895">
            <w:pPr>
              <w:rPr>
                <w:rFonts w:ascii="Arial" w:hAnsi="Arial" w:cs="Arial"/>
                <w:b/>
                <w:bCs/>
              </w:rPr>
            </w:pPr>
            <w:r w:rsidRPr="008E0F1E">
              <w:rPr>
                <w:rFonts w:ascii="Arial" w:hAnsi="Arial" w:cs="Arial"/>
                <w:b/>
                <w:bCs/>
              </w:rPr>
              <w:t>Power Over — Control, exclusion, coercion</w:t>
            </w:r>
          </w:p>
          <w:p w14:paraId="61DE630A" w14:textId="77777777" w:rsidR="00F15772" w:rsidRPr="008E0F1E" w:rsidRDefault="00F15772" w:rsidP="00464895">
            <w:pPr>
              <w:rPr>
                <w:rFonts w:ascii="Arial" w:hAnsi="Arial" w:cs="Arial"/>
              </w:rPr>
            </w:pPr>
          </w:p>
        </w:tc>
        <w:tc>
          <w:tcPr>
            <w:tcW w:w="1614" w:type="dxa"/>
          </w:tcPr>
          <w:p w14:paraId="2B8A5DE3" w14:textId="77777777" w:rsidR="00F15772" w:rsidRPr="008E0F1E" w:rsidRDefault="00F15772" w:rsidP="00464895">
            <w:pPr>
              <w:rPr>
                <w:rFonts w:ascii="Arial" w:hAnsi="Arial" w:cs="Arial"/>
              </w:rPr>
            </w:pPr>
            <w:r w:rsidRPr="008E0F1E">
              <w:rPr>
                <w:rFonts w:ascii="Arial" w:hAnsi="Arial" w:cs="Arial"/>
              </w:rPr>
              <w:t>Campaign for legislative reform and enforce rights to reasonable adjustments; union challenges to unfair dismissal.</w:t>
            </w:r>
          </w:p>
        </w:tc>
        <w:tc>
          <w:tcPr>
            <w:tcW w:w="1966" w:type="dxa"/>
          </w:tcPr>
          <w:p w14:paraId="76408C7A" w14:textId="77777777" w:rsidR="00F15772" w:rsidRPr="008E0F1E" w:rsidRDefault="00F15772" w:rsidP="00464895">
            <w:pPr>
              <w:rPr>
                <w:rFonts w:ascii="Arial" w:hAnsi="Arial" w:cs="Arial"/>
              </w:rPr>
            </w:pPr>
            <w:r w:rsidRPr="008E0F1E">
              <w:rPr>
                <w:rFonts w:ascii="Arial" w:hAnsi="Arial" w:cs="Arial"/>
              </w:rPr>
              <w:t>Advocacy and participatory consultations that reveal whose interests policy serves; targeted campaigns to reframe agendas.</w:t>
            </w:r>
          </w:p>
        </w:tc>
        <w:tc>
          <w:tcPr>
            <w:tcW w:w="2032" w:type="dxa"/>
          </w:tcPr>
          <w:p w14:paraId="255A1B4F" w14:textId="77777777" w:rsidR="00F15772" w:rsidRPr="008E0F1E" w:rsidRDefault="00F15772" w:rsidP="00464895">
            <w:pPr>
              <w:rPr>
                <w:rFonts w:ascii="Arial" w:hAnsi="Arial" w:cs="Arial"/>
              </w:rPr>
            </w:pPr>
            <w:r w:rsidRPr="008E0F1E">
              <w:rPr>
                <w:rFonts w:ascii="Arial" w:hAnsi="Arial" w:cs="Arial"/>
              </w:rPr>
              <w:t>Intersectional academic critique of meritocracy and workfare; use of evidence to contest systemic assumptions.</w:t>
            </w:r>
          </w:p>
        </w:tc>
        <w:tc>
          <w:tcPr>
            <w:tcW w:w="2536" w:type="dxa"/>
          </w:tcPr>
          <w:p w14:paraId="0CD66A43" w14:textId="77777777" w:rsidR="00F15772" w:rsidRPr="008E0F1E" w:rsidRDefault="00F15772" w:rsidP="00464895">
            <w:pPr>
              <w:rPr>
                <w:rFonts w:ascii="Arial" w:hAnsi="Arial" w:cs="Arial"/>
              </w:rPr>
            </w:pPr>
            <w:r w:rsidRPr="008E0F1E">
              <w:rPr>
                <w:rFonts w:ascii="Arial" w:hAnsi="Arial" w:cs="Arial"/>
              </w:rPr>
              <w:t>Disability pride and lived-experience storytelling that counter deficit narratives and reduce stigma.</w:t>
            </w:r>
          </w:p>
        </w:tc>
      </w:tr>
      <w:tr w:rsidR="00F15772" w:rsidRPr="008E0F1E" w14:paraId="632BB40A" w14:textId="77777777" w:rsidTr="00313B58">
        <w:trPr>
          <w:trHeight w:val="3337"/>
        </w:trPr>
        <w:tc>
          <w:tcPr>
            <w:tcW w:w="2046" w:type="dxa"/>
          </w:tcPr>
          <w:p w14:paraId="4A401947" w14:textId="77777777" w:rsidR="00F15772" w:rsidRPr="008E0F1E" w:rsidRDefault="00F15772" w:rsidP="00464895">
            <w:pPr>
              <w:rPr>
                <w:rFonts w:ascii="Arial" w:hAnsi="Arial" w:cs="Arial"/>
              </w:rPr>
            </w:pPr>
          </w:p>
          <w:p w14:paraId="34940791" w14:textId="21D96703" w:rsidR="00F15772" w:rsidRPr="008E0F1E" w:rsidRDefault="00F15772" w:rsidP="00464895">
            <w:pPr>
              <w:rPr>
                <w:rFonts w:ascii="Arial" w:hAnsi="Arial" w:cs="Arial"/>
              </w:rPr>
            </w:pPr>
            <w:r w:rsidRPr="008E0F1E">
              <w:rPr>
                <w:rFonts w:ascii="Arial" w:hAnsi="Arial" w:cs="Arial"/>
              </w:rPr>
              <w:t>Build, Create, Mobilise — Transformative power</w:t>
            </w:r>
            <w:r w:rsidR="00CD76E0">
              <w:rPr>
                <w:rFonts w:ascii="Arial" w:hAnsi="Arial" w:cs="Arial"/>
              </w:rPr>
              <w:t>.</w:t>
            </w:r>
          </w:p>
        </w:tc>
        <w:tc>
          <w:tcPr>
            <w:tcW w:w="1614" w:type="dxa"/>
          </w:tcPr>
          <w:p w14:paraId="2DF32656" w14:textId="5E93EBE2" w:rsidR="00F15772" w:rsidRPr="008E0F1E" w:rsidRDefault="00F15772" w:rsidP="00464895">
            <w:pPr>
              <w:rPr>
                <w:rFonts w:ascii="Arial" w:hAnsi="Arial" w:cs="Arial"/>
              </w:rPr>
            </w:pPr>
            <w:r w:rsidRPr="008E0F1E">
              <w:rPr>
                <w:rFonts w:ascii="Arial" w:hAnsi="Arial" w:cs="Arial"/>
              </w:rPr>
              <w:t>Co-produce inclusive employment policies with disabled people; implement enforceable workplace adjustments and inclusive recruitment</w:t>
            </w:r>
            <w:r w:rsidR="00CD76E0">
              <w:rPr>
                <w:rFonts w:ascii="Arial" w:hAnsi="Arial" w:cs="Arial"/>
              </w:rPr>
              <w:t>.</w:t>
            </w:r>
          </w:p>
        </w:tc>
        <w:tc>
          <w:tcPr>
            <w:tcW w:w="1966" w:type="dxa"/>
          </w:tcPr>
          <w:p w14:paraId="641270DB" w14:textId="77777777" w:rsidR="00F15772" w:rsidRPr="008E0F1E" w:rsidRDefault="00F15772" w:rsidP="00464895">
            <w:pPr>
              <w:rPr>
                <w:rFonts w:ascii="Arial" w:hAnsi="Arial" w:cs="Arial"/>
              </w:rPr>
            </w:pPr>
            <w:r w:rsidRPr="008E0F1E">
              <w:rPr>
                <w:rFonts w:ascii="Arial" w:hAnsi="Arial" w:cs="Arial"/>
              </w:rPr>
              <w:t>Reframe service priorities to centre accessibility and lived experience; design agendas with representative decision-making bodies.</w:t>
            </w:r>
          </w:p>
        </w:tc>
        <w:tc>
          <w:tcPr>
            <w:tcW w:w="2032" w:type="dxa"/>
          </w:tcPr>
          <w:p w14:paraId="32806391" w14:textId="77777777" w:rsidR="00F15772" w:rsidRPr="008E0F1E" w:rsidRDefault="00F15772" w:rsidP="00464895">
            <w:pPr>
              <w:rPr>
                <w:rFonts w:ascii="Arial" w:hAnsi="Arial" w:cs="Arial"/>
              </w:rPr>
            </w:pPr>
            <w:r w:rsidRPr="008E0F1E">
              <w:rPr>
                <w:rFonts w:ascii="Arial" w:hAnsi="Arial" w:cs="Arial"/>
              </w:rPr>
              <w:t>Embed equity logic in service design and commissioning; adopt participatory budgeting and accountability mechanisms.</w:t>
            </w:r>
          </w:p>
        </w:tc>
        <w:tc>
          <w:tcPr>
            <w:tcW w:w="2536" w:type="dxa"/>
          </w:tcPr>
          <w:p w14:paraId="02787BA2" w14:textId="77777777" w:rsidR="00F15772" w:rsidRPr="008E0F1E" w:rsidRDefault="00F15772" w:rsidP="00464895">
            <w:pPr>
              <w:rPr>
                <w:rFonts w:ascii="Arial" w:hAnsi="Arial" w:cs="Arial"/>
                <w:color w:val="FFFFFF" w:themeColor="background1"/>
              </w:rPr>
            </w:pPr>
            <w:r w:rsidRPr="008E0F1E">
              <w:rPr>
                <w:rFonts w:ascii="Arial" w:hAnsi="Arial" w:cs="Arial"/>
              </w:rPr>
              <w:t>Promote inclusive narratives in schools, employers, and media; build community solidarity, peer support, and collective empowerment.</w:t>
            </w:r>
          </w:p>
        </w:tc>
      </w:tr>
    </w:tbl>
    <w:p w14:paraId="1EA6DAB3" w14:textId="573B7482" w:rsidR="00F15772" w:rsidRDefault="00F15772" w:rsidP="009E1171">
      <w:pPr>
        <w:spacing w:line="480" w:lineRule="auto"/>
        <w:rPr>
          <w:rFonts w:ascii="Arial" w:hAnsi="Arial" w:cs="Arial"/>
        </w:rPr>
      </w:pPr>
    </w:p>
    <w:sectPr w:rsidR="00F15772" w:rsidSect="00544B15">
      <w:headerReference w:type="even" r:id="rId8"/>
      <w:headerReference w:type="default" r:id="rId9"/>
      <w:footerReference w:type="even" r:id="rId10"/>
      <w:footerReference w:type="default" r:id="rId11"/>
      <w:headerReference w:type="first" r:id="rId12"/>
      <w:footerReference w:type="first" r:id="rId13"/>
      <w:pgSz w:w="11906" w:h="16838"/>
      <w:pgMar w:top="873" w:right="873" w:bottom="873" w:left="873"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75CAB" w14:textId="77777777" w:rsidR="00004529" w:rsidRDefault="00004529" w:rsidP="005A2109">
      <w:pPr>
        <w:spacing w:after="0" w:line="240" w:lineRule="auto"/>
      </w:pPr>
      <w:r>
        <w:separator/>
      </w:r>
    </w:p>
  </w:endnote>
  <w:endnote w:type="continuationSeparator" w:id="0">
    <w:p w14:paraId="1795F9E8" w14:textId="77777777" w:rsidR="00004529" w:rsidRDefault="00004529" w:rsidP="005A2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CA1CE" w14:textId="77777777" w:rsidR="009D2928" w:rsidRDefault="009D29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488925"/>
      <w:docPartObj>
        <w:docPartGallery w:val="Page Numbers (Bottom of Page)"/>
        <w:docPartUnique/>
      </w:docPartObj>
    </w:sdtPr>
    <w:sdtContent>
      <w:sdt>
        <w:sdtPr>
          <w:id w:val="-1769616900"/>
          <w:docPartObj>
            <w:docPartGallery w:val="Page Numbers (Top of Page)"/>
            <w:docPartUnique/>
          </w:docPartObj>
        </w:sdtPr>
        <w:sdtContent>
          <w:p w14:paraId="58514D46" w14:textId="6051BD1F" w:rsidR="005A2109" w:rsidRDefault="005A2109">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E7AD414" w14:textId="77777777" w:rsidR="005A2109" w:rsidRDefault="005A21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415366" w14:textId="77777777" w:rsidR="009D2928" w:rsidRDefault="009D2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AD73A" w14:textId="77777777" w:rsidR="00004529" w:rsidRDefault="00004529" w:rsidP="005A2109">
      <w:pPr>
        <w:spacing w:after="0" w:line="240" w:lineRule="auto"/>
      </w:pPr>
      <w:r>
        <w:separator/>
      </w:r>
    </w:p>
  </w:footnote>
  <w:footnote w:type="continuationSeparator" w:id="0">
    <w:p w14:paraId="6BFA0DD5" w14:textId="77777777" w:rsidR="00004529" w:rsidRDefault="00004529" w:rsidP="005A21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3BD28" w14:textId="77777777" w:rsidR="009D2928" w:rsidRDefault="009D29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156082" w:themeColor="accent1"/>
        <w:sz w:val="20"/>
        <w:szCs w:val="20"/>
      </w:rPr>
      <w:alias w:val="Author"/>
      <w:tag w:val=""/>
      <w:id w:val="-952397527"/>
      <w:placeholder>
        <w:docPart w:val="A3B766C358EF424ABD913FA5917E3E14"/>
      </w:placeholder>
      <w:dataBinding w:prefixMappings="xmlns:ns0='http://purl.org/dc/elements/1.1/' xmlns:ns1='http://schemas.openxmlformats.org/package/2006/metadata/core-properties' " w:xpath="/ns1:coreProperties[1]/ns0:creator[1]" w:storeItemID="{6C3C8BC8-F283-45AE-878A-BAB7291924A1}"/>
      <w:text/>
    </w:sdtPr>
    <w:sdtContent>
      <w:p w14:paraId="0D889AFE" w14:textId="2470485B" w:rsidR="005A2109" w:rsidRDefault="005A2109">
        <w:pPr>
          <w:pStyle w:val="Header"/>
          <w:jc w:val="center"/>
          <w:rPr>
            <w:color w:val="156082" w:themeColor="accent1"/>
            <w:sz w:val="20"/>
          </w:rPr>
        </w:pPr>
        <w:r>
          <w:rPr>
            <w:color w:val="156082" w:themeColor="accent1"/>
            <w:sz w:val="20"/>
            <w:szCs w:val="20"/>
          </w:rPr>
          <w:t>Phil Blundell (2501140)</w:t>
        </w:r>
      </w:p>
    </w:sdtContent>
  </w:sdt>
  <w:p w14:paraId="4CAEAA6F" w14:textId="1B422768" w:rsidR="005A2109" w:rsidRDefault="005A2109">
    <w:pPr>
      <w:pStyle w:val="Header"/>
      <w:jc w:val="center"/>
      <w:rPr>
        <w:caps/>
        <w:color w:val="156082" w:themeColor="accent1"/>
      </w:rPr>
    </w:pPr>
    <w:r>
      <w:rPr>
        <w:caps/>
        <w:color w:val="156082" w:themeColor="accent1"/>
      </w:rPr>
      <w:t xml:space="preserve"> </w:t>
    </w:r>
    <w:sdt>
      <w:sdtPr>
        <w:rPr>
          <w:caps/>
          <w:color w:val="156082" w:themeColor="accent1"/>
        </w:rPr>
        <w:alias w:val="Title"/>
        <w:tag w:val=""/>
        <w:id w:val="-1954942076"/>
        <w:placeholder>
          <w:docPart w:val="E4AFE2FAA13745D3BCCBEFF829009AC4"/>
        </w:placeholder>
        <w:dataBinding w:prefixMappings="xmlns:ns0='http://purl.org/dc/elements/1.1/' xmlns:ns1='http://schemas.openxmlformats.org/package/2006/metadata/core-properties' " w:xpath="/ns1:coreProperties[1]/ns0:title[1]" w:storeItemID="{6C3C8BC8-F283-45AE-878A-BAB7291924A1}"/>
        <w:text/>
      </w:sdtPr>
      <w:sdtContent>
        <w:r w:rsidR="00CD50A6">
          <w:rPr>
            <w:caps/>
            <w:color w:val="156082" w:themeColor="accent1"/>
          </w:rPr>
          <w:t>The Social (Re)Production of Inequality (ECED7009)</w:t>
        </w:r>
        <w:r w:rsidR="009D2928">
          <w:rPr>
            <w:caps/>
            <w:color w:val="156082" w:themeColor="accent1"/>
          </w:rPr>
          <w:t xml:space="preserve"> assigment</w:t>
        </w:r>
        <w:r w:rsidR="00195077">
          <w:rPr>
            <w:caps/>
            <w:color w:val="156082" w:themeColor="accent1"/>
          </w:rPr>
          <w:t xml:space="preserve"> 2</w:t>
        </w:r>
      </w:sdtContent>
    </w:sdt>
  </w:p>
  <w:p w14:paraId="2B1B8448" w14:textId="77777777" w:rsidR="005A2109" w:rsidRDefault="005A2109" w:rsidP="00195077">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36E82" w14:textId="77777777" w:rsidR="009D2928" w:rsidRDefault="009D29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D5281"/>
    <w:multiLevelType w:val="multilevel"/>
    <w:tmpl w:val="D9F08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B0114"/>
    <w:multiLevelType w:val="multilevel"/>
    <w:tmpl w:val="2C60E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4F66AB"/>
    <w:multiLevelType w:val="multilevel"/>
    <w:tmpl w:val="067AC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144329"/>
    <w:multiLevelType w:val="multilevel"/>
    <w:tmpl w:val="A17ED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6D4155"/>
    <w:multiLevelType w:val="multilevel"/>
    <w:tmpl w:val="18FE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17458E"/>
    <w:multiLevelType w:val="multilevel"/>
    <w:tmpl w:val="3F96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A51F57"/>
    <w:multiLevelType w:val="hybridMultilevel"/>
    <w:tmpl w:val="24C036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FD22B63"/>
    <w:multiLevelType w:val="multilevel"/>
    <w:tmpl w:val="505A0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19358C"/>
    <w:multiLevelType w:val="multilevel"/>
    <w:tmpl w:val="08BC5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125842"/>
    <w:multiLevelType w:val="multilevel"/>
    <w:tmpl w:val="4AFE8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5B493C"/>
    <w:multiLevelType w:val="multilevel"/>
    <w:tmpl w:val="8FEA7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225216"/>
    <w:multiLevelType w:val="multilevel"/>
    <w:tmpl w:val="B720C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305C35"/>
    <w:multiLevelType w:val="multilevel"/>
    <w:tmpl w:val="622A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D44220"/>
    <w:multiLevelType w:val="multilevel"/>
    <w:tmpl w:val="1A7C7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B75C0F"/>
    <w:multiLevelType w:val="multilevel"/>
    <w:tmpl w:val="023AC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5F135B"/>
    <w:multiLevelType w:val="multilevel"/>
    <w:tmpl w:val="8DA81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E63E2A"/>
    <w:multiLevelType w:val="multilevel"/>
    <w:tmpl w:val="14F6A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820DEA"/>
    <w:multiLevelType w:val="multilevel"/>
    <w:tmpl w:val="F0AA7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0157D2"/>
    <w:multiLevelType w:val="multilevel"/>
    <w:tmpl w:val="DA22D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5A5E32"/>
    <w:multiLevelType w:val="multilevel"/>
    <w:tmpl w:val="C39A7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D4E1AC1"/>
    <w:multiLevelType w:val="multilevel"/>
    <w:tmpl w:val="0672A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B846A7"/>
    <w:multiLevelType w:val="multilevel"/>
    <w:tmpl w:val="4DF4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705B74"/>
    <w:multiLevelType w:val="multilevel"/>
    <w:tmpl w:val="9AF42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0B2F0B"/>
    <w:multiLevelType w:val="multilevel"/>
    <w:tmpl w:val="CBFAD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1B67A6"/>
    <w:multiLevelType w:val="multilevel"/>
    <w:tmpl w:val="27F8B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2E0053"/>
    <w:multiLevelType w:val="multilevel"/>
    <w:tmpl w:val="5F769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1275D4"/>
    <w:multiLevelType w:val="multilevel"/>
    <w:tmpl w:val="09A8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2A7123"/>
    <w:multiLevelType w:val="multilevel"/>
    <w:tmpl w:val="3348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AE01EE"/>
    <w:multiLevelType w:val="multilevel"/>
    <w:tmpl w:val="64267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D863B8"/>
    <w:multiLevelType w:val="multilevel"/>
    <w:tmpl w:val="BAFA7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E824E8"/>
    <w:multiLevelType w:val="multilevel"/>
    <w:tmpl w:val="264EF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494706"/>
    <w:multiLevelType w:val="multilevel"/>
    <w:tmpl w:val="0F72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A4052F"/>
    <w:multiLevelType w:val="multilevel"/>
    <w:tmpl w:val="2FC88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6C39A1"/>
    <w:multiLevelType w:val="multilevel"/>
    <w:tmpl w:val="25382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77603C"/>
    <w:multiLevelType w:val="multilevel"/>
    <w:tmpl w:val="3D22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742952"/>
    <w:multiLevelType w:val="multilevel"/>
    <w:tmpl w:val="C8829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2323023">
    <w:abstractNumId w:val="29"/>
  </w:num>
  <w:num w:numId="2" w16cid:durableId="160702740">
    <w:abstractNumId w:val="35"/>
  </w:num>
  <w:num w:numId="3" w16cid:durableId="1900359456">
    <w:abstractNumId w:val="18"/>
  </w:num>
  <w:num w:numId="4" w16cid:durableId="2000378388">
    <w:abstractNumId w:val="17"/>
  </w:num>
  <w:num w:numId="5" w16cid:durableId="1037462170">
    <w:abstractNumId w:val="33"/>
  </w:num>
  <w:num w:numId="6" w16cid:durableId="1966041422">
    <w:abstractNumId w:val="31"/>
  </w:num>
  <w:num w:numId="7" w16cid:durableId="96105179">
    <w:abstractNumId w:val="10"/>
  </w:num>
  <w:num w:numId="8" w16cid:durableId="1096486499">
    <w:abstractNumId w:val="4"/>
  </w:num>
  <w:num w:numId="9" w16cid:durableId="347147449">
    <w:abstractNumId w:val="9"/>
  </w:num>
  <w:num w:numId="10" w16cid:durableId="1311330088">
    <w:abstractNumId w:val="26"/>
  </w:num>
  <w:num w:numId="11" w16cid:durableId="354235435">
    <w:abstractNumId w:val="0"/>
  </w:num>
  <w:num w:numId="12" w16cid:durableId="1166900089">
    <w:abstractNumId w:val="11"/>
  </w:num>
  <w:num w:numId="13" w16cid:durableId="484316705">
    <w:abstractNumId w:val="13"/>
  </w:num>
  <w:num w:numId="14" w16cid:durableId="1333070137">
    <w:abstractNumId w:val="15"/>
  </w:num>
  <w:num w:numId="15" w16cid:durableId="1568221389">
    <w:abstractNumId w:val="8"/>
  </w:num>
  <w:num w:numId="16" w16cid:durableId="714964354">
    <w:abstractNumId w:val="5"/>
  </w:num>
  <w:num w:numId="17" w16cid:durableId="1769496399">
    <w:abstractNumId w:val="24"/>
  </w:num>
  <w:num w:numId="18" w16cid:durableId="1033724373">
    <w:abstractNumId w:val="25"/>
  </w:num>
  <w:num w:numId="19" w16cid:durableId="1056276353">
    <w:abstractNumId w:val="14"/>
  </w:num>
  <w:num w:numId="20" w16cid:durableId="1388457148">
    <w:abstractNumId w:val="22"/>
  </w:num>
  <w:num w:numId="21" w16cid:durableId="1182088544">
    <w:abstractNumId w:val="28"/>
  </w:num>
  <w:num w:numId="22" w16cid:durableId="1045567739">
    <w:abstractNumId w:val="19"/>
  </w:num>
  <w:num w:numId="23" w16cid:durableId="1758361863">
    <w:abstractNumId w:val="32"/>
  </w:num>
  <w:num w:numId="24" w16cid:durableId="641080508">
    <w:abstractNumId w:val="27"/>
  </w:num>
  <w:num w:numId="25" w16cid:durableId="2089039475">
    <w:abstractNumId w:val="6"/>
  </w:num>
  <w:num w:numId="26" w16cid:durableId="952441308">
    <w:abstractNumId w:val="16"/>
  </w:num>
  <w:num w:numId="27" w16cid:durableId="2109689746">
    <w:abstractNumId w:val="20"/>
  </w:num>
  <w:num w:numId="28" w16cid:durableId="2099713794">
    <w:abstractNumId w:val="7"/>
  </w:num>
  <w:num w:numId="29" w16cid:durableId="1547447315">
    <w:abstractNumId w:val="30"/>
  </w:num>
  <w:num w:numId="30" w16cid:durableId="2084987004">
    <w:abstractNumId w:val="12"/>
  </w:num>
  <w:num w:numId="31" w16cid:durableId="868566088">
    <w:abstractNumId w:val="23"/>
  </w:num>
  <w:num w:numId="32" w16cid:durableId="914166914">
    <w:abstractNumId w:val="21"/>
  </w:num>
  <w:num w:numId="33" w16cid:durableId="584193891">
    <w:abstractNumId w:val="3"/>
  </w:num>
  <w:num w:numId="34" w16cid:durableId="1658653491">
    <w:abstractNumId w:val="34"/>
  </w:num>
  <w:num w:numId="35" w16cid:durableId="1129276556">
    <w:abstractNumId w:val="2"/>
  </w:num>
  <w:num w:numId="36" w16cid:durableId="2121682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4"/>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9C4"/>
    <w:rsid w:val="00004529"/>
    <w:rsid w:val="00010520"/>
    <w:rsid w:val="00016AF6"/>
    <w:rsid w:val="00022105"/>
    <w:rsid w:val="00026AAA"/>
    <w:rsid w:val="00041BBF"/>
    <w:rsid w:val="00041D01"/>
    <w:rsid w:val="000533DF"/>
    <w:rsid w:val="00054387"/>
    <w:rsid w:val="00062ACA"/>
    <w:rsid w:val="000637C3"/>
    <w:rsid w:val="00081D33"/>
    <w:rsid w:val="00086EA4"/>
    <w:rsid w:val="00092437"/>
    <w:rsid w:val="00097FA7"/>
    <w:rsid w:val="000B4D52"/>
    <w:rsid w:val="000B5DA6"/>
    <w:rsid w:val="000C0247"/>
    <w:rsid w:val="000C6BBC"/>
    <w:rsid w:val="000C7144"/>
    <w:rsid w:val="000D50A8"/>
    <w:rsid w:val="000D6801"/>
    <w:rsid w:val="000D75C3"/>
    <w:rsid w:val="000E4FB5"/>
    <w:rsid w:val="000F6093"/>
    <w:rsid w:val="000F7F6A"/>
    <w:rsid w:val="00112BB8"/>
    <w:rsid w:val="00125488"/>
    <w:rsid w:val="001263B6"/>
    <w:rsid w:val="0013302B"/>
    <w:rsid w:val="001359EC"/>
    <w:rsid w:val="0015517C"/>
    <w:rsid w:val="00163CD0"/>
    <w:rsid w:val="0018151D"/>
    <w:rsid w:val="001838B0"/>
    <w:rsid w:val="00194341"/>
    <w:rsid w:val="00195077"/>
    <w:rsid w:val="001A1C59"/>
    <w:rsid w:val="001A79C4"/>
    <w:rsid w:val="001B5448"/>
    <w:rsid w:val="001C0063"/>
    <w:rsid w:val="001C4729"/>
    <w:rsid w:val="001C5392"/>
    <w:rsid w:val="001D6C15"/>
    <w:rsid w:val="001E13E1"/>
    <w:rsid w:val="002001CB"/>
    <w:rsid w:val="00200FBA"/>
    <w:rsid w:val="00202A1F"/>
    <w:rsid w:val="0022013D"/>
    <w:rsid w:val="00244BA9"/>
    <w:rsid w:val="00254C8D"/>
    <w:rsid w:val="00260A97"/>
    <w:rsid w:val="00266B0F"/>
    <w:rsid w:val="00285BAC"/>
    <w:rsid w:val="002A5537"/>
    <w:rsid w:val="002B6F86"/>
    <w:rsid w:val="002E33AD"/>
    <w:rsid w:val="002E4C46"/>
    <w:rsid w:val="002E6D35"/>
    <w:rsid w:val="00313B58"/>
    <w:rsid w:val="0033279E"/>
    <w:rsid w:val="0033360D"/>
    <w:rsid w:val="003338D0"/>
    <w:rsid w:val="0038304E"/>
    <w:rsid w:val="00390CE0"/>
    <w:rsid w:val="003A0AE9"/>
    <w:rsid w:val="003B3B87"/>
    <w:rsid w:val="003B617A"/>
    <w:rsid w:val="003B6257"/>
    <w:rsid w:val="003B6C7E"/>
    <w:rsid w:val="003C3803"/>
    <w:rsid w:val="003D6192"/>
    <w:rsid w:val="003E24E7"/>
    <w:rsid w:val="003F1EA7"/>
    <w:rsid w:val="00401FBE"/>
    <w:rsid w:val="004570CE"/>
    <w:rsid w:val="00472CE3"/>
    <w:rsid w:val="004748E7"/>
    <w:rsid w:val="00486508"/>
    <w:rsid w:val="004A3612"/>
    <w:rsid w:val="004A6084"/>
    <w:rsid w:val="004E4BDA"/>
    <w:rsid w:val="004E6DC2"/>
    <w:rsid w:val="004F0552"/>
    <w:rsid w:val="00507DA7"/>
    <w:rsid w:val="00512CFF"/>
    <w:rsid w:val="00513B09"/>
    <w:rsid w:val="00516672"/>
    <w:rsid w:val="005216E3"/>
    <w:rsid w:val="00523663"/>
    <w:rsid w:val="005430B7"/>
    <w:rsid w:val="00544B15"/>
    <w:rsid w:val="00545E05"/>
    <w:rsid w:val="0054777B"/>
    <w:rsid w:val="005501D7"/>
    <w:rsid w:val="00551C15"/>
    <w:rsid w:val="00566132"/>
    <w:rsid w:val="00581BBB"/>
    <w:rsid w:val="0059174A"/>
    <w:rsid w:val="005A2109"/>
    <w:rsid w:val="005B3668"/>
    <w:rsid w:val="005B4117"/>
    <w:rsid w:val="005B6790"/>
    <w:rsid w:val="005D3D7F"/>
    <w:rsid w:val="005D58FF"/>
    <w:rsid w:val="005E453E"/>
    <w:rsid w:val="005E472D"/>
    <w:rsid w:val="005E5E32"/>
    <w:rsid w:val="005F43AF"/>
    <w:rsid w:val="00603ECD"/>
    <w:rsid w:val="00624298"/>
    <w:rsid w:val="0062680F"/>
    <w:rsid w:val="00626F9F"/>
    <w:rsid w:val="00634506"/>
    <w:rsid w:val="006407EF"/>
    <w:rsid w:val="00640D46"/>
    <w:rsid w:val="00662F17"/>
    <w:rsid w:val="006722CE"/>
    <w:rsid w:val="006763DD"/>
    <w:rsid w:val="00680F28"/>
    <w:rsid w:val="00685B1B"/>
    <w:rsid w:val="006B02FB"/>
    <w:rsid w:val="006D7854"/>
    <w:rsid w:val="006E08EB"/>
    <w:rsid w:val="006E4E1F"/>
    <w:rsid w:val="00703911"/>
    <w:rsid w:val="00715864"/>
    <w:rsid w:val="00717AEF"/>
    <w:rsid w:val="007228BB"/>
    <w:rsid w:val="007453A5"/>
    <w:rsid w:val="0075040C"/>
    <w:rsid w:val="00753436"/>
    <w:rsid w:val="00773E37"/>
    <w:rsid w:val="0077504F"/>
    <w:rsid w:val="007825D3"/>
    <w:rsid w:val="007959A6"/>
    <w:rsid w:val="007A3465"/>
    <w:rsid w:val="007A5527"/>
    <w:rsid w:val="007A723A"/>
    <w:rsid w:val="007B1504"/>
    <w:rsid w:val="007B6AF7"/>
    <w:rsid w:val="00830D5F"/>
    <w:rsid w:val="0083541F"/>
    <w:rsid w:val="00845BDC"/>
    <w:rsid w:val="0084634F"/>
    <w:rsid w:val="00872A2C"/>
    <w:rsid w:val="00886CD7"/>
    <w:rsid w:val="008954B5"/>
    <w:rsid w:val="008B02C7"/>
    <w:rsid w:val="008B175F"/>
    <w:rsid w:val="008C538D"/>
    <w:rsid w:val="008E1FBB"/>
    <w:rsid w:val="008E567D"/>
    <w:rsid w:val="008F014E"/>
    <w:rsid w:val="008F24E1"/>
    <w:rsid w:val="00905226"/>
    <w:rsid w:val="009122B1"/>
    <w:rsid w:val="00914EF6"/>
    <w:rsid w:val="009400F5"/>
    <w:rsid w:val="00944212"/>
    <w:rsid w:val="0094579D"/>
    <w:rsid w:val="00947FE8"/>
    <w:rsid w:val="00953D74"/>
    <w:rsid w:val="0096340A"/>
    <w:rsid w:val="00963E5A"/>
    <w:rsid w:val="0097235D"/>
    <w:rsid w:val="0099500D"/>
    <w:rsid w:val="009A2090"/>
    <w:rsid w:val="009A716F"/>
    <w:rsid w:val="009B016F"/>
    <w:rsid w:val="009C1A94"/>
    <w:rsid w:val="009C614B"/>
    <w:rsid w:val="009C7256"/>
    <w:rsid w:val="009D2928"/>
    <w:rsid w:val="009D6970"/>
    <w:rsid w:val="009E1171"/>
    <w:rsid w:val="009E3126"/>
    <w:rsid w:val="009E6408"/>
    <w:rsid w:val="00A03A55"/>
    <w:rsid w:val="00A1008F"/>
    <w:rsid w:val="00A23275"/>
    <w:rsid w:val="00A27FAF"/>
    <w:rsid w:val="00A368F0"/>
    <w:rsid w:val="00A42D4E"/>
    <w:rsid w:val="00A46A38"/>
    <w:rsid w:val="00A80FF8"/>
    <w:rsid w:val="00A94745"/>
    <w:rsid w:val="00AB1276"/>
    <w:rsid w:val="00AB1CA9"/>
    <w:rsid w:val="00AC19BC"/>
    <w:rsid w:val="00AD1F62"/>
    <w:rsid w:val="00AE0C45"/>
    <w:rsid w:val="00AE2AF1"/>
    <w:rsid w:val="00AE7901"/>
    <w:rsid w:val="00B16EEF"/>
    <w:rsid w:val="00B22D91"/>
    <w:rsid w:val="00B2720B"/>
    <w:rsid w:val="00B345F8"/>
    <w:rsid w:val="00B42DA4"/>
    <w:rsid w:val="00B43826"/>
    <w:rsid w:val="00B66E97"/>
    <w:rsid w:val="00B720C7"/>
    <w:rsid w:val="00B84C7D"/>
    <w:rsid w:val="00BA6B49"/>
    <w:rsid w:val="00BF0C56"/>
    <w:rsid w:val="00BF5A24"/>
    <w:rsid w:val="00C2216D"/>
    <w:rsid w:val="00C24C45"/>
    <w:rsid w:val="00C31AB8"/>
    <w:rsid w:val="00C33582"/>
    <w:rsid w:val="00C418C8"/>
    <w:rsid w:val="00C46BE6"/>
    <w:rsid w:val="00C7665E"/>
    <w:rsid w:val="00CA60C7"/>
    <w:rsid w:val="00CC5D21"/>
    <w:rsid w:val="00CD50A6"/>
    <w:rsid w:val="00CD76E0"/>
    <w:rsid w:val="00CE1238"/>
    <w:rsid w:val="00CF0EA7"/>
    <w:rsid w:val="00D1557A"/>
    <w:rsid w:val="00D409B1"/>
    <w:rsid w:val="00D444FC"/>
    <w:rsid w:val="00D734F2"/>
    <w:rsid w:val="00D9434C"/>
    <w:rsid w:val="00DB7A2E"/>
    <w:rsid w:val="00DC6E84"/>
    <w:rsid w:val="00DC7055"/>
    <w:rsid w:val="00DD2365"/>
    <w:rsid w:val="00DF59B1"/>
    <w:rsid w:val="00DF7F29"/>
    <w:rsid w:val="00E14BFA"/>
    <w:rsid w:val="00E26F07"/>
    <w:rsid w:val="00E458CF"/>
    <w:rsid w:val="00E5439B"/>
    <w:rsid w:val="00E548EF"/>
    <w:rsid w:val="00E63A37"/>
    <w:rsid w:val="00E74757"/>
    <w:rsid w:val="00E87010"/>
    <w:rsid w:val="00E909C4"/>
    <w:rsid w:val="00E91EC8"/>
    <w:rsid w:val="00EA5654"/>
    <w:rsid w:val="00EE711F"/>
    <w:rsid w:val="00EF5BD8"/>
    <w:rsid w:val="00F15772"/>
    <w:rsid w:val="00F34F5A"/>
    <w:rsid w:val="00F355CF"/>
    <w:rsid w:val="00F448F1"/>
    <w:rsid w:val="00F54A91"/>
    <w:rsid w:val="00F64B69"/>
    <w:rsid w:val="00F93E9C"/>
    <w:rsid w:val="00FA500A"/>
    <w:rsid w:val="00FB0C6F"/>
    <w:rsid w:val="00FB767E"/>
    <w:rsid w:val="00FC1490"/>
    <w:rsid w:val="00FE33A5"/>
    <w:rsid w:val="00FE6896"/>
    <w:rsid w:val="00FF036A"/>
    <w:rsid w:val="00FF4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E6328B"/>
  <w15:chartTrackingRefBased/>
  <w15:docId w15:val="{BE00AAC1-EFE6-42BD-99DE-9F8069FF0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9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9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09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909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9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9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9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9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9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9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9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09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909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9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9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9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9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9C4"/>
    <w:rPr>
      <w:rFonts w:eastAsiaTheme="majorEastAsia" w:cstheme="majorBidi"/>
      <w:color w:val="272727" w:themeColor="text1" w:themeTint="D8"/>
    </w:rPr>
  </w:style>
  <w:style w:type="paragraph" w:styleId="Title">
    <w:name w:val="Title"/>
    <w:basedOn w:val="Normal"/>
    <w:next w:val="Normal"/>
    <w:link w:val="TitleChar"/>
    <w:uiPriority w:val="10"/>
    <w:qFormat/>
    <w:rsid w:val="00E909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9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9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9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9C4"/>
    <w:pPr>
      <w:spacing w:before="160"/>
      <w:jc w:val="center"/>
    </w:pPr>
    <w:rPr>
      <w:i/>
      <w:iCs/>
      <w:color w:val="404040" w:themeColor="text1" w:themeTint="BF"/>
    </w:rPr>
  </w:style>
  <w:style w:type="character" w:customStyle="1" w:styleId="QuoteChar">
    <w:name w:val="Quote Char"/>
    <w:basedOn w:val="DefaultParagraphFont"/>
    <w:link w:val="Quote"/>
    <w:uiPriority w:val="29"/>
    <w:rsid w:val="00E909C4"/>
    <w:rPr>
      <w:i/>
      <w:iCs/>
      <w:color w:val="404040" w:themeColor="text1" w:themeTint="BF"/>
    </w:rPr>
  </w:style>
  <w:style w:type="paragraph" w:styleId="ListParagraph">
    <w:name w:val="List Paragraph"/>
    <w:basedOn w:val="Normal"/>
    <w:uiPriority w:val="34"/>
    <w:qFormat/>
    <w:rsid w:val="00E909C4"/>
    <w:pPr>
      <w:ind w:left="720"/>
      <w:contextualSpacing/>
    </w:pPr>
  </w:style>
  <w:style w:type="character" w:styleId="IntenseEmphasis">
    <w:name w:val="Intense Emphasis"/>
    <w:basedOn w:val="DefaultParagraphFont"/>
    <w:uiPriority w:val="21"/>
    <w:qFormat/>
    <w:rsid w:val="00E909C4"/>
    <w:rPr>
      <w:i/>
      <w:iCs/>
      <w:color w:val="0F4761" w:themeColor="accent1" w:themeShade="BF"/>
    </w:rPr>
  </w:style>
  <w:style w:type="paragraph" w:styleId="IntenseQuote">
    <w:name w:val="Intense Quote"/>
    <w:basedOn w:val="Normal"/>
    <w:next w:val="Normal"/>
    <w:link w:val="IntenseQuoteChar"/>
    <w:uiPriority w:val="30"/>
    <w:qFormat/>
    <w:rsid w:val="00E909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9C4"/>
    <w:rPr>
      <w:i/>
      <w:iCs/>
      <w:color w:val="0F4761" w:themeColor="accent1" w:themeShade="BF"/>
    </w:rPr>
  </w:style>
  <w:style w:type="character" w:styleId="IntenseReference">
    <w:name w:val="Intense Reference"/>
    <w:basedOn w:val="DefaultParagraphFont"/>
    <w:uiPriority w:val="32"/>
    <w:qFormat/>
    <w:rsid w:val="00E909C4"/>
    <w:rPr>
      <w:b/>
      <w:bCs/>
      <w:smallCaps/>
      <w:color w:val="0F4761" w:themeColor="accent1" w:themeShade="BF"/>
      <w:spacing w:val="5"/>
    </w:rPr>
  </w:style>
  <w:style w:type="character" w:styleId="CommentReference">
    <w:name w:val="annotation reference"/>
    <w:basedOn w:val="DefaultParagraphFont"/>
    <w:uiPriority w:val="99"/>
    <w:semiHidden/>
    <w:unhideWhenUsed/>
    <w:rsid w:val="00E909C4"/>
    <w:rPr>
      <w:sz w:val="16"/>
      <w:szCs w:val="16"/>
    </w:rPr>
  </w:style>
  <w:style w:type="paragraph" w:styleId="CommentText">
    <w:name w:val="annotation text"/>
    <w:basedOn w:val="Normal"/>
    <w:link w:val="CommentTextChar"/>
    <w:uiPriority w:val="99"/>
    <w:unhideWhenUsed/>
    <w:rsid w:val="00E909C4"/>
    <w:pPr>
      <w:spacing w:line="240" w:lineRule="auto"/>
    </w:pPr>
    <w:rPr>
      <w:rFonts w:eastAsiaTheme="minorEastAsia"/>
      <w:kern w:val="0"/>
      <w:sz w:val="20"/>
      <w:szCs w:val="20"/>
      <w:lang w:eastAsia="ja-JP"/>
      <w14:ligatures w14:val="none"/>
    </w:rPr>
  </w:style>
  <w:style w:type="character" w:customStyle="1" w:styleId="CommentTextChar">
    <w:name w:val="Comment Text Char"/>
    <w:basedOn w:val="DefaultParagraphFont"/>
    <w:link w:val="CommentText"/>
    <w:uiPriority w:val="99"/>
    <w:rsid w:val="00E909C4"/>
    <w:rPr>
      <w:rFonts w:eastAsiaTheme="minorEastAsia"/>
      <w:kern w:val="0"/>
      <w:sz w:val="20"/>
      <w:szCs w:val="20"/>
      <w:lang w:eastAsia="ja-JP"/>
      <w14:ligatures w14:val="none"/>
    </w:rPr>
  </w:style>
  <w:style w:type="paragraph" w:styleId="CommentSubject">
    <w:name w:val="annotation subject"/>
    <w:basedOn w:val="CommentText"/>
    <w:next w:val="CommentText"/>
    <w:link w:val="CommentSubjectChar"/>
    <w:uiPriority w:val="99"/>
    <w:semiHidden/>
    <w:unhideWhenUsed/>
    <w:rsid w:val="00E909C4"/>
    <w:rPr>
      <w:rFonts w:eastAsiaTheme="minorHAnsi"/>
      <w:b/>
      <w:bCs/>
      <w:kern w:val="2"/>
      <w:lang w:eastAsia="en-US"/>
      <w14:ligatures w14:val="standardContextual"/>
    </w:rPr>
  </w:style>
  <w:style w:type="character" w:customStyle="1" w:styleId="CommentSubjectChar">
    <w:name w:val="Comment Subject Char"/>
    <w:basedOn w:val="CommentTextChar"/>
    <w:link w:val="CommentSubject"/>
    <w:uiPriority w:val="99"/>
    <w:semiHidden/>
    <w:rsid w:val="00E909C4"/>
    <w:rPr>
      <w:rFonts w:eastAsiaTheme="minorEastAsia"/>
      <w:b/>
      <w:bCs/>
      <w:kern w:val="0"/>
      <w:sz w:val="20"/>
      <w:szCs w:val="20"/>
      <w:lang w:eastAsia="ja-JP"/>
      <w14:ligatures w14:val="none"/>
    </w:rPr>
  </w:style>
  <w:style w:type="paragraph" w:styleId="NormalWeb">
    <w:name w:val="Normal (Web)"/>
    <w:basedOn w:val="Normal"/>
    <w:uiPriority w:val="99"/>
    <w:unhideWhenUsed/>
    <w:rsid w:val="00872A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72A2C"/>
    <w:rPr>
      <w:b/>
      <w:bCs/>
    </w:rPr>
  </w:style>
  <w:style w:type="character" w:styleId="Emphasis">
    <w:name w:val="Emphasis"/>
    <w:basedOn w:val="DefaultParagraphFont"/>
    <w:uiPriority w:val="20"/>
    <w:qFormat/>
    <w:rsid w:val="00B42DA4"/>
    <w:rPr>
      <w:i/>
      <w:iCs/>
    </w:rPr>
  </w:style>
  <w:style w:type="table" w:styleId="TableGrid">
    <w:name w:val="Table Grid"/>
    <w:basedOn w:val="TableNormal"/>
    <w:uiPriority w:val="39"/>
    <w:rsid w:val="00F157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0A97"/>
    <w:rPr>
      <w:color w:val="467886" w:themeColor="hyperlink"/>
      <w:u w:val="single"/>
    </w:rPr>
  </w:style>
  <w:style w:type="character" w:styleId="UnresolvedMention">
    <w:name w:val="Unresolved Mention"/>
    <w:basedOn w:val="DefaultParagraphFont"/>
    <w:uiPriority w:val="99"/>
    <w:semiHidden/>
    <w:unhideWhenUsed/>
    <w:rsid w:val="00260A97"/>
    <w:rPr>
      <w:color w:val="605E5C"/>
      <w:shd w:val="clear" w:color="auto" w:fill="E1DFDD"/>
    </w:rPr>
  </w:style>
  <w:style w:type="paragraph" w:styleId="Header">
    <w:name w:val="header"/>
    <w:basedOn w:val="Normal"/>
    <w:link w:val="HeaderChar"/>
    <w:uiPriority w:val="99"/>
    <w:unhideWhenUsed/>
    <w:rsid w:val="005A2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109"/>
  </w:style>
  <w:style w:type="paragraph" w:styleId="Footer">
    <w:name w:val="footer"/>
    <w:basedOn w:val="Normal"/>
    <w:link w:val="FooterChar"/>
    <w:uiPriority w:val="99"/>
    <w:unhideWhenUsed/>
    <w:rsid w:val="005A2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3B766C358EF424ABD913FA5917E3E14"/>
        <w:category>
          <w:name w:val="General"/>
          <w:gallery w:val="placeholder"/>
        </w:category>
        <w:types>
          <w:type w:val="bbPlcHdr"/>
        </w:types>
        <w:behaviors>
          <w:behavior w:val="content"/>
        </w:behaviors>
        <w:guid w:val="{A35CBF29-1BDC-4A8D-BDCF-E80FFD9930E7}"/>
      </w:docPartPr>
      <w:docPartBody>
        <w:p w:rsidR="006575E8" w:rsidRDefault="00F45857" w:rsidP="00F45857">
          <w:pPr>
            <w:pStyle w:val="A3B766C358EF424ABD913FA5917E3E14"/>
          </w:pPr>
          <w:r>
            <w:rPr>
              <w:color w:val="156082" w:themeColor="accent1"/>
              <w:sz w:val="20"/>
              <w:szCs w:val="20"/>
            </w:rPr>
            <w:t>[Author name]</w:t>
          </w:r>
        </w:p>
      </w:docPartBody>
    </w:docPart>
    <w:docPart>
      <w:docPartPr>
        <w:name w:val="E4AFE2FAA13745D3BCCBEFF829009AC4"/>
        <w:category>
          <w:name w:val="General"/>
          <w:gallery w:val="placeholder"/>
        </w:category>
        <w:types>
          <w:type w:val="bbPlcHdr"/>
        </w:types>
        <w:behaviors>
          <w:behavior w:val="content"/>
        </w:behaviors>
        <w:guid w:val="{5B11EC4F-48CB-4455-A47D-EB3E8B67FB7B}"/>
      </w:docPartPr>
      <w:docPartBody>
        <w:p w:rsidR="006575E8" w:rsidRDefault="00F45857" w:rsidP="00F45857">
          <w:pPr>
            <w:pStyle w:val="E4AFE2FAA13745D3BCCBEFF829009AC4"/>
          </w:pPr>
          <w:r>
            <w:rPr>
              <w:caps/>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857"/>
    <w:rsid w:val="00536F42"/>
    <w:rsid w:val="00551C15"/>
    <w:rsid w:val="006575E8"/>
    <w:rsid w:val="007A3465"/>
    <w:rsid w:val="008D1E10"/>
    <w:rsid w:val="009571C2"/>
    <w:rsid w:val="0097235D"/>
    <w:rsid w:val="00C544BB"/>
    <w:rsid w:val="00DB7A2E"/>
    <w:rsid w:val="00F4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B766C358EF424ABD913FA5917E3E14">
    <w:name w:val="A3B766C358EF424ABD913FA5917E3E14"/>
    <w:rsid w:val="00F45857"/>
  </w:style>
  <w:style w:type="paragraph" w:customStyle="1" w:styleId="E4AFE2FAA13745D3BCCBEFF829009AC4">
    <w:name w:val="E4AFE2FAA13745D3BCCBEFF829009AC4"/>
    <w:rsid w:val="00F458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80C38-C0D9-489B-95A3-8FB0D5237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24</Pages>
  <Words>7876</Words>
  <Characters>49625</Characters>
  <Application>Microsoft Office Word</Application>
  <DocSecurity>0</DocSecurity>
  <Lines>902</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Social (Re)Production of Inequality (ECED7009) assigment 2</dc:title>
  <dc:subject/>
  <dc:creator>Phil Blundell (2501140)</dc:creator>
  <cp:keywords/>
  <dc:description/>
  <cp:lastModifiedBy>Phil Blundell (2501140)</cp:lastModifiedBy>
  <cp:revision>101</cp:revision>
  <cp:lastPrinted>2025-11-20T18:53:00Z</cp:lastPrinted>
  <dcterms:created xsi:type="dcterms:W3CDTF">2025-11-21T12:30:00Z</dcterms:created>
  <dcterms:modified xsi:type="dcterms:W3CDTF">2025-11-21T19:26:00Z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73110e5d-a51e-43b5-8a7e-f2c89a36352b</vt:lpwstr>
  </property>
</Properties>
</file>