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5384490A"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6272CD80AC924FB8BDA21DE1EDB27DC3"/>
            </w:placeholder>
            <w:dataBinding w:prefixMappings="xmlns:ns0='http://purl.org/dc/elements/1.1/' xmlns:ns1='http://schemas.openxmlformats.org/package/2006/metadata/core-properties' " w:xpath="/ns1:coreProperties[1]/ns0:title[1]" w:storeItemID="{6C3C8BC8-F283-45AE-878A-BAB7291924A1}"/>
            <w:text/>
          </w:sdtPr>
          <w:sdtContent>
            <w:p w14:paraId="55C556CB" w14:textId="2C1FF4A3" w:rsidR="006F7EAB" w:rsidRDefault="006F7EAB" w:rsidP="006F7EAB">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72"/>
                  <w:szCs w:val="72"/>
                </w:rPr>
              </w:pPr>
              <w:r w:rsidRPr="00B21CF0">
                <w:rPr>
                  <w:rFonts w:asciiTheme="majorHAnsi" w:eastAsiaTheme="majorEastAsia" w:hAnsiTheme="majorHAnsi" w:cstheme="majorBidi"/>
                  <w:caps/>
                  <w:color w:val="5B9BD5" w:themeColor="accent1"/>
                  <w:sz w:val="72"/>
                  <w:szCs w:val="72"/>
                </w:rPr>
                <w:t>MANAGEMENT, INNOVATION AND SUSTAINABILITY</w:t>
              </w:r>
            </w:p>
          </w:sdtContent>
        </w:sdt>
        <w:p w14:paraId="46DB7603" w14:textId="77777777" w:rsidR="006F7EAB" w:rsidRDefault="00000000" w:rsidP="006F7EAB">
          <w:pPr>
            <w:pStyle w:val="NoSpacing"/>
            <w:jc w:val="center"/>
            <w:rPr>
              <w:rFonts w:eastAsiaTheme="minorHAnsi"/>
              <w:color w:val="5B9BD5" w:themeColor="accent1"/>
              <w:sz w:val="28"/>
              <w:szCs w:val="28"/>
              <w:lang w:val="en-GB"/>
            </w:rPr>
          </w:pPr>
          <w:sdt>
            <w:sdtPr>
              <w:rPr>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r w:rsidR="006F7EAB">
                <w:rPr>
                  <w:color w:val="5B9BD5" w:themeColor="accent1"/>
                  <w:sz w:val="28"/>
                  <w:szCs w:val="28"/>
                </w:rPr>
                <w:t xml:space="preserve">Approaches to Innovation and </w:t>
              </w:r>
              <w:proofErr w:type="spellStart"/>
              <w:r w:rsidR="006F7EAB">
                <w:rPr>
                  <w:color w:val="5B9BD5" w:themeColor="accent1"/>
                  <w:sz w:val="28"/>
                  <w:szCs w:val="28"/>
                </w:rPr>
                <w:t>Organisational</w:t>
              </w:r>
              <w:proofErr w:type="spellEnd"/>
              <w:r w:rsidR="006F7EAB">
                <w:rPr>
                  <w:color w:val="5B9BD5" w:themeColor="accent1"/>
                  <w:sz w:val="28"/>
                  <w:szCs w:val="28"/>
                </w:rPr>
                <w:t xml:space="preserve"> Change</w:t>
              </w:r>
            </w:sdtContent>
          </w:sdt>
        </w:p>
        <w:p w14:paraId="16016371" w14:textId="77777777" w:rsidR="006F7EAB" w:rsidRDefault="006F7EAB" w:rsidP="003118B4">
          <w:pPr>
            <w:pStyle w:val="NoSpacing"/>
            <w:rPr>
              <w:color w:val="5B9BD5" w:themeColor="accent1"/>
              <w:sz w:val="28"/>
              <w:szCs w:val="28"/>
            </w:rPr>
          </w:pPr>
        </w:p>
        <w:p w14:paraId="61B62FF3" w14:textId="4E50A6CA" w:rsidR="006F7EAB" w:rsidRPr="006F7EAB" w:rsidRDefault="006F7EAB" w:rsidP="006F7EAB">
          <w:pPr>
            <w:pStyle w:val="NoSpacing"/>
            <w:jc w:val="center"/>
            <w:rPr>
              <w:rFonts w:eastAsiaTheme="minorHAnsi"/>
              <w:b/>
              <w:bCs/>
              <w:color w:val="5B9BD5" w:themeColor="accent1"/>
              <w:sz w:val="28"/>
              <w:szCs w:val="28"/>
              <w:lang w:val="en-GB"/>
            </w:rPr>
          </w:pPr>
          <w:r w:rsidRPr="006F7EAB">
            <w:rPr>
              <w:b/>
              <w:bCs/>
              <w:color w:val="5B9BD5" w:themeColor="accent1"/>
              <w:sz w:val="28"/>
              <w:szCs w:val="28"/>
            </w:rPr>
            <w:t>Thomas Evans</w:t>
          </w:r>
        </w:p>
        <w:p w14:paraId="1ADC1124" w14:textId="637384B0"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5-10T00:00:00Z">
                                    <w:dateFormat w:val="MMMM d, yyyy"/>
                                    <w:lid w:val="en-US"/>
                                    <w:storeMappedDataAs w:val="dateTime"/>
                                    <w:calendar w:val="gregorian"/>
                                  </w:date>
                                </w:sdtPr>
                                <w:sdtContent>
                                  <w:p w14:paraId="52BAF8D9" w14:textId="262ACDF7" w:rsidR="007D1947" w:rsidRDefault="00BE6023">
                                    <w:pPr>
                                      <w:pStyle w:val="NoSpacing"/>
                                      <w:spacing w:after="40"/>
                                      <w:jc w:val="center"/>
                                      <w:rPr>
                                        <w:caps/>
                                        <w:color w:val="5B9BD5" w:themeColor="accent1"/>
                                        <w:sz w:val="28"/>
                                        <w:szCs w:val="28"/>
                                      </w:rPr>
                                    </w:pPr>
                                    <w:r>
                                      <w:rPr>
                                        <w:caps/>
                                        <w:color w:val="5B9BD5" w:themeColor="accent1"/>
                                        <w:sz w:val="28"/>
                                        <w:szCs w:val="28"/>
                                      </w:rPr>
                                      <w:t>May 10, 2026</w:t>
                                    </w:r>
                                  </w:p>
                                </w:sdtContent>
                              </w:sdt>
                              <w:p w14:paraId="69E98CB3" w14:textId="77777777" w:rsidR="007D1947"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5-10T00:00:00Z">
                              <w:dateFormat w:val="MMMM d, yyyy"/>
                              <w:lid w:val="en-US"/>
                              <w:storeMappedDataAs w:val="dateTime"/>
                              <w:calendar w:val="gregorian"/>
                            </w:date>
                          </w:sdtPr>
                          <w:sdtContent>
                            <w:p w14:paraId="52BAF8D9" w14:textId="262ACDF7" w:rsidR="007D1947" w:rsidRDefault="00BE6023">
                              <w:pPr>
                                <w:pStyle w:val="NoSpacing"/>
                                <w:spacing w:after="40"/>
                                <w:jc w:val="center"/>
                                <w:rPr>
                                  <w:caps/>
                                  <w:color w:val="5B9BD5" w:themeColor="accent1"/>
                                  <w:sz w:val="28"/>
                                  <w:szCs w:val="28"/>
                                </w:rPr>
                              </w:pPr>
                              <w:r>
                                <w:rPr>
                                  <w:caps/>
                                  <w:color w:val="5B9BD5" w:themeColor="accent1"/>
                                  <w:sz w:val="28"/>
                                  <w:szCs w:val="28"/>
                                </w:rPr>
                                <w:t>May 10, 2026</w:t>
                              </w:r>
                            </w:p>
                          </w:sdtContent>
                        </w:sdt>
                        <w:p w14:paraId="69E98CB3" w14:textId="77777777" w:rsidR="007D1947"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7403F73" w14:textId="28FCB303" w:rsidR="006F7EAB" w:rsidRPr="006F7EAB" w:rsidRDefault="006F7EAB" w:rsidP="006F7EAB">
          <w:pPr>
            <w:pStyle w:val="NoSpacing"/>
            <w:spacing w:before="480"/>
            <w:jc w:val="center"/>
            <w:rPr>
              <w:b/>
              <w:bCs/>
              <w:color w:val="5B9BD5" w:themeColor="accent1"/>
              <w:sz w:val="28"/>
              <w:szCs w:val="28"/>
            </w:rPr>
          </w:pPr>
          <w:r w:rsidRPr="006F7EAB">
            <w:rPr>
              <w:b/>
              <w:bCs/>
              <w:color w:val="5B9BD5" w:themeColor="accent1"/>
              <w:sz w:val="28"/>
              <w:szCs w:val="28"/>
            </w:rPr>
            <w:t>2</w:t>
          </w:r>
          <w:r w:rsidR="002B251F">
            <w:rPr>
              <w:b/>
              <w:bCs/>
              <w:color w:val="5B9BD5" w:themeColor="accent1"/>
              <w:sz w:val="28"/>
              <w:szCs w:val="28"/>
            </w:rPr>
            <w:t>7</w:t>
          </w:r>
          <w:r w:rsidR="006A7447">
            <w:rPr>
              <w:b/>
              <w:bCs/>
              <w:color w:val="5B9BD5" w:themeColor="accent1"/>
              <w:sz w:val="28"/>
              <w:szCs w:val="28"/>
            </w:rPr>
            <w:t>28</w:t>
          </w:r>
          <w:r w:rsidRPr="006F7EAB">
            <w:rPr>
              <w:b/>
              <w:bCs/>
              <w:color w:val="5B9BD5" w:themeColor="accent1"/>
              <w:sz w:val="28"/>
              <w:szCs w:val="28"/>
            </w:rPr>
            <w:t xml:space="preserve"> Words  </w:t>
          </w:r>
        </w:p>
        <w:p w14:paraId="16279307" w14:textId="77777777" w:rsidR="006F7EAB" w:rsidRDefault="006F7EAB">
          <w:pPr>
            <w:pStyle w:val="NoSpacing"/>
            <w:spacing w:before="480"/>
            <w:jc w:val="center"/>
            <w:rPr>
              <w:color w:val="5B9BD5" w:themeColor="accent1"/>
            </w:rPr>
          </w:pPr>
        </w:p>
        <w:p w14:paraId="27596F13" w14:textId="77777777" w:rsidR="006F7EAB" w:rsidRDefault="006F7EAB">
          <w:pPr>
            <w:pStyle w:val="NoSpacing"/>
            <w:spacing w:before="480"/>
            <w:jc w:val="center"/>
            <w:rPr>
              <w:color w:val="5B9BD5" w:themeColor="accent1"/>
            </w:rPr>
          </w:pPr>
        </w:p>
        <w:p w14:paraId="5A15F22B" w14:textId="77777777" w:rsidR="006F7EAB" w:rsidRDefault="006F7EAB">
          <w:pPr>
            <w:pStyle w:val="NoSpacing"/>
            <w:spacing w:before="480"/>
            <w:jc w:val="center"/>
            <w:rPr>
              <w:color w:val="5B9BD5" w:themeColor="accent1"/>
            </w:rPr>
          </w:pPr>
        </w:p>
        <w:p w14:paraId="4BEE189D" w14:textId="77777777" w:rsidR="006F7EAB" w:rsidRDefault="006F7EAB">
          <w:pPr>
            <w:pStyle w:val="NoSpacing"/>
            <w:spacing w:before="480"/>
            <w:jc w:val="center"/>
            <w:rPr>
              <w:color w:val="5B9BD5" w:themeColor="accent1"/>
            </w:rPr>
          </w:pPr>
        </w:p>
        <w:p w14:paraId="2E9E14E6" w14:textId="77777777" w:rsidR="006F7EAB" w:rsidRDefault="006F7EAB">
          <w:pPr>
            <w:pStyle w:val="NoSpacing"/>
            <w:spacing w:before="480"/>
            <w:jc w:val="center"/>
            <w:rPr>
              <w:color w:val="5B9BD5" w:themeColor="accent1"/>
            </w:rPr>
          </w:pPr>
        </w:p>
        <w:p w14:paraId="078A531F" w14:textId="77777777" w:rsidR="007D1947" w:rsidRPr="003D4B8A" w:rsidRDefault="007D1947" w:rsidP="003D4B8A">
          <w:pPr>
            <w:rPr>
              <w:rFonts w:ascii="Calibri Light" w:hAnsi="Calibri Light" w:cs="Calibri Light"/>
              <w:b/>
              <w:bCs/>
              <w:color w:val="5B9BD5" w:themeColor="accent1"/>
              <w:sz w:val="32"/>
              <w:szCs w:val="32"/>
            </w:rPr>
          </w:pPr>
          <w:r w:rsidRPr="003D4B8A">
            <w:rPr>
              <w:rFonts w:ascii="Calibri Light" w:hAnsi="Calibri Light" w:cs="Calibri Light"/>
              <w:b/>
              <w:bCs/>
              <w:color w:val="5B9BD5" w:themeColor="accent1"/>
              <w:sz w:val="32"/>
              <w:szCs w:val="32"/>
            </w:rPr>
            <w:br w:type="page"/>
          </w:r>
          <w:r w:rsidRPr="003D4B8A">
            <w:rPr>
              <w:rFonts w:ascii="Calibri Light" w:hAnsi="Calibri Light" w:cs="Calibri Light"/>
              <w:b/>
              <w:bCs/>
              <w:color w:val="5B9BD5" w:themeColor="accent1"/>
              <w:sz w:val="32"/>
              <w:szCs w:val="32"/>
            </w:rPr>
            <w:lastRenderedPageBreak/>
            <w:t>Executive Summary</w:t>
          </w:r>
        </w:p>
        <w:p w14:paraId="194C9EEF" w14:textId="77777777" w:rsidR="008B74DB" w:rsidRDefault="008B74DB" w:rsidP="008B74DB">
          <w:pPr>
            <w:rPr>
              <w:rFonts w:ascii="Arial" w:hAnsi="Arial" w:cs="Arial"/>
              <w:color w:val="222222"/>
              <w:shd w:val="clear" w:color="auto" w:fill="FFFFFF"/>
            </w:rPr>
          </w:pPr>
        </w:p>
        <w:p w14:paraId="65EE422E" w14:textId="1CF26487" w:rsidR="006B5D5E" w:rsidRPr="006B5D5E" w:rsidRDefault="006B5D5E" w:rsidP="006B5D5E">
          <w:pPr>
            <w:rPr>
              <w:rFonts w:cstheme="minorHAnsi"/>
            </w:rPr>
          </w:pPr>
          <w:r w:rsidRPr="006B5D5E">
            <w:rPr>
              <w:rFonts w:cstheme="minorHAnsi"/>
            </w:rPr>
            <w:t>This report looks at the significant organisational changes undertaken by TATA Steel at Port Talbot Steelworks. It focuses on the shift from the traditional blast furnace operations into the ongoing installation of a new electric arc furnace (EAF). The change will be evaluated using a variety of models and theories, including Lewin's Force Field Analysis Model, Lewin's Three-Step Change Model, and Mullins' Motivation Theory.</w:t>
          </w:r>
        </w:p>
        <w:p w14:paraId="116C8FED" w14:textId="1947B5DA" w:rsidR="006B5D5E" w:rsidRPr="006B5D5E" w:rsidRDefault="006B5D5E" w:rsidP="006B5D5E">
          <w:pPr>
            <w:rPr>
              <w:rFonts w:cstheme="minorHAnsi"/>
            </w:rPr>
          </w:pPr>
          <w:r w:rsidRPr="006B5D5E">
            <w:rPr>
              <w:rFonts w:cstheme="minorHAnsi"/>
            </w:rPr>
            <w:t>The major transition represented a massive restructure in the UK steel sector. The decision was driven by environmental pressures, operational costs, and strategic priorities for decarbonisation. The closure of blast furnace 4 in 2024 marked the end of over a century of steelmaking in Port Talbot and brought with it a substantial amount of workforce reduction. Despite government funding, community initiatives and support mechanisms, several challenges still emerge in the process. The challenges include inconsistent communication, uncertainty, a skill mismatch, and low engagement with retraining programs.</w:t>
          </w:r>
        </w:p>
        <w:p w14:paraId="0EAD00A7" w14:textId="37CA2B64" w:rsidR="00062E03" w:rsidRDefault="006B5D5E">
          <w:pPr>
            <w:rPr>
              <w:rFonts w:cstheme="minorHAnsi"/>
            </w:rPr>
          </w:pPr>
          <w:r w:rsidRPr="006B5D5E">
            <w:rPr>
              <w:rFonts w:cstheme="minorHAnsi"/>
            </w:rPr>
            <w:t>Although some good practices were applied, such as enhanced redundancy packages and government-industry collaboration, there were clear shortcomings in communication strategies, employee motivations and change management planning. This report will show that although TATA Steel's transformation supports long-term sustainability, more effective communication and workforce planning would have improved the transition.</w:t>
          </w:r>
        </w:p>
        <w:p w14:paraId="61EF75EA" w14:textId="77777777" w:rsidR="00062E03" w:rsidRDefault="00062E03">
          <w:pPr>
            <w:rPr>
              <w:rFonts w:cstheme="minorHAnsi"/>
            </w:rPr>
          </w:pPr>
          <w:r>
            <w:rPr>
              <w:rFonts w:cstheme="minorHAnsi"/>
            </w:rPr>
            <w:br w:type="page"/>
          </w:r>
        </w:p>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1DFECD67" w14:textId="77777777" w:rsidR="007D1947" w:rsidRDefault="007D1947">
              <w:pPr>
                <w:pStyle w:val="TOCHeading"/>
              </w:pPr>
              <w:r>
                <w:t>Table of Contents</w:t>
              </w:r>
            </w:p>
            <w:p w14:paraId="6CD639F8" w14:textId="5FE12AF9" w:rsidR="005C3BCA" w:rsidRDefault="007D1947">
              <w:pPr>
                <w:pStyle w:val="TOC1"/>
                <w:rPr>
                  <w:rFonts w:eastAsiaTheme="minorEastAsia"/>
                  <w:kern w:val="2"/>
                  <w:sz w:val="24"/>
                  <w:szCs w:val="24"/>
                  <w:lang w:eastAsia="en-GB"/>
                  <w14:ligatures w14:val="standardContextual"/>
                </w:rPr>
              </w:pPr>
              <w:r>
                <w:rPr>
                  <w:noProof w:val="0"/>
                </w:rPr>
                <w:fldChar w:fldCharType="begin"/>
              </w:r>
              <w:r>
                <w:instrText xml:space="preserve"> TOC \o "1-3" \h \z \u </w:instrText>
              </w:r>
              <w:r>
                <w:rPr>
                  <w:noProof w:val="0"/>
                </w:rPr>
                <w:fldChar w:fldCharType="separate"/>
              </w:r>
              <w:hyperlink w:anchor="_Toc229309093" w:history="1">
                <w:r w:rsidR="005C3BCA" w:rsidRPr="00DE43A0">
                  <w:rPr>
                    <w:rStyle w:val="Hyperlink"/>
                  </w:rPr>
                  <w:t>Table of Figures</w:t>
                </w:r>
                <w:r w:rsidR="005C3BCA">
                  <w:rPr>
                    <w:webHidden/>
                  </w:rPr>
                  <w:tab/>
                </w:r>
                <w:r w:rsidR="005C3BCA">
                  <w:rPr>
                    <w:webHidden/>
                  </w:rPr>
                  <w:fldChar w:fldCharType="begin"/>
                </w:r>
                <w:r w:rsidR="005C3BCA">
                  <w:rPr>
                    <w:webHidden/>
                  </w:rPr>
                  <w:instrText xml:space="preserve"> PAGEREF _Toc229309093 \h </w:instrText>
                </w:r>
                <w:r w:rsidR="005C3BCA">
                  <w:rPr>
                    <w:webHidden/>
                  </w:rPr>
                </w:r>
                <w:r w:rsidR="005C3BCA">
                  <w:rPr>
                    <w:webHidden/>
                  </w:rPr>
                  <w:fldChar w:fldCharType="separate"/>
                </w:r>
                <w:r w:rsidR="005C3BCA">
                  <w:rPr>
                    <w:webHidden/>
                  </w:rPr>
                  <w:t>2</w:t>
                </w:r>
                <w:r w:rsidR="005C3BCA">
                  <w:rPr>
                    <w:webHidden/>
                  </w:rPr>
                  <w:fldChar w:fldCharType="end"/>
                </w:r>
              </w:hyperlink>
            </w:p>
            <w:p w14:paraId="717ACC30" w14:textId="49DA9FF4" w:rsidR="005C3BCA" w:rsidRDefault="005C3BCA">
              <w:pPr>
                <w:pStyle w:val="TOC1"/>
                <w:rPr>
                  <w:rFonts w:eastAsiaTheme="minorEastAsia"/>
                  <w:kern w:val="2"/>
                  <w:sz w:val="24"/>
                  <w:szCs w:val="24"/>
                  <w:lang w:eastAsia="en-GB"/>
                  <w14:ligatures w14:val="standardContextual"/>
                </w:rPr>
              </w:pPr>
              <w:hyperlink w:anchor="_Toc229309094" w:history="1">
                <w:r w:rsidRPr="00DE43A0">
                  <w:rPr>
                    <w:rStyle w:val="Hyperlink"/>
                  </w:rPr>
                  <w:t>1.Introduction</w:t>
                </w:r>
                <w:r>
                  <w:rPr>
                    <w:webHidden/>
                  </w:rPr>
                  <w:tab/>
                </w:r>
                <w:r>
                  <w:rPr>
                    <w:webHidden/>
                  </w:rPr>
                  <w:fldChar w:fldCharType="begin"/>
                </w:r>
                <w:r>
                  <w:rPr>
                    <w:webHidden/>
                  </w:rPr>
                  <w:instrText xml:space="preserve"> PAGEREF _Toc229309094 \h </w:instrText>
                </w:r>
                <w:r>
                  <w:rPr>
                    <w:webHidden/>
                  </w:rPr>
                </w:r>
                <w:r>
                  <w:rPr>
                    <w:webHidden/>
                  </w:rPr>
                  <w:fldChar w:fldCharType="separate"/>
                </w:r>
                <w:r>
                  <w:rPr>
                    <w:webHidden/>
                  </w:rPr>
                  <w:t>3</w:t>
                </w:r>
                <w:r>
                  <w:rPr>
                    <w:webHidden/>
                  </w:rPr>
                  <w:fldChar w:fldCharType="end"/>
                </w:r>
              </w:hyperlink>
            </w:p>
            <w:p w14:paraId="0EF83943" w14:textId="5482B441" w:rsidR="005C3BCA" w:rsidRDefault="005C3BCA">
              <w:pPr>
                <w:pStyle w:val="TOC1"/>
                <w:rPr>
                  <w:rFonts w:eastAsiaTheme="minorEastAsia"/>
                  <w:kern w:val="2"/>
                  <w:sz w:val="24"/>
                  <w:szCs w:val="24"/>
                  <w:lang w:eastAsia="en-GB"/>
                  <w14:ligatures w14:val="standardContextual"/>
                </w:rPr>
              </w:pPr>
              <w:hyperlink w:anchor="_Toc229309095" w:history="1">
                <w:r w:rsidRPr="00DE43A0">
                  <w:rPr>
                    <w:rStyle w:val="Hyperlink"/>
                  </w:rPr>
                  <w:t>2 Main Findings</w:t>
                </w:r>
                <w:r>
                  <w:rPr>
                    <w:webHidden/>
                  </w:rPr>
                  <w:tab/>
                </w:r>
                <w:r>
                  <w:rPr>
                    <w:webHidden/>
                  </w:rPr>
                  <w:fldChar w:fldCharType="begin"/>
                </w:r>
                <w:r>
                  <w:rPr>
                    <w:webHidden/>
                  </w:rPr>
                  <w:instrText xml:space="preserve"> PAGEREF _Toc229309095 \h </w:instrText>
                </w:r>
                <w:r>
                  <w:rPr>
                    <w:webHidden/>
                  </w:rPr>
                </w:r>
                <w:r>
                  <w:rPr>
                    <w:webHidden/>
                  </w:rPr>
                  <w:fldChar w:fldCharType="separate"/>
                </w:r>
                <w:r>
                  <w:rPr>
                    <w:webHidden/>
                  </w:rPr>
                  <w:t>4</w:t>
                </w:r>
                <w:r>
                  <w:rPr>
                    <w:webHidden/>
                  </w:rPr>
                  <w:fldChar w:fldCharType="end"/>
                </w:r>
              </w:hyperlink>
            </w:p>
            <w:p w14:paraId="63B98180" w14:textId="74290CD3" w:rsidR="005C3BCA" w:rsidRDefault="005C3BCA">
              <w:pPr>
                <w:pStyle w:val="TOC2"/>
                <w:tabs>
                  <w:tab w:val="right" w:leader="dot" w:pos="9016"/>
                </w:tabs>
                <w:rPr>
                  <w:rFonts w:eastAsiaTheme="minorEastAsia"/>
                  <w:noProof/>
                  <w:kern w:val="2"/>
                  <w:sz w:val="24"/>
                  <w:szCs w:val="24"/>
                  <w:lang w:eastAsia="en-GB"/>
                  <w14:ligatures w14:val="standardContextual"/>
                </w:rPr>
              </w:pPr>
              <w:hyperlink w:anchor="_Toc229309096" w:history="1">
                <w:r w:rsidRPr="00DE43A0">
                  <w:rPr>
                    <w:rStyle w:val="Hyperlink"/>
                    <w:noProof/>
                  </w:rPr>
                  <w:t>2.3 Lewin’s Forcefield Analysis</w:t>
                </w:r>
                <w:r>
                  <w:rPr>
                    <w:noProof/>
                    <w:webHidden/>
                  </w:rPr>
                  <w:tab/>
                </w:r>
                <w:r>
                  <w:rPr>
                    <w:noProof/>
                    <w:webHidden/>
                  </w:rPr>
                  <w:fldChar w:fldCharType="begin"/>
                </w:r>
                <w:r>
                  <w:rPr>
                    <w:noProof/>
                    <w:webHidden/>
                  </w:rPr>
                  <w:instrText xml:space="preserve"> PAGEREF _Toc229309096 \h </w:instrText>
                </w:r>
                <w:r>
                  <w:rPr>
                    <w:noProof/>
                    <w:webHidden/>
                  </w:rPr>
                </w:r>
                <w:r>
                  <w:rPr>
                    <w:noProof/>
                    <w:webHidden/>
                  </w:rPr>
                  <w:fldChar w:fldCharType="separate"/>
                </w:r>
                <w:r>
                  <w:rPr>
                    <w:noProof/>
                    <w:webHidden/>
                  </w:rPr>
                  <w:t>4</w:t>
                </w:r>
                <w:r>
                  <w:rPr>
                    <w:noProof/>
                    <w:webHidden/>
                  </w:rPr>
                  <w:fldChar w:fldCharType="end"/>
                </w:r>
              </w:hyperlink>
            </w:p>
            <w:p w14:paraId="5EA9F440" w14:textId="0E5B076A" w:rsidR="005C3BCA" w:rsidRDefault="005C3BCA">
              <w:pPr>
                <w:pStyle w:val="TOC2"/>
                <w:tabs>
                  <w:tab w:val="right" w:leader="dot" w:pos="9016"/>
                </w:tabs>
                <w:rPr>
                  <w:rFonts w:eastAsiaTheme="minorEastAsia"/>
                  <w:noProof/>
                  <w:kern w:val="2"/>
                  <w:sz w:val="24"/>
                  <w:szCs w:val="24"/>
                  <w:lang w:eastAsia="en-GB"/>
                  <w14:ligatures w14:val="standardContextual"/>
                </w:rPr>
              </w:pPr>
              <w:hyperlink w:anchor="_Toc229309097" w:history="1">
                <w:r w:rsidRPr="00DE43A0">
                  <w:rPr>
                    <w:rStyle w:val="Hyperlink"/>
                    <w:noProof/>
                  </w:rPr>
                  <w:t>2.4 Lewin’s Three-Step Change Model</w:t>
                </w:r>
                <w:r>
                  <w:rPr>
                    <w:noProof/>
                    <w:webHidden/>
                  </w:rPr>
                  <w:tab/>
                </w:r>
                <w:r>
                  <w:rPr>
                    <w:noProof/>
                    <w:webHidden/>
                  </w:rPr>
                  <w:fldChar w:fldCharType="begin"/>
                </w:r>
                <w:r>
                  <w:rPr>
                    <w:noProof/>
                    <w:webHidden/>
                  </w:rPr>
                  <w:instrText xml:space="preserve"> PAGEREF _Toc229309097 \h </w:instrText>
                </w:r>
                <w:r>
                  <w:rPr>
                    <w:noProof/>
                    <w:webHidden/>
                  </w:rPr>
                </w:r>
                <w:r>
                  <w:rPr>
                    <w:noProof/>
                    <w:webHidden/>
                  </w:rPr>
                  <w:fldChar w:fldCharType="separate"/>
                </w:r>
                <w:r>
                  <w:rPr>
                    <w:noProof/>
                    <w:webHidden/>
                  </w:rPr>
                  <w:t>6</w:t>
                </w:r>
                <w:r>
                  <w:rPr>
                    <w:noProof/>
                    <w:webHidden/>
                  </w:rPr>
                  <w:fldChar w:fldCharType="end"/>
                </w:r>
              </w:hyperlink>
            </w:p>
            <w:p w14:paraId="390C128B" w14:textId="6689C761" w:rsidR="005C3BCA" w:rsidRDefault="005C3BCA">
              <w:pPr>
                <w:pStyle w:val="TOC2"/>
                <w:tabs>
                  <w:tab w:val="right" w:leader="dot" w:pos="9016"/>
                </w:tabs>
                <w:rPr>
                  <w:rFonts w:eastAsiaTheme="minorEastAsia"/>
                  <w:noProof/>
                  <w:kern w:val="2"/>
                  <w:sz w:val="24"/>
                  <w:szCs w:val="24"/>
                  <w:lang w:eastAsia="en-GB"/>
                  <w14:ligatures w14:val="standardContextual"/>
                </w:rPr>
              </w:pPr>
              <w:hyperlink w:anchor="_Toc229309098" w:history="1">
                <w:r w:rsidRPr="00DE43A0">
                  <w:rPr>
                    <w:rStyle w:val="Hyperlink"/>
                    <w:noProof/>
                  </w:rPr>
                  <w:t>2.5 Motivation and workforce impact</w:t>
                </w:r>
                <w:r>
                  <w:rPr>
                    <w:noProof/>
                    <w:webHidden/>
                  </w:rPr>
                  <w:tab/>
                </w:r>
                <w:r>
                  <w:rPr>
                    <w:noProof/>
                    <w:webHidden/>
                  </w:rPr>
                  <w:fldChar w:fldCharType="begin"/>
                </w:r>
                <w:r>
                  <w:rPr>
                    <w:noProof/>
                    <w:webHidden/>
                  </w:rPr>
                  <w:instrText xml:space="preserve"> PAGEREF _Toc229309098 \h </w:instrText>
                </w:r>
                <w:r>
                  <w:rPr>
                    <w:noProof/>
                    <w:webHidden/>
                  </w:rPr>
                </w:r>
                <w:r>
                  <w:rPr>
                    <w:noProof/>
                    <w:webHidden/>
                  </w:rPr>
                  <w:fldChar w:fldCharType="separate"/>
                </w:r>
                <w:r>
                  <w:rPr>
                    <w:noProof/>
                    <w:webHidden/>
                  </w:rPr>
                  <w:t>7</w:t>
                </w:r>
                <w:r>
                  <w:rPr>
                    <w:noProof/>
                    <w:webHidden/>
                  </w:rPr>
                  <w:fldChar w:fldCharType="end"/>
                </w:r>
              </w:hyperlink>
            </w:p>
            <w:p w14:paraId="1F30296D" w14:textId="3AA44638" w:rsidR="005C3BCA" w:rsidRDefault="005C3BCA">
              <w:pPr>
                <w:pStyle w:val="TOC2"/>
                <w:tabs>
                  <w:tab w:val="right" w:leader="dot" w:pos="9016"/>
                </w:tabs>
                <w:rPr>
                  <w:rFonts w:eastAsiaTheme="minorEastAsia"/>
                  <w:noProof/>
                  <w:kern w:val="2"/>
                  <w:sz w:val="24"/>
                  <w:szCs w:val="24"/>
                  <w:lang w:eastAsia="en-GB"/>
                  <w14:ligatures w14:val="standardContextual"/>
                </w:rPr>
              </w:pPr>
              <w:hyperlink w:anchor="_Toc229309099" w:history="1">
                <w:r w:rsidRPr="00DE43A0">
                  <w:rPr>
                    <w:rStyle w:val="Hyperlink"/>
                    <w:noProof/>
                  </w:rPr>
                  <w:t>2.6 Good Practice Identified</w:t>
                </w:r>
                <w:r>
                  <w:rPr>
                    <w:noProof/>
                    <w:webHidden/>
                  </w:rPr>
                  <w:tab/>
                </w:r>
                <w:r>
                  <w:rPr>
                    <w:noProof/>
                    <w:webHidden/>
                  </w:rPr>
                  <w:fldChar w:fldCharType="begin"/>
                </w:r>
                <w:r>
                  <w:rPr>
                    <w:noProof/>
                    <w:webHidden/>
                  </w:rPr>
                  <w:instrText xml:space="preserve"> PAGEREF _Toc229309099 \h </w:instrText>
                </w:r>
                <w:r>
                  <w:rPr>
                    <w:noProof/>
                    <w:webHidden/>
                  </w:rPr>
                </w:r>
                <w:r>
                  <w:rPr>
                    <w:noProof/>
                    <w:webHidden/>
                  </w:rPr>
                  <w:fldChar w:fldCharType="separate"/>
                </w:r>
                <w:r>
                  <w:rPr>
                    <w:noProof/>
                    <w:webHidden/>
                  </w:rPr>
                  <w:t>7</w:t>
                </w:r>
                <w:r>
                  <w:rPr>
                    <w:noProof/>
                    <w:webHidden/>
                  </w:rPr>
                  <w:fldChar w:fldCharType="end"/>
                </w:r>
              </w:hyperlink>
            </w:p>
            <w:p w14:paraId="15B206A7" w14:textId="2491854B" w:rsidR="005C3BCA" w:rsidRDefault="005C3BCA">
              <w:pPr>
                <w:pStyle w:val="TOC2"/>
                <w:tabs>
                  <w:tab w:val="right" w:leader="dot" w:pos="9016"/>
                </w:tabs>
                <w:rPr>
                  <w:rFonts w:eastAsiaTheme="minorEastAsia"/>
                  <w:noProof/>
                  <w:kern w:val="2"/>
                  <w:sz w:val="24"/>
                  <w:szCs w:val="24"/>
                  <w:lang w:eastAsia="en-GB"/>
                  <w14:ligatures w14:val="standardContextual"/>
                </w:rPr>
              </w:pPr>
              <w:hyperlink w:anchor="_Toc229309100" w:history="1">
                <w:r w:rsidRPr="00DE43A0">
                  <w:rPr>
                    <w:rStyle w:val="Hyperlink"/>
                    <w:noProof/>
                  </w:rPr>
                  <w:t>2.7 Areas for Improvement</w:t>
                </w:r>
                <w:r>
                  <w:rPr>
                    <w:noProof/>
                    <w:webHidden/>
                  </w:rPr>
                  <w:tab/>
                </w:r>
                <w:r>
                  <w:rPr>
                    <w:noProof/>
                    <w:webHidden/>
                  </w:rPr>
                  <w:fldChar w:fldCharType="begin"/>
                </w:r>
                <w:r>
                  <w:rPr>
                    <w:noProof/>
                    <w:webHidden/>
                  </w:rPr>
                  <w:instrText xml:space="preserve"> PAGEREF _Toc229309100 \h </w:instrText>
                </w:r>
                <w:r>
                  <w:rPr>
                    <w:noProof/>
                    <w:webHidden/>
                  </w:rPr>
                </w:r>
                <w:r>
                  <w:rPr>
                    <w:noProof/>
                    <w:webHidden/>
                  </w:rPr>
                  <w:fldChar w:fldCharType="separate"/>
                </w:r>
                <w:r>
                  <w:rPr>
                    <w:noProof/>
                    <w:webHidden/>
                  </w:rPr>
                  <w:t>8</w:t>
                </w:r>
                <w:r>
                  <w:rPr>
                    <w:noProof/>
                    <w:webHidden/>
                  </w:rPr>
                  <w:fldChar w:fldCharType="end"/>
                </w:r>
              </w:hyperlink>
            </w:p>
            <w:p w14:paraId="69B5F627" w14:textId="6345ECD9" w:rsidR="005C3BCA" w:rsidRDefault="005C3BCA">
              <w:pPr>
                <w:pStyle w:val="TOC1"/>
                <w:rPr>
                  <w:rFonts w:eastAsiaTheme="minorEastAsia"/>
                  <w:kern w:val="2"/>
                  <w:sz w:val="24"/>
                  <w:szCs w:val="24"/>
                  <w:lang w:eastAsia="en-GB"/>
                  <w14:ligatures w14:val="standardContextual"/>
                </w:rPr>
              </w:pPr>
              <w:hyperlink w:anchor="_Toc229309101" w:history="1">
                <w:r w:rsidRPr="00DE43A0">
                  <w:rPr>
                    <w:rStyle w:val="Hyperlink"/>
                  </w:rPr>
                  <w:t>3. Conclusion</w:t>
                </w:r>
                <w:r>
                  <w:rPr>
                    <w:webHidden/>
                  </w:rPr>
                  <w:tab/>
                </w:r>
                <w:r>
                  <w:rPr>
                    <w:webHidden/>
                  </w:rPr>
                  <w:fldChar w:fldCharType="begin"/>
                </w:r>
                <w:r>
                  <w:rPr>
                    <w:webHidden/>
                  </w:rPr>
                  <w:instrText xml:space="preserve"> PAGEREF _Toc229309101 \h </w:instrText>
                </w:r>
                <w:r>
                  <w:rPr>
                    <w:webHidden/>
                  </w:rPr>
                </w:r>
                <w:r>
                  <w:rPr>
                    <w:webHidden/>
                  </w:rPr>
                  <w:fldChar w:fldCharType="separate"/>
                </w:r>
                <w:r>
                  <w:rPr>
                    <w:webHidden/>
                  </w:rPr>
                  <w:t>9</w:t>
                </w:r>
                <w:r>
                  <w:rPr>
                    <w:webHidden/>
                  </w:rPr>
                  <w:fldChar w:fldCharType="end"/>
                </w:r>
              </w:hyperlink>
            </w:p>
            <w:p w14:paraId="04B12CEF" w14:textId="5ED16676" w:rsidR="005C3BCA" w:rsidRDefault="005C3BCA">
              <w:pPr>
                <w:pStyle w:val="TOC1"/>
                <w:rPr>
                  <w:rFonts w:eastAsiaTheme="minorEastAsia"/>
                  <w:kern w:val="2"/>
                  <w:sz w:val="24"/>
                  <w:szCs w:val="24"/>
                  <w:lang w:eastAsia="en-GB"/>
                  <w14:ligatures w14:val="standardContextual"/>
                </w:rPr>
              </w:pPr>
              <w:hyperlink w:anchor="_Toc229309102" w:history="1">
                <w:r w:rsidRPr="00DE43A0">
                  <w:rPr>
                    <w:rStyle w:val="Hyperlink"/>
                  </w:rPr>
                  <w:t>4 References</w:t>
                </w:r>
                <w:r>
                  <w:rPr>
                    <w:webHidden/>
                  </w:rPr>
                  <w:tab/>
                </w:r>
                <w:r>
                  <w:rPr>
                    <w:webHidden/>
                  </w:rPr>
                  <w:fldChar w:fldCharType="begin"/>
                </w:r>
                <w:r>
                  <w:rPr>
                    <w:webHidden/>
                  </w:rPr>
                  <w:instrText xml:space="preserve"> PAGEREF _Toc229309102 \h </w:instrText>
                </w:r>
                <w:r>
                  <w:rPr>
                    <w:webHidden/>
                  </w:rPr>
                </w:r>
                <w:r>
                  <w:rPr>
                    <w:webHidden/>
                  </w:rPr>
                  <w:fldChar w:fldCharType="separate"/>
                </w:r>
                <w:r>
                  <w:rPr>
                    <w:webHidden/>
                  </w:rPr>
                  <w:t>10</w:t>
                </w:r>
                <w:r>
                  <w:rPr>
                    <w:webHidden/>
                  </w:rPr>
                  <w:fldChar w:fldCharType="end"/>
                </w:r>
              </w:hyperlink>
            </w:p>
            <w:p w14:paraId="21D0F861" w14:textId="1C157C7B" w:rsidR="007D1947" w:rsidRDefault="007D1947">
              <w:r>
                <w:rPr>
                  <w:b/>
                  <w:bCs/>
                  <w:noProof/>
                </w:rPr>
                <w:fldChar w:fldCharType="end"/>
              </w:r>
            </w:p>
          </w:sdtContent>
        </w:sdt>
        <w:p w14:paraId="6E07DB05" w14:textId="55BF7B70" w:rsidR="00383B35" w:rsidRDefault="00383B35" w:rsidP="00383B35">
          <w:pPr>
            <w:pStyle w:val="Heading1"/>
          </w:pPr>
          <w:bookmarkStart w:id="0" w:name="_Toc229309093"/>
          <w:r>
            <w:t>Table of Figures</w:t>
          </w:r>
          <w:bookmarkEnd w:id="0"/>
        </w:p>
        <w:p w14:paraId="6FDD7A37" w14:textId="111EFF9F" w:rsidR="005C3BCA" w:rsidRDefault="002E40A6">
          <w:pPr>
            <w:pStyle w:val="TableofFigures"/>
            <w:tabs>
              <w:tab w:val="right" w:leader="dot" w:pos="9016"/>
            </w:tabs>
            <w:rPr>
              <w:rFonts w:eastAsiaTheme="minorEastAsia"/>
              <w:noProof/>
              <w:kern w:val="2"/>
              <w:sz w:val="24"/>
              <w:szCs w:val="24"/>
              <w:lang w:eastAsia="en-GB"/>
              <w14:ligatures w14:val="standardContextual"/>
            </w:rPr>
          </w:pPr>
          <w:r>
            <w:fldChar w:fldCharType="begin"/>
          </w:r>
          <w:r>
            <w:instrText xml:space="preserve"> TOC \h \z \c "Figure" </w:instrText>
          </w:r>
          <w:r>
            <w:fldChar w:fldCharType="separate"/>
          </w:r>
          <w:hyperlink w:anchor="_Toc229309091" w:history="1">
            <w:r w:rsidR="005C3BCA" w:rsidRPr="00575C93">
              <w:rPr>
                <w:rStyle w:val="Hyperlink"/>
                <w:noProof/>
              </w:rPr>
              <w:t>Figure 1 - force field analysis</w:t>
            </w:r>
            <w:r w:rsidR="005C3BCA">
              <w:rPr>
                <w:noProof/>
                <w:webHidden/>
              </w:rPr>
              <w:tab/>
            </w:r>
            <w:r w:rsidR="005C3BCA">
              <w:rPr>
                <w:noProof/>
                <w:webHidden/>
              </w:rPr>
              <w:fldChar w:fldCharType="begin"/>
            </w:r>
            <w:r w:rsidR="005C3BCA">
              <w:rPr>
                <w:noProof/>
                <w:webHidden/>
              </w:rPr>
              <w:instrText xml:space="preserve"> PAGEREF _Toc229309091 \h </w:instrText>
            </w:r>
            <w:r w:rsidR="005C3BCA">
              <w:rPr>
                <w:noProof/>
                <w:webHidden/>
              </w:rPr>
            </w:r>
            <w:r w:rsidR="005C3BCA">
              <w:rPr>
                <w:noProof/>
                <w:webHidden/>
              </w:rPr>
              <w:fldChar w:fldCharType="separate"/>
            </w:r>
            <w:r w:rsidR="005C3BCA">
              <w:rPr>
                <w:noProof/>
                <w:webHidden/>
              </w:rPr>
              <w:t>4</w:t>
            </w:r>
            <w:r w:rsidR="005C3BCA">
              <w:rPr>
                <w:noProof/>
                <w:webHidden/>
              </w:rPr>
              <w:fldChar w:fldCharType="end"/>
            </w:r>
          </w:hyperlink>
        </w:p>
        <w:p w14:paraId="5B94A814" w14:textId="1EA686AB" w:rsidR="0073705B" w:rsidRDefault="002E40A6" w:rsidP="00C87C67">
          <w:pPr>
            <w:pStyle w:val="Heading1"/>
          </w:pPr>
          <w:r>
            <w:fldChar w:fldCharType="end"/>
          </w:r>
          <w:r w:rsidR="00C87C67">
            <w:t xml:space="preserve"> </w:t>
          </w:r>
        </w:p>
        <w:p w14:paraId="36D951AC" w14:textId="2DBF5075" w:rsidR="00383B35" w:rsidRPr="00383B35" w:rsidRDefault="0073705B" w:rsidP="00383B35">
          <w:r>
            <w:br w:type="page"/>
          </w:r>
        </w:p>
        <w:p w14:paraId="0ED321E6" w14:textId="7CF29819" w:rsidR="007D1947" w:rsidRPr="00AB2BC8" w:rsidRDefault="00577528" w:rsidP="0047105F">
          <w:pPr>
            <w:pStyle w:val="Heading1"/>
          </w:pPr>
          <w:bookmarkStart w:id="1" w:name="_Toc229309094"/>
          <w:r w:rsidRPr="00AB2BC8">
            <w:lastRenderedPageBreak/>
            <w:t>1</w:t>
          </w:r>
          <w:r w:rsidR="00FC718B">
            <w:t>.</w:t>
          </w:r>
          <w:r w:rsidR="007D1947" w:rsidRPr="0047105F">
            <w:t>Introduction</w:t>
          </w:r>
          <w:bookmarkEnd w:id="1"/>
          <w:r w:rsidR="00480872" w:rsidRPr="00AB2BC8">
            <w:t xml:space="preserve"> </w:t>
          </w:r>
          <w:r w:rsidR="00E91208" w:rsidRPr="00AB2BC8">
            <w:t xml:space="preserve"> </w:t>
          </w:r>
        </w:p>
        <w:p w14:paraId="3DF2766F" w14:textId="77777777" w:rsidR="00AF435C" w:rsidRDefault="00AF435C" w:rsidP="00AF435C"/>
        <w:p w14:paraId="250F1A66" w14:textId="77777777" w:rsidR="00E736C1" w:rsidRPr="000852B4" w:rsidRDefault="00E736C1" w:rsidP="00E736C1">
          <w:pPr>
            <w:rPr>
              <w:rFonts w:cstheme="minorHAnsi"/>
            </w:rPr>
          </w:pPr>
          <w:r w:rsidRPr="000852B4">
            <w:rPr>
              <w:rFonts w:cstheme="minorHAnsi"/>
            </w:rPr>
            <w:t>Organisational change is a fundamental part of modern heavy industry, especially in sectors that experience economic, technological and environmental pressures. Within heavy industry and manufacturing, these changes can often involve very complex operational shifts and social consequences.</w:t>
          </w:r>
        </w:p>
        <w:p w14:paraId="14B56AAF" w14:textId="15190A09" w:rsidR="00D75AE0" w:rsidRDefault="00E736C1" w:rsidP="00D75AE0">
          <w:pPr>
            <w:rPr>
              <w:rFonts w:cstheme="minorHAnsi"/>
            </w:rPr>
          </w:pPr>
          <w:r w:rsidRPr="000852B4">
            <w:rPr>
              <w:rFonts w:cstheme="minorHAnsi"/>
            </w:rPr>
            <w:t>The purpose of this report is to critically examine how effectively this change was managed. It applies Lewin’s Force Field Analysis, Lewin's three-step change model and Mullins' motivation theory. The report also identifies good practices and weaknesses and proposes recommendations for managing the transition more successfully.</w:t>
          </w:r>
        </w:p>
        <w:p w14:paraId="077000B5" w14:textId="77777777" w:rsidR="00BA3559" w:rsidRPr="000852B4" w:rsidRDefault="00BA3559" w:rsidP="00D75AE0">
          <w:pPr>
            <w:rPr>
              <w:rFonts w:cstheme="minorHAnsi"/>
            </w:rPr>
          </w:pPr>
        </w:p>
        <w:p w14:paraId="3BE82633" w14:textId="77777777" w:rsidR="006D79B4" w:rsidRPr="000852B4" w:rsidRDefault="006D79B4" w:rsidP="006D79B4">
          <w:pPr>
            <w:rPr>
              <w:rFonts w:cstheme="minorHAnsi"/>
              <w:u w:val="single"/>
            </w:rPr>
          </w:pPr>
          <w:r w:rsidRPr="000852B4">
            <w:rPr>
              <w:rFonts w:cstheme="minorHAnsi"/>
              <w:b/>
              <w:bCs/>
              <w:u w:val="single"/>
            </w:rPr>
            <w:t>Background</w:t>
          </w:r>
        </w:p>
        <w:p w14:paraId="540E3E6E" w14:textId="77777777" w:rsidR="006D79B4" w:rsidRPr="000852B4" w:rsidRDefault="006D79B4" w:rsidP="006D79B4">
          <w:pPr>
            <w:rPr>
              <w:rFonts w:cstheme="minorHAnsi"/>
            </w:rPr>
          </w:pPr>
          <w:r w:rsidRPr="000852B4">
            <w:rPr>
              <w:rFonts w:cstheme="minorHAnsi"/>
              <w:b/>
              <w:bCs/>
            </w:rPr>
            <w:t>Closure of blast furnace 4</w:t>
          </w:r>
        </w:p>
        <w:p w14:paraId="417DDBE0" w14:textId="3E6B1B62" w:rsidR="006D79B4" w:rsidRPr="000852B4" w:rsidRDefault="006D79B4" w:rsidP="006D79B4">
          <w:pPr>
            <w:rPr>
              <w:rFonts w:cstheme="minorHAnsi"/>
            </w:rPr>
          </w:pPr>
          <w:r w:rsidRPr="000852B4">
            <w:rPr>
              <w:rFonts w:cstheme="minorHAnsi"/>
            </w:rPr>
            <w:t xml:space="preserve">On the 30th of September 2024, Blast Furnace 4 at Port Talbot was permanently closed, ending over a century of primary steelmaking at the site. This closure </w:t>
          </w:r>
          <w:r w:rsidR="00C00A0E">
            <w:rPr>
              <w:rFonts w:cstheme="minorHAnsi"/>
            </w:rPr>
            <w:t>was</w:t>
          </w:r>
          <w:r w:rsidRPr="000852B4">
            <w:rPr>
              <w:rFonts w:cstheme="minorHAnsi"/>
            </w:rPr>
            <w:t xml:space="preserve"> a major turning point for the </w:t>
          </w:r>
          <w:r w:rsidR="00C00A0E">
            <w:rPr>
              <w:rFonts w:cstheme="minorHAnsi"/>
            </w:rPr>
            <w:t>UK</w:t>
          </w:r>
          <w:r w:rsidRPr="000852B4">
            <w:rPr>
              <w:rFonts w:cstheme="minorHAnsi"/>
            </w:rPr>
            <w:t xml:space="preserve"> steel industry and was the </w:t>
          </w:r>
          <w:r w:rsidR="00C00A0E">
            <w:rPr>
              <w:rFonts w:cstheme="minorHAnsi"/>
            </w:rPr>
            <w:t>last</w:t>
          </w:r>
          <w:r w:rsidRPr="000852B4">
            <w:rPr>
              <w:rFonts w:cstheme="minorHAnsi"/>
            </w:rPr>
            <w:t xml:space="preserve"> step in </w:t>
          </w:r>
          <w:r w:rsidR="00C00A0E">
            <w:rPr>
              <w:rFonts w:cstheme="minorHAnsi"/>
            </w:rPr>
            <w:t>ending</w:t>
          </w:r>
          <w:r w:rsidRPr="000852B4">
            <w:rPr>
              <w:rFonts w:cstheme="minorHAnsi"/>
            </w:rPr>
            <w:t xml:space="preserve"> traditional steelmaking methods at the site</w:t>
          </w:r>
          <w:r w:rsidR="005C3EC5">
            <w:rPr>
              <w:rFonts w:cstheme="minorHAnsi"/>
            </w:rPr>
            <w:t xml:space="preserve"> </w:t>
          </w:r>
          <w:r w:rsidRPr="000852B4">
            <w:rPr>
              <w:rFonts w:cstheme="minorHAnsi"/>
              <w:highlight w:val="lightGray"/>
            </w:rPr>
            <w:t>(Frampton, 2024)</w:t>
          </w:r>
          <w:r w:rsidR="005C3EC5">
            <w:rPr>
              <w:rFonts w:cstheme="minorHAnsi"/>
            </w:rPr>
            <w:t>.</w:t>
          </w:r>
        </w:p>
        <w:p w14:paraId="1468F905" w14:textId="4FAF62B7" w:rsidR="006D79B4" w:rsidRPr="000852B4" w:rsidRDefault="006D79B4" w:rsidP="006D79B4">
          <w:pPr>
            <w:rPr>
              <w:rFonts w:cstheme="minorHAnsi"/>
            </w:rPr>
          </w:pPr>
          <w:r w:rsidRPr="000852B4">
            <w:rPr>
              <w:rFonts w:cstheme="minorHAnsi"/>
              <w:b/>
              <w:bCs/>
            </w:rPr>
            <w:t>Investment in Electric Arc Furnace Technology</w:t>
          </w:r>
        </w:p>
        <w:p w14:paraId="5CF6D450" w14:textId="44E8F3CF" w:rsidR="00E6352E" w:rsidRPr="00C926A4" w:rsidRDefault="006D79B4" w:rsidP="006D79B4">
          <w:pPr>
            <w:rPr>
              <w:rFonts w:cstheme="minorHAnsi"/>
            </w:rPr>
          </w:pPr>
          <w:r w:rsidRPr="000852B4">
            <w:rPr>
              <w:rFonts w:cstheme="minorHAnsi"/>
            </w:rPr>
            <w:t>T</w:t>
          </w:r>
          <w:r w:rsidR="00C00A0E">
            <w:rPr>
              <w:rFonts w:cstheme="minorHAnsi"/>
            </w:rPr>
            <w:t>ata</w:t>
          </w:r>
          <w:r w:rsidRPr="000852B4">
            <w:rPr>
              <w:rFonts w:cstheme="minorHAnsi"/>
            </w:rPr>
            <w:t xml:space="preserve"> then announced a £1.25 billion investment into a new Electric Arc Furnace (EAF), which was supported by £500 million in UK government funding, making it one of the largest UK steel industry investments in history. According to Tata Steel, the EAF is expected to reduce emissions by up to 5 million tonnes per year. This is equivalent to a 90% reduction compared to the blast furnace process </w:t>
          </w:r>
          <w:r w:rsidRPr="000852B4">
            <w:rPr>
              <w:rFonts w:cstheme="minorHAnsi"/>
              <w:highlight w:val="lightGray"/>
            </w:rPr>
            <w:t>(Tata Steel, 2024)</w:t>
          </w:r>
          <w:r w:rsidR="005C3EC5">
            <w:rPr>
              <w:rFonts w:cstheme="minorHAnsi"/>
            </w:rPr>
            <w:t>.</w:t>
          </w:r>
        </w:p>
        <w:p w14:paraId="3A9DFECF" w14:textId="77777777" w:rsidR="006D79B4" w:rsidRPr="006D79B4" w:rsidRDefault="006D79B4" w:rsidP="006D79B4">
          <w:r w:rsidRPr="006D79B4">
            <w:rPr>
              <w:b/>
              <w:bCs/>
            </w:rPr>
            <w:t>Workforce reductions</w:t>
          </w:r>
        </w:p>
        <w:p w14:paraId="5A45136E" w14:textId="5FDC2583" w:rsidR="006D79B4" w:rsidRPr="006D79B4" w:rsidRDefault="006D79B4" w:rsidP="006D79B4">
          <w:r w:rsidRPr="006D79B4">
            <w:t xml:space="preserve">Between September 2024 and July 2025, </w:t>
          </w:r>
          <w:proofErr w:type="gramStart"/>
          <w:r w:rsidRPr="006D79B4">
            <w:t>2162</w:t>
          </w:r>
          <w:proofErr w:type="gramEnd"/>
          <w:r w:rsidRPr="006D79B4">
            <w:t xml:space="preserve"> employees left the business after an announcement that 2800 job losses were announced as at risk across Tata Steel UK. These departures included 1332 voluntary redundancies, 120 compulsory redundancies; and 709 attrition cases </w:t>
          </w:r>
          <w:r w:rsidRPr="0061461A">
            <w:rPr>
              <w:highlight w:val="lightGray"/>
            </w:rPr>
            <w:t>(Thomas, 2024)</w:t>
          </w:r>
          <w:r w:rsidR="005C3EC5">
            <w:t>.</w:t>
          </w:r>
        </w:p>
        <w:p w14:paraId="270740B3" w14:textId="77777777" w:rsidR="006D79B4" w:rsidRPr="006D79B4" w:rsidRDefault="006D79B4" w:rsidP="006D79B4">
          <w:r w:rsidRPr="006D79B4">
            <w:rPr>
              <w:b/>
              <w:bCs/>
            </w:rPr>
            <w:t>Retraining and community support</w:t>
          </w:r>
        </w:p>
        <w:p w14:paraId="6C0A2181" w14:textId="6C053D89" w:rsidR="0073705B" w:rsidRPr="00C00A0E" w:rsidRDefault="006D79B4">
          <w:r w:rsidRPr="006D79B4">
            <w:t xml:space="preserve">Tata Steel and the UK Government funded retraining initiatives to support </w:t>
          </w:r>
          <w:r w:rsidR="00C00A0E">
            <w:t xml:space="preserve">all </w:t>
          </w:r>
          <w:r w:rsidRPr="006D79B4">
            <w:t xml:space="preserve">redundant workers transitioning into new careers. </w:t>
          </w:r>
          <w:r w:rsidR="00C00A0E">
            <w:t>T</w:t>
          </w:r>
          <w:r w:rsidRPr="006D79B4">
            <w:t xml:space="preserve">he Port Talbot transition board was </w:t>
          </w:r>
          <w:r w:rsidR="00C00A0E">
            <w:t xml:space="preserve">also </w:t>
          </w:r>
          <w:r w:rsidRPr="006D79B4">
            <w:t>given £80 million in funding from the UK government and £20 million from TATA Steel to support mental health</w:t>
          </w:r>
          <w:r w:rsidR="00C00A0E">
            <w:t xml:space="preserve"> and</w:t>
          </w:r>
          <w:r w:rsidRPr="006D79B4">
            <w:t xml:space="preserve"> job-seeking services.</w:t>
          </w:r>
          <w:r w:rsidR="0073705B">
            <w:br w:type="page"/>
          </w:r>
        </w:p>
        <w:p w14:paraId="2E293EB9" w14:textId="6691377A" w:rsidR="00480872" w:rsidRPr="00AB2BC8" w:rsidRDefault="00577528" w:rsidP="00EA270E">
          <w:pPr>
            <w:pStyle w:val="Heading1"/>
          </w:pPr>
          <w:bookmarkStart w:id="2" w:name="_Toc229309095"/>
          <w:r w:rsidRPr="00AB2BC8">
            <w:lastRenderedPageBreak/>
            <w:t xml:space="preserve">2 </w:t>
          </w:r>
          <w:r w:rsidR="00480872" w:rsidRPr="00EA270E">
            <w:t>Main</w:t>
          </w:r>
          <w:r w:rsidR="00480872" w:rsidRPr="00AB2BC8">
            <w:t xml:space="preserve"> Findings</w:t>
          </w:r>
          <w:bookmarkEnd w:id="2"/>
        </w:p>
        <w:p w14:paraId="7A155DF2" w14:textId="3E2864FD" w:rsidR="008D4C45" w:rsidRDefault="008D4C45" w:rsidP="005014C5"/>
        <w:p w14:paraId="4A9E83A3" w14:textId="384D8502" w:rsidR="0047105F" w:rsidRPr="006E0D35" w:rsidRDefault="0047105F" w:rsidP="0047105F">
          <w:pPr>
            <w:rPr>
              <w:b/>
              <w:bCs/>
              <w:u w:val="single"/>
            </w:rPr>
          </w:pPr>
          <w:r w:rsidRPr="006E0D35">
            <w:rPr>
              <w:b/>
              <w:bCs/>
              <w:u w:val="single"/>
            </w:rPr>
            <w:t>organisational change</w:t>
          </w:r>
        </w:p>
        <w:p w14:paraId="3E2CE4B9" w14:textId="77777777" w:rsidR="0047105F" w:rsidRPr="0047105F" w:rsidRDefault="0047105F" w:rsidP="0047105F">
          <w:r w:rsidRPr="0047105F">
            <w:t>Organisational change is the process in which a company would alter its structures, strategies, technologies or workforce arrangements in response to an internal/external pressure. There are many different factors that can make an organisation change its systems and procedures. Some of these include:</w:t>
          </w:r>
        </w:p>
        <w:p w14:paraId="5B4F653F" w14:textId="77777777" w:rsidR="0047105F" w:rsidRPr="0047105F" w:rsidRDefault="0047105F" w:rsidP="0047105F">
          <w:pPr>
            <w:numPr>
              <w:ilvl w:val="0"/>
              <w:numId w:val="3"/>
            </w:numPr>
          </w:pPr>
          <w:r w:rsidRPr="0047105F">
            <w:t>New leadership at the head of a company</w:t>
          </w:r>
        </w:p>
        <w:p w14:paraId="0FEC0C23" w14:textId="77777777" w:rsidR="0047105F" w:rsidRPr="0047105F" w:rsidRDefault="0047105F" w:rsidP="0047105F">
          <w:pPr>
            <w:numPr>
              <w:ilvl w:val="0"/>
              <w:numId w:val="3"/>
            </w:numPr>
          </w:pPr>
          <w:r w:rsidRPr="0047105F">
            <w:t>Shifts in organisational team structure</w:t>
          </w:r>
        </w:p>
        <w:p w14:paraId="6D9A63EB" w14:textId="77777777" w:rsidR="0047105F" w:rsidRPr="0047105F" w:rsidRDefault="0047105F" w:rsidP="0047105F">
          <w:pPr>
            <w:numPr>
              <w:ilvl w:val="0"/>
              <w:numId w:val="3"/>
            </w:numPr>
          </w:pPr>
          <w:r w:rsidRPr="0047105F">
            <w:t>Implementation of new technology</w:t>
          </w:r>
        </w:p>
        <w:p w14:paraId="56F819F8" w14:textId="77777777" w:rsidR="0047105F" w:rsidRPr="0047105F" w:rsidRDefault="0047105F" w:rsidP="0047105F">
          <w:pPr>
            <w:numPr>
              <w:ilvl w:val="0"/>
              <w:numId w:val="3"/>
            </w:numPr>
          </w:pPr>
          <w:r w:rsidRPr="0047105F">
            <w:t xml:space="preserve">Adoption of new business models </w:t>
          </w:r>
          <w:r w:rsidRPr="0061461A">
            <w:rPr>
              <w:highlight w:val="lightGray"/>
            </w:rPr>
            <w:t>(Stobierski, 2020)</w:t>
          </w:r>
        </w:p>
        <w:p w14:paraId="6F700B0A" w14:textId="504C7115" w:rsidR="00C77E3D" w:rsidRDefault="0047105F" w:rsidP="0047105F">
          <w:r w:rsidRPr="0047105F">
            <w:t xml:space="preserve">Lewin's models of change are influential in analysing these transformations. </w:t>
          </w:r>
          <w:r w:rsidR="008A24E3">
            <w:t>The</w:t>
          </w:r>
          <w:r w:rsidRPr="0047105F">
            <w:t xml:space="preserve"> forcefield analysis identifies the forces that can drive or resist change, while the three-step model (unfreeze – change – refreeze) describes the stages organisations must </w:t>
          </w:r>
          <w:r w:rsidR="00C00A0E">
            <w:t>follow</w:t>
          </w:r>
          <w:r w:rsidRPr="0047105F">
            <w:t xml:space="preserve"> to successfully integrate new processes.</w:t>
          </w:r>
        </w:p>
        <w:p w14:paraId="61E3852B" w14:textId="629EDE48" w:rsidR="00FB6320" w:rsidRDefault="003B7774" w:rsidP="0047105F">
          <w:r>
            <w:t xml:space="preserve">However, </w:t>
          </w:r>
          <w:r w:rsidR="00DB55BB">
            <w:t xml:space="preserve">research in modern times suggest that Lewin’s model can tend to oversimplify </w:t>
          </w:r>
          <w:r w:rsidR="00F57136">
            <w:t xml:space="preserve">organisational change and its complexities, especially </w:t>
          </w:r>
          <w:r w:rsidR="00FB6320">
            <w:t xml:space="preserve">in environments where change can be continuous rather than being fixed in stages. </w:t>
          </w:r>
          <w:r w:rsidR="00FB6320" w:rsidRPr="003B7774">
            <w:rPr>
              <w:highlight w:val="lightGray"/>
            </w:rPr>
            <w:t>(Burnes, 2020; Cummings, Bridgman and Brown, 2016).</w:t>
          </w:r>
        </w:p>
        <w:p w14:paraId="67E39AB5" w14:textId="77777777" w:rsidR="00BA3559" w:rsidRPr="0047105F" w:rsidRDefault="00BA3559" w:rsidP="0047105F"/>
        <w:p w14:paraId="27AB208F" w14:textId="21B30A2A" w:rsidR="00EA270E" w:rsidRPr="00EA270E" w:rsidRDefault="0047105F" w:rsidP="00BA3559">
          <w:pPr>
            <w:pStyle w:val="Heading2"/>
          </w:pPr>
          <w:bookmarkStart w:id="3" w:name="_Toc229309096"/>
          <w:r w:rsidRPr="0047105F">
            <w:t>2.3 Lewin’s Forcefield Analysis</w:t>
          </w:r>
          <w:bookmarkEnd w:id="3"/>
        </w:p>
        <w:p w14:paraId="2B07F87C" w14:textId="0C37023C" w:rsidR="00D82945" w:rsidRDefault="0047105F" w:rsidP="00BA3559">
          <w:r w:rsidRPr="0047105F">
            <w:t xml:space="preserve">Lewin's force field analysis is a tool used to analyse a situation and identify the forces for and against a change. </w:t>
          </w:r>
          <w:r w:rsidRPr="0061461A">
            <w:rPr>
              <w:highlight w:val="lightGray"/>
            </w:rPr>
            <w:t>(Tahir, 2019)</w:t>
          </w:r>
          <w:r w:rsidRPr="0047105F">
            <w:t xml:space="preserve"> By being able to visualise the forces, companies like Tata Steel can determine how to shift the balance, which can help them to achieve their desired goal effectively</w:t>
          </w:r>
          <w:r w:rsidR="00DA2B9B">
            <w:t>.</w:t>
          </w:r>
          <w:r w:rsidR="004F04BE">
            <w:t xml:space="preserve"> </w:t>
          </w:r>
          <w:r w:rsidR="0024242F" w:rsidRPr="006F6B51">
            <w:rPr>
              <w:highlight w:val="lightGray"/>
            </w:rPr>
            <w:t>Lewin (1951)</w:t>
          </w:r>
          <w:r w:rsidR="0024242F">
            <w:t xml:space="preserve"> originally argued t</w:t>
          </w:r>
          <w:r w:rsidR="00FD31F5">
            <w:t xml:space="preserve">hat reducing the restraining forces can often be more effective than increasing the driving </w:t>
          </w:r>
          <w:r w:rsidR="00916FA7">
            <w:t>forces. This highlights the importance of Tata addressing the workforce resistance during the</w:t>
          </w:r>
          <w:r w:rsidR="00BA3559">
            <w:t xml:space="preserve"> </w:t>
          </w:r>
          <w:r w:rsidR="00916FA7">
            <w:t>transition.</w:t>
          </w:r>
          <w:r w:rsidR="00BA3559" w:rsidRPr="00BA3559">
            <w:rPr>
              <w:noProof/>
            </w:rPr>
            <w:t xml:space="preserve"> </w:t>
          </w:r>
        </w:p>
        <w:p w14:paraId="2747C082" w14:textId="000EF777" w:rsidR="002E40A6" w:rsidRDefault="00BA3559" w:rsidP="002E40A6">
          <w:pPr>
            <w:keepNext/>
          </w:pPr>
          <w:r>
            <w:rPr>
              <w:noProof/>
            </w:rPr>
            <w:drawing>
              <wp:anchor distT="0" distB="0" distL="114300" distR="114300" simplePos="0" relativeHeight="251660288" behindDoc="1" locked="0" layoutInCell="1" allowOverlap="1" wp14:anchorId="6305960A" wp14:editId="7552EE59">
                <wp:simplePos x="0" y="0"/>
                <wp:positionH relativeFrom="margin">
                  <wp:align>center</wp:align>
                </wp:positionH>
                <wp:positionV relativeFrom="paragraph">
                  <wp:posOffset>6350</wp:posOffset>
                </wp:positionV>
                <wp:extent cx="2866390" cy="2149475"/>
                <wp:effectExtent l="0" t="0" r="0" b="3175"/>
                <wp:wrapTight wrapText="bothSides">
                  <wp:wrapPolygon edited="0">
                    <wp:start x="0" y="0"/>
                    <wp:lineTo x="0" y="21440"/>
                    <wp:lineTo x="21389" y="21440"/>
                    <wp:lineTo x="21389" y="0"/>
                    <wp:lineTo x="0" y="0"/>
                  </wp:wrapPolygon>
                </wp:wrapTight>
                <wp:docPr id="182817478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866390" cy="2149475"/>
                        </a:xfrm>
                        <a:prstGeom prst="rect">
                          <a:avLst/>
                        </a:prstGeom>
                        <a:noFill/>
                      </pic:spPr>
                    </pic:pic>
                  </a:graphicData>
                </a:graphic>
                <wp14:sizeRelH relativeFrom="margin">
                  <wp14:pctWidth>0</wp14:pctWidth>
                </wp14:sizeRelH>
                <wp14:sizeRelV relativeFrom="margin">
                  <wp14:pctHeight>0</wp14:pctHeight>
                </wp14:sizeRelV>
              </wp:anchor>
            </w:drawing>
          </w:r>
        </w:p>
        <w:p w14:paraId="5A14A32E" w14:textId="77777777" w:rsidR="00BA3559" w:rsidRDefault="00BA3559" w:rsidP="002E40A6">
          <w:pPr>
            <w:pStyle w:val="Caption"/>
          </w:pPr>
        </w:p>
        <w:p w14:paraId="75E9F2EA" w14:textId="77777777" w:rsidR="00BA3559" w:rsidRDefault="00BA3559" w:rsidP="002E40A6">
          <w:pPr>
            <w:pStyle w:val="Caption"/>
          </w:pPr>
        </w:p>
        <w:p w14:paraId="7617130E" w14:textId="77777777" w:rsidR="00BA3559" w:rsidRDefault="00BA3559" w:rsidP="002E40A6">
          <w:pPr>
            <w:pStyle w:val="Caption"/>
          </w:pPr>
        </w:p>
        <w:p w14:paraId="1CB979D6" w14:textId="77777777" w:rsidR="00BA3559" w:rsidRDefault="00BA3559" w:rsidP="002E40A6">
          <w:pPr>
            <w:pStyle w:val="Caption"/>
          </w:pPr>
        </w:p>
        <w:p w14:paraId="628BC804" w14:textId="77777777" w:rsidR="00BA3559" w:rsidRDefault="00BA3559" w:rsidP="002E40A6">
          <w:pPr>
            <w:pStyle w:val="Caption"/>
          </w:pPr>
        </w:p>
        <w:p w14:paraId="42A05FAD" w14:textId="77777777" w:rsidR="00BA3559" w:rsidRDefault="00BA3559" w:rsidP="00BA3559">
          <w:pPr>
            <w:pStyle w:val="Caption"/>
            <w:jc w:val="center"/>
          </w:pPr>
        </w:p>
        <w:p w14:paraId="51C58A10" w14:textId="77777777" w:rsidR="00BA3559" w:rsidRDefault="00BA3559" w:rsidP="00BA3559">
          <w:pPr>
            <w:pStyle w:val="Caption"/>
            <w:jc w:val="center"/>
          </w:pPr>
        </w:p>
        <w:p w14:paraId="7E12DB26" w14:textId="1D8350F5" w:rsidR="00EA270E" w:rsidRPr="0047105F" w:rsidRDefault="002E40A6" w:rsidP="00BA3559">
          <w:pPr>
            <w:pStyle w:val="Caption"/>
            <w:jc w:val="center"/>
          </w:pPr>
          <w:bookmarkStart w:id="4" w:name="_Toc229309091"/>
          <w:r>
            <w:t xml:space="preserve">Figure </w:t>
          </w:r>
          <w:r>
            <w:fldChar w:fldCharType="begin"/>
          </w:r>
          <w:r>
            <w:instrText xml:space="preserve"> SEQ Figure \* ARABIC </w:instrText>
          </w:r>
          <w:r>
            <w:fldChar w:fldCharType="separate"/>
          </w:r>
          <w:r>
            <w:rPr>
              <w:noProof/>
            </w:rPr>
            <w:t>1</w:t>
          </w:r>
          <w:r>
            <w:fldChar w:fldCharType="end"/>
          </w:r>
          <w:r>
            <w:t xml:space="preserve"> - force field analysis</w:t>
          </w:r>
          <w:bookmarkEnd w:id="4"/>
        </w:p>
        <w:p w14:paraId="58633ED3" w14:textId="77777777" w:rsidR="0047105F" w:rsidRDefault="0047105F" w:rsidP="00BA3559">
          <w:pPr>
            <w:jc w:val="center"/>
          </w:pPr>
          <w:r w:rsidRPr="0061461A">
            <w:rPr>
              <w:highlight w:val="lightGray"/>
            </w:rPr>
            <w:t>(Steele, 2025)</w:t>
          </w:r>
        </w:p>
        <w:p w14:paraId="6DA749A7" w14:textId="77777777" w:rsidR="00BE6023" w:rsidRDefault="00BE6023" w:rsidP="0047105F">
          <w:pPr>
            <w:rPr>
              <w:b/>
              <w:bCs/>
            </w:rPr>
          </w:pPr>
        </w:p>
        <w:p w14:paraId="726E126B" w14:textId="029A1F16" w:rsidR="0047105F" w:rsidRPr="0047105F" w:rsidRDefault="0047105F" w:rsidP="0047105F">
          <w:pPr>
            <w:rPr>
              <w:b/>
              <w:bCs/>
            </w:rPr>
          </w:pPr>
          <w:r w:rsidRPr="0047105F">
            <w:rPr>
              <w:b/>
              <w:bCs/>
            </w:rPr>
            <w:lastRenderedPageBreak/>
            <w:t>Driving Forces</w:t>
          </w:r>
        </w:p>
        <w:p w14:paraId="03C5970C" w14:textId="584B75AD" w:rsidR="0047105F" w:rsidRPr="0047105F" w:rsidRDefault="0047105F" w:rsidP="0047105F">
          <w:r w:rsidRPr="0047105F">
            <w:t xml:space="preserve">One of the strongest driving forces for Tata Steel was the financial instability within the company. Multiple reports confirmed that the company was experiencing substantial losses in the lead-up to the closure of blast furnace 4, with The Guardian reporting that losses “ballooned to £1.12 billion” </w:t>
          </w:r>
          <w:r w:rsidRPr="0061461A">
            <w:rPr>
              <w:highlight w:val="lightGray"/>
            </w:rPr>
            <w:t>(The Guardian, 2024).</w:t>
          </w:r>
          <w:r w:rsidRPr="0047105F">
            <w:t xml:space="preserve"> There were also reports from the independent stating that "the blast furnace operation was incurring losses of £1 million a day" </w:t>
          </w:r>
          <w:r w:rsidRPr="0061461A">
            <w:rPr>
              <w:highlight w:val="lightGray"/>
            </w:rPr>
            <w:t>(Harrington, 2024</w:t>
          </w:r>
          <w:r w:rsidRPr="0047105F">
            <w:t xml:space="preserve">), </w:t>
          </w:r>
          <w:r w:rsidR="00C00A0E">
            <w:t>which makes the</w:t>
          </w:r>
          <w:r w:rsidRPr="0047105F">
            <w:t xml:space="preserve"> continuation of blast furnace number 4 economically unsuitable.</w:t>
          </w:r>
        </w:p>
        <w:p w14:paraId="4E406AB8" w14:textId="2F2AC010" w:rsidR="0047105F" w:rsidRPr="0047105F" w:rsidRDefault="0047105F" w:rsidP="0047105F">
          <w:r w:rsidRPr="0047105F">
            <w:t xml:space="preserve">Environmental pressures were also a major driving force for TATA to align with national goals. The shift from blast furnace to electric arc furnace was projected to reduce emissions at Port Talbot by over 5 million tonnes per year, aligning with the government's decarbonisation commitments and making the existing process incompatible with long-term objectives. The UK government's involvement further encouraged these forces by providing £500 million of public funding to support the transition, demonstrating political urgency and pressure on TATA to accept the change </w:t>
          </w:r>
          <w:r w:rsidRPr="0061461A">
            <w:rPr>
              <w:highlight w:val="lightGray"/>
            </w:rPr>
            <w:t>(NSC, 2025)</w:t>
          </w:r>
          <w:r w:rsidR="005C3EC5">
            <w:t>.</w:t>
          </w:r>
        </w:p>
        <w:p w14:paraId="184AFA00" w14:textId="77777777" w:rsidR="0047105F" w:rsidRPr="0047105F" w:rsidRDefault="0047105F" w:rsidP="0047105F">
          <w:r w:rsidRPr="0047105F">
            <w:t>Another driving force behind TATA Steel's transition was the substantial maintenance cost and viability of maintaining the blast furnace infrastructure. As the furnaces reached the end of their natural lifespan, the cost of maintenance, repair and compliance with standards grew unsustainably.</w:t>
          </w:r>
        </w:p>
        <w:p w14:paraId="0F658DB9" w14:textId="77777777" w:rsidR="0047105F" w:rsidRPr="0047105F" w:rsidRDefault="0047105F" w:rsidP="0047105F">
          <w:pPr>
            <w:rPr>
              <w:b/>
              <w:bCs/>
            </w:rPr>
          </w:pPr>
          <w:r w:rsidRPr="0047105F">
            <w:rPr>
              <w:b/>
              <w:bCs/>
            </w:rPr>
            <w:t>Restraining Forces</w:t>
          </w:r>
        </w:p>
        <w:p w14:paraId="45FA9CC4" w14:textId="35D780B4" w:rsidR="0047105F" w:rsidRPr="0047105F" w:rsidRDefault="0047105F" w:rsidP="0047105F">
          <w:r w:rsidRPr="0047105F">
            <w:t>A major restraining force during Tata Steel's transformation was the widespread anxiety experienced by employees at the time. This was due to job security concerns in</w:t>
          </w:r>
          <w:r w:rsidR="00C00A0E">
            <w:t>creasing</w:t>
          </w:r>
          <w:r w:rsidRPr="0047105F">
            <w:t xml:space="preserve"> throughout the </w:t>
          </w:r>
          <w:r w:rsidR="00C00A0E">
            <w:t>transition</w:t>
          </w:r>
          <w:r w:rsidRPr="0047105F">
            <w:t xml:space="preserve"> process after the announcement of 2800 jobs being identified as at risk</w:t>
          </w:r>
          <w:r w:rsidR="006E0D35">
            <w:t xml:space="preserve"> </w:t>
          </w:r>
          <w:r w:rsidR="006E0D35" w:rsidRPr="0061461A">
            <w:rPr>
              <w:highlight w:val="lightGray"/>
            </w:rPr>
            <w:t>(Thomas, 2024)</w:t>
          </w:r>
          <w:r w:rsidRPr="0047105F">
            <w:t>. The workforce faced massive uncertainties about their future, which created emotional stress and resistance to the organisational change. Large-scale redundancies like these can create fear, which discourages employee engagement</w:t>
          </w:r>
          <w:r w:rsidR="00BE6023">
            <w:t xml:space="preserve"> and </w:t>
          </w:r>
          <w:r w:rsidRPr="0047105F">
            <w:t>reduces trust in leadership and management</w:t>
          </w:r>
          <w:r w:rsidR="00BE6023">
            <w:t>.</w:t>
          </w:r>
        </w:p>
        <w:p w14:paraId="3A5CEBA3" w14:textId="3C6D59B5" w:rsidR="0047105F" w:rsidRPr="0047105F" w:rsidRDefault="0047105F" w:rsidP="0047105F">
          <w:r w:rsidRPr="0047105F">
            <w:t xml:space="preserve">Communication challenges created another critical restraining force, with multiple </w:t>
          </w:r>
          <w:r w:rsidR="006E0D35">
            <w:t xml:space="preserve">internal </w:t>
          </w:r>
          <w:r w:rsidRPr="0047105F">
            <w:t>reports highlighting that TATA Steel's communication during the transition period was often inconsistent, unclear or insufficiently detailed. The lack of clarity for management during this period contributed to mistrust and scepticism, which caused a lot of resistance.</w:t>
          </w:r>
        </w:p>
        <w:p w14:paraId="19C89D4A" w14:textId="77777777" w:rsidR="0047105F" w:rsidRPr="0047105F" w:rsidRDefault="0047105F" w:rsidP="0047105F">
          <w:r w:rsidRPr="0047105F">
            <w:t xml:space="preserve">A substantial restraining force came from the union’s resistance, as multiple unions (Unite, Community and GMB) opposed the closure of the blast furnaces and the proposed transition to the electric arc furnace. The unions proposed a multi-union alternative plan to keep at least one blast furnace open until 2032, which they argued would protect thousands of jobs and support a fairer transition </w:t>
          </w:r>
          <w:r w:rsidRPr="006C3482">
            <w:rPr>
              <w:highlight w:val="lightGray"/>
            </w:rPr>
            <w:t>(Loader, 2023).</w:t>
          </w:r>
          <w:r w:rsidRPr="0047105F">
            <w:t xml:space="preserve"> However, TATA rejecting this proposal, slating it as unaffordable, intensified conflict between unions and management.</w:t>
          </w:r>
        </w:p>
        <w:p w14:paraId="4046E7E4" w14:textId="77777777" w:rsidR="0047105F" w:rsidRDefault="0047105F" w:rsidP="0047105F">
          <w:r w:rsidRPr="0047105F">
            <w:t>Resisting forces escalated in 2024 when Unite announced industrial action; this included a formal overtime ban and work-to-rule measures being brought in. Approximately 1500 Unite members took part in the action, representing one of the biggest union-led protests in the UK steel industry. Workers refused to perform overtime or any voluntary duties outside of their basic contracts, which reduced operational flexibility in a vital period of Tata’s transition.</w:t>
          </w:r>
        </w:p>
        <w:p w14:paraId="21050B19" w14:textId="224E7775" w:rsidR="00667920" w:rsidRDefault="00DD1398" w:rsidP="0047105F">
          <w:r>
            <w:t>Resistance,</w:t>
          </w:r>
          <w:r w:rsidR="00E12C84">
            <w:t xml:space="preserve"> </w:t>
          </w:r>
          <w:r w:rsidR="00270886">
            <w:t>however,</w:t>
          </w:r>
          <w:r>
            <w:t xml:space="preserve"> </w:t>
          </w:r>
          <w:r w:rsidR="00E12C84">
            <w:t>should not always be viewed in a negative manner as it can also provide valuable</w:t>
          </w:r>
          <w:r>
            <w:t xml:space="preserve"> feedback in the weaknesses of the management strategy and communications </w:t>
          </w:r>
          <w:r w:rsidRPr="00667920">
            <w:rPr>
              <w:highlight w:val="lightGray"/>
            </w:rPr>
            <w:t>(Ford, Ford and D’Amelio, 2008).</w:t>
          </w:r>
        </w:p>
        <w:p w14:paraId="7B3ADEA8" w14:textId="114EA65A" w:rsidR="0047105F" w:rsidRPr="0047105F" w:rsidRDefault="0047105F" w:rsidP="00EA270E">
          <w:pPr>
            <w:pStyle w:val="Heading2"/>
          </w:pPr>
          <w:bookmarkStart w:id="5" w:name="_Toc229309097"/>
          <w:r w:rsidRPr="0047105F">
            <w:lastRenderedPageBreak/>
            <w:t>2.4 Lewin’s Three-Step Change Model</w:t>
          </w:r>
          <w:bookmarkEnd w:id="5"/>
        </w:p>
        <w:p w14:paraId="1C7CC227" w14:textId="7BDB14F9" w:rsidR="0047105F" w:rsidRPr="0047105F" w:rsidRDefault="0047105F" w:rsidP="0047105F">
          <w:r w:rsidRPr="0047105F">
            <w:t xml:space="preserve">Lewin’s three-step change model is widely used for understanding organisational change. The model proposes that change occurs in three different stages (unfreeze, change and refreeze). The unfreeze stage involves preparing employees for transformation by challenging their current behaviours, mindsets, and processes. The change stage refers to the implementation of new systems or ways of working once employees understand why the change is necessary. Finally, the refreeze stage reinforces the new practices to ensure they become a part of the company’s long-term initiatives </w:t>
          </w:r>
          <w:r w:rsidRPr="006C3482">
            <w:rPr>
              <w:highlight w:val="lightGray"/>
            </w:rPr>
            <w:t>(Thudium, 2023).</w:t>
          </w:r>
          <w:r w:rsidRPr="0047105F">
            <w:t xml:space="preserve"> Lewin's model applies well to Tata Steel's transition from blast furnace to electric arc furnace, as it highlights both the psychological and structural steps required to shift the company from one state to another.</w:t>
          </w:r>
        </w:p>
        <w:p w14:paraId="79311407" w14:textId="77777777" w:rsidR="0047105F" w:rsidRPr="0047105F" w:rsidRDefault="0047105F" w:rsidP="0047105F">
          <w:pPr>
            <w:rPr>
              <w:b/>
              <w:bCs/>
            </w:rPr>
          </w:pPr>
          <w:r w:rsidRPr="0047105F">
            <w:rPr>
              <w:b/>
              <w:bCs/>
            </w:rPr>
            <w:t>Unfreeze</w:t>
          </w:r>
        </w:p>
        <w:p w14:paraId="6ADA43C8" w14:textId="62362F03" w:rsidR="0047105F" w:rsidRPr="0047105F" w:rsidRDefault="0047105F" w:rsidP="0047105F">
          <w:r w:rsidRPr="0047105F">
            <w:t xml:space="preserve">The unfreezing process requires a company to prepare people for change by explaining why the change is needed in the first place. Tata Steel had a clear unfreezing foundation: financial losses, ageing assets and environmental pressure, which made the current blast furnace system unsustainable. However, the unfreezing quality all depends on whether the employees believe in the need for change and feel a part of the future of that transition. The public dispute with unions such as Unite and GMB suggests that the unfreezing stage wasn’t fully successful. While management created urgency for the change, it did not create ownership of the transition. </w:t>
          </w:r>
          <w:r w:rsidRPr="006C3482">
            <w:rPr>
              <w:highlight w:val="lightGray"/>
            </w:rPr>
            <w:t>Kotter (1996)</w:t>
          </w:r>
          <w:r w:rsidRPr="0047105F">
            <w:t xml:space="preserve"> argues that urgency </w:t>
          </w:r>
          <w:r w:rsidR="00C00A0E" w:rsidRPr="0047105F">
            <w:t>must</w:t>
          </w:r>
          <w:r w:rsidRPr="0047105F">
            <w:t xml:space="preserve"> be supported by a coalition.</w:t>
          </w:r>
          <w:r w:rsidR="001E0443">
            <w:t xml:space="preserve"> </w:t>
          </w:r>
          <w:r w:rsidR="00FE65CB">
            <w:t xml:space="preserve">This shows that creating urgency alone is </w:t>
          </w:r>
          <w:r w:rsidR="00DB7667">
            <w:t>not enough if the stakeholders aren’t aligned</w:t>
          </w:r>
          <w:r w:rsidR="009E0E30">
            <w:t>.</w:t>
          </w:r>
        </w:p>
        <w:p w14:paraId="52673795" w14:textId="78A06512" w:rsidR="0047105F" w:rsidRPr="0047105F" w:rsidRDefault="0047105F" w:rsidP="0047105F">
          <w:pPr>
            <w:rPr>
              <w:b/>
              <w:bCs/>
            </w:rPr>
          </w:pPr>
          <w:r w:rsidRPr="0047105F">
            <w:rPr>
              <w:b/>
              <w:bCs/>
            </w:rPr>
            <w:t>Change</w:t>
          </w:r>
        </w:p>
        <w:p w14:paraId="5CCC2692" w14:textId="77777777" w:rsidR="0047105F" w:rsidRPr="0047105F" w:rsidRDefault="0047105F" w:rsidP="0047105F">
          <w:r w:rsidRPr="0047105F">
            <w:t xml:space="preserve">The change stage involved the closing of the blast furnaces, the implementation of redundancy packages, and progressing the EAF investment. From a strategic perspective, Tata took decisive action; however, the human side of change was less effective. Employees faced mass uncertainty about future employment, and unions challenged the fairness and speed of the transition. Change literature suggests the participation, fairness and communication strongly affect whether an employee will accept change or not </w:t>
          </w:r>
          <w:r w:rsidRPr="006C3482">
            <w:rPr>
              <w:highlight w:val="lightGray"/>
            </w:rPr>
            <w:t>(</w:t>
          </w:r>
          <w:proofErr w:type="spellStart"/>
          <w:r w:rsidRPr="006C3482">
            <w:rPr>
              <w:highlight w:val="lightGray"/>
            </w:rPr>
            <w:t>Armenakis</w:t>
          </w:r>
          <w:proofErr w:type="spellEnd"/>
          <w:r w:rsidRPr="006C3482">
            <w:rPr>
              <w:highlight w:val="lightGray"/>
            </w:rPr>
            <w:t xml:space="preserve"> and </w:t>
          </w:r>
          <w:proofErr w:type="spellStart"/>
          <w:r w:rsidRPr="006C3482">
            <w:rPr>
              <w:highlight w:val="lightGray"/>
            </w:rPr>
            <w:t>Bedeian</w:t>
          </w:r>
          <w:proofErr w:type="spellEnd"/>
          <w:r w:rsidRPr="006C3482">
            <w:rPr>
              <w:highlight w:val="lightGray"/>
            </w:rPr>
            <w:t>, 1999; Lines, 2004; Ford, Ford and D’Amelio, 2008).</w:t>
          </w:r>
          <w:r w:rsidRPr="0047105F">
            <w:t xml:space="preserve"> Tatas' support measures were valuable, but they appear to have been reactive rather than being a fully implemented process from the very beginning.</w:t>
          </w:r>
        </w:p>
        <w:p w14:paraId="1EF087E8" w14:textId="77777777" w:rsidR="0047105F" w:rsidRPr="0047105F" w:rsidRDefault="0047105F" w:rsidP="0047105F">
          <w:pPr>
            <w:rPr>
              <w:b/>
              <w:bCs/>
            </w:rPr>
          </w:pPr>
          <w:r w:rsidRPr="0047105F">
            <w:rPr>
              <w:b/>
              <w:bCs/>
            </w:rPr>
            <w:t>Refreeze</w:t>
          </w:r>
        </w:p>
        <w:p w14:paraId="3164DEE9" w14:textId="1F7E5127" w:rsidR="0047105F" w:rsidRPr="0047105F" w:rsidRDefault="0047105F" w:rsidP="0047105F">
          <w:r w:rsidRPr="0047105F">
            <w:t xml:space="preserve">The refreeze stage at Tata has yet to be achieved, as the EAF isn’t due to be commissioned until the end of 2027 </w:t>
          </w:r>
          <w:r w:rsidRPr="006C3482">
            <w:rPr>
              <w:highlight w:val="lightGray"/>
            </w:rPr>
            <w:t>(Tata Steel UK, 2025).</w:t>
          </w:r>
          <w:r w:rsidRPr="0047105F">
            <w:t xml:space="preserve"> This is a big point for evaluation, as Tata has closed the old operating model without the new EAF being fully stabilised. Refreezing can require a lot more than commissioning new equipment. The process will require new training pathways, new safety routines, new job designs and a brand-new cultural narrative for Port Talbot's future. Without these steps, the organisation risks becoming culturally unstable. Therefore, the success of the transition should be judged over a longer term and not just by the closure of the blast furnace operations.</w:t>
          </w:r>
          <w:r w:rsidR="00E447F5">
            <w:t xml:space="preserve"> </w:t>
          </w:r>
          <w:r w:rsidR="003B04CC">
            <w:t xml:space="preserve">This shows the view that modern organisations tend to operate in a state of continuous change, where long-term stability is much more difficult to achieve </w:t>
          </w:r>
          <w:r w:rsidR="003B04CC" w:rsidRPr="00E447F5">
            <w:rPr>
              <w:highlight w:val="lightGray"/>
            </w:rPr>
            <w:t>(Weick and Quinn, 1999).</w:t>
          </w:r>
        </w:p>
        <w:p w14:paraId="1E560E68" w14:textId="77777777" w:rsidR="00BE6023" w:rsidRDefault="00BE6023">
          <w:pPr>
            <w:rPr>
              <w:rFonts w:asciiTheme="majorHAnsi" w:eastAsiaTheme="majorEastAsia" w:hAnsiTheme="majorHAnsi" w:cstheme="majorBidi"/>
              <w:color w:val="2E74B5" w:themeColor="accent1" w:themeShade="BF"/>
              <w:sz w:val="26"/>
              <w:szCs w:val="26"/>
            </w:rPr>
          </w:pPr>
          <w:r>
            <w:br w:type="page"/>
          </w:r>
        </w:p>
        <w:p w14:paraId="2109C1F5" w14:textId="4BFC04EE" w:rsidR="0047105F" w:rsidRDefault="0047105F" w:rsidP="00EA270E">
          <w:pPr>
            <w:pStyle w:val="Heading2"/>
          </w:pPr>
          <w:bookmarkStart w:id="6" w:name="_Toc229309098"/>
          <w:r w:rsidRPr="0047105F">
            <w:lastRenderedPageBreak/>
            <w:t>2.5 Motivation and workforce impact</w:t>
          </w:r>
          <w:bookmarkEnd w:id="6"/>
        </w:p>
        <w:p w14:paraId="7C98DE27" w14:textId="77777777" w:rsidR="00EA270E" w:rsidRPr="00EA270E" w:rsidRDefault="00EA270E" w:rsidP="00EA270E"/>
        <w:p w14:paraId="0E629D5D" w14:textId="7890A212" w:rsidR="00332E29" w:rsidRPr="0047105F" w:rsidRDefault="0047105F" w:rsidP="00332E29">
          <w:r w:rsidRPr="0047105F">
            <w:t xml:space="preserve">According to </w:t>
          </w:r>
          <w:r w:rsidRPr="006C3482">
            <w:rPr>
              <w:highlight w:val="lightGray"/>
            </w:rPr>
            <w:t>Mullins (2016),</w:t>
          </w:r>
          <w:r w:rsidRPr="0047105F">
            <w:t xml:space="preserve"> individual needs, leadership, organisational culture, and employment relationships primarily influence motivation. The complete collapse of job security weakened motivation in Tata's case. For many of the workers, the site was not only a job but also a big part of Port Talbot's identity and pride. When a big change affects factors like these, employees can tend to respond with resistance and a lack of commitment even if the change is understandable.</w:t>
          </w:r>
          <w:r w:rsidR="00332E29">
            <w:t xml:space="preserve"> </w:t>
          </w:r>
        </w:p>
        <w:p w14:paraId="783BA597" w14:textId="1974CE37" w:rsidR="0047105F" w:rsidRPr="0047105F" w:rsidRDefault="0047105F" w:rsidP="0047105F">
          <w:r w:rsidRPr="0047105F">
            <w:t xml:space="preserve">Redundancy packages and other support hubs might help slightly with the satisfaction of employees but will not create any motivation for the future. To rebuild motivation successfully, Tata would also need the correct motivators, such as skills development, recognition, meaningful work and involvement in the future EAF building. Vroom's expectancy theory claims that employees will be more motivated when they believe their efforts will lead to valued outcomes </w:t>
          </w:r>
          <w:r w:rsidRPr="00332E29">
            <w:rPr>
              <w:highlight w:val="lightGray"/>
            </w:rPr>
            <w:t>(Vroom, 1964</w:t>
          </w:r>
          <w:r w:rsidRPr="0047105F">
            <w:t>). If the retraining doesn't lead to future jobs, the workers will avoid it.</w:t>
          </w:r>
          <w:r w:rsidR="000E02AE">
            <w:t xml:space="preserve"> This can also be supported by the ex</w:t>
          </w:r>
          <w:r w:rsidR="001F06CD">
            <w:t xml:space="preserve">pectancy theory, which suggests that employees are only motivated when they believe their efforts can lead to </w:t>
          </w:r>
          <w:r w:rsidR="00EC5538">
            <w:t>meaningful and achievable outcomes</w:t>
          </w:r>
          <w:r w:rsidR="00F02269">
            <w:t xml:space="preserve"> </w:t>
          </w:r>
          <w:r w:rsidR="00F02269" w:rsidRPr="0022306D">
            <w:rPr>
              <w:highlight w:val="lightGray"/>
            </w:rPr>
            <w:t>(Lunenburg, 2011).</w:t>
          </w:r>
        </w:p>
        <w:p w14:paraId="234C8386" w14:textId="77777777" w:rsidR="0047105F" w:rsidRPr="0047105F" w:rsidRDefault="0047105F" w:rsidP="0047105F">
          <w:r w:rsidRPr="0047105F">
            <w:t xml:space="preserve">Also, large-scale redundancy can signal to employees that loyalty is no longer reciprocated, which can reduce trust in the management </w:t>
          </w:r>
          <w:r w:rsidRPr="006C3482">
            <w:rPr>
              <w:highlight w:val="lightGray"/>
            </w:rPr>
            <w:t>(Rousseau, 1995).</w:t>
          </w:r>
          <w:r w:rsidRPr="0047105F">
            <w:t xml:space="preserve"> This can be particularly damaging in large-scale engineering companies such as Tata, where all effective operations rely on the workforce’s commitment.</w:t>
          </w:r>
        </w:p>
        <w:p w14:paraId="495E7449" w14:textId="3D3CBF0E" w:rsidR="0047105F" w:rsidRDefault="0047105F" w:rsidP="00EA270E">
          <w:pPr>
            <w:pStyle w:val="Heading2"/>
          </w:pPr>
          <w:bookmarkStart w:id="7" w:name="_Toc229309099"/>
          <w:r w:rsidRPr="0047105F">
            <w:t>2.6 Good Practice Identified</w:t>
          </w:r>
          <w:bookmarkEnd w:id="7"/>
        </w:p>
        <w:p w14:paraId="0332539D" w14:textId="77777777" w:rsidR="00EA270E" w:rsidRPr="00EA270E" w:rsidRDefault="00EA270E" w:rsidP="00EA270E"/>
        <w:p w14:paraId="479FEEBC" w14:textId="0D27D9FB" w:rsidR="0047105F" w:rsidRPr="0047105F" w:rsidRDefault="0047105F" w:rsidP="0047105F">
          <w:r w:rsidRPr="0047105F">
            <w:t>A key element of good practice during the transition period was the government and industry collaboration. This helped ensure that steel production in Wales would be able to continue despite the closure of Blast Furnace 4. These collaborations between government and industry are seen as a positive enabler in large-scale changes which can offer financial stability, political backing and long-term direction.</w:t>
          </w:r>
        </w:p>
        <w:p w14:paraId="5D967072" w14:textId="77777777" w:rsidR="0047105F" w:rsidRPr="0047105F" w:rsidRDefault="0047105F" w:rsidP="0047105F">
          <w:r w:rsidRPr="0047105F">
            <w:t xml:space="preserve">Another area of good practice within the company was the implementation of enhanced redundancy packages for all affected employees who were made redundant. Tata Steel described the packages as being the “most generous” in its history after offering improved redundancy terms and financial security to affected workers. Alongside the packages, the UK government and Tata collaborated to fund £100 million towards the support of economic regeneration of Port Talbot and provide additional assistance such as retraining, job search support and community wellbeing services </w:t>
          </w:r>
          <w:r w:rsidRPr="006C3482">
            <w:rPr>
              <w:highlight w:val="lightGray"/>
            </w:rPr>
            <w:t>(Barry, 2024).</w:t>
          </w:r>
          <w:r w:rsidRPr="0047105F">
            <w:t xml:space="preserve"> This shows responsible behaviour from the company during the chaotic transition period and shows beneficial practice for the impact of the workforce.</w:t>
          </w:r>
        </w:p>
        <w:p w14:paraId="7425AEAA" w14:textId="66736D7E" w:rsidR="0047105F" w:rsidRPr="0047105F" w:rsidRDefault="0047105F" w:rsidP="0047105F">
          <w:r w:rsidRPr="0047105F">
            <w:t xml:space="preserve">The addition of community support </w:t>
          </w:r>
          <w:r w:rsidR="00F07D3E" w:rsidRPr="0047105F">
            <w:t>centres</w:t>
          </w:r>
          <w:r w:rsidRPr="0047105F">
            <w:t xml:space="preserve"> for workers and affected families also represented good practice during the change. Senedd Research reported that a government-funded community support </w:t>
          </w:r>
          <w:r w:rsidR="00F07D3E" w:rsidRPr="0047105F">
            <w:t>centre</w:t>
          </w:r>
          <w:r w:rsidRPr="0047105F">
            <w:t xml:space="preserve"> opened in the </w:t>
          </w:r>
          <w:proofErr w:type="spellStart"/>
          <w:r w:rsidRPr="0047105F">
            <w:t>Aberafan</w:t>
          </w:r>
          <w:proofErr w:type="spellEnd"/>
          <w:r w:rsidRPr="0047105F">
            <w:t xml:space="preserve"> shopping </w:t>
          </w:r>
          <w:r w:rsidR="00F07D3E" w:rsidRPr="0047105F">
            <w:t>centre</w:t>
          </w:r>
          <w:r w:rsidRPr="0047105F">
            <w:t xml:space="preserve"> after the closure of Blast Furnace 4, which offered anyone who was affected direct access to financial advice, employment support, skills development, and mental health resources </w:t>
          </w:r>
          <w:r w:rsidRPr="006C3482">
            <w:rPr>
              <w:highlight w:val="lightGray"/>
            </w:rPr>
            <w:t>(Tata Steel, 2026).</w:t>
          </w:r>
          <w:r w:rsidRPr="0047105F">
            <w:t xml:space="preserve"> This approach recognised that the restructuring of Tata Steel was not only affecting employees but also families, local businesses, and the wider community. The introduction of these centres helped mitigate the impact of the transition and demonstrated a proactive, community-oriented approach, which is considered good practice during industrial changes.</w:t>
          </w:r>
        </w:p>
        <w:p w14:paraId="04D6546A" w14:textId="77777777" w:rsidR="0047105F" w:rsidRDefault="0047105F" w:rsidP="00EA270E">
          <w:pPr>
            <w:pStyle w:val="Heading2"/>
          </w:pPr>
          <w:bookmarkStart w:id="8" w:name="_Toc229309100"/>
          <w:r w:rsidRPr="0047105F">
            <w:lastRenderedPageBreak/>
            <w:t>2.7 Areas for Improvement</w:t>
          </w:r>
          <w:bookmarkEnd w:id="8"/>
        </w:p>
        <w:p w14:paraId="363FA7A8" w14:textId="77777777" w:rsidR="00EA270E" w:rsidRPr="00EA270E" w:rsidRDefault="00EA270E" w:rsidP="00EA270E"/>
        <w:p w14:paraId="2D7120BB" w14:textId="77777777" w:rsidR="0047105F" w:rsidRPr="0047105F" w:rsidRDefault="0047105F" w:rsidP="0047105F">
          <w:r w:rsidRPr="0047105F">
            <w:t xml:space="preserve">Despite the several examples of good practice displayed by Tata Steel, the transition also showed several different areas requiring improvement. Reports indicated that employees frequently experienced unclear and inconsistent information regarding aspects of the restructuring </w:t>
          </w:r>
          <w:r w:rsidRPr="006C3482">
            <w:rPr>
              <w:highlight w:val="lightGray"/>
            </w:rPr>
            <w:t>(Geada, 2026).</w:t>
          </w:r>
          <w:r w:rsidRPr="0047105F">
            <w:t xml:space="preserve"> This included the timelines of transition, future job roles available at the company and the available support measures. The lack of consistency led to uncertainty and mistrust from employees, whereas a better and more effective atmosphere would have sustained more engagement and better morale. According to change management theory, communication should always be transparent and frequent and should go both ways to ensure that the workers understand the need for change and what it would mean for their futures. For Tata, the lack of communication led the workforce resistance to strengthen, which made change significantly more difficult to implement.</w:t>
          </w:r>
        </w:p>
        <w:p w14:paraId="68015E94" w14:textId="01C1CB1F" w:rsidR="0047105F" w:rsidRPr="0047105F" w:rsidRDefault="0047105F" w:rsidP="0047105F">
          <w:r w:rsidRPr="0047105F">
            <w:t xml:space="preserve">Additionally, the scale and pace of the transition created great difficulties for both the workforce and the wider community. After over a century of primary steelmaking was abruptly ended with the closure of the </w:t>
          </w:r>
          <w:r w:rsidR="00F07D3E" w:rsidRPr="0047105F">
            <w:t>blast</w:t>
          </w:r>
          <w:r w:rsidRPr="0047105F">
            <w:t xml:space="preserve"> furnace, Furnace 4, many workers and affected people found the change to be highly disruptive. The rapid transition left limited time for employees to adapt, prepare or even emotionally process the loss of roles and identity of Port Talbot as a whole. Furthermore, the requirements of fewer staff due to the shift to EAF caused a lot of worry and panic about long-term security as an employee. For the future transitions of such a big scale, a more phased and consultative approach could have reduced the uncertainty and supported a more positive adjustment to the new age of steelmaking.</w:t>
          </w:r>
        </w:p>
        <w:p w14:paraId="4DC38D8D" w14:textId="44E41CD3" w:rsidR="000852B4" w:rsidRPr="0047105F" w:rsidRDefault="0047105F" w:rsidP="0047105F">
          <w:r w:rsidRPr="0047105F">
            <w:t>Another area for improvement was the communication of Tata Steel’s reliance on imported slab and coil during the closure of blast furnace 4. The guardian reported that following the closure of both blast furnaces, a “significant portion” of the steel required for UK operations was being sourced from India and the Netherlands. With no communication being given from Tata to employees, this raised major concern about the long-term role of UK steel manufacturing and was faced with the possibility that Port Talbot may transition toward a semi-finishing site rather than full production.</w:t>
          </w:r>
          <w:r w:rsidR="00017F5B">
            <w:t xml:space="preserve"> Studies show</w:t>
          </w:r>
          <w:r w:rsidR="00DC483E">
            <w:t xml:space="preserve"> that employee participation and communication can significantly improve the acceptance of organisational change</w:t>
          </w:r>
          <w:r w:rsidR="00D6783D">
            <w:t xml:space="preserve"> </w:t>
          </w:r>
          <w:r w:rsidR="00D6783D" w:rsidRPr="00D6783D">
            <w:rPr>
              <w:highlight w:val="lightGray"/>
            </w:rPr>
            <w:t>(Lines, 2004).</w:t>
          </w:r>
          <w:r w:rsidR="00D6783D">
            <w:t xml:space="preserve"> </w:t>
          </w:r>
          <w:r w:rsidRPr="0047105F">
            <w:t>The uncertainty about the long-term purpose of the sites weakened confidence and lowered morale. A more transparent and clearer roadmap could have helped address the concerns and would have reduced apprehension across the workforce.</w:t>
          </w:r>
        </w:p>
        <w:p w14:paraId="283EA8EC" w14:textId="77777777" w:rsidR="00BE6023" w:rsidRDefault="00BE6023">
          <w:pPr>
            <w:rPr>
              <w:rFonts w:asciiTheme="majorHAnsi" w:eastAsiaTheme="majorEastAsia" w:hAnsiTheme="majorHAnsi" w:cstheme="majorBidi"/>
              <w:color w:val="2E74B5" w:themeColor="accent1" w:themeShade="BF"/>
              <w:sz w:val="32"/>
              <w:szCs w:val="32"/>
            </w:rPr>
          </w:pPr>
          <w:r>
            <w:br w:type="page"/>
          </w:r>
        </w:p>
        <w:p w14:paraId="7937CFC5" w14:textId="753C6013" w:rsidR="0047105F" w:rsidRDefault="0047105F" w:rsidP="00EA270E">
          <w:pPr>
            <w:pStyle w:val="Heading1"/>
          </w:pPr>
          <w:bookmarkStart w:id="9" w:name="_Toc229309101"/>
          <w:r w:rsidRPr="0047105F">
            <w:lastRenderedPageBreak/>
            <w:t>3. Conclusion</w:t>
          </w:r>
          <w:bookmarkEnd w:id="9"/>
        </w:p>
        <w:p w14:paraId="0F2FA8C7" w14:textId="77777777" w:rsidR="00EA270E" w:rsidRPr="00EA270E" w:rsidRDefault="00EA270E" w:rsidP="00EA270E"/>
        <w:p w14:paraId="6D2AA0A4" w14:textId="77777777" w:rsidR="0047105F" w:rsidRPr="0047105F" w:rsidRDefault="0047105F" w:rsidP="0047105F">
          <w:r w:rsidRPr="0047105F">
            <w:t>In conclusion, Tata Steel's transition at Port Talbot is one of the most significant examples of UK organisational change in heavy industry. The strategic case for change was strong as the blast furnace operation faced financial, environmental and operational pressures. The electric arc furnace also offers a good route to low-carbon steelmaking with long-term modernisation.</w:t>
          </w:r>
        </w:p>
        <w:p w14:paraId="176198F5" w14:textId="3E8D1C72" w:rsidR="0047105F" w:rsidRPr="0047105F" w:rsidRDefault="0047105F" w:rsidP="0047105F">
          <w:r w:rsidRPr="0047105F">
            <w:t xml:space="preserve">However, the analysis clearly shows the driving forces were strong, but the restraining forces were equally powerful because they involved union resistance, job security, and cultural losses. </w:t>
          </w:r>
          <w:r w:rsidR="005C3EC5" w:rsidRPr="006F6B51">
            <w:rPr>
              <w:highlight w:val="lightGray"/>
            </w:rPr>
            <w:t>Lewin</w:t>
          </w:r>
          <w:r w:rsidR="005C3EC5">
            <w:rPr>
              <w:highlight w:val="lightGray"/>
            </w:rPr>
            <w:t>’s</w:t>
          </w:r>
          <w:r w:rsidR="005C3EC5" w:rsidRPr="006F6B51">
            <w:rPr>
              <w:highlight w:val="lightGray"/>
            </w:rPr>
            <w:t xml:space="preserve"> (1951)</w:t>
          </w:r>
          <w:r w:rsidR="005C3EC5">
            <w:t xml:space="preserve"> </w:t>
          </w:r>
          <w:r w:rsidRPr="0047105F">
            <w:t xml:space="preserve">three-step model shows that Tata created urgency and began technical change, but the unfreeze stage remains incomplete. </w:t>
          </w:r>
          <w:r w:rsidR="006E0D35" w:rsidRPr="006C3482">
            <w:rPr>
              <w:highlight w:val="lightGray"/>
            </w:rPr>
            <w:t>Mullins (2016)</w:t>
          </w:r>
          <w:r w:rsidRPr="0047105F">
            <w:t xml:space="preserve"> motivation theory shows that the support measures should go beyond redundancy packages, as the employees need involvement, security, recognition and a realistic future.</w:t>
          </w:r>
        </w:p>
        <w:p w14:paraId="53401B6D" w14:textId="056CD7D9" w:rsidR="000852B4" w:rsidRDefault="0047105F" w:rsidP="00AA2A91">
          <w:r w:rsidRPr="0047105F">
            <w:t>Overall, the change was justified but socially and culturally difficult, with Tata managing the engineering direction of the change a lot more convincingly than the people-centred transition. To improve the process, Tata should strengthen their communication, publish a clearer roadmap, connect the retraining to actual opportunities within the company and try to rebuild Port Talbot's cultural identity around steelmaking. This would increase the likelihood of Tata's transition into EAF not only being a technical success but also a more sustainable organisational change.</w:t>
          </w:r>
        </w:p>
        <w:p w14:paraId="351D255C" w14:textId="77777777" w:rsidR="0073705B" w:rsidRDefault="0073705B">
          <w:pPr>
            <w:rPr>
              <w:rFonts w:asciiTheme="majorHAnsi" w:eastAsiaTheme="majorEastAsia" w:hAnsiTheme="majorHAnsi" w:cstheme="majorBidi"/>
              <w:color w:val="2E74B5" w:themeColor="accent1" w:themeShade="BF"/>
              <w:sz w:val="32"/>
              <w:szCs w:val="32"/>
            </w:rPr>
          </w:pPr>
          <w:r>
            <w:br w:type="page"/>
          </w:r>
        </w:p>
        <w:p w14:paraId="7312230E" w14:textId="3BA14692" w:rsidR="00905B02" w:rsidRDefault="00226810" w:rsidP="00D23743">
          <w:pPr>
            <w:pStyle w:val="Heading1"/>
          </w:pPr>
          <w:bookmarkStart w:id="10" w:name="_Toc229309102"/>
          <w:r>
            <w:lastRenderedPageBreak/>
            <w:t xml:space="preserve">4 </w:t>
          </w:r>
          <w:r w:rsidR="00905B02" w:rsidRPr="00D23743">
            <w:t>References</w:t>
          </w:r>
          <w:bookmarkEnd w:id="10"/>
        </w:p>
        <w:p w14:paraId="38F9AE47" w14:textId="509CA2CA" w:rsidR="00905B02" w:rsidRDefault="00000000" w:rsidP="00905B02"/>
      </w:sdtContent>
    </w:sdt>
    <w:p w14:paraId="3637BB3B" w14:textId="77777777" w:rsidR="00332E29" w:rsidRDefault="00332E29" w:rsidP="00332E29">
      <w:proofErr w:type="spellStart"/>
      <w:r>
        <w:t>Armenakis</w:t>
      </w:r>
      <w:proofErr w:type="spellEnd"/>
      <w:r>
        <w:t xml:space="preserve">, A.A. and </w:t>
      </w:r>
      <w:proofErr w:type="spellStart"/>
      <w:r>
        <w:t>Bedeian</w:t>
      </w:r>
      <w:proofErr w:type="spellEnd"/>
      <w:r>
        <w:t>, A.G. (1999) ‘Organizational change: A review of theory and research in the 1990s’, Journal of Management, 25(3), pp. 293–315.</w:t>
      </w:r>
    </w:p>
    <w:p w14:paraId="13168EBE" w14:textId="77777777" w:rsidR="00332E29" w:rsidRDefault="00332E29" w:rsidP="00332E29">
      <w:r>
        <w:t>Barry, S. (2024) ‘Tata Steel £100m transition fund sees its first release of money’, Business Live, 14 August. Available at: https://www.business-live.co.uk/manufacturing/tata-steel-100m-transition-fund-29739443 (Accessed: 19 April 2026).</w:t>
      </w:r>
    </w:p>
    <w:p w14:paraId="636ECD5D" w14:textId="77777777" w:rsidR="00332E29" w:rsidRDefault="00332E29" w:rsidP="00332E29">
      <w:r>
        <w:t xml:space="preserve">Burnes, B. (2020) The origins of Lewin’s three-step model of change. Journal of Applied </w:t>
      </w:r>
      <w:proofErr w:type="spellStart"/>
      <w:r>
        <w:t>Behavioral</w:t>
      </w:r>
      <w:proofErr w:type="spellEnd"/>
      <w:r>
        <w:t xml:space="preserve"> Science, 56(1), pp. 32–59. Available at: https://journals.sagepub.com/doi/pdf/10.1177/0021886319892685 (Accessed: 8 May 2026).</w:t>
      </w:r>
    </w:p>
    <w:p w14:paraId="2CC9476C" w14:textId="77777777" w:rsidR="00332E29" w:rsidRDefault="00332E29" w:rsidP="00332E29">
      <w:r>
        <w:t>Cummings, S., Bridgman, T. and Brown, K. (2016) Unfreezing change as three steps: Rethinking Kurt Lewin’s legacy for change management. Human Relations, 69(1), pp. 33–60. Available at: https://journals.sagepub.com/doi/pdf/10.1177/0018726715577707 (Accessed: 8 May 2026).</w:t>
      </w:r>
    </w:p>
    <w:p w14:paraId="40C5BD85" w14:textId="77777777" w:rsidR="00332E29" w:rsidRDefault="00332E29" w:rsidP="00332E29">
      <w:r>
        <w:t>Ford, J.D., Ford, L.W. and D’Amelio, A. (2008) Resistance to change: The rest of the story. Academy of Management Review, 33(2), pp. 362–377. Available at: https://www.researchgate.net/publication/228079961 (Accessed: 8 May 2026).</w:t>
      </w:r>
    </w:p>
    <w:p w14:paraId="7D04757F" w14:textId="77777777" w:rsidR="00332E29" w:rsidRDefault="00332E29" w:rsidP="00332E29">
      <w:r>
        <w:t>Frampton, B. (2024) ‘Tata Steel: Port Talbot’s second blast furnace closes’, BBC News, 30 September. Available at: https://www.bbc.co.uk/news/live/cj6e863nxn8t (Accessed: 19 April 2026).</w:t>
      </w:r>
    </w:p>
    <w:p w14:paraId="2F1C95B4" w14:textId="77777777" w:rsidR="00332E29" w:rsidRDefault="00332E29" w:rsidP="00332E29">
      <w:r>
        <w:t>Geada, N. (2026) ‘Shibboleth authentication request’, OCLC. Available at: https://www-igi-global-com.uwtsd.idm.oclc.org/gateway/book/264135 (Accessed: 19 April 2026).</w:t>
      </w:r>
    </w:p>
    <w:p w14:paraId="76A7EAEF" w14:textId="77777777" w:rsidR="00332E29" w:rsidRDefault="00332E29" w:rsidP="00332E29">
      <w:r>
        <w:t>Guardian Staff Reporter (2024) ‘Tata Steel’s UK losses hit £1.1bn on cost of closing Port Talbot blast furnaces’, The Guardian, 4 December. Available at: https://www.theguardian.com/business/2024/dec/04/tata-steels-uk-losses-hit-11bn-on-cost-of-closing-port-talbot-blast-furnaces (Accessed: 19 April 2026).</w:t>
      </w:r>
    </w:p>
    <w:p w14:paraId="22ECDD25" w14:textId="77777777" w:rsidR="00332E29" w:rsidRDefault="00332E29" w:rsidP="00332E29">
      <w:r>
        <w:t>Harrington, P. (2024) ‘Port Talbot: Labour’s deal for steel workers explained as job losses announced’, The Independent, 12 September. Available at: https://www.independent.co.uk/news/uk/home-news/labour-port-talbot-job-losses-tata-steel-deal-b2611584.html (Accessed: 19 April 2026).</w:t>
      </w:r>
    </w:p>
    <w:p w14:paraId="55F2FF5A" w14:textId="77777777" w:rsidR="00332E29" w:rsidRDefault="00332E29" w:rsidP="00332E29">
      <w:r>
        <w:t>Lewin, K. (1951) Field theory in social science. New York: Harper &amp; Row. Available at: https://archive.org/details/fieldtheoryinsoc0000lewi (Accessed: 8 May 2026).</w:t>
      </w:r>
    </w:p>
    <w:p w14:paraId="663AF20A" w14:textId="77777777" w:rsidR="00332E29" w:rsidRDefault="00332E29" w:rsidP="00332E29">
      <w:r>
        <w:t>Lines, R. (2004) Influence of participation in strategic change: Resistance, organisational commitment and change goal achievement. Journal of Change Management, 4(3), pp. 193–215. Available at: https://www.researchgate.net/publication/233308147 (Accessed: 8 May 2026).</w:t>
      </w:r>
    </w:p>
    <w:p w14:paraId="7E645B5F" w14:textId="77777777" w:rsidR="00332E29" w:rsidRDefault="00332E29" w:rsidP="00332E29">
      <w:r>
        <w:t>Loader, G. (2023) ‘Tata: Unite says steel jobs should be created not lost’, BBC News, 16 December. Available at: https://www.bbc.co.uk/news/uk-wales-67740060 (Accessed: 19 April 2026).</w:t>
      </w:r>
    </w:p>
    <w:p w14:paraId="6B12415F" w14:textId="77777777" w:rsidR="00332E29" w:rsidRDefault="00332E29" w:rsidP="00332E29">
      <w:r>
        <w:t>Lunenburg, F.C. (2011) Expectancy theory of motivation: Motivating by altering expectations. International Journal of Management, Business and Administration, 15(1), pp. 1–9. Available at: http://www.nationalforum.com/Electronic%20Journal%20Volumes/Lunenburg,%20Fred%20C.%20Expectancy%20Theory%20%20IJMBA%20V15%20N1%202011.pdf (Accessed: 8 May 2026).</w:t>
      </w:r>
    </w:p>
    <w:p w14:paraId="3662CF13" w14:textId="77777777" w:rsidR="00332E29" w:rsidRDefault="00332E29" w:rsidP="00332E29">
      <w:r>
        <w:t xml:space="preserve">Mullins, L.J. (2016) Management and organisational behaviour. 11th </w:t>
      </w:r>
      <w:proofErr w:type="spellStart"/>
      <w:r>
        <w:t>edn</w:t>
      </w:r>
      <w:proofErr w:type="spellEnd"/>
      <w:r>
        <w:t>. Harlow: Pearson.</w:t>
      </w:r>
    </w:p>
    <w:p w14:paraId="07AEE598" w14:textId="77777777" w:rsidR="00332E29" w:rsidRDefault="00332E29" w:rsidP="00332E29">
      <w:r>
        <w:lastRenderedPageBreak/>
        <w:t>NSC (2025) ‘Tata Steel breaks ground with new electric arc furnace’, New Steel Construction, 2 September. Available at: http://www.newsteelconstruction.com/wp/tata-steel-breaks-ground-with-new-electric-arc-furnace/ (Accessed: 17 April 2026).</w:t>
      </w:r>
    </w:p>
    <w:p w14:paraId="5BAABBF4" w14:textId="77777777" w:rsidR="00332E29" w:rsidRDefault="00332E29" w:rsidP="00332E29">
      <w:proofErr w:type="spellStart"/>
      <w:r>
        <w:t>Oreg</w:t>
      </w:r>
      <w:proofErr w:type="spellEnd"/>
      <w:r>
        <w:t xml:space="preserve">, S., </w:t>
      </w:r>
      <w:proofErr w:type="spellStart"/>
      <w:r>
        <w:t>Vakola</w:t>
      </w:r>
      <w:proofErr w:type="spellEnd"/>
      <w:r>
        <w:t xml:space="preserve">, M. and </w:t>
      </w:r>
      <w:proofErr w:type="spellStart"/>
      <w:r>
        <w:t>Armenakis</w:t>
      </w:r>
      <w:proofErr w:type="spellEnd"/>
      <w:r>
        <w:t xml:space="preserve">, A. (2011) ‘Change recipients’ reactions to organizational change’, Journal of Applied </w:t>
      </w:r>
      <w:proofErr w:type="spellStart"/>
      <w:r>
        <w:t>Behavioral</w:t>
      </w:r>
      <w:proofErr w:type="spellEnd"/>
      <w:r>
        <w:t xml:space="preserve"> Science, 47(4), pp. 461–524.</w:t>
      </w:r>
    </w:p>
    <w:p w14:paraId="3FF96146" w14:textId="77777777" w:rsidR="00332E29" w:rsidRDefault="00332E29" w:rsidP="00332E29">
      <w:r>
        <w:t>Rousseau, D.M. (1995) Psychological contracts in organizations. Thousand Oaks: Sage.</w:t>
      </w:r>
    </w:p>
    <w:p w14:paraId="5D1587E7" w14:textId="77777777" w:rsidR="00332E29" w:rsidRDefault="00332E29" w:rsidP="00332E29">
      <w:r>
        <w:t>Steele, A. (2025) ‘Force field analysis’, The Decision Lab. Available at: https://thedecisionlab.com/reference-guide/organizational-behavior/force-field-analysis (Accessed: 19 April 2026).</w:t>
      </w:r>
    </w:p>
    <w:p w14:paraId="1E0BA214" w14:textId="77777777" w:rsidR="00332E29" w:rsidRDefault="00332E29" w:rsidP="00332E29">
      <w:r w:rsidRPr="00332E29">
        <w:rPr>
          <w:lang w:val="fr-FR"/>
        </w:rPr>
        <w:t>Stobierski, T. (2020) ‘</w:t>
      </w:r>
      <w:proofErr w:type="spellStart"/>
      <w:r w:rsidRPr="00332E29">
        <w:rPr>
          <w:lang w:val="fr-FR"/>
        </w:rPr>
        <w:t>Organisational</w:t>
      </w:r>
      <w:proofErr w:type="spellEnd"/>
      <w:r w:rsidRPr="00332E29">
        <w:rPr>
          <w:lang w:val="fr-FR"/>
        </w:rPr>
        <w:t xml:space="preserve"> change’, </w:t>
      </w:r>
      <w:proofErr w:type="spellStart"/>
      <w:r w:rsidRPr="00332E29">
        <w:rPr>
          <w:lang w:val="fr-FR"/>
        </w:rPr>
        <w:t>ProQuest</w:t>
      </w:r>
      <w:proofErr w:type="spellEnd"/>
      <w:r w:rsidRPr="00332E29">
        <w:rPr>
          <w:lang w:val="fr-FR"/>
        </w:rPr>
        <w:t xml:space="preserve"> </w:t>
      </w:r>
      <w:proofErr w:type="gramStart"/>
      <w:r w:rsidRPr="00332E29">
        <w:rPr>
          <w:lang w:val="fr-FR"/>
        </w:rPr>
        <w:t>Ebook</w:t>
      </w:r>
      <w:proofErr w:type="gramEnd"/>
      <w:r w:rsidRPr="00332E29">
        <w:rPr>
          <w:lang w:val="fr-FR"/>
        </w:rPr>
        <w:t xml:space="preserve"> Central. </w:t>
      </w:r>
      <w:r>
        <w:t>Available at: https://ebookcentral.proquest.com (Accessed: 19 April 2026).</w:t>
      </w:r>
    </w:p>
    <w:p w14:paraId="3F55A817" w14:textId="77777777" w:rsidR="00332E29" w:rsidRDefault="00332E29" w:rsidP="00332E29">
      <w:r>
        <w:t>Tahir, U. (2019) ‘Lewin’s force field analysis’, Change Management Insight. Available at: https://changemanagementinsight.com/lewins-force-field-analysis-change-management/ (Accessed: 19 April 2026).</w:t>
      </w:r>
    </w:p>
    <w:p w14:paraId="541E577E" w14:textId="77777777" w:rsidR="00332E29" w:rsidRDefault="00332E29" w:rsidP="00332E29">
      <w:r>
        <w:t>Tata Steel (2024) ‘Tata Steel will proceed with its £1.25 billion investment’, Tata Steel UK. Available at: https://www.tatasteeluk.com (Accessed: 19 April 2026).</w:t>
      </w:r>
    </w:p>
    <w:p w14:paraId="2B0F4E26" w14:textId="77777777" w:rsidR="00332E29" w:rsidRDefault="00332E29" w:rsidP="00332E29">
      <w:r>
        <w:t>Tata Steel (2026) ‘Support centre opens for those affected by restructuring’, Tata Steel UK. Available at: https://www.tatasteeluk.com (Accessed: 19 April 2026).</w:t>
      </w:r>
    </w:p>
    <w:p w14:paraId="0535C553" w14:textId="77777777" w:rsidR="00332E29" w:rsidRDefault="00332E29" w:rsidP="00332E29">
      <w:r>
        <w:t>Tata Steel UK (2025) ‘Chairman marks ground-breaking for new EAF’, Tata Steel UK. Available at: https://www.tatasteeluk.com (Accessed: 5 May 2026).</w:t>
      </w:r>
    </w:p>
    <w:p w14:paraId="7ADFB97F" w14:textId="77777777" w:rsidR="00332E29" w:rsidRDefault="00332E29" w:rsidP="00332E29">
      <w:r>
        <w:t>Thomas, H. and Pigott, P. (2024) ‘Traditional steelmaking ends at Port Talbot’, BBC News, 29 September. Available at: https://www.bbc.co.uk/news/articles/c70zxjldqnxo (Accessed: 19 April 2026).</w:t>
      </w:r>
    </w:p>
    <w:p w14:paraId="73DC2DC0" w14:textId="77777777" w:rsidR="00332E29" w:rsidRDefault="00332E29" w:rsidP="00332E29">
      <w:r>
        <w:t>Thudium, T. (2023) ‘Lewin’s change theory’, Practical Psychology. Available at: https://practicalpie.com/lewins-change-theory/ (Accessed: 19 April 2026).</w:t>
      </w:r>
    </w:p>
    <w:p w14:paraId="60D41F40" w14:textId="77777777" w:rsidR="00332E29" w:rsidRDefault="00332E29" w:rsidP="00332E29">
      <w:r>
        <w:t>Vroom, V.H. (1964) Work and motivation. New York: Wiley.</w:t>
      </w:r>
    </w:p>
    <w:p w14:paraId="35DCDFE8" w14:textId="06E32E7E" w:rsidR="00D36EF4" w:rsidRDefault="00332E29" w:rsidP="007E12B8">
      <w:r>
        <w:t>Weick, K.E. and Quinn, R.E. (1999) ‘Organizational change and development’, Annual Review of Psychology, 50, pp. 361–386. Available at: https://www.researchgate.net/publication/228182307 (Accessed: 8 May 2026).</w:t>
      </w:r>
    </w:p>
    <w:sectPr w:rsidR="00D36EF4" w:rsidSect="007D1947">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AA4EE7" w14:textId="77777777" w:rsidR="00156B0B" w:rsidRDefault="00156B0B" w:rsidP="006B5D5E">
      <w:pPr>
        <w:spacing w:after="0" w:line="240" w:lineRule="auto"/>
      </w:pPr>
      <w:r>
        <w:separator/>
      </w:r>
    </w:p>
  </w:endnote>
  <w:endnote w:type="continuationSeparator" w:id="0">
    <w:p w14:paraId="74F22D90" w14:textId="77777777" w:rsidR="00156B0B" w:rsidRDefault="00156B0B" w:rsidP="006B5D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92957506"/>
      <w:docPartObj>
        <w:docPartGallery w:val="Page Numbers (Bottom of Page)"/>
        <w:docPartUnique/>
      </w:docPartObj>
    </w:sdtPr>
    <w:sdtContent>
      <w:p w14:paraId="6A417F33" w14:textId="552A01DB" w:rsidR="003D4B8A" w:rsidRDefault="003D4B8A">
        <w:pPr>
          <w:pStyle w:val="Footer"/>
          <w:jc w:val="center"/>
        </w:pPr>
        <w:r>
          <w:fldChar w:fldCharType="begin"/>
        </w:r>
        <w:r>
          <w:instrText>PAGE   \* MERGEFORMAT</w:instrText>
        </w:r>
        <w:r>
          <w:fldChar w:fldCharType="separate"/>
        </w:r>
        <w:r>
          <w:t>2</w:t>
        </w:r>
        <w:r>
          <w:fldChar w:fldCharType="end"/>
        </w:r>
      </w:p>
    </w:sdtContent>
  </w:sdt>
  <w:p w14:paraId="66033F61" w14:textId="77777777" w:rsidR="003D4B8A" w:rsidRDefault="003D4B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ECF1C3" w14:textId="77777777" w:rsidR="00156B0B" w:rsidRDefault="00156B0B" w:rsidP="006B5D5E">
      <w:pPr>
        <w:spacing w:after="0" w:line="240" w:lineRule="auto"/>
      </w:pPr>
      <w:r>
        <w:separator/>
      </w:r>
    </w:p>
  </w:footnote>
  <w:footnote w:type="continuationSeparator" w:id="0">
    <w:p w14:paraId="241CD059" w14:textId="77777777" w:rsidR="00156B0B" w:rsidRDefault="00156B0B" w:rsidP="006B5D5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B74E43"/>
    <w:multiLevelType w:val="hybridMultilevel"/>
    <w:tmpl w:val="80C6D296"/>
    <w:lvl w:ilvl="0" w:tplc="3652605E">
      <w:start w:val="2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0C06B85"/>
    <w:multiLevelType w:val="multilevel"/>
    <w:tmpl w:val="23E469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28609CA"/>
    <w:multiLevelType w:val="multilevel"/>
    <w:tmpl w:val="88EC3E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92297284">
    <w:abstractNumId w:val="2"/>
  </w:num>
  <w:num w:numId="2" w16cid:durableId="1770926386">
    <w:abstractNumId w:val="0"/>
  </w:num>
  <w:num w:numId="3" w16cid:durableId="152706194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17F5B"/>
    <w:rsid w:val="000232C6"/>
    <w:rsid w:val="000548F6"/>
    <w:rsid w:val="00062E03"/>
    <w:rsid w:val="00071017"/>
    <w:rsid w:val="000852B4"/>
    <w:rsid w:val="000D3D4A"/>
    <w:rsid w:val="000E02AE"/>
    <w:rsid w:val="00107936"/>
    <w:rsid w:val="00115B96"/>
    <w:rsid w:val="001441AD"/>
    <w:rsid w:val="00156B0B"/>
    <w:rsid w:val="00176AAD"/>
    <w:rsid w:val="00190BBF"/>
    <w:rsid w:val="00194213"/>
    <w:rsid w:val="001E0443"/>
    <w:rsid w:val="001E2800"/>
    <w:rsid w:val="001F06CD"/>
    <w:rsid w:val="00211FAE"/>
    <w:rsid w:val="00212F11"/>
    <w:rsid w:val="0022306D"/>
    <w:rsid w:val="00226810"/>
    <w:rsid w:val="002324CF"/>
    <w:rsid w:val="0024242F"/>
    <w:rsid w:val="00247A73"/>
    <w:rsid w:val="0025189A"/>
    <w:rsid w:val="00270886"/>
    <w:rsid w:val="00292977"/>
    <w:rsid w:val="002B251F"/>
    <w:rsid w:val="002B7132"/>
    <w:rsid w:val="002D58FC"/>
    <w:rsid w:val="002E40A6"/>
    <w:rsid w:val="003118B4"/>
    <w:rsid w:val="00324CCD"/>
    <w:rsid w:val="00332E29"/>
    <w:rsid w:val="00340B1E"/>
    <w:rsid w:val="003525A7"/>
    <w:rsid w:val="003600BF"/>
    <w:rsid w:val="00383B35"/>
    <w:rsid w:val="003905DC"/>
    <w:rsid w:val="003B04CC"/>
    <w:rsid w:val="003B7774"/>
    <w:rsid w:val="003D4B8A"/>
    <w:rsid w:val="00403385"/>
    <w:rsid w:val="004071B2"/>
    <w:rsid w:val="004161B7"/>
    <w:rsid w:val="0047105F"/>
    <w:rsid w:val="00473921"/>
    <w:rsid w:val="00480872"/>
    <w:rsid w:val="00486079"/>
    <w:rsid w:val="00496435"/>
    <w:rsid w:val="00497FB8"/>
    <w:rsid w:val="004A11F6"/>
    <w:rsid w:val="004A395D"/>
    <w:rsid w:val="004D519C"/>
    <w:rsid w:val="004F04BE"/>
    <w:rsid w:val="005014C5"/>
    <w:rsid w:val="00526E7A"/>
    <w:rsid w:val="00551F8D"/>
    <w:rsid w:val="00564C17"/>
    <w:rsid w:val="00577528"/>
    <w:rsid w:val="00593DEE"/>
    <w:rsid w:val="005B19B4"/>
    <w:rsid w:val="005B2E13"/>
    <w:rsid w:val="005C3BCA"/>
    <w:rsid w:val="005C3EC5"/>
    <w:rsid w:val="005E0009"/>
    <w:rsid w:val="005F212A"/>
    <w:rsid w:val="0061461A"/>
    <w:rsid w:val="00645295"/>
    <w:rsid w:val="00667920"/>
    <w:rsid w:val="00693E27"/>
    <w:rsid w:val="00696C52"/>
    <w:rsid w:val="006A7447"/>
    <w:rsid w:val="006B5D5E"/>
    <w:rsid w:val="006C3482"/>
    <w:rsid w:val="006D79B4"/>
    <w:rsid w:val="006E0D35"/>
    <w:rsid w:val="006E4A2D"/>
    <w:rsid w:val="006F6B51"/>
    <w:rsid w:val="006F7EAB"/>
    <w:rsid w:val="00712A30"/>
    <w:rsid w:val="00715999"/>
    <w:rsid w:val="007273B3"/>
    <w:rsid w:val="007306EA"/>
    <w:rsid w:val="007309C5"/>
    <w:rsid w:val="0073705B"/>
    <w:rsid w:val="007451BC"/>
    <w:rsid w:val="00750168"/>
    <w:rsid w:val="00755D57"/>
    <w:rsid w:val="00756CC0"/>
    <w:rsid w:val="007848CB"/>
    <w:rsid w:val="007A5001"/>
    <w:rsid w:val="007A5628"/>
    <w:rsid w:val="007B104C"/>
    <w:rsid w:val="007D1947"/>
    <w:rsid w:val="007E12B8"/>
    <w:rsid w:val="0084774F"/>
    <w:rsid w:val="00867D3D"/>
    <w:rsid w:val="008A24E3"/>
    <w:rsid w:val="008A74B0"/>
    <w:rsid w:val="008B74DB"/>
    <w:rsid w:val="008D4C45"/>
    <w:rsid w:val="00901C87"/>
    <w:rsid w:val="00905B02"/>
    <w:rsid w:val="00916FA7"/>
    <w:rsid w:val="00921140"/>
    <w:rsid w:val="00931CAA"/>
    <w:rsid w:val="00957A53"/>
    <w:rsid w:val="009713B0"/>
    <w:rsid w:val="00994E1E"/>
    <w:rsid w:val="009C12B2"/>
    <w:rsid w:val="009E0E30"/>
    <w:rsid w:val="009E2460"/>
    <w:rsid w:val="00A12B58"/>
    <w:rsid w:val="00A4233F"/>
    <w:rsid w:val="00A818EF"/>
    <w:rsid w:val="00A826B1"/>
    <w:rsid w:val="00AA2A91"/>
    <w:rsid w:val="00AB2BC8"/>
    <w:rsid w:val="00AF435C"/>
    <w:rsid w:val="00B33F68"/>
    <w:rsid w:val="00B702C7"/>
    <w:rsid w:val="00B747F2"/>
    <w:rsid w:val="00B820BF"/>
    <w:rsid w:val="00BA3559"/>
    <w:rsid w:val="00BA441B"/>
    <w:rsid w:val="00BE6023"/>
    <w:rsid w:val="00C00A0E"/>
    <w:rsid w:val="00C17124"/>
    <w:rsid w:val="00C22195"/>
    <w:rsid w:val="00C267AA"/>
    <w:rsid w:val="00C34549"/>
    <w:rsid w:val="00C4349D"/>
    <w:rsid w:val="00C64A3C"/>
    <w:rsid w:val="00C77E3D"/>
    <w:rsid w:val="00C858A0"/>
    <w:rsid w:val="00C87C67"/>
    <w:rsid w:val="00C926A4"/>
    <w:rsid w:val="00C92D30"/>
    <w:rsid w:val="00CA09F3"/>
    <w:rsid w:val="00CB269C"/>
    <w:rsid w:val="00CC2FBF"/>
    <w:rsid w:val="00CC54CF"/>
    <w:rsid w:val="00CE107F"/>
    <w:rsid w:val="00CE6A00"/>
    <w:rsid w:val="00CF5B69"/>
    <w:rsid w:val="00D06B7D"/>
    <w:rsid w:val="00D23743"/>
    <w:rsid w:val="00D36EF4"/>
    <w:rsid w:val="00D474AD"/>
    <w:rsid w:val="00D6783D"/>
    <w:rsid w:val="00D75AE0"/>
    <w:rsid w:val="00D80574"/>
    <w:rsid w:val="00D82945"/>
    <w:rsid w:val="00D854A5"/>
    <w:rsid w:val="00DA15A1"/>
    <w:rsid w:val="00DA2B9B"/>
    <w:rsid w:val="00DA7184"/>
    <w:rsid w:val="00DB55BB"/>
    <w:rsid w:val="00DB7667"/>
    <w:rsid w:val="00DC483E"/>
    <w:rsid w:val="00DD1398"/>
    <w:rsid w:val="00E12C84"/>
    <w:rsid w:val="00E447F5"/>
    <w:rsid w:val="00E6352E"/>
    <w:rsid w:val="00E736C1"/>
    <w:rsid w:val="00E77EE2"/>
    <w:rsid w:val="00E91208"/>
    <w:rsid w:val="00EA270E"/>
    <w:rsid w:val="00EC2520"/>
    <w:rsid w:val="00EC5538"/>
    <w:rsid w:val="00EC61A9"/>
    <w:rsid w:val="00EE644D"/>
    <w:rsid w:val="00EF63C0"/>
    <w:rsid w:val="00EF75D5"/>
    <w:rsid w:val="00F02269"/>
    <w:rsid w:val="00F03C89"/>
    <w:rsid w:val="00F07D3E"/>
    <w:rsid w:val="00F10099"/>
    <w:rsid w:val="00F16E8A"/>
    <w:rsid w:val="00F378F1"/>
    <w:rsid w:val="00F56E61"/>
    <w:rsid w:val="00F57136"/>
    <w:rsid w:val="00FB6320"/>
    <w:rsid w:val="00FC718B"/>
    <w:rsid w:val="00FD22BA"/>
    <w:rsid w:val="00FD31F5"/>
    <w:rsid w:val="00FD57F4"/>
    <w:rsid w:val="00FE29A2"/>
    <w:rsid w:val="00FE65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0D35"/>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226810"/>
    <w:pPr>
      <w:tabs>
        <w:tab w:val="right" w:leader="dot" w:pos="9016"/>
      </w:tabs>
      <w:spacing w:after="100"/>
    </w:pPr>
    <w:rPr>
      <w:noProof/>
    </w:r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NormalWeb">
    <w:name w:val="Normal (Web)"/>
    <w:basedOn w:val="Normal"/>
    <w:uiPriority w:val="99"/>
    <w:semiHidden/>
    <w:unhideWhenUsed/>
    <w:rsid w:val="00593DEE"/>
    <w:rPr>
      <w:rFonts w:ascii="Times New Roman" w:hAnsi="Times New Roman" w:cs="Times New Roman"/>
      <w:sz w:val="24"/>
      <w:szCs w:val="24"/>
    </w:rPr>
  </w:style>
  <w:style w:type="paragraph" w:styleId="ListParagraph">
    <w:name w:val="List Paragraph"/>
    <w:basedOn w:val="Normal"/>
    <w:uiPriority w:val="34"/>
    <w:qFormat/>
    <w:rsid w:val="00593DEE"/>
    <w:pPr>
      <w:ind w:left="720"/>
      <w:contextualSpacing/>
    </w:pPr>
  </w:style>
  <w:style w:type="character" w:styleId="UnresolvedMention">
    <w:name w:val="Unresolved Mention"/>
    <w:basedOn w:val="DefaultParagraphFont"/>
    <w:uiPriority w:val="99"/>
    <w:semiHidden/>
    <w:unhideWhenUsed/>
    <w:rsid w:val="00FD57F4"/>
    <w:rPr>
      <w:color w:val="605E5C"/>
      <w:shd w:val="clear" w:color="auto" w:fill="E1DFDD"/>
    </w:rPr>
  </w:style>
  <w:style w:type="paragraph" w:styleId="Header">
    <w:name w:val="header"/>
    <w:basedOn w:val="Normal"/>
    <w:link w:val="HeaderChar"/>
    <w:uiPriority w:val="99"/>
    <w:unhideWhenUsed/>
    <w:rsid w:val="006B5D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5D5E"/>
  </w:style>
  <w:style w:type="paragraph" w:styleId="Footer">
    <w:name w:val="footer"/>
    <w:basedOn w:val="Normal"/>
    <w:link w:val="FooterChar"/>
    <w:uiPriority w:val="99"/>
    <w:unhideWhenUsed/>
    <w:rsid w:val="006B5D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5D5E"/>
  </w:style>
  <w:style w:type="paragraph" w:styleId="Caption">
    <w:name w:val="caption"/>
    <w:basedOn w:val="Normal"/>
    <w:next w:val="Normal"/>
    <w:uiPriority w:val="35"/>
    <w:unhideWhenUsed/>
    <w:qFormat/>
    <w:rsid w:val="00B820BF"/>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2E40A6"/>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footer" Target="footer1.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6272CD80AC924FB8BDA21DE1EDB27DC3"/>
        <w:category>
          <w:name w:val="General"/>
          <w:gallery w:val="placeholder"/>
        </w:category>
        <w:types>
          <w:type w:val="bbPlcHdr"/>
        </w:types>
        <w:behaviors>
          <w:behavior w:val="content"/>
        </w:behaviors>
        <w:guid w:val="{0873A9FA-813E-4D42-8DEA-3EA9E8562306}"/>
      </w:docPartPr>
      <w:docPartBody>
        <w:p w:rsidR="00896EB2" w:rsidRDefault="00B1091A" w:rsidP="00B1091A">
          <w:pPr>
            <w:pStyle w:val="6272CD80AC924FB8BDA21DE1EDB27DC3"/>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36E38"/>
    <w:rsid w:val="00145AD8"/>
    <w:rsid w:val="001B7D60"/>
    <w:rsid w:val="00242260"/>
    <w:rsid w:val="002450A7"/>
    <w:rsid w:val="002C1AD8"/>
    <w:rsid w:val="003203C2"/>
    <w:rsid w:val="00486079"/>
    <w:rsid w:val="004D25D2"/>
    <w:rsid w:val="00564C17"/>
    <w:rsid w:val="007848CB"/>
    <w:rsid w:val="007F13DF"/>
    <w:rsid w:val="00896EB2"/>
    <w:rsid w:val="008F796A"/>
    <w:rsid w:val="009D7389"/>
    <w:rsid w:val="00A34C42"/>
    <w:rsid w:val="00AC0DA6"/>
    <w:rsid w:val="00B1091A"/>
    <w:rsid w:val="00BA441B"/>
    <w:rsid w:val="00BC1251"/>
    <w:rsid w:val="00C6742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272CD80AC924FB8BDA21DE1EDB27DC3">
    <w:name w:val="6272CD80AC924FB8BDA21DE1EDB27DC3"/>
    <w:rsid w:val="00B1091A"/>
    <w:pPr>
      <w:spacing w:line="278" w:lineRule="auto"/>
    </w:pPr>
    <w:rPr>
      <w:kern w:val="2"/>
      <w:sz w:val="24"/>
      <w:szCs w:val="24"/>
      <w14:ligatures w14:val="standardContextual"/>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2026-05-10T00:00:00</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10" ma:contentTypeDescription="Create a new document." ma:contentTypeScope="" ma:versionID="aff3629d22d4e0b589f8146158d275c1">
  <xsd:schema xmlns:xsd="http://www.w3.org/2001/XMLSchema" xmlns:xs="http://www.w3.org/2001/XMLSchema" xmlns:p="http://schemas.microsoft.com/office/2006/metadata/properties" xmlns:ns3="b4f9f7ee-5770-4a14-8925-17f3d16e50b7" targetNamespace="http://schemas.microsoft.com/office/2006/metadata/properties" ma:root="true" ma:fieldsID="89501f4b28b0319492a27cab162d1c85"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element ref="ns3:_activity"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5.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5CA2D53-299F-4E8A-B34E-6A91A1F7E3CF}">
  <ds:schemaRefs>
    <ds:schemaRef ds:uri="http://schemas.microsoft.com/sharepoint/v3/contenttype/forms"/>
  </ds:schemaRefs>
</ds:datastoreItem>
</file>

<file path=customXml/itemProps3.xml><?xml version="1.0" encoding="utf-8"?>
<ds:datastoreItem xmlns:ds="http://schemas.openxmlformats.org/officeDocument/2006/customXml" ds:itemID="{296CE804-CFE8-450D-87E7-71A28CBCDF9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9A4411D-997F-8045-84F8-91606ACD0EC1}">
  <ds:schemaRefs>
    <ds:schemaRef ds:uri="http://schemas.openxmlformats.org/officeDocument/2006/bibliography"/>
  </ds:schemaRefs>
</ds:datastoreItem>
</file>

<file path=customXml/itemProps5.xml><?xml version="1.0" encoding="utf-8"?>
<ds:datastoreItem xmlns:ds="http://schemas.openxmlformats.org/officeDocument/2006/customXml" ds:itemID="{7E94C14D-7FC1-4317-A86E-1F0DE39ED907}">
  <ds:schemaRefs>
    <ds:schemaRef ds:uri="http://schemas.microsoft.com/office/2006/metadata/properties"/>
    <ds:schemaRef ds:uri="http://schemas.microsoft.com/office/infopath/2007/PartnerControls"/>
    <ds:schemaRef ds:uri="b4f9f7ee-5770-4a14-8925-17f3d16e50b7"/>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3943</Words>
  <Characters>22478</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MANAGEMENT, INNOVATION AND SUSTAINABILITY</vt:lpstr>
    </vt:vector>
  </TitlesOfParts>
  <Company>University of Wales Trinity Saint David</Company>
  <LinksUpToDate>false</LinksUpToDate>
  <CharactersWithSpaces>26369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MANAGEMENT, INNOVATION AND SUSTAINABILITY</dc:title>
  <dc:subject>Approaches to Innovation and Organisational Change</dc:subject>
  <dc:creator>Tom Evans (2516473)</dc:creator>
  <cp:keywords/>
  <dc:description/>
  <cp:lastModifiedBy>Tom Evans (2516473)</cp:lastModifiedBy>
  <cp:revision>13</cp:revision>
  <dcterms:created xsi:type="dcterms:W3CDTF">2026-05-10T09:47:00Z</dcterms:created>
  <dcterms:modified xsi:type="dcterms:W3CDTF">2026-05-10T11:38:00Z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