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426D9C" w14:textId="062738B9" w:rsidR="00A85C6E" w:rsidRPr="002D20B9" w:rsidRDefault="00A85C6E" w:rsidP="00A85C6E">
      <w:pPr>
        <w:pStyle w:val="p1"/>
        <w:spacing w:before="0" w:beforeAutospacing="0" w:after="0" w:afterAutospacing="0"/>
        <w:rPr>
          <w:color w:val="000000"/>
          <w:sz w:val="26"/>
          <w:szCs w:val="26"/>
        </w:rPr>
      </w:pPr>
    </w:p>
    <w:p w14:paraId="079A1AED" w14:textId="77777777" w:rsidR="00DD7B16" w:rsidRDefault="00DD7B16" w:rsidP="00A85C6E">
      <w:pPr>
        <w:pStyle w:val="p2"/>
        <w:spacing w:before="0" w:beforeAutospacing="0" w:after="0" w:afterAutospacing="0"/>
        <w:rPr>
          <w:color w:val="000000"/>
          <w:sz w:val="26"/>
          <w:szCs w:val="26"/>
        </w:rPr>
      </w:pPr>
    </w:p>
    <w:p w14:paraId="6C7BBB1A" w14:textId="29B7B4A6" w:rsidR="00A85C6E" w:rsidRPr="00CD3376" w:rsidRDefault="006E7B86" w:rsidP="00A85C6E">
      <w:pPr>
        <w:pStyle w:val="p2"/>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To prepare for hiring three new sales assistants, Jaspreet and Caroline need a thorough understanding of performance management and reward. This</w:t>
      </w:r>
      <w:r w:rsidRPr="00CD3376">
        <w:rPr>
          <w:rStyle w:val="s1"/>
          <w:rFonts w:asciiTheme="minorHAnsi" w:hAnsiTheme="minorHAnsi"/>
          <w:color w:val="000000"/>
        </w:rPr>
        <w:t xml:space="preserve"> unit </w:t>
      </w:r>
      <w:r w:rsidRPr="00CD3376">
        <w:rPr>
          <w:rStyle w:val="s1"/>
          <w:rFonts w:asciiTheme="minorHAnsi" w:hAnsiTheme="minorHAnsi"/>
          <w:color w:val="000000"/>
        </w:rPr>
        <w:t>discusses the purpose and components of performance management, key factors in effective performance management (Vroom, 1964; Adams, 1965), methods of performance review, essential elements of a total reward system, the relationship between reward and performance (Skinner, 1953), and the significance of fair pay practices</w:t>
      </w:r>
      <w:r w:rsidR="00A84CAA" w:rsidRPr="00CD3376">
        <w:rPr>
          <w:rStyle w:val="s1"/>
          <w:rFonts w:asciiTheme="minorHAnsi" w:hAnsiTheme="minorHAnsi"/>
          <w:color w:val="000000"/>
        </w:rPr>
        <w:t>.</w:t>
      </w:r>
    </w:p>
    <w:p w14:paraId="5C1309FC" w14:textId="77777777" w:rsidR="00A84CAA" w:rsidRPr="00CD3376" w:rsidRDefault="00A84CAA" w:rsidP="00A85C6E">
      <w:pPr>
        <w:pStyle w:val="p2"/>
        <w:spacing w:before="0" w:beforeAutospacing="0" w:after="0" w:afterAutospacing="0"/>
        <w:rPr>
          <w:rFonts w:asciiTheme="minorHAnsi" w:hAnsiTheme="minorHAnsi"/>
          <w:color w:val="000000"/>
        </w:rPr>
      </w:pPr>
    </w:p>
    <w:p w14:paraId="61C5D578" w14:textId="4390D396" w:rsidR="00A85C6E" w:rsidRPr="00CD3376" w:rsidRDefault="00E5425C" w:rsidP="00A85C6E">
      <w:pPr>
        <w:pStyle w:val="p1"/>
        <w:spacing w:before="0" w:beforeAutospacing="0" w:after="0" w:afterAutospacing="0"/>
        <w:rPr>
          <w:rFonts w:asciiTheme="minorHAnsi" w:hAnsiTheme="minorHAnsi"/>
          <w:b/>
          <w:bCs/>
          <w:color w:val="000000"/>
        </w:rPr>
      </w:pPr>
      <w:r w:rsidRPr="00CD3376">
        <w:rPr>
          <w:rStyle w:val="s1"/>
          <w:rFonts w:asciiTheme="minorHAnsi" w:hAnsiTheme="minorHAnsi"/>
          <w:b/>
          <w:bCs/>
          <w:color w:val="000000"/>
        </w:rPr>
        <w:t>(</w:t>
      </w:r>
      <w:r w:rsidR="00A85C6E" w:rsidRPr="00CD3376">
        <w:rPr>
          <w:rStyle w:val="s1"/>
          <w:rFonts w:asciiTheme="minorHAnsi" w:hAnsiTheme="minorHAnsi"/>
          <w:b/>
          <w:bCs/>
          <w:color w:val="000000"/>
        </w:rPr>
        <w:t>AC 4.1)</w:t>
      </w:r>
    </w:p>
    <w:p w14:paraId="7D9B54B3" w14:textId="77777777" w:rsidR="00A85C6E" w:rsidRPr="00CD3376" w:rsidRDefault="00A85C6E" w:rsidP="00A85C6E">
      <w:pPr>
        <w:pStyle w:val="p2"/>
        <w:spacing w:before="0" w:beforeAutospacing="0" w:after="0" w:afterAutospacing="0"/>
        <w:rPr>
          <w:rFonts w:asciiTheme="minorHAnsi" w:hAnsiTheme="minorHAnsi"/>
          <w:color w:val="000000"/>
        </w:rPr>
      </w:pPr>
    </w:p>
    <w:p w14:paraId="18731460" w14:textId="77777777" w:rsidR="00A85C6E" w:rsidRPr="00CD3376" w:rsidRDefault="00A85C6E" w:rsidP="00A85C6E">
      <w:pPr>
        <w:pStyle w:val="p1"/>
        <w:spacing w:before="0" w:beforeAutospacing="0" w:after="0" w:afterAutospacing="0"/>
        <w:rPr>
          <w:rFonts w:asciiTheme="minorHAnsi" w:hAnsiTheme="minorHAnsi"/>
          <w:color w:val="000000"/>
        </w:rPr>
      </w:pPr>
      <w:r w:rsidRPr="00CD3376">
        <w:rPr>
          <w:rStyle w:val="s1"/>
          <w:rFonts w:asciiTheme="minorHAnsi" w:hAnsiTheme="minorHAnsi"/>
          <w:color w:val="000000"/>
        </w:rPr>
        <w:t>Effective performance management serves several key purposes:</w:t>
      </w:r>
    </w:p>
    <w:p w14:paraId="710531FF" w14:textId="77777777" w:rsidR="00A85C6E" w:rsidRPr="00CD3376" w:rsidRDefault="00A85C6E" w:rsidP="00A85C6E">
      <w:pPr>
        <w:pStyle w:val="p1"/>
        <w:spacing w:before="0" w:beforeAutospacing="0" w:after="0" w:afterAutospacing="0"/>
        <w:rPr>
          <w:rStyle w:val="s1"/>
          <w:rFonts w:asciiTheme="minorHAnsi" w:hAnsiTheme="minorHAnsi"/>
          <w:color w:val="000000"/>
        </w:rPr>
      </w:pPr>
    </w:p>
    <w:p w14:paraId="0963AACF" w14:textId="0CE7F510" w:rsidR="00A85C6E" w:rsidRPr="00CD3376" w:rsidRDefault="00781BC5" w:rsidP="00A85C6E">
      <w:pPr>
        <w:pStyle w:val="p1"/>
        <w:numPr>
          <w:ilvl w:val="0"/>
          <w:numId w:val="9"/>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Aligning Organisational and Individual Goals: By setting clear and aligned goals, employees can see how their work contributes to the broader organisational objectives, fostering a sense of purpose and direction (Locke and Latham, 2002)</w:t>
      </w:r>
      <w:r w:rsidR="00A85C6E" w:rsidRPr="00CD3376">
        <w:rPr>
          <w:rStyle w:val="s1"/>
          <w:rFonts w:asciiTheme="minorHAnsi" w:hAnsiTheme="minorHAnsi"/>
          <w:color w:val="000000"/>
        </w:rPr>
        <w:t>.</w:t>
      </w:r>
    </w:p>
    <w:p w14:paraId="1FDDE30A" w14:textId="77777777" w:rsidR="00A85C6E" w:rsidRPr="00CD3376" w:rsidRDefault="00A85C6E" w:rsidP="00A85C6E">
      <w:pPr>
        <w:pStyle w:val="p1"/>
        <w:spacing w:before="0" w:beforeAutospacing="0" w:after="0" w:afterAutospacing="0"/>
        <w:rPr>
          <w:rFonts w:asciiTheme="minorHAnsi" w:hAnsiTheme="minorHAnsi"/>
          <w:color w:val="000000"/>
        </w:rPr>
      </w:pPr>
    </w:p>
    <w:p w14:paraId="3053D439" w14:textId="657D5FA0" w:rsidR="00A85C6E" w:rsidRPr="00CD3376" w:rsidRDefault="00781BC5" w:rsidP="00A85C6E">
      <w:pPr>
        <w:pStyle w:val="p1"/>
        <w:numPr>
          <w:ilvl w:val="0"/>
          <w:numId w:val="9"/>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Driving Performance and Productivity: Regular performance evaluations and feedback help identify areas where employees can improve, leading to enhanced productivity and efficiency (Armstrong and Taylor, 2014)</w:t>
      </w:r>
      <w:r w:rsidR="00A85C6E" w:rsidRPr="00CD3376">
        <w:rPr>
          <w:rStyle w:val="s1"/>
          <w:rFonts w:asciiTheme="minorHAnsi" w:hAnsiTheme="minorHAnsi"/>
          <w:color w:val="000000"/>
        </w:rPr>
        <w:t>.</w:t>
      </w:r>
    </w:p>
    <w:p w14:paraId="62DA4275" w14:textId="77777777" w:rsidR="00A85C6E" w:rsidRPr="00CD3376" w:rsidRDefault="00A85C6E" w:rsidP="00A85C6E">
      <w:pPr>
        <w:pStyle w:val="p1"/>
        <w:spacing w:before="0" w:beforeAutospacing="0" w:after="0" w:afterAutospacing="0"/>
        <w:rPr>
          <w:rFonts w:asciiTheme="minorHAnsi" w:hAnsiTheme="minorHAnsi"/>
          <w:color w:val="000000"/>
        </w:rPr>
      </w:pPr>
    </w:p>
    <w:p w14:paraId="2ACF7E61" w14:textId="7A6ED1C2" w:rsidR="00A85C6E" w:rsidRPr="00CD3376" w:rsidRDefault="00A85C6E" w:rsidP="00A85C6E">
      <w:pPr>
        <w:pStyle w:val="p1"/>
        <w:numPr>
          <w:ilvl w:val="0"/>
          <w:numId w:val="9"/>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 xml:space="preserve">Enhancing Employee Development: </w:t>
      </w:r>
      <w:r w:rsidR="00781BC5" w:rsidRPr="00CD3376">
        <w:rPr>
          <w:rStyle w:val="s1"/>
          <w:rFonts w:asciiTheme="minorHAnsi" w:hAnsiTheme="minorHAnsi"/>
          <w:color w:val="000000"/>
        </w:rPr>
        <w:t>Through continuous feedback and development plans, employees can grow their skills and advance their careers, which benefits both the individual and the organisation (Deci and Ryan, 2000)</w:t>
      </w:r>
      <w:r w:rsidRPr="00CD3376">
        <w:rPr>
          <w:rStyle w:val="s1"/>
          <w:rFonts w:asciiTheme="minorHAnsi" w:hAnsiTheme="minorHAnsi"/>
          <w:color w:val="000000"/>
        </w:rPr>
        <w:t>.</w:t>
      </w:r>
    </w:p>
    <w:p w14:paraId="30AC06B5" w14:textId="77777777" w:rsidR="00A85C6E" w:rsidRPr="00CD3376" w:rsidRDefault="00A85C6E" w:rsidP="00A85C6E">
      <w:pPr>
        <w:pStyle w:val="p1"/>
        <w:spacing w:before="0" w:beforeAutospacing="0" w:after="0" w:afterAutospacing="0"/>
        <w:rPr>
          <w:rFonts w:asciiTheme="minorHAnsi" w:hAnsiTheme="minorHAnsi"/>
          <w:color w:val="000000"/>
        </w:rPr>
      </w:pPr>
    </w:p>
    <w:p w14:paraId="6FAD2BD2" w14:textId="07FDB0C0" w:rsidR="00A85C6E" w:rsidRPr="00CD3376" w:rsidRDefault="00A85C6E" w:rsidP="00A85C6E">
      <w:pPr>
        <w:pStyle w:val="p1"/>
        <w:numPr>
          <w:ilvl w:val="0"/>
          <w:numId w:val="9"/>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 xml:space="preserve">Fostering a Culture of Accountability: </w:t>
      </w:r>
      <w:r w:rsidR="00781BC5" w:rsidRPr="00CD3376">
        <w:rPr>
          <w:rStyle w:val="s1"/>
          <w:rFonts w:asciiTheme="minorHAnsi" w:hAnsiTheme="minorHAnsi"/>
          <w:color w:val="000000"/>
        </w:rPr>
        <w:t>Performance management creates a culture where employees are accountable for their performance, encouraging them to take ownership of their roles and responsibilities (Robbins et al., 2017</w:t>
      </w:r>
      <w:r w:rsidRPr="00CD3376">
        <w:rPr>
          <w:rStyle w:val="s1"/>
          <w:rFonts w:asciiTheme="minorHAnsi" w:hAnsiTheme="minorHAnsi"/>
          <w:color w:val="000000"/>
        </w:rPr>
        <w:t>.</w:t>
      </w:r>
    </w:p>
    <w:p w14:paraId="4FA706E2" w14:textId="77777777" w:rsidR="00A85C6E" w:rsidRPr="00CD3376" w:rsidRDefault="00A85C6E" w:rsidP="00A85C6E">
      <w:pPr>
        <w:pStyle w:val="p1"/>
        <w:spacing w:before="0" w:beforeAutospacing="0" w:after="0" w:afterAutospacing="0"/>
        <w:rPr>
          <w:rFonts w:asciiTheme="minorHAnsi" w:hAnsiTheme="minorHAnsi"/>
          <w:color w:val="000000"/>
        </w:rPr>
      </w:pPr>
    </w:p>
    <w:p w14:paraId="0828A3E2" w14:textId="703F6118" w:rsidR="00A85C6E" w:rsidRPr="00CD3376" w:rsidRDefault="00A85C6E" w:rsidP="00A85C6E">
      <w:pPr>
        <w:pStyle w:val="p1"/>
        <w:numPr>
          <w:ilvl w:val="0"/>
          <w:numId w:val="9"/>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Recognising and Rewarding Achievement</w:t>
      </w:r>
      <w:r w:rsidR="00E5425C" w:rsidRPr="00CD3376">
        <w:rPr>
          <w:rStyle w:val="s1"/>
          <w:rFonts w:asciiTheme="minorHAnsi" w:hAnsiTheme="minorHAnsi"/>
          <w:color w:val="000000"/>
        </w:rPr>
        <w:t xml:space="preserve">: </w:t>
      </w:r>
      <w:r w:rsidR="00781BC5" w:rsidRPr="00CD3376">
        <w:rPr>
          <w:rStyle w:val="s1"/>
          <w:rFonts w:asciiTheme="minorHAnsi" w:hAnsiTheme="minorHAnsi"/>
          <w:color w:val="000000"/>
        </w:rPr>
        <w:t>By acknowledging and rewarding high performance, organisations can motivate employees and retain top talent (Beer et al., 1984</w:t>
      </w:r>
      <w:r w:rsidR="00DD7B16" w:rsidRPr="00CD3376">
        <w:rPr>
          <w:rStyle w:val="s1"/>
          <w:rFonts w:asciiTheme="minorHAnsi" w:hAnsiTheme="minorHAnsi"/>
          <w:color w:val="000000"/>
        </w:rPr>
        <w:t>)</w:t>
      </w:r>
      <w:r w:rsidRPr="00CD3376">
        <w:rPr>
          <w:rStyle w:val="s1"/>
          <w:rFonts w:asciiTheme="minorHAnsi" w:hAnsiTheme="minorHAnsi"/>
          <w:color w:val="000000"/>
        </w:rPr>
        <w:t>.</w:t>
      </w:r>
    </w:p>
    <w:p w14:paraId="70D576F4" w14:textId="77777777" w:rsidR="00A85C6E" w:rsidRPr="00CD3376" w:rsidRDefault="00A85C6E" w:rsidP="00A85C6E">
      <w:pPr>
        <w:pStyle w:val="p2"/>
        <w:spacing w:before="0" w:beforeAutospacing="0" w:after="0" w:afterAutospacing="0"/>
        <w:rPr>
          <w:rFonts w:asciiTheme="minorHAnsi" w:hAnsiTheme="minorHAnsi"/>
          <w:color w:val="000000"/>
        </w:rPr>
      </w:pPr>
    </w:p>
    <w:p w14:paraId="2EB23851" w14:textId="77777777" w:rsidR="00DD7B16" w:rsidRPr="00CD3376" w:rsidRDefault="00DD7B16" w:rsidP="00A85C6E">
      <w:pPr>
        <w:pStyle w:val="p2"/>
        <w:spacing w:before="0" w:beforeAutospacing="0" w:after="0" w:afterAutospacing="0"/>
        <w:rPr>
          <w:rFonts w:asciiTheme="minorHAnsi" w:hAnsiTheme="minorHAnsi"/>
          <w:color w:val="000000"/>
        </w:rPr>
      </w:pPr>
    </w:p>
    <w:p w14:paraId="484151D8" w14:textId="77777777" w:rsidR="00A85C6E" w:rsidRPr="00CD3376" w:rsidRDefault="00A85C6E" w:rsidP="00A85C6E">
      <w:pPr>
        <w:pStyle w:val="p1"/>
        <w:spacing w:before="0" w:beforeAutospacing="0" w:after="0" w:afterAutospacing="0"/>
        <w:rPr>
          <w:rFonts w:asciiTheme="minorHAnsi" w:hAnsiTheme="minorHAnsi"/>
          <w:color w:val="000000"/>
        </w:rPr>
      </w:pPr>
      <w:r w:rsidRPr="00CD3376">
        <w:rPr>
          <w:rStyle w:val="s1"/>
          <w:rFonts w:asciiTheme="minorHAnsi" w:hAnsiTheme="minorHAnsi"/>
          <w:color w:val="000000"/>
        </w:rPr>
        <w:t>The key components of an effective performance management system include:</w:t>
      </w:r>
    </w:p>
    <w:p w14:paraId="6137FFDA" w14:textId="77777777" w:rsidR="00A85C6E" w:rsidRPr="00CD3376" w:rsidRDefault="00A85C6E" w:rsidP="00A85C6E">
      <w:pPr>
        <w:pStyle w:val="p1"/>
        <w:spacing w:before="0" w:beforeAutospacing="0" w:after="0" w:afterAutospacing="0"/>
        <w:rPr>
          <w:rStyle w:val="s1"/>
          <w:rFonts w:asciiTheme="minorHAnsi" w:hAnsiTheme="minorHAnsi"/>
          <w:color w:val="000000"/>
        </w:rPr>
      </w:pPr>
    </w:p>
    <w:p w14:paraId="00E0CFB6" w14:textId="69F68B10" w:rsidR="00A85C6E" w:rsidRPr="00CD3376" w:rsidRDefault="00A85C6E" w:rsidP="00A85C6E">
      <w:pPr>
        <w:pStyle w:val="p1"/>
        <w:numPr>
          <w:ilvl w:val="0"/>
          <w:numId w:val="10"/>
        </w:numPr>
        <w:spacing w:before="0" w:beforeAutospacing="0" w:after="0" w:afterAutospacing="0"/>
        <w:rPr>
          <w:rFonts w:asciiTheme="minorHAnsi" w:hAnsiTheme="minorHAnsi"/>
          <w:color w:val="000000"/>
        </w:rPr>
      </w:pPr>
      <w:r w:rsidRPr="00CD3376">
        <w:rPr>
          <w:rStyle w:val="s1"/>
          <w:rFonts w:asciiTheme="minorHAnsi" w:hAnsiTheme="minorHAnsi"/>
          <w:color w:val="000000"/>
        </w:rPr>
        <w:t xml:space="preserve">Goal Setting: </w:t>
      </w:r>
      <w:r w:rsidR="0047335B" w:rsidRPr="00CD3376">
        <w:rPr>
          <w:rStyle w:val="s1"/>
          <w:rFonts w:asciiTheme="minorHAnsi" w:hAnsiTheme="minorHAnsi"/>
          <w:color w:val="000000"/>
        </w:rPr>
        <w:t>Setting SMART goals aligning with the organisation's strategic objectives is crucial. It requires collaboration between managers and employees to ensure clarity, mutual understanding, and commitment</w:t>
      </w:r>
      <w:r w:rsidR="00DD7B16" w:rsidRPr="00CD3376">
        <w:rPr>
          <w:rStyle w:val="s1"/>
          <w:rFonts w:asciiTheme="minorHAnsi" w:hAnsiTheme="minorHAnsi"/>
          <w:color w:val="000000"/>
        </w:rPr>
        <w:t>.</w:t>
      </w:r>
    </w:p>
    <w:p w14:paraId="01705AD8" w14:textId="77777777" w:rsidR="00A85C6E" w:rsidRPr="00CD3376" w:rsidRDefault="00A85C6E" w:rsidP="00A85C6E">
      <w:pPr>
        <w:pStyle w:val="p1"/>
        <w:spacing w:before="0" w:beforeAutospacing="0" w:after="0" w:afterAutospacing="0"/>
        <w:ind w:left="720"/>
        <w:rPr>
          <w:rFonts w:asciiTheme="minorHAnsi" w:hAnsiTheme="minorHAnsi"/>
          <w:color w:val="000000"/>
        </w:rPr>
      </w:pPr>
    </w:p>
    <w:p w14:paraId="37C74AC3" w14:textId="274D39DC" w:rsidR="00A85C6E" w:rsidRPr="00CD3376" w:rsidRDefault="00A85C6E" w:rsidP="00A85C6E">
      <w:pPr>
        <w:pStyle w:val="p1"/>
        <w:numPr>
          <w:ilvl w:val="0"/>
          <w:numId w:val="10"/>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 xml:space="preserve">Continuous Feedback: </w:t>
      </w:r>
      <w:r w:rsidR="000C6582" w:rsidRPr="00CD3376">
        <w:rPr>
          <w:rStyle w:val="s1"/>
          <w:rFonts w:asciiTheme="minorHAnsi" w:hAnsiTheme="minorHAnsi"/>
          <w:color w:val="000000"/>
        </w:rPr>
        <w:t>Providing ongoing feedback is crucial for helping employees stay on track and make necessary adjustments. Regular feedback sessions can promptly address performance issues and reinforce positive behaviours. Feedback should be constructive, specific, and timely to be effective (Armstrong and Taylor, 2014)</w:t>
      </w:r>
      <w:r w:rsidRPr="00CD3376">
        <w:rPr>
          <w:rStyle w:val="s1"/>
          <w:rFonts w:asciiTheme="minorHAnsi" w:hAnsiTheme="minorHAnsi"/>
          <w:color w:val="000000"/>
        </w:rPr>
        <w:t>.</w:t>
      </w:r>
    </w:p>
    <w:p w14:paraId="08C85757" w14:textId="77777777" w:rsidR="00A85C6E" w:rsidRPr="00CD3376" w:rsidRDefault="00A85C6E" w:rsidP="00A85C6E">
      <w:pPr>
        <w:pStyle w:val="p1"/>
        <w:spacing w:before="0" w:beforeAutospacing="0" w:after="0" w:afterAutospacing="0"/>
        <w:rPr>
          <w:rFonts w:asciiTheme="minorHAnsi" w:hAnsiTheme="minorHAnsi"/>
          <w:color w:val="000000"/>
        </w:rPr>
      </w:pPr>
    </w:p>
    <w:p w14:paraId="1962E954" w14:textId="0AE98E4B" w:rsidR="00A85C6E" w:rsidRPr="00CD3376" w:rsidRDefault="00A85C6E" w:rsidP="00A85C6E">
      <w:pPr>
        <w:pStyle w:val="p1"/>
        <w:numPr>
          <w:ilvl w:val="0"/>
          <w:numId w:val="10"/>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 xml:space="preserve">Performance Appraisal: </w:t>
      </w:r>
      <w:r w:rsidR="000C6582" w:rsidRPr="00CD3376">
        <w:rPr>
          <w:rStyle w:val="s1"/>
          <w:rFonts w:asciiTheme="minorHAnsi" w:hAnsiTheme="minorHAnsi"/>
          <w:color w:val="000000"/>
        </w:rPr>
        <w:t>Conducting regular formal evaluations is essential to assess employee performance against set goals. These appraisals provide a structured opportunity to discuss achievements, challenges, and areas for improvement. They should be based on objective criteria and documented evidence to ensure fairness and accuracy (Robbins et al., 2017)</w:t>
      </w:r>
      <w:r w:rsidRPr="00CD3376">
        <w:rPr>
          <w:rStyle w:val="s1"/>
          <w:rFonts w:asciiTheme="minorHAnsi" w:hAnsiTheme="minorHAnsi"/>
          <w:color w:val="000000"/>
        </w:rPr>
        <w:t>.</w:t>
      </w:r>
    </w:p>
    <w:p w14:paraId="7A416358" w14:textId="77777777" w:rsidR="00A85C6E" w:rsidRPr="00CD3376" w:rsidRDefault="00A85C6E" w:rsidP="00A85C6E">
      <w:pPr>
        <w:pStyle w:val="p1"/>
        <w:spacing w:before="0" w:beforeAutospacing="0" w:after="0" w:afterAutospacing="0"/>
        <w:rPr>
          <w:rFonts w:asciiTheme="minorHAnsi" w:hAnsiTheme="minorHAnsi"/>
          <w:color w:val="000000"/>
        </w:rPr>
      </w:pPr>
    </w:p>
    <w:p w14:paraId="72B5CEC0" w14:textId="60C2614A" w:rsidR="00A85C6E" w:rsidRPr="00CD3376" w:rsidRDefault="00A85C6E" w:rsidP="00A85C6E">
      <w:pPr>
        <w:pStyle w:val="p1"/>
        <w:numPr>
          <w:ilvl w:val="0"/>
          <w:numId w:val="10"/>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lastRenderedPageBreak/>
        <w:t xml:space="preserve">Development Plans: </w:t>
      </w:r>
      <w:r w:rsidR="000C6582" w:rsidRPr="00CD3376">
        <w:rPr>
          <w:rStyle w:val="s1"/>
          <w:rFonts w:asciiTheme="minorHAnsi" w:hAnsiTheme="minorHAnsi"/>
          <w:color w:val="000000"/>
        </w:rPr>
        <w:t>Creating personalised development plans helps employees enhance their skills and competencies, aligning their growth with organisational needs. Plans should include specific actions, timelines, and required resources to achieve desired outcomes (Deci and Ryan, 2000)</w:t>
      </w:r>
      <w:r w:rsidRPr="00CD3376">
        <w:rPr>
          <w:rStyle w:val="s1"/>
          <w:rFonts w:asciiTheme="minorHAnsi" w:hAnsiTheme="minorHAnsi"/>
          <w:color w:val="000000"/>
        </w:rPr>
        <w:t>.</w:t>
      </w:r>
    </w:p>
    <w:p w14:paraId="7510CCBA" w14:textId="77777777" w:rsidR="00A85C6E" w:rsidRPr="00CD3376" w:rsidRDefault="00A85C6E" w:rsidP="00A85C6E">
      <w:pPr>
        <w:pStyle w:val="p1"/>
        <w:spacing w:before="0" w:beforeAutospacing="0" w:after="0" w:afterAutospacing="0"/>
        <w:rPr>
          <w:rFonts w:asciiTheme="minorHAnsi" w:hAnsiTheme="minorHAnsi"/>
          <w:color w:val="000000"/>
        </w:rPr>
      </w:pPr>
    </w:p>
    <w:p w14:paraId="17F2136D" w14:textId="2A880935" w:rsidR="00A85C6E" w:rsidRPr="00CD3376" w:rsidRDefault="00A85C6E" w:rsidP="00A85C6E">
      <w:pPr>
        <w:pStyle w:val="p1"/>
        <w:numPr>
          <w:ilvl w:val="0"/>
          <w:numId w:val="10"/>
        </w:numPr>
        <w:spacing w:before="0" w:beforeAutospacing="0" w:after="0" w:afterAutospacing="0"/>
        <w:rPr>
          <w:rFonts w:asciiTheme="minorHAnsi" w:hAnsiTheme="minorHAnsi"/>
          <w:color w:val="000000"/>
        </w:rPr>
      </w:pPr>
      <w:r w:rsidRPr="00CD3376">
        <w:rPr>
          <w:rStyle w:val="s1"/>
          <w:rFonts w:asciiTheme="minorHAnsi" w:hAnsiTheme="minorHAnsi"/>
          <w:color w:val="000000"/>
        </w:rPr>
        <w:t xml:space="preserve">Recognition and Reward: </w:t>
      </w:r>
      <w:r w:rsidR="000C6582" w:rsidRPr="00CD3376">
        <w:rPr>
          <w:rStyle w:val="s1"/>
          <w:rFonts w:asciiTheme="minorHAnsi" w:hAnsiTheme="minorHAnsi"/>
          <w:color w:val="000000"/>
        </w:rPr>
        <w:t>Acknowledging and rewarding employees' achievements serves to motivate and retain talent. Recognition can be both formal and informal, encompassing financial and non-financial rewards. Examples include monetary bonuses, public recognition, additional responsibilities, and opportunities for professional development (Skinner, 1953)</w:t>
      </w:r>
      <w:r w:rsidRPr="00CD3376">
        <w:rPr>
          <w:rStyle w:val="s1"/>
          <w:rFonts w:asciiTheme="minorHAnsi" w:hAnsiTheme="minorHAnsi"/>
          <w:color w:val="000000"/>
        </w:rPr>
        <w:t>.</w:t>
      </w:r>
    </w:p>
    <w:p w14:paraId="3CDFF5B2" w14:textId="77777777" w:rsidR="00A85C6E" w:rsidRPr="00CD3376" w:rsidRDefault="00A85C6E" w:rsidP="00A85C6E">
      <w:pPr>
        <w:pStyle w:val="p2"/>
        <w:spacing w:before="0" w:beforeAutospacing="0" w:after="0" w:afterAutospacing="0"/>
        <w:rPr>
          <w:rFonts w:asciiTheme="minorHAnsi" w:hAnsiTheme="minorHAnsi"/>
          <w:color w:val="000000"/>
        </w:rPr>
      </w:pPr>
    </w:p>
    <w:p w14:paraId="76E170DF" w14:textId="27D0B4DD" w:rsidR="00A85C6E" w:rsidRPr="00CD3376" w:rsidRDefault="00A85C6E" w:rsidP="00A85C6E">
      <w:pPr>
        <w:pStyle w:val="p1"/>
        <w:spacing w:before="0" w:beforeAutospacing="0" w:after="0" w:afterAutospacing="0"/>
        <w:rPr>
          <w:rFonts w:asciiTheme="minorHAnsi" w:hAnsiTheme="minorHAnsi"/>
          <w:b/>
          <w:bCs/>
          <w:color w:val="000000"/>
        </w:rPr>
      </w:pPr>
      <w:r w:rsidRPr="00CD3376">
        <w:rPr>
          <w:rStyle w:val="s1"/>
          <w:rFonts w:asciiTheme="minorHAnsi" w:hAnsiTheme="minorHAnsi"/>
          <w:b/>
          <w:bCs/>
          <w:color w:val="000000"/>
        </w:rPr>
        <w:t>(AC 4.2)</w:t>
      </w:r>
    </w:p>
    <w:p w14:paraId="41B41897" w14:textId="77777777" w:rsidR="00A85C6E" w:rsidRPr="00CD3376" w:rsidRDefault="00A85C6E" w:rsidP="00A85C6E">
      <w:pPr>
        <w:pStyle w:val="p2"/>
        <w:spacing w:before="0" w:beforeAutospacing="0" w:after="0" w:afterAutospacing="0"/>
        <w:rPr>
          <w:rFonts w:asciiTheme="minorHAnsi" w:hAnsiTheme="minorHAnsi"/>
          <w:color w:val="000000"/>
        </w:rPr>
      </w:pPr>
    </w:p>
    <w:p w14:paraId="3520432E" w14:textId="77777777" w:rsidR="00A85C6E" w:rsidRPr="00CD3376" w:rsidRDefault="00A85C6E" w:rsidP="00A85C6E">
      <w:pPr>
        <w:pStyle w:val="p1"/>
        <w:spacing w:before="0" w:beforeAutospacing="0" w:after="0" w:afterAutospacing="0"/>
        <w:rPr>
          <w:rFonts w:asciiTheme="minorHAnsi" w:hAnsiTheme="minorHAnsi"/>
          <w:color w:val="000000"/>
        </w:rPr>
      </w:pPr>
      <w:r w:rsidRPr="00CD3376">
        <w:rPr>
          <w:rStyle w:val="s1"/>
          <w:rFonts w:asciiTheme="minorHAnsi" w:hAnsiTheme="minorHAnsi"/>
          <w:color w:val="000000"/>
        </w:rPr>
        <w:t>Effective performance management requires consideration of several critical factors:</w:t>
      </w:r>
    </w:p>
    <w:p w14:paraId="31BE0BE3" w14:textId="77777777" w:rsidR="00A85C6E" w:rsidRPr="00CD3376" w:rsidRDefault="00A85C6E" w:rsidP="00A85C6E">
      <w:pPr>
        <w:pStyle w:val="p2"/>
        <w:spacing w:before="0" w:beforeAutospacing="0" w:after="0" w:afterAutospacing="0"/>
        <w:rPr>
          <w:rFonts w:asciiTheme="minorHAnsi" w:hAnsiTheme="minorHAnsi"/>
          <w:color w:val="000000"/>
        </w:rPr>
      </w:pPr>
    </w:p>
    <w:p w14:paraId="7EBA96BF" w14:textId="62D8B81C" w:rsidR="00A85C6E" w:rsidRPr="00CD3376" w:rsidRDefault="00A85C6E" w:rsidP="00A85C6E">
      <w:pPr>
        <w:pStyle w:val="p1"/>
        <w:numPr>
          <w:ilvl w:val="0"/>
          <w:numId w:val="11"/>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 xml:space="preserve">Clear Objectives: </w:t>
      </w:r>
      <w:r w:rsidR="000C6582" w:rsidRPr="00CD3376">
        <w:rPr>
          <w:rStyle w:val="s1"/>
          <w:rFonts w:asciiTheme="minorHAnsi" w:hAnsiTheme="minorHAnsi"/>
          <w:color w:val="000000"/>
        </w:rPr>
        <w:t xml:space="preserve">Performance objectives must be clear and effectively communicated. Ensuring these objectives are SMART helps employees understand expectations clearly (Locke and Latham, 2002). Clear objectives provide a </w:t>
      </w:r>
      <w:r w:rsidR="000C6582" w:rsidRPr="00CD3376">
        <w:rPr>
          <w:rStyle w:val="s1"/>
          <w:rFonts w:asciiTheme="minorHAnsi" w:hAnsiTheme="minorHAnsi"/>
          <w:color w:val="000000"/>
        </w:rPr>
        <w:t>map</w:t>
      </w:r>
      <w:r w:rsidR="000C6582" w:rsidRPr="00CD3376">
        <w:rPr>
          <w:rStyle w:val="s1"/>
          <w:rFonts w:asciiTheme="minorHAnsi" w:hAnsiTheme="minorHAnsi"/>
          <w:color w:val="000000"/>
        </w:rPr>
        <w:t xml:space="preserve"> for employees, focusing their efforts on achieving specific outcomes</w:t>
      </w:r>
      <w:r w:rsidRPr="00CD3376">
        <w:rPr>
          <w:rStyle w:val="s1"/>
          <w:rFonts w:asciiTheme="minorHAnsi" w:hAnsiTheme="minorHAnsi"/>
          <w:color w:val="000000"/>
        </w:rPr>
        <w:t>.</w:t>
      </w:r>
    </w:p>
    <w:p w14:paraId="166C53F8" w14:textId="77777777" w:rsidR="00A85C6E" w:rsidRPr="00CD3376" w:rsidRDefault="00A85C6E" w:rsidP="00A85C6E">
      <w:pPr>
        <w:pStyle w:val="p1"/>
        <w:spacing w:before="0" w:beforeAutospacing="0" w:after="0" w:afterAutospacing="0"/>
        <w:rPr>
          <w:rFonts w:asciiTheme="minorHAnsi" w:hAnsiTheme="minorHAnsi"/>
          <w:color w:val="000000"/>
        </w:rPr>
      </w:pPr>
    </w:p>
    <w:p w14:paraId="4D16F425" w14:textId="4CDE2F4E" w:rsidR="00A85C6E" w:rsidRPr="00CD3376" w:rsidRDefault="00A85C6E" w:rsidP="00A85C6E">
      <w:pPr>
        <w:pStyle w:val="p1"/>
        <w:numPr>
          <w:ilvl w:val="0"/>
          <w:numId w:val="11"/>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 xml:space="preserve">Regular Communication: </w:t>
      </w:r>
      <w:r w:rsidR="000C6582" w:rsidRPr="00CD3376">
        <w:rPr>
          <w:rStyle w:val="s1"/>
          <w:rFonts w:asciiTheme="minorHAnsi" w:hAnsiTheme="minorHAnsi"/>
          <w:color w:val="000000"/>
        </w:rPr>
        <w:t>Maintaining open communication is vital. Managers should regularly provide support, guidance, and feedback to keep employees engaged and informed. Open communication fosters trust and transparency, facilitating the addressing of performance issues and celebrating successes (Armstrong and Taylor, 2014</w:t>
      </w:r>
      <w:r w:rsidR="000C6582" w:rsidRPr="00CD3376">
        <w:rPr>
          <w:rStyle w:val="s1"/>
          <w:rFonts w:asciiTheme="minorHAnsi" w:hAnsiTheme="minorHAnsi"/>
          <w:color w:val="000000"/>
        </w:rPr>
        <w:t>)</w:t>
      </w:r>
      <w:r w:rsidRPr="00CD3376">
        <w:rPr>
          <w:rStyle w:val="s1"/>
          <w:rFonts w:asciiTheme="minorHAnsi" w:hAnsiTheme="minorHAnsi"/>
          <w:color w:val="000000"/>
        </w:rPr>
        <w:t>.</w:t>
      </w:r>
    </w:p>
    <w:p w14:paraId="63D82CEB" w14:textId="77777777" w:rsidR="00A85C6E" w:rsidRPr="00CD3376" w:rsidRDefault="00A85C6E" w:rsidP="00A85C6E">
      <w:pPr>
        <w:pStyle w:val="p1"/>
        <w:spacing w:before="0" w:beforeAutospacing="0" w:after="0" w:afterAutospacing="0"/>
        <w:rPr>
          <w:rFonts w:asciiTheme="minorHAnsi" w:hAnsiTheme="minorHAnsi"/>
          <w:color w:val="000000"/>
        </w:rPr>
      </w:pPr>
    </w:p>
    <w:p w14:paraId="39E4FD60" w14:textId="1C218453" w:rsidR="00A85C6E" w:rsidRPr="00CD3376" w:rsidRDefault="00A85C6E" w:rsidP="00A85C6E">
      <w:pPr>
        <w:pStyle w:val="p1"/>
        <w:numPr>
          <w:ilvl w:val="0"/>
          <w:numId w:val="11"/>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 xml:space="preserve">Training and Development: </w:t>
      </w:r>
      <w:r w:rsidR="000C6582" w:rsidRPr="00CD3376">
        <w:rPr>
          <w:rStyle w:val="s1"/>
          <w:rFonts w:asciiTheme="minorHAnsi" w:hAnsiTheme="minorHAnsi"/>
          <w:color w:val="000000"/>
        </w:rPr>
        <w:t>Continuous training and development opportunities help employees meet performance expectations and adapt to evolving job requirements. Programs should be tailored to individual needs and aligned with organisational goals, including on the job training, workshops, e-learning, and mentorship (Beer et al., 1984)</w:t>
      </w:r>
      <w:r w:rsidRPr="00CD3376">
        <w:rPr>
          <w:rStyle w:val="s1"/>
          <w:rFonts w:asciiTheme="minorHAnsi" w:hAnsiTheme="minorHAnsi"/>
          <w:color w:val="000000"/>
        </w:rPr>
        <w:t>.</w:t>
      </w:r>
    </w:p>
    <w:p w14:paraId="59E598F6" w14:textId="77777777" w:rsidR="00A85C6E" w:rsidRPr="00CD3376" w:rsidRDefault="00A85C6E" w:rsidP="00A85C6E">
      <w:pPr>
        <w:pStyle w:val="p1"/>
        <w:spacing w:before="0" w:beforeAutospacing="0" w:after="0" w:afterAutospacing="0"/>
        <w:rPr>
          <w:rFonts w:asciiTheme="minorHAnsi" w:hAnsiTheme="minorHAnsi"/>
          <w:color w:val="000000"/>
        </w:rPr>
      </w:pPr>
    </w:p>
    <w:p w14:paraId="5CC1F692" w14:textId="505B85C5" w:rsidR="00A85C6E" w:rsidRPr="00CD3376" w:rsidRDefault="00A85C6E" w:rsidP="00A85C6E">
      <w:pPr>
        <w:pStyle w:val="p1"/>
        <w:numPr>
          <w:ilvl w:val="0"/>
          <w:numId w:val="11"/>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 xml:space="preserve">Fair Evaluation: </w:t>
      </w:r>
      <w:r w:rsidR="000C6582" w:rsidRPr="00CD3376">
        <w:rPr>
          <w:rStyle w:val="s1"/>
          <w:rFonts w:asciiTheme="minorHAnsi" w:hAnsiTheme="minorHAnsi"/>
          <w:color w:val="000000"/>
        </w:rPr>
        <w:t>Performance evaluations should be objective and based on standardised criteria to prevent biases and ensure fairness. Utilising multiple sources of information, including self-assessments, peer reviews, and performance data, enhances the evaluations' objectivity. Managers should undergo training to conduct impartial and unbiased evaluations (Robbins et al., 2017)</w:t>
      </w:r>
      <w:r w:rsidRPr="00CD3376">
        <w:rPr>
          <w:rStyle w:val="s1"/>
          <w:rFonts w:asciiTheme="minorHAnsi" w:hAnsiTheme="minorHAnsi"/>
          <w:color w:val="000000"/>
        </w:rPr>
        <w:t>.</w:t>
      </w:r>
    </w:p>
    <w:p w14:paraId="6070A062" w14:textId="77777777" w:rsidR="00A85C6E" w:rsidRPr="00CD3376" w:rsidRDefault="00A85C6E" w:rsidP="00A85C6E">
      <w:pPr>
        <w:pStyle w:val="p1"/>
        <w:spacing w:before="0" w:beforeAutospacing="0" w:after="0" w:afterAutospacing="0"/>
        <w:rPr>
          <w:rFonts w:asciiTheme="minorHAnsi" w:hAnsiTheme="minorHAnsi"/>
          <w:color w:val="000000"/>
        </w:rPr>
      </w:pPr>
    </w:p>
    <w:p w14:paraId="4E6F127D" w14:textId="00EF4182" w:rsidR="00A85C6E" w:rsidRPr="00CD3376" w:rsidRDefault="00A85C6E" w:rsidP="00A85C6E">
      <w:pPr>
        <w:pStyle w:val="p1"/>
        <w:numPr>
          <w:ilvl w:val="0"/>
          <w:numId w:val="11"/>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 xml:space="preserve">Employee Engagement: </w:t>
      </w:r>
      <w:r w:rsidR="000C6582" w:rsidRPr="00CD3376">
        <w:rPr>
          <w:rStyle w:val="s1"/>
          <w:rFonts w:asciiTheme="minorHAnsi" w:hAnsiTheme="minorHAnsi"/>
          <w:color w:val="000000"/>
        </w:rPr>
        <w:t>Fostering a supportive work environment that encourages engagement and commitment is crucial. Engaged employees are more likely to perform well and positively contribute to the organisation. Engagement can be enhanced through meaningful work, recognition, career development opportunities, and a positive culture (Deci and Ryan, 2000)</w:t>
      </w:r>
      <w:r w:rsidRPr="00CD3376">
        <w:rPr>
          <w:rStyle w:val="s1"/>
          <w:rFonts w:asciiTheme="minorHAnsi" w:hAnsiTheme="minorHAnsi"/>
          <w:color w:val="000000"/>
        </w:rPr>
        <w:t>.</w:t>
      </w:r>
    </w:p>
    <w:p w14:paraId="4BF90395" w14:textId="77777777" w:rsidR="00A85C6E" w:rsidRPr="00CD3376" w:rsidRDefault="00A85C6E" w:rsidP="00A85C6E">
      <w:pPr>
        <w:pStyle w:val="p1"/>
        <w:spacing w:before="0" w:beforeAutospacing="0" w:after="0" w:afterAutospacing="0"/>
        <w:rPr>
          <w:rFonts w:asciiTheme="minorHAnsi" w:hAnsiTheme="minorHAnsi"/>
          <w:color w:val="000000"/>
        </w:rPr>
      </w:pPr>
    </w:p>
    <w:p w14:paraId="1D953260" w14:textId="158AA7BF" w:rsidR="00A85C6E" w:rsidRPr="00CD3376" w:rsidRDefault="00A85C6E" w:rsidP="00A85C6E">
      <w:pPr>
        <w:pStyle w:val="p1"/>
        <w:numPr>
          <w:ilvl w:val="0"/>
          <w:numId w:val="11"/>
        </w:numPr>
        <w:spacing w:before="0" w:beforeAutospacing="0" w:after="0" w:afterAutospacing="0"/>
        <w:rPr>
          <w:rFonts w:asciiTheme="minorHAnsi" w:hAnsiTheme="minorHAnsi"/>
          <w:color w:val="000000"/>
        </w:rPr>
      </w:pPr>
      <w:r w:rsidRPr="00CD3376">
        <w:rPr>
          <w:rStyle w:val="s1"/>
          <w:rFonts w:asciiTheme="minorHAnsi" w:hAnsiTheme="minorHAnsi"/>
          <w:color w:val="000000"/>
        </w:rPr>
        <w:t xml:space="preserve">Regular Review and Adaptation: </w:t>
      </w:r>
      <w:r w:rsidR="000C6582" w:rsidRPr="00CD3376">
        <w:rPr>
          <w:rStyle w:val="s1"/>
          <w:rFonts w:asciiTheme="minorHAnsi" w:hAnsiTheme="minorHAnsi"/>
          <w:color w:val="000000"/>
        </w:rPr>
        <w:t>Performance management systems should be regularly reviewed and adapted to ensure they remain relevant and effective. This includes updating goals, feedback processes, and evaluation criteria in response to changing organisational needs and employee feedback (Armstrong and Taylor, 2014</w:t>
      </w:r>
      <w:r w:rsidR="000C6582" w:rsidRPr="00CD3376">
        <w:rPr>
          <w:rStyle w:val="s1"/>
          <w:rFonts w:asciiTheme="minorHAnsi" w:hAnsiTheme="minorHAnsi"/>
          <w:color w:val="000000"/>
        </w:rPr>
        <w:t>)</w:t>
      </w:r>
      <w:r w:rsidRPr="00CD3376">
        <w:rPr>
          <w:rStyle w:val="s1"/>
          <w:rFonts w:asciiTheme="minorHAnsi" w:hAnsiTheme="minorHAnsi"/>
          <w:color w:val="000000"/>
        </w:rPr>
        <w:t>.</w:t>
      </w:r>
    </w:p>
    <w:p w14:paraId="7FBA46F1" w14:textId="77777777" w:rsidR="00A85C6E" w:rsidRPr="00CD3376" w:rsidRDefault="00A85C6E" w:rsidP="00A85C6E">
      <w:pPr>
        <w:pStyle w:val="p2"/>
        <w:spacing w:before="0" w:beforeAutospacing="0" w:after="0" w:afterAutospacing="0"/>
        <w:rPr>
          <w:rFonts w:asciiTheme="minorHAnsi" w:hAnsiTheme="minorHAnsi"/>
          <w:color w:val="000000"/>
        </w:rPr>
      </w:pPr>
    </w:p>
    <w:p w14:paraId="01DC94A7" w14:textId="77777777" w:rsidR="00CD3376" w:rsidRDefault="00CD3376" w:rsidP="00A85C6E">
      <w:pPr>
        <w:pStyle w:val="p1"/>
        <w:spacing w:before="0" w:beforeAutospacing="0" w:after="0" w:afterAutospacing="0"/>
        <w:rPr>
          <w:rStyle w:val="s1"/>
          <w:rFonts w:asciiTheme="minorHAnsi" w:hAnsiTheme="minorHAnsi"/>
          <w:b/>
          <w:bCs/>
          <w:color w:val="000000"/>
        </w:rPr>
      </w:pPr>
    </w:p>
    <w:p w14:paraId="4F526689" w14:textId="77777777" w:rsidR="00CD3376" w:rsidRDefault="00CD3376" w:rsidP="00A85C6E">
      <w:pPr>
        <w:pStyle w:val="p1"/>
        <w:spacing w:before="0" w:beforeAutospacing="0" w:after="0" w:afterAutospacing="0"/>
        <w:rPr>
          <w:rStyle w:val="s1"/>
          <w:rFonts w:asciiTheme="minorHAnsi" w:hAnsiTheme="minorHAnsi"/>
          <w:b/>
          <w:bCs/>
          <w:color w:val="000000"/>
        </w:rPr>
      </w:pPr>
    </w:p>
    <w:p w14:paraId="20C9F36C" w14:textId="77777777" w:rsidR="00CD3376" w:rsidRDefault="00CD3376" w:rsidP="00A85C6E">
      <w:pPr>
        <w:pStyle w:val="p1"/>
        <w:spacing w:before="0" w:beforeAutospacing="0" w:after="0" w:afterAutospacing="0"/>
        <w:rPr>
          <w:rStyle w:val="s1"/>
          <w:rFonts w:asciiTheme="minorHAnsi" w:hAnsiTheme="minorHAnsi"/>
          <w:b/>
          <w:bCs/>
          <w:color w:val="000000"/>
        </w:rPr>
      </w:pPr>
    </w:p>
    <w:p w14:paraId="284082FD" w14:textId="273469C2" w:rsidR="00A85C6E" w:rsidRPr="00CD3376" w:rsidRDefault="00A85C6E" w:rsidP="00A85C6E">
      <w:pPr>
        <w:pStyle w:val="p1"/>
        <w:spacing w:before="0" w:beforeAutospacing="0" w:after="0" w:afterAutospacing="0"/>
        <w:rPr>
          <w:rFonts w:asciiTheme="minorHAnsi" w:hAnsiTheme="minorHAnsi"/>
          <w:b/>
          <w:bCs/>
          <w:color w:val="000000"/>
        </w:rPr>
      </w:pPr>
      <w:r w:rsidRPr="00CD3376">
        <w:rPr>
          <w:rStyle w:val="s1"/>
          <w:rFonts w:asciiTheme="minorHAnsi" w:hAnsiTheme="minorHAnsi"/>
          <w:b/>
          <w:bCs/>
          <w:color w:val="000000"/>
        </w:rPr>
        <w:lastRenderedPageBreak/>
        <w:t>(AC 4.3)</w:t>
      </w:r>
    </w:p>
    <w:p w14:paraId="4DEDEC11" w14:textId="77777777" w:rsidR="00A85C6E" w:rsidRPr="00CD3376" w:rsidRDefault="00A85C6E" w:rsidP="00A85C6E">
      <w:pPr>
        <w:pStyle w:val="p2"/>
        <w:spacing w:before="0" w:beforeAutospacing="0" w:after="0" w:afterAutospacing="0"/>
        <w:rPr>
          <w:rFonts w:asciiTheme="minorHAnsi" w:hAnsiTheme="minorHAnsi"/>
          <w:color w:val="000000"/>
        </w:rPr>
      </w:pPr>
    </w:p>
    <w:p w14:paraId="3B861EF1" w14:textId="77777777" w:rsidR="00A85C6E" w:rsidRPr="00CD3376" w:rsidRDefault="00A85C6E" w:rsidP="00A85C6E">
      <w:pPr>
        <w:pStyle w:val="p1"/>
        <w:spacing w:before="0" w:beforeAutospacing="0" w:after="0" w:afterAutospacing="0"/>
        <w:rPr>
          <w:rFonts w:asciiTheme="minorHAnsi" w:hAnsiTheme="minorHAnsi"/>
          <w:color w:val="000000"/>
        </w:rPr>
      </w:pPr>
      <w:r w:rsidRPr="00CD3376">
        <w:rPr>
          <w:rStyle w:val="s1"/>
          <w:rFonts w:asciiTheme="minorHAnsi" w:hAnsiTheme="minorHAnsi"/>
          <w:color w:val="000000"/>
        </w:rPr>
        <w:t>Several methods can be employed to review employee performance effectively:</w:t>
      </w:r>
    </w:p>
    <w:p w14:paraId="235DEA6E" w14:textId="77777777" w:rsidR="00A85C6E" w:rsidRPr="00CD3376" w:rsidRDefault="00A85C6E" w:rsidP="00A85C6E">
      <w:pPr>
        <w:pStyle w:val="p2"/>
        <w:spacing w:before="0" w:beforeAutospacing="0" w:after="0" w:afterAutospacing="0"/>
        <w:rPr>
          <w:rFonts w:asciiTheme="minorHAnsi" w:hAnsiTheme="minorHAnsi"/>
          <w:color w:val="000000"/>
        </w:rPr>
      </w:pPr>
    </w:p>
    <w:p w14:paraId="51008137" w14:textId="0B99C92A" w:rsidR="00B54C23" w:rsidRPr="00CD3376" w:rsidRDefault="00A85C6E" w:rsidP="00A85C6E">
      <w:pPr>
        <w:pStyle w:val="p1"/>
        <w:numPr>
          <w:ilvl w:val="0"/>
          <w:numId w:val="12"/>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360-Degree Feedback:</w:t>
      </w:r>
      <w:r w:rsidR="00B54C23" w:rsidRPr="00CD3376">
        <w:rPr>
          <w:rStyle w:val="s1"/>
          <w:rFonts w:asciiTheme="minorHAnsi" w:hAnsiTheme="minorHAnsi"/>
          <w:color w:val="000000"/>
        </w:rPr>
        <w:t xml:space="preserve"> </w:t>
      </w:r>
      <w:r w:rsidR="000C6582" w:rsidRPr="00CD3376">
        <w:rPr>
          <w:rStyle w:val="s1"/>
          <w:rFonts w:asciiTheme="minorHAnsi" w:hAnsiTheme="minorHAnsi"/>
          <w:color w:val="000000"/>
        </w:rPr>
        <w:t>This method collects feedback from various sources, including peers, subordinates, and supervisors, providing a comprehensive view of an employee’s performance. It encourages a holistic understanding of their strengths and areas for improvement. Careful implementation is necessary to ensure anonymity and constructive feedback (Armstrong and Taylor, 2014)</w:t>
      </w:r>
      <w:r w:rsidRPr="00CD3376">
        <w:rPr>
          <w:rStyle w:val="s1"/>
          <w:rFonts w:asciiTheme="minorHAnsi" w:hAnsiTheme="minorHAnsi"/>
          <w:color w:val="000000"/>
        </w:rPr>
        <w:t>.</w:t>
      </w:r>
    </w:p>
    <w:p w14:paraId="1FA48309" w14:textId="77777777" w:rsidR="00B54C23" w:rsidRPr="00CD3376" w:rsidRDefault="00B54C23" w:rsidP="00B54C23">
      <w:pPr>
        <w:pStyle w:val="p1"/>
        <w:spacing w:before="0" w:beforeAutospacing="0" w:after="0" w:afterAutospacing="0"/>
        <w:rPr>
          <w:rFonts w:asciiTheme="minorHAnsi" w:hAnsiTheme="minorHAnsi"/>
          <w:color w:val="000000"/>
        </w:rPr>
      </w:pPr>
    </w:p>
    <w:p w14:paraId="4846C692" w14:textId="0C7483BF" w:rsidR="00B54C23" w:rsidRPr="00CD3376" w:rsidRDefault="00B54C23" w:rsidP="00E5425C">
      <w:pPr>
        <w:pStyle w:val="p1"/>
        <w:numPr>
          <w:ilvl w:val="0"/>
          <w:numId w:val="12"/>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s</w:t>
      </w:r>
      <w:r w:rsidR="00A85C6E" w:rsidRPr="00CD3376">
        <w:rPr>
          <w:rStyle w:val="s1"/>
          <w:rFonts w:asciiTheme="minorHAnsi" w:hAnsiTheme="minorHAnsi"/>
          <w:color w:val="000000"/>
        </w:rPr>
        <w:t>elf-Assessment:</w:t>
      </w:r>
      <w:r w:rsidRPr="00CD3376">
        <w:rPr>
          <w:rStyle w:val="s1"/>
          <w:rFonts w:asciiTheme="minorHAnsi" w:hAnsiTheme="minorHAnsi"/>
          <w:color w:val="000000"/>
        </w:rPr>
        <w:t xml:space="preserve"> </w:t>
      </w:r>
      <w:r w:rsidR="000C6582" w:rsidRPr="00CD3376">
        <w:rPr>
          <w:rStyle w:val="s1"/>
          <w:rFonts w:asciiTheme="minorHAnsi" w:hAnsiTheme="minorHAnsi"/>
          <w:color w:val="000000"/>
        </w:rPr>
        <w:t>Encouraging employees to evaluate their performance promotes self-reflection, aiding in identifying strengths and areas for improvement. Self-assessments complement other methods, providing a balanced view of performance. Guidance on conducting honest and constructive self-assessments is essential (Deci and Ryan, 2000</w:t>
      </w:r>
      <w:r w:rsidR="000C6582" w:rsidRPr="00CD3376">
        <w:rPr>
          <w:rStyle w:val="s1"/>
          <w:rFonts w:asciiTheme="minorHAnsi" w:hAnsiTheme="minorHAnsi"/>
          <w:color w:val="000000"/>
        </w:rPr>
        <w:t>)</w:t>
      </w:r>
      <w:r w:rsidR="00A85C6E" w:rsidRPr="00CD3376">
        <w:rPr>
          <w:rStyle w:val="s1"/>
          <w:rFonts w:asciiTheme="minorHAnsi" w:hAnsiTheme="minorHAnsi"/>
          <w:color w:val="000000"/>
        </w:rPr>
        <w:t>.</w:t>
      </w:r>
    </w:p>
    <w:p w14:paraId="111313BC" w14:textId="77777777" w:rsidR="00B54C23" w:rsidRPr="00CD3376" w:rsidRDefault="00B54C23" w:rsidP="00B54C23">
      <w:pPr>
        <w:pStyle w:val="p1"/>
        <w:spacing w:before="0" w:beforeAutospacing="0" w:after="0" w:afterAutospacing="0"/>
        <w:rPr>
          <w:rFonts w:asciiTheme="minorHAnsi" w:hAnsiTheme="minorHAnsi"/>
          <w:color w:val="000000"/>
        </w:rPr>
      </w:pPr>
    </w:p>
    <w:p w14:paraId="121A542F" w14:textId="41836F0E" w:rsidR="00B54C23" w:rsidRPr="00CD3376" w:rsidRDefault="00A85C6E" w:rsidP="00A85C6E">
      <w:pPr>
        <w:pStyle w:val="p1"/>
        <w:numPr>
          <w:ilvl w:val="0"/>
          <w:numId w:val="12"/>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Rating Scales:</w:t>
      </w:r>
      <w:r w:rsidR="00B54C23" w:rsidRPr="00CD3376">
        <w:rPr>
          <w:rStyle w:val="s1"/>
          <w:rFonts w:asciiTheme="minorHAnsi" w:hAnsiTheme="minorHAnsi"/>
          <w:color w:val="000000"/>
        </w:rPr>
        <w:t xml:space="preserve"> </w:t>
      </w:r>
      <w:r w:rsidR="000C6582" w:rsidRPr="00CD3376">
        <w:rPr>
          <w:rStyle w:val="s1"/>
          <w:rFonts w:asciiTheme="minorHAnsi" w:hAnsiTheme="minorHAnsi"/>
          <w:color w:val="000000"/>
        </w:rPr>
        <w:t>Standardised rating scales assess performance aspects like productivity, quality of work, and teamwork, providing quantitative measures. To ensure fairness, these scales should be well-defined, consistently applied, and supported by evidence (Robbins et al., 2017)</w:t>
      </w:r>
      <w:r w:rsidRPr="00CD3376">
        <w:rPr>
          <w:rStyle w:val="s1"/>
          <w:rFonts w:asciiTheme="minorHAnsi" w:hAnsiTheme="minorHAnsi"/>
          <w:color w:val="000000"/>
        </w:rPr>
        <w:t>.</w:t>
      </w:r>
    </w:p>
    <w:p w14:paraId="35F8B644" w14:textId="77777777" w:rsidR="00B54C23" w:rsidRPr="00CD3376" w:rsidRDefault="00B54C23" w:rsidP="00B54C23">
      <w:pPr>
        <w:pStyle w:val="p1"/>
        <w:spacing w:before="0" w:beforeAutospacing="0" w:after="0" w:afterAutospacing="0"/>
        <w:rPr>
          <w:rFonts w:asciiTheme="minorHAnsi" w:hAnsiTheme="minorHAnsi"/>
          <w:color w:val="000000"/>
        </w:rPr>
      </w:pPr>
    </w:p>
    <w:p w14:paraId="6F775DD8" w14:textId="788781C8" w:rsidR="00B54C23" w:rsidRPr="00CD3376" w:rsidRDefault="00A85C6E" w:rsidP="00A85C6E">
      <w:pPr>
        <w:pStyle w:val="p1"/>
        <w:numPr>
          <w:ilvl w:val="0"/>
          <w:numId w:val="12"/>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Competency-Based Reviews:</w:t>
      </w:r>
      <w:r w:rsidR="00B54C23" w:rsidRPr="00CD3376">
        <w:rPr>
          <w:rStyle w:val="s1"/>
          <w:rFonts w:asciiTheme="minorHAnsi" w:hAnsiTheme="minorHAnsi"/>
          <w:color w:val="000000"/>
        </w:rPr>
        <w:t xml:space="preserve"> </w:t>
      </w:r>
      <w:r w:rsidR="002D45AF" w:rsidRPr="00CD3376">
        <w:rPr>
          <w:rStyle w:val="s1"/>
          <w:rFonts w:asciiTheme="minorHAnsi" w:hAnsiTheme="minorHAnsi"/>
          <w:color w:val="000000"/>
        </w:rPr>
        <w:t>Assessing employees based on relevant competencies ensures evaluations align with required skills and behaviours. Competency-based reviews identify development areas and guide training initiatives (Beer et al., 1984)</w:t>
      </w:r>
      <w:r w:rsidRPr="00CD3376">
        <w:rPr>
          <w:rStyle w:val="s1"/>
          <w:rFonts w:asciiTheme="minorHAnsi" w:hAnsiTheme="minorHAnsi"/>
          <w:color w:val="000000"/>
        </w:rPr>
        <w:t>.</w:t>
      </w:r>
    </w:p>
    <w:p w14:paraId="7D1AD99B" w14:textId="77777777" w:rsidR="00D15DB0" w:rsidRPr="00CD3376" w:rsidRDefault="00D15DB0" w:rsidP="00D15DB0">
      <w:pPr>
        <w:pStyle w:val="p1"/>
        <w:spacing w:before="0" w:beforeAutospacing="0" w:after="0" w:afterAutospacing="0"/>
        <w:rPr>
          <w:rFonts w:asciiTheme="minorHAnsi" w:hAnsiTheme="minorHAnsi"/>
          <w:color w:val="000000"/>
        </w:rPr>
      </w:pPr>
    </w:p>
    <w:p w14:paraId="5CA74DD0" w14:textId="52DB1B1C" w:rsidR="00A85C6E" w:rsidRPr="00CD3376" w:rsidRDefault="00A85C6E" w:rsidP="00B54C23">
      <w:pPr>
        <w:pStyle w:val="p1"/>
        <w:numPr>
          <w:ilvl w:val="0"/>
          <w:numId w:val="12"/>
        </w:numPr>
        <w:spacing w:before="0" w:beforeAutospacing="0" w:after="0" w:afterAutospacing="0"/>
        <w:rPr>
          <w:rFonts w:asciiTheme="minorHAnsi" w:hAnsiTheme="minorHAnsi"/>
          <w:color w:val="000000"/>
        </w:rPr>
      </w:pPr>
      <w:r w:rsidRPr="00CD3376">
        <w:rPr>
          <w:rStyle w:val="s1"/>
          <w:rFonts w:asciiTheme="minorHAnsi" w:hAnsiTheme="minorHAnsi"/>
          <w:color w:val="000000"/>
        </w:rPr>
        <w:t>Peer Reviews:</w:t>
      </w:r>
      <w:r w:rsidR="00B54C23" w:rsidRPr="00CD3376">
        <w:rPr>
          <w:rStyle w:val="s1"/>
          <w:rFonts w:asciiTheme="minorHAnsi" w:hAnsiTheme="minorHAnsi"/>
          <w:color w:val="000000"/>
        </w:rPr>
        <w:t xml:space="preserve"> </w:t>
      </w:r>
      <w:r w:rsidR="002D45AF" w:rsidRPr="00CD3376">
        <w:rPr>
          <w:rStyle w:val="s1"/>
          <w:rFonts w:asciiTheme="minorHAnsi" w:hAnsiTheme="minorHAnsi"/>
          <w:color w:val="000000"/>
        </w:rPr>
        <w:t>Peer reviews involve colleagues assessing each other’s performance. This method can provide valuable insights, especially in team-oriented environments. However, it requires a culture of trust and respect to be effective (Armstrong and Taylor, 2014)</w:t>
      </w:r>
      <w:r w:rsidRPr="00CD3376">
        <w:rPr>
          <w:rStyle w:val="s1"/>
          <w:rFonts w:asciiTheme="minorHAnsi" w:hAnsiTheme="minorHAnsi"/>
          <w:color w:val="000000"/>
        </w:rPr>
        <w:t>.</w:t>
      </w:r>
    </w:p>
    <w:p w14:paraId="46F1FF77" w14:textId="77777777" w:rsidR="00B54C23" w:rsidRPr="00CD3376" w:rsidRDefault="00B54C23" w:rsidP="00B54C23">
      <w:pPr>
        <w:pStyle w:val="p1"/>
        <w:spacing w:before="0" w:beforeAutospacing="0" w:after="0" w:afterAutospacing="0"/>
        <w:rPr>
          <w:rFonts w:asciiTheme="minorHAnsi" w:hAnsiTheme="minorHAnsi"/>
          <w:color w:val="000000"/>
        </w:rPr>
      </w:pPr>
    </w:p>
    <w:p w14:paraId="1960FD81" w14:textId="77777777" w:rsidR="00A85C6E" w:rsidRPr="00CD3376" w:rsidRDefault="00A85C6E" w:rsidP="00A85C6E">
      <w:pPr>
        <w:pStyle w:val="p2"/>
        <w:spacing w:before="0" w:beforeAutospacing="0" w:after="0" w:afterAutospacing="0"/>
        <w:rPr>
          <w:rFonts w:asciiTheme="minorHAnsi" w:hAnsiTheme="minorHAnsi"/>
          <w:color w:val="000000"/>
        </w:rPr>
      </w:pPr>
    </w:p>
    <w:p w14:paraId="38EA08A4" w14:textId="23EB56C5" w:rsidR="00A85C6E" w:rsidRPr="00CD3376" w:rsidRDefault="00A85C6E" w:rsidP="00A85C6E">
      <w:pPr>
        <w:pStyle w:val="p1"/>
        <w:spacing w:before="0" w:beforeAutospacing="0" w:after="0" w:afterAutospacing="0"/>
        <w:rPr>
          <w:rFonts w:asciiTheme="minorHAnsi" w:hAnsiTheme="minorHAnsi"/>
          <w:b/>
          <w:bCs/>
          <w:color w:val="000000"/>
        </w:rPr>
      </w:pPr>
      <w:r w:rsidRPr="00CD3376">
        <w:rPr>
          <w:rStyle w:val="s1"/>
          <w:rFonts w:asciiTheme="minorHAnsi" w:hAnsiTheme="minorHAnsi"/>
          <w:b/>
          <w:bCs/>
          <w:color w:val="000000"/>
        </w:rPr>
        <w:t>(AC 5.1)</w:t>
      </w:r>
    </w:p>
    <w:p w14:paraId="37B5595C" w14:textId="77777777" w:rsidR="00A85C6E" w:rsidRPr="00CD3376" w:rsidRDefault="00A85C6E" w:rsidP="00A85C6E">
      <w:pPr>
        <w:pStyle w:val="p2"/>
        <w:spacing w:before="0" w:beforeAutospacing="0" w:after="0" w:afterAutospacing="0"/>
        <w:rPr>
          <w:rFonts w:asciiTheme="minorHAnsi" w:hAnsiTheme="minorHAnsi"/>
          <w:color w:val="000000"/>
        </w:rPr>
      </w:pPr>
    </w:p>
    <w:p w14:paraId="4331FB8F" w14:textId="3E79BDCC" w:rsidR="00A85C6E" w:rsidRPr="00CD3376" w:rsidRDefault="00A85C6E" w:rsidP="00A85C6E">
      <w:pPr>
        <w:pStyle w:val="p1"/>
        <w:spacing w:before="0" w:beforeAutospacing="0" w:after="0" w:afterAutospacing="0"/>
        <w:rPr>
          <w:rFonts w:asciiTheme="minorHAnsi" w:hAnsiTheme="minorHAnsi"/>
          <w:color w:val="000000"/>
        </w:rPr>
      </w:pPr>
      <w:r w:rsidRPr="00CD3376">
        <w:rPr>
          <w:rStyle w:val="s1"/>
          <w:rFonts w:asciiTheme="minorHAnsi" w:hAnsiTheme="minorHAnsi"/>
          <w:color w:val="000000"/>
        </w:rPr>
        <w:t>Financial Components:</w:t>
      </w:r>
    </w:p>
    <w:p w14:paraId="6F8C6E52" w14:textId="77777777" w:rsidR="00A85C6E" w:rsidRPr="00CD3376" w:rsidRDefault="00A85C6E" w:rsidP="00A85C6E">
      <w:pPr>
        <w:pStyle w:val="p2"/>
        <w:spacing w:before="0" w:beforeAutospacing="0" w:after="0" w:afterAutospacing="0"/>
        <w:rPr>
          <w:rFonts w:asciiTheme="minorHAnsi" w:hAnsiTheme="minorHAnsi"/>
          <w:color w:val="000000"/>
        </w:rPr>
      </w:pPr>
    </w:p>
    <w:p w14:paraId="299C2A88" w14:textId="3AFC376B" w:rsidR="00B54C23" w:rsidRPr="00CD3376" w:rsidRDefault="00A85C6E" w:rsidP="00A85C6E">
      <w:pPr>
        <w:pStyle w:val="p1"/>
        <w:numPr>
          <w:ilvl w:val="0"/>
          <w:numId w:val="13"/>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Base Salary:</w:t>
      </w:r>
      <w:r w:rsidR="00B54C23" w:rsidRPr="00CD3376">
        <w:rPr>
          <w:rStyle w:val="s1"/>
          <w:rFonts w:asciiTheme="minorHAnsi" w:hAnsiTheme="minorHAnsi"/>
          <w:color w:val="000000"/>
        </w:rPr>
        <w:t xml:space="preserve"> </w:t>
      </w:r>
      <w:r w:rsidR="002D45AF" w:rsidRPr="00CD3376">
        <w:rPr>
          <w:rStyle w:val="s1"/>
          <w:rFonts w:asciiTheme="minorHAnsi" w:hAnsiTheme="minorHAnsi"/>
          <w:color w:val="000000"/>
        </w:rPr>
        <w:t>Offering a competitive and equitable base salary reflecting the role’s responsibilities and market rates is essential. Regularly reviewing and adjusting salaries based on market trends and performance ensures fairness and competitiveness (Armstrong and Taylor, 2014)</w:t>
      </w:r>
      <w:r w:rsidRPr="00CD3376">
        <w:rPr>
          <w:rStyle w:val="s1"/>
          <w:rFonts w:asciiTheme="minorHAnsi" w:hAnsiTheme="minorHAnsi"/>
          <w:color w:val="000000"/>
        </w:rPr>
        <w:t>.</w:t>
      </w:r>
    </w:p>
    <w:p w14:paraId="199A931B" w14:textId="77777777" w:rsidR="00B54C23" w:rsidRPr="00CD3376" w:rsidRDefault="00B54C23" w:rsidP="00B54C23">
      <w:pPr>
        <w:pStyle w:val="p1"/>
        <w:spacing w:before="0" w:beforeAutospacing="0" w:after="0" w:afterAutospacing="0"/>
        <w:rPr>
          <w:rFonts w:asciiTheme="minorHAnsi" w:hAnsiTheme="minorHAnsi"/>
          <w:color w:val="000000"/>
        </w:rPr>
      </w:pPr>
    </w:p>
    <w:p w14:paraId="1C6383EB" w14:textId="490732FC" w:rsidR="00B54C23" w:rsidRPr="00CD3376" w:rsidRDefault="00A85C6E" w:rsidP="00B54C23">
      <w:pPr>
        <w:pStyle w:val="p1"/>
        <w:numPr>
          <w:ilvl w:val="0"/>
          <w:numId w:val="13"/>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Bonuses and Incentives:</w:t>
      </w:r>
      <w:r w:rsidR="00B54C23" w:rsidRPr="00CD3376">
        <w:rPr>
          <w:rStyle w:val="s1"/>
          <w:rFonts w:asciiTheme="minorHAnsi" w:hAnsiTheme="minorHAnsi"/>
          <w:color w:val="000000"/>
        </w:rPr>
        <w:t xml:space="preserve"> </w:t>
      </w:r>
      <w:r w:rsidR="002D45AF" w:rsidRPr="00CD3376">
        <w:rPr>
          <w:rStyle w:val="s1"/>
          <w:rFonts w:asciiTheme="minorHAnsi" w:hAnsiTheme="minorHAnsi"/>
          <w:color w:val="000000"/>
        </w:rPr>
        <w:t>Performance-based bonuses and incentives reward employees for achieving specific targets, establishing a direct connection between performance and reward. Incentive schemes should be transparent, achievable, and aligned with organisational goals (Beer et al., 1984</w:t>
      </w:r>
      <w:r w:rsidR="002D45AF" w:rsidRPr="00CD3376">
        <w:rPr>
          <w:rStyle w:val="s1"/>
          <w:rFonts w:asciiTheme="minorHAnsi" w:hAnsiTheme="minorHAnsi"/>
          <w:color w:val="000000"/>
        </w:rPr>
        <w:t>)</w:t>
      </w:r>
      <w:r w:rsidR="00294EC0" w:rsidRPr="00CD3376">
        <w:rPr>
          <w:rStyle w:val="s1"/>
          <w:rFonts w:asciiTheme="minorHAnsi" w:hAnsiTheme="minorHAnsi"/>
          <w:color w:val="000000"/>
        </w:rPr>
        <w:t>.</w:t>
      </w:r>
    </w:p>
    <w:p w14:paraId="52A7ED7A" w14:textId="77777777" w:rsidR="00B54C23" w:rsidRPr="00CD3376" w:rsidRDefault="00B54C23" w:rsidP="00B54C23">
      <w:pPr>
        <w:pStyle w:val="p1"/>
        <w:spacing w:before="0" w:beforeAutospacing="0" w:after="0" w:afterAutospacing="0"/>
        <w:rPr>
          <w:rFonts w:asciiTheme="minorHAnsi" w:hAnsiTheme="minorHAnsi"/>
          <w:color w:val="000000"/>
        </w:rPr>
      </w:pPr>
    </w:p>
    <w:p w14:paraId="4D5D77AD" w14:textId="4480A242" w:rsidR="00A85C6E" w:rsidRPr="00CD3376" w:rsidRDefault="00A85C6E" w:rsidP="00B54C23">
      <w:pPr>
        <w:pStyle w:val="p1"/>
        <w:numPr>
          <w:ilvl w:val="0"/>
          <w:numId w:val="13"/>
        </w:numPr>
        <w:spacing w:before="0" w:beforeAutospacing="0" w:after="0" w:afterAutospacing="0"/>
        <w:rPr>
          <w:rFonts w:asciiTheme="minorHAnsi" w:hAnsiTheme="minorHAnsi"/>
          <w:color w:val="000000"/>
        </w:rPr>
      </w:pPr>
      <w:r w:rsidRPr="00CD3376">
        <w:rPr>
          <w:rStyle w:val="s1"/>
          <w:rFonts w:asciiTheme="minorHAnsi" w:hAnsiTheme="minorHAnsi"/>
          <w:color w:val="000000"/>
        </w:rPr>
        <w:t>Benefits:</w:t>
      </w:r>
      <w:r w:rsidR="00B54C23" w:rsidRPr="00CD3376">
        <w:rPr>
          <w:rStyle w:val="s1"/>
          <w:rFonts w:asciiTheme="minorHAnsi" w:hAnsiTheme="minorHAnsi"/>
          <w:color w:val="000000"/>
        </w:rPr>
        <w:t xml:space="preserve"> </w:t>
      </w:r>
      <w:r w:rsidR="002D45AF" w:rsidRPr="00CD3376">
        <w:rPr>
          <w:rStyle w:val="s1"/>
          <w:rFonts w:asciiTheme="minorHAnsi" w:hAnsiTheme="minorHAnsi"/>
          <w:color w:val="000000"/>
        </w:rPr>
        <w:t>A comprehensive benefits package, including health insurance, retirement plans, and paid time off, enhances the overall compensation package and supports employee well-being. Benefits can also include wellness programs, childcare support, and employee assistance programs (Robbins et al., 2017)</w:t>
      </w:r>
      <w:r w:rsidRPr="00CD3376">
        <w:rPr>
          <w:rStyle w:val="s1"/>
          <w:rFonts w:asciiTheme="minorHAnsi" w:hAnsiTheme="minorHAnsi"/>
          <w:color w:val="000000"/>
        </w:rPr>
        <w:t>.</w:t>
      </w:r>
    </w:p>
    <w:p w14:paraId="15C51818" w14:textId="77777777" w:rsidR="00A85C6E" w:rsidRPr="00CD3376" w:rsidRDefault="00A85C6E" w:rsidP="00A85C6E">
      <w:pPr>
        <w:pStyle w:val="p2"/>
        <w:spacing w:before="0" w:beforeAutospacing="0" w:after="0" w:afterAutospacing="0"/>
        <w:rPr>
          <w:rFonts w:asciiTheme="minorHAnsi" w:hAnsiTheme="minorHAnsi"/>
          <w:color w:val="000000"/>
        </w:rPr>
      </w:pPr>
    </w:p>
    <w:p w14:paraId="12DBFD63" w14:textId="77777777" w:rsidR="00CD3376" w:rsidRDefault="00CD3376" w:rsidP="00A85C6E">
      <w:pPr>
        <w:pStyle w:val="p1"/>
        <w:spacing w:before="0" w:beforeAutospacing="0" w:after="0" w:afterAutospacing="0"/>
        <w:rPr>
          <w:rStyle w:val="s1"/>
          <w:rFonts w:asciiTheme="minorHAnsi" w:hAnsiTheme="minorHAnsi"/>
          <w:color w:val="000000"/>
        </w:rPr>
      </w:pPr>
    </w:p>
    <w:p w14:paraId="0905078D" w14:textId="77777777" w:rsidR="00CD3376" w:rsidRDefault="00CD3376" w:rsidP="00A85C6E">
      <w:pPr>
        <w:pStyle w:val="p1"/>
        <w:spacing w:before="0" w:beforeAutospacing="0" w:after="0" w:afterAutospacing="0"/>
        <w:rPr>
          <w:rStyle w:val="s1"/>
          <w:rFonts w:asciiTheme="minorHAnsi" w:hAnsiTheme="minorHAnsi"/>
          <w:color w:val="000000"/>
        </w:rPr>
      </w:pPr>
    </w:p>
    <w:p w14:paraId="7EB3F6F5" w14:textId="77777777" w:rsidR="00CD3376" w:rsidRDefault="00CD3376" w:rsidP="00A85C6E">
      <w:pPr>
        <w:pStyle w:val="p1"/>
        <w:spacing w:before="0" w:beforeAutospacing="0" w:after="0" w:afterAutospacing="0"/>
        <w:rPr>
          <w:rStyle w:val="s1"/>
          <w:rFonts w:asciiTheme="minorHAnsi" w:hAnsiTheme="minorHAnsi"/>
          <w:color w:val="000000"/>
        </w:rPr>
      </w:pPr>
    </w:p>
    <w:p w14:paraId="3D49FA3F" w14:textId="77777777" w:rsidR="00CD3376" w:rsidRDefault="00CD3376" w:rsidP="00A85C6E">
      <w:pPr>
        <w:pStyle w:val="p1"/>
        <w:spacing w:before="0" w:beforeAutospacing="0" w:after="0" w:afterAutospacing="0"/>
        <w:rPr>
          <w:rStyle w:val="s1"/>
          <w:rFonts w:asciiTheme="minorHAnsi" w:hAnsiTheme="minorHAnsi"/>
          <w:color w:val="000000"/>
        </w:rPr>
      </w:pPr>
    </w:p>
    <w:p w14:paraId="453A07F1" w14:textId="59160851" w:rsidR="00A85C6E" w:rsidRPr="00CD3376" w:rsidRDefault="00A85C6E" w:rsidP="00A85C6E">
      <w:pPr>
        <w:pStyle w:val="p1"/>
        <w:spacing w:before="0" w:beforeAutospacing="0" w:after="0" w:afterAutospacing="0"/>
        <w:rPr>
          <w:rFonts w:asciiTheme="minorHAnsi" w:hAnsiTheme="minorHAnsi"/>
          <w:color w:val="000000"/>
        </w:rPr>
      </w:pPr>
      <w:r w:rsidRPr="00CD3376">
        <w:rPr>
          <w:rStyle w:val="s1"/>
          <w:rFonts w:asciiTheme="minorHAnsi" w:hAnsiTheme="minorHAnsi"/>
          <w:color w:val="000000"/>
        </w:rPr>
        <w:t>Non-Financial Components:</w:t>
      </w:r>
    </w:p>
    <w:p w14:paraId="5E4F7D5E" w14:textId="77777777" w:rsidR="00A85C6E" w:rsidRPr="00CD3376" w:rsidRDefault="00A85C6E" w:rsidP="00A85C6E">
      <w:pPr>
        <w:pStyle w:val="p2"/>
        <w:spacing w:before="0" w:beforeAutospacing="0" w:after="0" w:afterAutospacing="0"/>
        <w:rPr>
          <w:rFonts w:asciiTheme="minorHAnsi" w:hAnsiTheme="minorHAnsi"/>
          <w:color w:val="000000"/>
        </w:rPr>
      </w:pPr>
    </w:p>
    <w:p w14:paraId="1DE07874" w14:textId="02F47446" w:rsidR="00B54C23" w:rsidRPr="00CD3376" w:rsidRDefault="00A85C6E" w:rsidP="00A85C6E">
      <w:pPr>
        <w:pStyle w:val="p1"/>
        <w:numPr>
          <w:ilvl w:val="0"/>
          <w:numId w:val="14"/>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Recognition Programmes:</w:t>
      </w:r>
      <w:r w:rsidR="00B54C23" w:rsidRPr="00CD3376">
        <w:rPr>
          <w:rStyle w:val="s1"/>
          <w:rFonts w:asciiTheme="minorHAnsi" w:hAnsiTheme="minorHAnsi"/>
          <w:color w:val="000000"/>
        </w:rPr>
        <w:t xml:space="preserve"> </w:t>
      </w:r>
      <w:r w:rsidR="002D45AF" w:rsidRPr="00CD3376">
        <w:rPr>
          <w:rStyle w:val="s1"/>
          <w:rFonts w:asciiTheme="minorHAnsi" w:hAnsiTheme="minorHAnsi"/>
          <w:color w:val="000000"/>
        </w:rPr>
        <w:t>Formal recognition programmes that celebrate employees' achievements and contributions can significantly boost morale and motivation. Recognition can be public or private, depending on employee preferences. Examples include employee of the month awards, thank-you notes, and recognition events (Skinner, 1953)</w:t>
      </w:r>
      <w:r w:rsidRPr="00CD3376">
        <w:rPr>
          <w:rStyle w:val="s1"/>
          <w:rFonts w:asciiTheme="minorHAnsi" w:hAnsiTheme="minorHAnsi"/>
          <w:color w:val="000000"/>
        </w:rPr>
        <w:t>.</w:t>
      </w:r>
    </w:p>
    <w:p w14:paraId="4A6D2A94" w14:textId="77777777" w:rsidR="00B54C23" w:rsidRPr="00CD3376" w:rsidRDefault="00B54C23" w:rsidP="00B54C23">
      <w:pPr>
        <w:pStyle w:val="p1"/>
        <w:spacing w:before="0" w:beforeAutospacing="0" w:after="0" w:afterAutospacing="0"/>
        <w:rPr>
          <w:rFonts w:asciiTheme="minorHAnsi" w:hAnsiTheme="minorHAnsi"/>
          <w:color w:val="000000"/>
        </w:rPr>
      </w:pPr>
    </w:p>
    <w:p w14:paraId="3FBBAB9E" w14:textId="0E0CB3F0" w:rsidR="00B54C23" w:rsidRPr="00CD3376" w:rsidRDefault="00A85C6E" w:rsidP="00A85C6E">
      <w:pPr>
        <w:pStyle w:val="p1"/>
        <w:numPr>
          <w:ilvl w:val="0"/>
          <w:numId w:val="14"/>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Career Development:</w:t>
      </w:r>
      <w:r w:rsidR="00B54C23" w:rsidRPr="00CD3376">
        <w:rPr>
          <w:rStyle w:val="s1"/>
          <w:rFonts w:asciiTheme="minorHAnsi" w:hAnsiTheme="minorHAnsi"/>
          <w:color w:val="000000"/>
        </w:rPr>
        <w:t xml:space="preserve"> </w:t>
      </w:r>
      <w:r w:rsidR="002D45AF" w:rsidRPr="00CD3376">
        <w:rPr>
          <w:rStyle w:val="s1"/>
          <w:rFonts w:asciiTheme="minorHAnsi" w:hAnsiTheme="minorHAnsi"/>
          <w:color w:val="000000"/>
        </w:rPr>
        <w:t>Providing opportunities for professional growth, such as training, mentorship, and career advancement, helps retain talent and ensures a skilled workforce. Career development plans should be personalised and regularly reviewed to align with employee aspirations and organisational needs (Deci and Ryan, 2000)</w:t>
      </w:r>
      <w:r w:rsidRPr="00CD3376">
        <w:rPr>
          <w:rStyle w:val="s1"/>
          <w:rFonts w:asciiTheme="minorHAnsi" w:hAnsiTheme="minorHAnsi"/>
          <w:color w:val="000000"/>
        </w:rPr>
        <w:t>.</w:t>
      </w:r>
    </w:p>
    <w:p w14:paraId="077472ED" w14:textId="77777777" w:rsidR="00B54C23" w:rsidRPr="00CD3376" w:rsidRDefault="00B54C23" w:rsidP="00B54C23">
      <w:pPr>
        <w:pStyle w:val="p1"/>
        <w:spacing w:before="0" w:beforeAutospacing="0" w:after="0" w:afterAutospacing="0"/>
        <w:rPr>
          <w:rFonts w:asciiTheme="minorHAnsi" w:hAnsiTheme="minorHAnsi"/>
          <w:color w:val="000000"/>
        </w:rPr>
      </w:pPr>
    </w:p>
    <w:p w14:paraId="010922BD" w14:textId="46C1F9F9" w:rsidR="00B54C23" w:rsidRPr="00CD3376" w:rsidRDefault="00A85C6E" w:rsidP="00A85C6E">
      <w:pPr>
        <w:pStyle w:val="p1"/>
        <w:numPr>
          <w:ilvl w:val="0"/>
          <w:numId w:val="14"/>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Work-Life Balance</w:t>
      </w:r>
      <w:r w:rsidR="00DC0844" w:rsidRPr="00CD3376">
        <w:rPr>
          <w:rStyle w:val="s1"/>
          <w:rFonts w:asciiTheme="minorHAnsi" w:hAnsiTheme="minorHAnsi"/>
          <w:color w:val="000000"/>
        </w:rPr>
        <w:t xml:space="preserve">: </w:t>
      </w:r>
      <w:r w:rsidR="00DC0844" w:rsidRPr="00CD3376">
        <w:rPr>
          <w:rStyle w:val="s1"/>
          <w:rFonts w:asciiTheme="minorHAnsi" w:hAnsiTheme="minorHAnsi"/>
          <w:color w:val="000000"/>
        </w:rPr>
        <w:t>Policies that support a healthy work-life balance, such as flexible working hours and remote work options, contribute to employee satisfaction and productivity. Additional measures include offering sabbaticals, parental leave, and promoting a culture that respects personal time (Armstrong and Taylor, 2014).</w:t>
      </w:r>
    </w:p>
    <w:p w14:paraId="021B1097" w14:textId="77777777" w:rsidR="00B54C23" w:rsidRPr="00CD3376" w:rsidRDefault="00B54C23" w:rsidP="00B54C23">
      <w:pPr>
        <w:pStyle w:val="p1"/>
        <w:spacing w:before="0" w:beforeAutospacing="0" w:after="0" w:afterAutospacing="0"/>
        <w:rPr>
          <w:rFonts w:asciiTheme="minorHAnsi" w:hAnsiTheme="minorHAnsi"/>
          <w:color w:val="000000"/>
        </w:rPr>
      </w:pPr>
    </w:p>
    <w:p w14:paraId="695B0E78" w14:textId="25D3535C" w:rsidR="00B54C23" w:rsidRPr="00CD3376" w:rsidRDefault="00A85C6E" w:rsidP="00A85C6E">
      <w:pPr>
        <w:pStyle w:val="p1"/>
        <w:numPr>
          <w:ilvl w:val="0"/>
          <w:numId w:val="14"/>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Job Enrichment:</w:t>
      </w:r>
      <w:r w:rsidR="00B54C23" w:rsidRPr="00CD3376">
        <w:rPr>
          <w:rStyle w:val="s1"/>
          <w:rFonts w:asciiTheme="minorHAnsi" w:hAnsiTheme="minorHAnsi"/>
          <w:color w:val="000000"/>
        </w:rPr>
        <w:t xml:space="preserve"> </w:t>
      </w:r>
      <w:r w:rsidR="00DC0844" w:rsidRPr="00CD3376">
        <w:rPr>
          <w:rStyle w:val="s1"/>
          <w:rFonts w:asciiTheme="minorHAnsi" w:hAnsiTheme="minorHAnsi"/>
          <w:color w:val="000000"/>
        </w:rPr>
        <w:t>Enhancing the intrinsic aspects of work, such as increasing job variety, autonomy, and responsibility, can improve job satisfaction and motivation. Job enrichment strategies should be tailored to individual preferences and strengths (Deci and Ryan, 2000)</w:t>
      </w:r>
      <w:r w:rsidRPr="00CD3376">
        <w:rPr>
          <w:rStyle w:val="s1"/>
          <w:rFonts w:asciiTheme="minorHAnsi" w:hAnsiTheme="minorHAnsi"/>
          <w:color w:val="000000"/>
        </w:rPr>
        <w:t>.</w:t>
      </w:r>
    </w:p>
    <w:p w14:paraId="4E4300B0" w14:textId="77777777" w:rsidR="00294EC0" w:rsidRPr="00CD3376" w:rsidRDefault="00294EC0" w:rsidP="00294EC0">
      <w:pPr>
        <w:pStyle w:val="p1"/>
        <w:spacing w:before="0" w:beforeAutospacing="0" w:after="0" w:afterAutospacing="0"/>
        <w:rPr>
          <w:rFonts w:asciiTheme="minorHAnsi" w:hAnsiTheme="minorHAnsi"/>
          <w:color w:val="000000"/>
        </w:rPr>
      </w:pPr>
    </w:p>
    <w:p w14:paraId="7F881E8E" w14:textId="7870D843" w:rsidR="00A85C6E" w:rsidRPr="00CD3376" w:rsidRDefault="00A85C6E" w:rsidP="00A85C6E">
      <w:pPr>
        <w:pStyle w:val="p1"/>
        <w:numPr>
          <w:ilvl w:val="0"/>
          <w:numId w:val="14"/>
        </w:numPr>
        <w:spacing w:before="0" w:beforeAutospacing="0" w:after="0" w:afterAutospacing="0"/>
        <w:rPr>
          <w:rFonts w:asciiTheme="minorHAnsi" w:hAnsiTheme="minorHAnsi"/>
          <w:color w:val="000000"/>
        </w:rPr>
      </w:pPr>
      <w:r w:rsidRPr="00CD3376">
        <w:rPr>
          <w:rStyle w:val="s1"/>
          <w:rFonts w:asciiTheme="minorHAnsi" w:hAnsiTheme="minorHAnsi"/>
          <w:color w:val="000000"/>
        </w:rPr>
        <w:t>Positive Work Environment:</w:t>
      </w:r>
      <w:r w:rsidR="00B54C23" w:rsidRPr="00CD3376">
        <w:rPr>
          <w:rStyle w:val="s1"/>
          <w:rFonts w:asciiTheme="minorHAnsi" w:hAnsiTheme="minorHAnsi"/>
          <w:color w:val="000000"/>
        </w:rPr>
        <w:t xml:space="preserve"> </w:t>
      </w:r>
      <w:r w:rsidR="00DC0844" w:rsidRPr="00CD3376">
        <w:rPr>
          <w:rStyle w:val="s1"/>
          <w:rFonts w:asciiTheme="minorHAnsi" w:hAnsiTheme="minorHAnsi"/>
          <w:color w:val="000000"/>
        </w:rPr>
        <w:t>Creating a supportive and inclusive workplace culture that values diversity, collaboration, and employee well-being can significantly impact motivation and performance. Regular team-building activities, open communication, and leadership support are essential components of a positive work environment (Armstrong and Taylor, 2014)</w:t>
      </w:r>
      <w:r w:rsidRPr="00CD3376">
        <w:rPr>
          <w:rStyle w:val="s1"/>
          <w:rFonts w:asciiTheme="minorHAnsi" w:hAnsiTheme="minorHAnsi"/>
          <w:color w:val="000000"/>
        </w:rPr>
        <w:t>.</w:t>
      </w:r>
    </w:p>
    <w:p w14:paraId="24092699" w14:textId="77777777" w:rsidR="00A85C6E" w:rsidRPr="00CD3376" w:rsidRDefault="00A85C6E" w:rsidP="00A85C6E">
      <w:pPr>
        <w:pStyle w:val="p2"/>
        <w:spacing w:before="0" w:beforeAutospacing="0" w:after="0" w:afterAutospacing="0"/>
        <w:rPr>
          <w:rFonts w:asciiTheme="minorHAnsi" w:hAnsiTheme="minorHAnsi"/>
          <w:color w:val="000000"/>
        </w:rPr>
      </w:pPr>
    </w:p>
    <w:p w14:paraId="0E1A7C8C" w14:textId="5E9D7EF0" w:rsidR="00A85C6E" w:rsidRPr="00CD3376" w:rsidRDefault="00A85C6E" w:rsidP="00A85C6E">
      <w:pPr>
        <w:pStyle w:val="p1"/>
        <w:spacing w:before="0" w:beforeAutospacing="0" w:after="0" w:afterAutospacing="0"/>
        <w:rPr>
          <w:rFonts w:asciiTheme="minorHAnsi" w:hAnsiTheme="minorHAnsi"/>
          <w:b/>
          <w:bCs/>
          <w:color w:val="000000"/>
        </w:rPr>
      </w:pPr>
      <w:r w:rsidRPr="00CD3376">
        <w:rPr>
          <w:rStyle w:val="s1"/>
          <w:rFonts w:asciiTheme="minorHAnsi" w:hAnsiTheme="minorHAnsi"/>
          <w:b/>
          <w:bCs/>
          <w:color w:val="000000"/>
        </w:rPr>
        <w:t>(AC 5.2)</w:t>
      </w:r>
    </w:p>
    <w:p w14:paraId="2928CCD8" w14:textId="77777777" w:rsidR="00A85C6E" w:rsidRPr="00CD3376" w:rsidRDefault="00A85C6E" w:rsidP="00A85C6E">
      <w:pPr>
        <w:pStyle w:val="p2"/>
        <w:spacing w:before="0" w:beforeAutospacing="0" w:after="0" w:afterAutospacing="0"/>
        <w:rPr>
          <w:rFonts w:asciiTheme="minorHAnsi" w:hAnsiTheme="minorHAnsi"/>
          <w:color w:val="000000"/>
        </w:rPr>
      </w:pPr>
    </w:p>
    <w:p w14:paraId="410F715D" w14:textId="59A43EE3" w:rsidR="00A85C6E" w:rsidRPr="00CD3376" w:rsidRDefault="00DD7B16" w:rsidP="00A85C6E">
      <w:pPr>
        <w:pStyle w:val="p1"/>
        <w:spacing w:before="0" w:beforeAutospacing="0" w:after="0" w:afterAutospacing="0"/>
        <w:rPr>
          <w:rFonts w:asciiTheme="minorHAnsi" w:hAnsiTheme="minorHAnsi"/>
          <w:color w:val="000000"/>
        </w:rPr>
      </w:pPr>
      <w:r w:rsidRPr="00CD3376">
        <w:rPr>
          <w:rStyle w:val="s1"/>
          <w:rFonts w:asciiTheme="minorHAnsi" w:hAnsiTheme="minorHAnsi"/>
          <w:color w:val="000000"/>
        </w:rPr>
        <w:t>Effective rewards are crucial for boosting employee performance. When employees feel their efforts are recogni</w:t>
      </w:r>
      <w:r w:rsidRPr="00CD3376">
        <w:rPr>
          <w:rStyle w:val="s1"/>
          <w:rFonts w:asciiTheme="minorHAnsi" w:hAnsiTheme="minorHAnsi"/>
          <w:color w:val="000000"/>
        </w:rPr>
        <w:t>s</w:t>
      </w:r>
      <w:r w:rsidRPr="00CD3376">
        <w:rPr>
          <w:rStyle w:val="s1"/>
          <w:rFonts w:asciiTheme="minorHAnsi" w:hAnsiTheme="minorHAnsi"/>
          <w:color w:val="000000"/>
        </w:rPr>
        <w:t>ed and fairly rewarded, they become more motivated, engaged, and committed</w:t>
      </w:r>
      <w:r w:rsidR="00A85C6E" w:rsidRPr="00CD3376">
        <w:rPr>
          <w:rStyle w:val="s1"/>
          <w:rFonts w:asciiTheme="minorHAnsi" w:hAnsiTheme="minorHAnsi"/>
          <w:color w:val="000000"/>
        </w:rPr>
        <w:t>.</w:t>
      </w:r>
    </w:p>
    <w:p w14:paraId="087CD50E" w14:textId="77777777" w:rsidR="00A85C6E" w:rsidRPr="00CD3376" w:rsidRDefault="00A85C6E" w:rsidP="00A85C6E">
      <w:pPr>
        <w:pStyle w:val="p2"/>
        <w:spacing w:before="0" w:beforeAutospacing="0" w:after="0" w:afterAutospacing="0"/>
        <w:rPr>
          <w:rFonts w:asciiTheme="minorHAnsi" w:hAnsiTheme="minorHAnsi"/>
          <w:color w:val="000000"/>
        </w:rPr>
      </w:pPr>
    </w:p>
    <w:p w14:paraId="38062C83" w14:textId="77777777" w:rsidR="00A85C6E" w:rsidRPr="00CD3376" w:rsidRDefault="00A85C6E" w:rsidP="00A85C6E">
      <w:pPr>
        <w:pStyle w:val="p1"/>
        <w:spacing w:before="0" w:beforeAutospacing="0" w:after="0" w:afterAutospacing="0"/>
        <w:rPr>
          <w:rFonts w:asciiTheme="minorHAnsi" w:hAnsiTheme="minorHAnsi"/>
          <w:color w:val="000000"/>
        </w:rPr>
      </w:pPr>
      <w:r w:rsidRPr="00CD3376">
        <w:rPr>
          <w:rStyle w:val="s1"/>
          <w:rFonts w:asciiTheme="minorHAnsi" w:hAnsiTheme="minorHAnsi"/>
          <w:color w:val="000000"/>
        </w:rPr>
        <w:t>The relationship between reward and performance can be explained through various theories:</w:t>
      </w:r>
    </w:p>
    <w:p w14:paraId="5FE680CB" w14:textId="77777777" w:rsidR="00A85C6E" w:rsidRPr="00CD3376" w:rsidRDefault="00A85C6E" w:rsidP="00A85C6E">
      <w:pPr>
        <w:pStyle w:val="p2"/>
        <w:spacing w:before="0" w:beforeAutospacing="0" w:after="0" w:afterAutospacing="0"/>
        <w:rPr>
          <w:rFonts w:asciiTheme="minorHAnsi" w:hAnsiTheme="minorHAnsi"/>
          <w:color w:val="000000"/>
        </w:rPr>
      </w:pPr>
    </w:p>
    <w:p w14:paraId="55202E4B" w14:textId="1CB6B011" w:rsidR="00B54C23" w:rsidRPr="00CD3376" w:rsidRDefault="00A85C6E" w:rsidP="00A85C6E">
      <w:pPr>
        <w:pStyle w:val="p1"/>
        <w:numPr>
          <w:ilvl w:val="0"/>
          <w:numId w:val="15"/>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Expectancy Theory:</w:t>
      </w:r>
      <w:r w:rsidR="00B54C23" w:rsidRPr="00CD3376">
        <w:rPr>
          <w:rStyle w:val="s1"/>
          <w:rFonts w:asciiTheme="minorHAnsi" w:hAnsiTheme="minorHAnsi"/>
          <w:color w:val="000000"/>
        </w:rPr>
        <w:t xml:space="preserve"> </w:t>
      </w:r>
      <w:r w:rsidRPr="00CD3376">
        <w:rPr>
          <w:rStyle w:val="s1"/>
          <w:rFonts w:asciiTheme="minorHAnsi" w:hAnsiTheme="minorHAnsi"/>
          <w:color w:val="000000"/>
        </w:rPr>
        <w:t>According to Vroom's Expectancy Theory</w:t>
      </w:r>
      <w:r w:rsidR="007110B8" w:rsidRPr="00CD3376">
        <w:rPr>
          <w:rStyle w:val="s1"/>
          <w:rFonts w:asciiTheme="minorHAnsi" w:hAnsiTheme="minorHAnsi"/>
          <w:color w:val="000000"/>
        </w:rPr>
        <w:t xml:space="preserve"> </w:t>
      </w:r>
      <w:r w:rsidR="007110B8" w:rsidRPr="00CD3376">
        <w:rPr>
          <w:rStyle w:val="s1"/>
          <w:rFonts w:asciiTheme="minorHAnsi" w:hAnsiTheme="minorHAnsi"/>
          <w:color w:val="000000"/>
        </w:rPr>
        <w:t>(Vroom, 1964)</w:t>
      </w:r>
      <w:r w:rsidRPr="00CD3376">
        <w:rPr>
          <w:rStyle w:val="s1"/>
          <w:rFonts w:asciiTheme="minorHAnsi" w:hAnsiTheme="minorHAnsi"/>
          <w:color w:val="000000"/>
        </w:rPr>
        <w:t>, employees are motivated when they believe that their efforts will lead to desired performance outcomes and that these outcomes will be rewarded. A clear link between performance and rewards enhances motivation and effort.</w:t>
      </w:r>
    </w:p>
    <w:p w14:paraId="49D6E033" w14:textId="77777777" w:rsidR="00B54C23" w:rsidRPr="00CD3376" w:rsidRDefault="00B54C23" w:rsidP="00B54C23">
      <w:pPr>
        <w:pStyle w:val="p1"/>
        <w:spacing w:before="0" w:beforeAutospacing="0" w:after="0" w:afterAutospacing="0"/>
        <w:rPr>
          <w:rFonts w:asciiTheme="minorHAnsi" w:hAnsiTheme="minorHAnsi"/>
          <w:color w:val="000000"/>
        </w:rPr>
      </w:pPr>
    </w:p>
    <w:p w14:paraId="24AE4A66" w14:textId="7256AC0B" w:rsidR="00B54C23" w:rsidRPr="00CD3376" w:rsidRDefault="00A85C6E" w:rsidP="00B54C23">
      <w:pPr>
        <w:pStyle w:val="p1"/>
        <w:numPr>
          <w:ilvl w:val="0"/>
          <w:numId w:val="15"/>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Equity Theory:</w:t>
      </w:r>
      <w:r w:rsidR="00B54C23" w:rsidRPr="00CD3376">
        <w:rPr>
          <w:rStyle w:val="s1"/>
          <w:rFonts w:asciiTheme="minorHAnsi" w:hAnsiTheme="minorHAnsi"/>
          <w:color w:val="000000"/>
        </w:rPr>
        <w:t xml:space="preserve"> </w:t>
      </w:r>
      <w:r w:rsidRPr="00CD3376">
        <w:rPr>
          <w:rStyle w:val="s1"/>
          <w:rFonts w:asciiTheme="minorHAnsi" w:hAnsiTheme="minorHAnsi"/>
          <w:color w:val="000000"/>
        </w:rPr>
        <w:t>Adams'</w:t>
      </w:r>
      <w:r w:rsidR="00976552" w:rsidRPr="00CD3376">
        <w:rPr>
          <w:rStyle w:val="s1"/>
          <w:rFonts w:asciiTheme="minorHAnsi" w:hAnsiTheme="minorHAnsi"/>
          <w:color w:val="000000"/>
        </w:rPr>
        <w:t xml:space="preserve"> (Adams, 1965)</w:t>
      </w:r>
      <w:r w:rsidRPr="00CD3376">
        <w:rPr>
          <w:rStyle w:val="s1"/>
          <w:rFonts w:asciiTheme="minorHAnsi" w:hAnsiTheme="minorHAnsi"/>
          <w:color w:val="000000"/>
        </w:rPr>
        <w:t xml:space="preserve"> Equity Theory </w:t>
      </w:r>
      <w:r w:rsidR="00FD5824" w:rsidRPr="00CD3376">
        <w:rPr>
          <w:rStyle w:val="s1"/>
          <w:rFonts w:asciiTheme="minorHAnsi" w:hAnsiTheme="minorHAnsi"/>
          <w:color w:val="000000"/>
        </w:rPr>
        <w:t>suggests</w:t>
      </w:r>
      <w:r w:rsidRPr="00CD3376">
        <w:rPr>
          <w:rStyle w:val="s1"/>
          <w:rFonts w:asciiTheme="minorHAnsi" w:hAnsiTheme="minorHAnsi"/>
          <w:color w:val="000000"/>
        </w:rPr>
        <w:t xml:space="preserve"> that employees are motivated when they perceive fairness in the distribution of rewards. Perceived inequities can lead to dissatisfaction and reduced performance. Ensuring equitable reward practices is crucial for maintaining motivation.</w:t>
      </w:r>
    </w:p>
    <w:p w14:paraId="39D50821" w14:textId="77777777" w:rsidR="00B54C23" w:rsidRPr="00CD3376" w:rsidRDefault="00B54C23" w:rsidP="00B54C23">
      <w:pPr>
        <w:pStyle w:val="p1"/>
        <w:spacing w:before="0" w:beforeAutospacing="0" w:after="0" w:afterAutospacing="0"/>
        <w:rPr>
          <w:rStyle w:val="s1"/>
          <w:rFonts w:asciiTheme="minorHAnsi" w:hAnsiTheme="minorHAnsi"/>
          <w:color w:val="000000"/>
        </w:rPr>
      </w:pPr>
    </w:p>
    <w:p w14:paraId="5EB41B8F" w14:textId="21983995" w:rsidR="00B54C23" w:rsidRPr="00CD3376" w:rsidRDefault="00A85C6E" w:rsidP="00A85C6E">
      <w:pPr>
        <w:pStyle w:val="p1"/>
        <w:numPr>
          <w:ilvl w:val="0"/>
          <w:numId w:val="15"/>
        </w:numPr>
        <w:spacing w:before="0" w:beforeAutospacing="0" w:after="0" w:afterAutospacing="0"/>
        <w:rPr>
          <w:rStyle w:val="s1"/>
          <w:rFonts w:asciiTheme="minorHAnsi" w:hAnsiTheme="minorHAnsi"/>
          <w:color w:val="000000"/>
        </w:rPr>
      </w:pPr>
      <w:r w:rsidRPr="00CD3376">
        <w:rPr>
          <w:rStyle w:val="s1"/>
          <w:rFonts w:asciiTheme="minorHAnsi" w:eastAsia="Times New Roman" w:hAnsiTheme="minorHAnsi"/>
          <w:color w:val="000000"/>
        </w:rPr>
        <w:t>Reinforcement Theory:</w:t>
      </w:r>
      <w:r w:rsidR="00B54C23" w:rsidRPr="00CD3376">
        <w:rPr>
          <w:rStyle w:val="s1"/>
          <w:rFonts w:asciiTheme="minorHAnsi" w:eastAsia="Times New Roman" w:hAnsiTheme="minorHAnsi"/>
          <w:color w:val="000000"/>
        </w:rPr>
        <w:t xml:space="preserve"> </w:t>
      </w:r>
      <w:r w:rsidRPr="00CD3376">
        <w:rPr>
          <w:rStyle w:val="s1"/>
          <w:rFonts w:asciiTheme="minorHAnsi" w:eastAsia="Times New Roman" w:hAnsiTheme="minorHAnsi"/>
          <w:color w:val="000000"/>
        </w:rPr>
        <w:t xml:space="preserve">B.F. Skinner's </w:t>
      </w:r>
      <w:r w:rsidR="007110B8" w:rsidRPr="00CD3376">
        <w:rPr>
          <w:rStyle w:val="s1"/>
          <w:rFonts w:asciiTheme="minorHAnsi" w:eastAsia="Times New Roman" w:hAnsiTheme="minorHAnsi"/>
          <w:color w:val="000000"/>
        </w:rPr>
        <w:t>(Skinner, 1953)</w:t>
      </w:r>
      <w:r w:rsidR="007110B8" w:rsidRPr="00CD3376">
        <w:rPr>
          <w:rStyle w:val="s1"/>
          <w:rFonts w:asciiTheme="minorHAnsi" w:eastAsia="Times New Roman" w:hAnsiTheme="minorHAnsi"/>
          <w:color w:val="000000"/>
        </w:rPr>
        <w:t xml:space="preserve"> </w:t>
      </w:r>
      <w:r w:rsidRPr="00CD3376">
        <w:rPr>
          <w:rStyle w:val="s1"/>
          <w:rFonts w:asciiTheme="minorHAnsi" w:eastAsia="Times New Roman" w:hAnsiTheme="minorHAnsi"/>
          <w:color w:val="000000"/>
        </w:rPr>
        <w:t>Reinforcement Theory suggests that behaviours followed by positive outcomes are likely to be repeated. Therefore, rewarding desired performance encourages its recurrence, reinforcing productive behaviours.</w:t>
      </w:r>
    </w:p>
    <w:p w14:paraId="3D71CC5C" w14:textId="77777777" w:rsidR="00B54C23" w:rsidRPr="00CD3376" w:rsidRDefault="00B54C23" w:rsidP="00B54C23">
      <w:pPr>
        <w:pStyle w:val="p1"/>
        <w:spacing w:before="0" w:beforeAutospacing="0" w:after="0" w:afterAutospacing="0"/>
        <w:rPr>
          <w:rFonts w:asciiTheme="minorHAnsi" w:hAnsiTheme="minorHAnsi"/>
          <w:color w:val="000000"/>
        </w:rPr>
      </w:pPr>
    </w:p>
    <w:p w14:paraId="525A5AD1" w14:textId="5E5E350D" w:rsidR="00A85C6E" w:rsidRPr="00CD3376" w:rsidRDefault="00A85C6E" w:rsidP="00A85C6E">
      <w:pPr>
        <w:pStyle w:val="p1"/>
        <w:numPr>
          <w:ilvl w:val="0"/>
          <w:numId w:val="15"/>
        </w:numPr>
        <w:spacing w:before="0" w:beforeAutospacing="0" w:after="0" w:afterAutospacing="0"/>
        <w:rPr>
          <w:rFonts w:asciiTheme="minorHAnsi" w:hAnsiTheme="minorHAnsi"/>
          <w:color w:val="000000"/>
        </w:rPr>
      </w:pPr>
      <w:r w:rsidRPr="00CD3376">
        <w:rPr>
          <w:rStyle w:val="s1"/>
          <w:rFonts w:asciiTheme="minorHAnsi" w:hAnsiTheme="minorHAnsi"/>
          <w:color w:val="000000"/>
        </w:rPr>
        <w:t>Goal-Setting Theory:</w:t>
      </w:r>
      <w:r w:rsidR="00B54C23" w:rsidRPr="00CD3376">
        <w:rPr>
          <w:rStyle w:val="s1"/>
          <w:rFonts w:asciiTheme="minorHAnsi" w:hAnsiTheme="minorHAnsi"/>
          <w:color w:val="000000"/>
        </w:rPr>
        <w:t xml:space="preserve"> </w:t>
      </w:r>
      <w:r w:rsidRPr="00CD3376">
        <w:rPr>
          <w:rStyle w:val="s1"/>
          <w:rFonts w:asciiTheme="minorHAnsi" w:hAnsiTheme="minorHAnsi"/>
          <w:color w:val="000000"/>
        </w:rPr>
        <w:t>Locke and Latham's</w:t>
      </w:r>
      <w:r w:rsidR="007110B8" w:rsidRPr="00CD3376">
        <w:rPr>
          <w:rStyle w:val="s1"/>
          <w:rFonts w:asciiTheme="minorHAnsi" w:hAnsiTheme="minorHAnsi"/>
          <w:color w:val="000000"/>
        </w:rPr>
        <w:t xml:space="preserve"> (Locke and Latham, 2002)</w:t>
      </w:r>
      <w:r w:rsidRPr="00CD3376">
        <w:rPr>
          <w:rStyle w:val="s1"/>
          <w:rFonts w:asciiTheme="minorHAnsi" w:hAnsiTheme="minorHAnsi"/>
          <w:color w:val="000000"/>
        </w:rPr>
        <w:t xml:space="preserve"> Goal-Setting Theory asserts that specific and challenging goals, coupled with appropriate rewards, can enhance performance. The achievement of set goals acts as a motivator, and rewards for achieving these goals reinforce the effort.</w:t>
      </w:r>
    </w:p>
    <w:p w14:paraId="6F5AE554" w14:textId="77777777" w:rsidR="00A85C6E" w:rsidRDefault="00A85C6E" w:rsidP="00A85C6E">
      <w:pPr>
        <w:pStyle w:val="p2"/>
        <w:spacing w:before="0" w:beforeAutospacing="0" w:after="0" w:afterAutospacing="0"/>
        <w:rPr>
          <w:rFonts w:asciiTheme="minorHAnsi" w:hAnsiTheme="minorHAnsi"/>
          <w:color w:val="000000"/>
        </w:rPr>
      </w:pPr>
    </w:p>
    <w:p w14:paraId="19CD7D9D" w14:textId="77777777" w:rsidR="00CD3376" w:rsidRPr="00CD3376" w:rsidRDefault="00CD3376" w:rsidP="00A85C6E">
      <w:pPr>
        <w:pStyle w:val="p2"/>
        <w:spacing w:before="0" w:beforeAutospacing="0" w:after="0" w:afterAutospacing="0"/>
        <w:rPr>
          <w:rFonts w:asciiTheme="minorHAnsi" w:hAnsiTheme="minorHAnsi"/>
          <w:color w:val="000000"/>
        </w:rPr>
      </w:pPr>
    </w:p>
    <w:p w14:paraId="0D1CCCD1" w14:textId="267225BC" w:rsidR="00A85C6E" w:rsidRPr="00CD3376" w:rsidRDefault="00A85C6E" w:rsidP="00A85C6E">
      <w:pPr>
        <w:pStyle w:val="p1"/>
        <w:spacing w:before="0" w:beforeAutospacing="0" w:after="0" w:afterAutospacing="0"/>
        <w:rPr>
          <w:rFonts w:asciiTheme="minorHAnsi" w:hAnsiTheme="minorHAnsi"/>
          <w:color w:val="000000"/>
        </w:rPr>
      </w:pPr>
      <w:r w:rsidRPr="00CD3376">
        <w:rPr>
          <w:rStyle w:val="s1"/>
          <w:rFonts w:asciiTheme="minorHAnsi" w:hAnsiTheme="minorHAnsi"/>
          <w:color w:val="000000"/>
        </w:rPr>
        <w:t>Links to Motivation</w:t>
      </w:r>
    </w:p>
    <w:p w14:paraId="24EA26CC" w14:textId="77777777" w:rsidR="00A85C6E" w:rsidRPr="00CD3376" w:rsidRDefault="00A85C6E" w:rsidP="00A85C6E">
      <w:pPr>
        <w:pStyle w:val="p2"/>
        <w:spacing w:before="0" w:beforeAutospacing="0" w:after="0" w:afterAutospacing="0"/>
        <w:rPr>
          <w:rFonts w:asciiTheme="minorHAnsi" w:hAnsiTheme="minorHAnsi"/>
          <w:color w:val="000000"/>
        </w:rPr>
      </w:pPr>
    </w:p>
    <w:p w14:paraId="3E1AC72F" w14:textId="145947C5" w:rsidR="00B54C23" w:rsidRPr="00CD3376" w:rsidRDefault="00A85C6E" w:rsidP="00A85C6E">
      <w:pPr>
        <w:pStyle w:val="p1"/>
        <w:numPr>
          <w:ilvl w:val="0"/>
          <w:numId w:val="16"/>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Intrinsic Motivation:</w:t>
      </w:r>
      <w:r w:rsidR="00B54C23" w:rsidRPr="00CD3376">
        <w:rPr>
          <w:rStyle w:val="s1"/>
          <w:rFonts w:asciiTheme="minorHAnsi" w:hAnsiTheme="minorHAnsi"/>
          <w:color w:val="000000"/>
        </w:rPr>
        <w:t xml:space="preserve"> </w:t>
      </w:r>
      <w:r w:rsidR="00DC0844" w:rsidRPr="00CD3376">
        <w:rPr>
          <w:rStyle w:val="s1"/>
          <w:rFonts w:asciiTheme="minorHAnsi" w:hAnsiTheme="minorHAnsi"/>
          <w:color w:val="000000"/>
        </w:rPr>
        <w:t>Intrinsic motivation arises from internal factors, such as personal growth, job satisfaction, and the sense of accomplishment. Non-financial rewards, such as recognition, meaningful work, and career development opportunities, can enhance intrinsic motivation by fulfilling employees' psychological needs (Deci and Ryan, 2000)</w:t>
      </w:r>
      <w:r w:rsidRPr="00CD3376">
        <w:rPr>
          <w:rStyle w:val="s1"/>
          <w:rFonts w:asciiTheme="minorHAnsi" w:hAnsiTheme="minorHAnsi"/>
          <w:color w:val="000000"/>
        </w:rPr>
        <w:t>.</w:t>
      </w:r>
    </w:p>
    <w:p w14:paraId="616E6210" w14:textId="77777777" w:rsidR="00B54C23" w:rsidRPr="00CD3376" w:rsidRDefault="00B54C23" w:rsidP="00B54C23">
      <w:pPr>
        <w:pStyle w:val="p1"/>
        <w:spacing w:before="0" w:beforeAutospacing="0" w:after="0" w:afterAutospacing="0"/>
        <w:rPr>
          <w:rFonts w:asciiTheme="minorHAnsi" w:hAnsiTheme="minorHAnsi"/>
          <w:color w:val="000000"/>
        </w:rPr>
      </w:pPr>
    </w:p>
    <w:p w14:paraId="375E2B40" w14:textId="4FA0270B" w:rsidR="00B54C23" w:rsidRPr="00CD3376" w:rsidRDefault="00A85C6E" w:rsidP="00A85C6E">
      <w:pPr>
        <w:pStyle w:val="p1"/>
        <w:numPr>
          <w:ilvl w:val="0"/>
          <w:numId w:val="16"/>
        </w:numPr>
        <w:spacing w:before="0" w:beforeAutospacing="0" w:after="0" w:afterAutospacing="0"/>
        <w:rPr>
          <w:rStyle w:val="s1"/>
          <w:rFonts w:asciiTheme="minorHAnsi" w:hAnsiTheme="minorHAnsi"/>
          <w:color w:val="000000"/>
        </w:rPr>
      </w:pPr>
      <w:r w:rsidRPr="00CD3376">
        <w:rPr>
          <w:rStyle w:val="s1"/>
          <w:rFonts w:asciiTheme="minorHAnsi" w:hAnsiTheme="minorHAnsi"/>
          <w:color w:val="000000"/>
        </w:rPr>
        <w:t>Extrinsic Motivation:</w:t>
      </w:r>
      <w:r w:rsidR="00B54C23" w:rsidRPr="00CD3376">
        <w:rPr>
          <w:rStyle w:val="s1"/>
          <w:rFonts w:asciiTheme="minorHAnsi" w:hAnsiTheme="minorHAnsi"/>
          <w:color w:val="000000"/>
        </w:rPr>
        <w:t xml:space="preserve"> </w:t>
      </w:r>
      <w:r w:rsidR="00DC0844" w:rsidRPr="00CD3376">
        <w:rPr>
          <w:rStyle w:val="s1"/>
          <w:rFonts w:asciiTheme="minorHAnsi" w:hAnsiTheme="minorHAnsi"/>
          <w:color w:val="000000"/>
        </w:rPr>
        <w:t>Extrinsic motivation is driven by external factors, such as monetary rewards, bonuses, and benefits. Financial rewards can effectively motivate employees to achieve specific performance targets and contribute to the overall success of the organisation (Skinner, 1953)</w:t>
      </w:r>
      <w:r w:rsidRPr="00CD3376">
        <w:rPr>
          <w:rStyle w:val="s1"/>
          <w:rFonts w:asciiTheme="minorHAnsi" w:hAnsiTheme="minorHAnsi"/>
          <w:color w:val="000000"/>
        </w:rPr>
        <w:t>.</w:t>
      </w:r>
    </w:p>
    <w:p w14:paraId="0C2ADFFE" w14:textId="77777777" w:rsidR="00976552" w:rsidRPr="00CD3376" w:rsidRDefault="00976552" w:rsidP="00976552">
      <w:pPr>
        <w:pStyle w:val="p1"/>
        <w:spacing w:before="0" w:beforeAutospacing="0" w:after="0" w:afterAutospacing="0"/>
        <w:rPr>
          <w:rFonts w:asciiTheme="minorHAnsi" w:hAnsiTheme="minorHAnsi"/>
          <w:color w:val="000000"/>
        </w:rPr>
      </w:pPr>
    </w:p>
    <w:p w14:paraId="326956A0" w14:textId="76F86FAE" w:rsidR="00A85C6E" w:rsidRPr="00CD3376" w:rsidRDefault="00A85C6E" w:rsidP="00A85C6E">
      <w:pPr>
        <w:pStyle w:val="p1"/>
        <w:numPr>
          <w:ilvl w:val="0"/>
          <w:numId w:val="16"/>
        </w:numPr>
        <w:spacing w:before="0" w:beforeAutospacing="0" w:after="0" w:afterAutospacing="0"/>
        <w:rPr>
          <w:rFonts w:asciiTheme="minorHAnsi" w:hAnsiTheme="minorHAnsi"/>
          <w:color w:val="000000"/>
        </w:rPr>
      </w:pPr>
      <w:r w:rsidRPr="00CD3376">
        <w:rPr>
          <w:rStyle w:val="s1"/>
          <w:rFonts w:asciiTheme="minorHAnsi" w:hAnsiTheme="minorHAnsi"/>
          <w:color w:val="000000"/>
        </w:rPr>
        <w:t>Self-Determination Theory:</w:t>
      </w:r>
      <w:r w:rsidR="00B54C23" w:rsidRPr="00CD3376">
        <w:rPr>
          <w:rStyle w:val="s1"/>
          <w:rFonts w:asciiTheme="minorHAnsi" w:hAnsiTheme="minorHAnsi"/>
          <w:color w:val="000000"/>
        </w:rPr>
        <w:t xml:space="preserve"> </w:t>
      </w:r>
      <w:r w:rsidRPr="00CD3376">
        <w:rPr>
          <w:rStyle w:val="s1"/>
          <w:rFonts w:asciiTheme="minorHAnsi" w:hAnsiTheme="minorHAnsi"/>
          <w:color w:val="000000"/>
        </w:rPr>
        <w:t>According to Deci and Ryan's</w:t>
      </w:r>
      <w:r w:rsidR="007110B8" w:rsidRPr="00CD3376">
        <w:rPr>
          <w:rStyle w:val="s1"/>
          <w:rFonts w:asciiTheme="minorHAnsi" w:hAnsiTheme="minorHAnsi"/>
          <w:color w:val="000000"/>
        </w:rPr>
        <w:t xml:space="preserve"> </w:t>
      </w:r>
      <w:r w:rsidR="007110B8" w:rsidRPr="00CD3376">
        <w:rPr>
          <w:rStyle w:val="s1"/>
          <w:rFonts w:asciiTheme="minorHAnsi" w:hAnsiTheme="minorHAnsi"/>
          <w:color w:val="000000"/>
        </w:rPr>
        <w:t>(Deci and Ryan, 2000)</w:t>
      </w:r>
      <w:r w:rsidRPr="00CD3376">
        <w:rPr>
          <w:rStyle w:val="s1"/>
          <w:rFonts w:asciiTheme="minorHAnsi" w:hAnsiTheme="minorHAnsi"/>
          <w:color w:val="000000"/>
        </w:rPr>
        <w:t xml:space="preserve"> Self-Determination Theory, employees are motivated when their needs for autonomy, competence, and relatedness are met. A balanced reward system that includes opportunities for self-direction, skill development, and social connections can enhance overall motivation.</w:t>
      </w:r>
    </w:p>
    <w:p w14:paraId="0E2D066E" w14:textId="77777777" w:rsidR="00A85C6E" w:rsidRPr="00CD3376" w:rsidRDefault="00A85C6E" w:rsidP="00A85C6E">
      <w:pPr>
        <w:pStyle w:val="p2"/>
        <w:spacing w:before="0" w:beforeAutospacing="0" w:after="0" w:afterAutospacing="0"/>
        <w:rPr>
          <w:rFonts w:asciiTheme="minorHAnsi" w:hAnsiTheme="minorHAnsi"/>
          <w:color w:val="000000"/>
        </w:rPr>
      </w:pPr>
    </w:p>
    <w:p w14:paraId="705C5651" w14:textId="6E68F8B1" w:rsidR="00A85C6E" w:rsidRPr="00CD3376" w:rsidRDefault="00A85C6E" w:rsidP="00A85C6E">
      <w:pPr>
        <w:pStyle w:val="p1"/>
        <w:spacing w:before="0" w:beforeAutospacing="0" w:after="0" w:afterAutospacing="0"/>
        <w:rPr>
          <w:rFonts w:asciiTheme="minorHAnsi" w:hAnsiTheme="minorHAnsi"/>
          <w:color w:val="000000"/>
        </w:rPr>
      </w:pPr>
      <w:r w:rsidRPr="00CD3376">
        <w:rPr>
          <w:rStyle w:val="s1"/>
          <w:rFonts w:asciiTheme="minorHAnsi" w:hAnsiTheme="minorHAnsi"/>
          <w:color w:val="000000"/>
        </w:rPr>
        <w:t>Conclusion</w:t>
      </w:r>
    </w:p>
    <w:p w14:paraId="21684FA6" w14:textId="77777777" w:rsidR="00A85C6E" w:rsidRPr="00CD3376" w:rsidRDefault="00A85C6E" w:rsidP="00A85C6E">
      <w:pPr>
        <w:pStyle w:val="p2"/>
        <w:spacing w:before="0" w:beforeAutospacing="0" w:after="0" w:afterAutospacing="0"/>
        <w:rPr>
          <w:rFonts w:asciiTheme="minorHAnsi" w:hAnsiTheme="minorHAnsi"/>
          <w:color w:val="000000"/>
        </w:rPr>
      </w:pPr>
    </w:p>
    <w:p w14:paraId="39C44E46" w14:textId="081EE9FA" w:rsidR="00A85C6E" w:rsidRPr="00CD3376" w:rsidRDefault="00DC0844" w:rsidP="00A85C6E">
      <w:pPr>
        <w:pStyle w:val="p1"/>
        <w:spacing w:before="0" w:beforeAutospacing="0" w:after="0" w:afterAutospacing="0"/>
        <w:rPr>
          <w:rFonts w:asciiTheme="minorHAnsi" w:hAnsiTheme="minorHAnsi"/>
          <w:color w:val="000000"/>
        </w:rPr>
      </w:pPr>
      <w:r w:rsidRPr="00CD3376">
        <w:rPr>
          <w:rStyle w:val="s1"/>
          <w:rFonts w:asciiTheme="minorHAnsi" w:hAnsiTheme="minorHAnsi"/>
          <w:color w:val="000000"/>
        </w:rPr>
        <w:t>Performance management and reward systems are essential for organizational success, enhancing both individual and collective performance. Aligning employee goals with organi</w:t>
      </w:r>
      <w:r w:rsidRPr="00CD3376">
        <w:rPr>
          <w:rStyle w:val="s1"/>
          <w:rFonts w:asciiTheme="minorHAnsi" w:hAnsiTheme="minorHAnsi"/>
          <w:color w:val="000000"/>
        </w:rPr>
        <w:t>s</w:t>
      </w:r>
      <w:r w:rsidRPr="00CD3376">
        <w:rPr>
          <w:rStyle w:val="s1"/>
          <w:rFonts w:asciiTheme="minorHAnsi" w:hAnsiTheme="minorHAnsi"/>
          <w:color w:val="000000"/>
        </w:rPr>
        <w:t>ational objectives, providing continuous feedback, and offering a mix of financial and non-financial rewards fosters motivation, engagement, and productivity. Fair and transparent evaluations and reward practices maintain trust and equity. Jaspreet and Caroline must understand these concepts to effectively manage and motivate new sales assistants, ensuring alignment with organi</w:t>
      </w:r>
      <w:r w:rsidRPr="00CD3376">
        <w:rPr>
          <w:rStyle w:val="s1"/>
          <w:rFonts w:asciiTheme="minorHAnsi" w:hAnsiTheme="minorHAnsi"/>
          <w:color w:val="000000"/>
        </w:rPr>
        <w:t>s</w:t>
      </w:r>
      <w:r w:rsidRPr="00CD3376">
        <w:rPr>
          <w:rStyle w:val="s1"/>
          <w:rFonts w:asciiTheme="minorHAnsi" w:hAnsiTheme="minorHAnsi"/>
          <w:color w:val="000000"/>
        </w:rPr>
        <w:t>ational goals and sustained competitive advantage.</w:t>
      </w:r>
    </w:p>
    <w:p w14:paraId="280D3057" w14:textId="06200EE9" w:rsidR="00921393" w:rsidRDefault="00CD3376" w:rsidP="00941333">
      <w:pPr>
        <w:spacing w:before="100" w:beforeAutospacing="1" w:after="100" w:afterAutospacing="1" w:line="240" w:lineRule="auto"/>
        <w:rPr>
          <w:rFonts w:eastAsia="Times New Roman" w:cs="Times New Roman"/>
          <w:b/>
          <w:bCs/>
          <w:kern w:val="0"/>
          <w:sz w:val="24"/>
          <w:szCs w:val="24"/>
          <w:lang w:eastAsia="en-GB"/>
          <w14:ligatures w14:val="none"/>
        </w:rPr>
      </w:pPr>
      <w:r w:rsidRPr="00CD3376">
        <w:rPr>
          <w:rFonts w:eastAsia="Times New Roman" w:cs="Times New Roman"/>
          <w:b/>
          <w:bCs/>
          <w:kern w:val="0"/>
          <w:sz w:val="24"/>
          <w:szCs w:val="24"/>
          <w:lang w:eastAsia="en-GB"/>
          <w14:ligatures w14:val="none"/>
        </w:rPr>
        <w:t xml:space="preserve">Reference list </w:t>
      </w:r>
    </w:p>
    <w:p w14:paraId="7ADCA711" w14:textId="77777777" w:rsidR="00CD3376" w:rsidRPr="00CD3376" w:rsidRDefault="00CD3376" w:rsidP="00CD3376">
      <w:pPr>
        <w:spacing w:before="100" w:beforeAutospacing="1" w:after="100" w:afterAutospacing="1" w:line="240" w:lineRule="auto"/>
        <w:rPr>
          <w:rFonts w:eastAsia="Times New Roman" w:cs="Times New Roman"/>
          <w:kern w:val="0"/>
          <w:sz w:val="24"/>
          <w:szCs w:val="24"/>
          <w:lang w:eastAsia="en-GB"/>
          <w14:ligatures w14:val="none"/>
        </w:rPr>
      </w:pPr>
      <w:r w:rsidRPr="00CD3376">
        <w:rPr>
          <w:rFonts w:eastAsia="Times New Roman" w:cs="Times New Roman"/>
          <w:kern w:val="0"/>
          <w:sz w:val="24"/>
          <w:szCs w:val="24"/>
          <w:lang w:eastAsia="en-GB"/>
          <w14:ligatures w14:val="none"/>
        </w:rPr>
        <w:t>Adams, J. S. (1965). Inequity in social exchange. Advances in experimental social psychology, 2, 267-299.</w:t>
      </w:r>
    </w:p>
    <w:p w14:paraId="3413AD02" w14:textId="77777777" w:rsidR="00CD3376" w:rsidRPr="00CD3376" w:rsidRDefault="00CD3376" w:rsidP="00CD3376">
      <w:pPr>
        <w:spacing w:before="100" w:beforeAutospacing="1" w:after="100" w:afterAutospacing="1" w:line="240" w:lineRule="auto"/>
        <w:rPr>
          <w:rFonts w:eastAsia="Times New Roman" w:cs="Times New Roman"/>
          <w:kern w:val="0"/>
          <w:sz w:val="24"/>
          <w:szCs w:val="24"/>
          <w:lang w:eastAsia="en-GB"/>
          <w14:ligatures w14:val="none"/>
        </w:rPr>
      </w:pPr>
      <w:r w:rsidRPr="00CD3376">
        <w:rPr>
          <w:rFonts w:eastAsia="Times New Roman" w:cs="Times New Roman"/>
          <w:kern w:val="0"/>
          <w:sz w:val="24"/>
          <w:szCs w:val="24"/>
          <w:lang w:eastAsia="en-GB"/>
          <w14:ligatures w14:val="none"/>
        </w:rPr>
        <w:t>Armstrong, M., &amp; Taylor, S. (2014). Armstrong's Handbook of Human Resource Management Practice. Kogan Page Publishers.</w:t>
      </w:r>
    </w:p>
    <w:p w14:paraId="5BA89E2A" w14:textId="77777777" w:rsidR="00CD3376" w:rsidRPr="00CD3376" w:rsidRDefault="00CD3376" w:rsidP="00CD3376">
      <w:pPr>
        <w:spacing w:before="100" w:beforeAutospacing="1" w:after="100" w:afterAutospacing="1" w:line="240" w:lineRule="auto"/>
        <w:rPr>
          <w:rFonts w:eastAsia="Times New Roman" w:cs="Times New Roman"/>
          <w:kern w:val="0"/>
          <w:sz w:val="24"/>
          <w:szCs w:val="24"/>
          <w:lang w:eastAsia="en-GB"/>
          <w14:ligatures w14:val="none"/>
        </w:rPr>
      </w:pPr>
      <w:r w:rsidRPr="00CD3376">
        <w:rPr>
          <w:rFonts w:eastAsia="Times New Roman" w:cs="Times New Roman"/>
          <w:kern w:val="0"/>
          <w:sz w:val="24"/>
          <w:szCs w:val="24"/>
          <w:lang w:eastAsia="en-GB"/>
          <w14:ligatures w14:val="none"/>
        </w:rPr>
        <w:t>Beer, M., Spector, B., Lawrence, P. R., Mills, D. Q., &amp; Walton, R. E. (1984). Managing Human Assets. Simon and Schuster.</w:t>
      </w:r>
    </w:p>
    <w:p w14:paraId="1DD51808" w14:textId="77777777" w:rsidR="00CD3376" w:rsidRPr="00CD3376" w:rsidRDefault="00CD3376" w:rsidP="00CD3376">
      <w:pPr>
        <w:spacing w:before="100" w:beforeAutospacing="1" w:after="100" w:afterAutospacing="1" w:line="240" w:lineRule="auto"/>
        <w:rPr>
          <w:rFonts w:eastAsia="Times New Roman" w:cs="Times New Roman"/>
          <w:kern w:val="0"/>
          <w:sz w:val="24"/>
          <w:szCs w:val="24"/>
          <w:lang w:eastAsia="en-GB"/>
          <w14:ligatures w14:val="none"/>
        </w:rPr>
      </w:pPr>
      <w:proofErr w:type="spellStart"/>
      <w:r w:rsidRPr="00CD3376">
        <w:rPr>
          <w:rFonts w:eastAsia="Times New Roman" w:cs="Times New Roman"/>
          <w:kern w:val="0"/>
          <w:sz w:val="24"/>
          <w:szCs w:val="24"/>
          <w:lang w:val="it-IT" w:eastAsia="en-GB"/>
          <w14:ligatures w14:val="none"/>
        </w:rPr>
        <w:t>Deci</w:t>
      </w:r>
      <w:proofErr w:type="spellEnd"/>
      <w:r w:rsidRPr="00CD3376">
        <w:rPr>
          <w:rFonts w:eastAsia="Times New Roman" w:cs="Times New Roman"/>
          <w:kern w:val="0"/>
          <w:sz w:val="24"/>
          <w:szCs w:val="24"/>
          <w:lang w:val="it-IT" w:eastAsia="en-GB"/>
          <w14:ligatures w14:val="none"/>
        </w:rPr>
        <w:t xml:space="preserve">, E. L., &amp; Ryan, R. M. (2000). </w:t>
      </w:r>
      <w:r w:rsidRPr="00CD3376">
        <w:rPr>
          <w:rFonts w:eastAsia="Times New Roman" w:cs="Times New Roman"/>
          <w:kern w:val="0"/>
          <w:sz w:val="24"/>
          <w:szCs w:val="24"/>
          <w:lang w:eastAsia="en-GB"/>
          <w14:ligatures w14:val="none"/>
        </w:rPr>
        <w:t xml:space="preserve">The "what" and "why" of goal pursuits: Human needs and the self-determination of </w:t>
      </w:r>
      <w:proofErr w:type="spellStart"/>
      <w:r w:rsidRPr="00CD3376">
        <w:rPr>
          <w:rFonts w:eastAsia="Times New Roman" w:cs="Times New Roman"/>
          <w:kern w:val="0"/>
          <w:sz w:val="24"/>
          <w:szCs w:val="24"/>
          <w:lang w:eastAsia="en-GB"/>
          <w14:ligatures w14:val="none"/>
        </w:rPr>
        <w:t>behavior</w:t>
      </w:r>
      <w:proofErr w:type="spellEnd"/>
      <w:r w:rsidRPr="00CD3376">
        <w:rPr>
          <w:rFonts w:eastAsia="Times New Roman" w:cs="Times New Roman"/>
          <w:kern w:val="0"/>
          <w:sz w:val="24"/>
          <w:szCs w:val="24"/>
          <w:lang w:eastAsia="en-GB"/>
          <w14:ligatures w14:val="none"/>
        </w:rPr>
        <w:t>. Psychological Inquiry, 11(4), 227-268.</w:t>
      </w:r>
    </w:p>
    <w:p w14:paraId="2B502DDB" w14:textId="77777777" w:rsidR="00CD3376" w:rsidRPr="00CD3376" w:rsidRDefault="00CD3376" w:rsidP="00CD3376">
      <w:pPr>
        <w:spacing w:before="100" w:beforeAutospacing="1" w:after="100" w:afterAutospacing="1" w:line="240" w:lineRule="auto"/>
        <w:rPr>
          <w:rFonts w:eastAsia="Times New Roman" w:cs="Times New Roman"/>
          <w:kern w:val="0"/>
          <w:sz w:val="24"/>
          <w:szCs w:val="24"/>
          <w:lang w:eastAsia="en-GB"/>
          <w14:ligatures w14:val="none"/>
        </w:rPr>
      </w:pPr>
      <w:r w:rsidRPr="00CD3376">
        <w:rPr>
          <w:rFonts w:eastAsia="Times New Roman" w:cs="Times New Roman"/>
          <w:kern w:val="0"/>
          <w:sz w:val="24"/>
          <w:szCs w:val="24"/>
          <w:lang w:eastAsia="en-GB"/>
          <w14:ligatures w14:val="none"/>
        </w:rPr>
        <w:t>Locke, E. A., &amp; Latham, G. P. (2002). Building a practically useful theory of goal setting and task motivation: A 35-year odyssey. American psychologist, 57(9), 705.</w:t>
      </w:r>
    </w:p>
    <w:p w14:paraId="0430FD8C" w14:textId="77777777" w:rsidR="00CD3376" w:rsidRPr="00CD3376" w:rsidRDefault="00CD3376" w:rsidP="00CD3376">
      <w:pPr>
        <w:spacing w:before="100" w:beforeAutospacing="1" w:after="100" w:afterAutospacing="1" w:line="240" w:lineRule="auto"/>
        <w:rPr>
          <w:rFonts w:eastAsia="Times New Roman" w:cs="Times New Roman"/>
          <w:kern w:val="0"/>
          <w:sz w:val="24"/>
          <w:szCs w:val="24"/>
          <w:lang w:eastAsia="en-GB"/>
          <w14:ligatures w14:val="none"/>
        </w:rPr>
      </w:pPr>
      <w:r w:rsidRPr="00CD3376">
        <w:rPr>
          <w:rFonts w:eastAsia="Times New Roman" w:cs="Times New Roman"/>
          <w:kern w:val="0"/>
          <w:sz w:val="24"/>
          <w:szCs w:val="24"/>
          <w:lang w:eastAsia="en-GB"/>
          <w14:ligatures w14:val="none"/>
        </w:rPr>
        <w:lastRenderedPageBreak/>
        <w:t>Robbins, S. P., Judge, T. A., Millett, B., &amp; Boyle, M. (2017). Organisational Behaviour. Pearson Education Limited.</w:t>
      </w:r>
    </w:p>
    <w:p w14:paraId="2DB19831" w14:textId="77777777" w:rsidR="00CD3376" w:rsidRPr="00CD3376" w:rsidRDefault="00CD3376" w:rsidP="00CD3376">
      <w:pPr>
        <w:spacing w:before="100" w:beforeAutospacing="1" w:after="100" w:afterAutospacing="1" w:line="240" w:lineRule="auto"/>
        <w:rPr>
          <w:rFonts w:eastAsia="Times New Roman" w:cs="Times New Roman"/>
          <w:kern w:val="0"/>
          <w:sz w:val="24"/>
          <w:szCs w:val="24"/>
          <w:lang w:eastAsia="en-GB"/>
          <w14:ligatures w14:val="none"/>
        </w:rPr>
      </w:pPr>
      <w:r w:rsidRPr="00CD3376">
        <w:rPr>
          <w:rFonts w:eastAsia="Times New Roman" w:cs="Times New Roman"/>
          <w:kern w:val="0"/>
          <w:sz w:val="24"/>
          <w:szCs w:val="24"/>
          <w:lang w:eastAsia="en-GB"/>
          <w14:ligatures w14:val="none"/>
        </w:rPr>
        <w:t xml:space="preserve">Skinner, B. F. (1953). Science and Human </w:t>
      </w:r>
      <w:proofErr w:type="spellStart"/>
      <w:r w:rsidRPr="00CD3376">
        <w:rPr>
          <w:rFonts w:eastAsia="Times New Roman" w:cs="Times New Roman"/>
          <w:kern w:val="0"/>
          <w:sz w:val="24"/>
          <w:szCs w:val="24"/>
          <w:lang w:eastAsia="en-GB"/>
          <w14:ligatures w14:val="none"/>
        </w:rPr>
        <w:t>Behavior</w:t>
      </w:r>
      <w:proofErr w:type="spellEnd"/>
      <w:r w:rsidRPr="00CD3376">
        <w:rPr>
          <w:rFonts w:eastAsia="Times New Roman" w:cs="Times New Roman"/>
          <w:kern w:val="0"/>
          <w:sz w:val="24"/>
          <w:szCs w:val="24"/>
          <w:lang w:eastAsia="en-GB"/>
          <w14:ligatures w14:val="none"/>
        </w:rPr>
        <w:t>. Simon and Schuster.</w:t>
      </w:r>
    </w:p>
    <w:p w14:paraId="37EEEB07" w14:textId="55A0534D" w:rsidR="00CD3376" w:rsidRPr="00CD3376" w:rsidRDefault="00CD3376" w:rsidP="00CD3376">
      <w:pPr>
        <w:spacing w:before="100" w:beforeAutospacing="1" w:after="100" w:afterAutospacing="1" w:line="240" w:lineRule="auto"/>
        <w:rPr>
          <w:rFonts w:eastAsia="Times New Roman" w:cs="Times New Roman"/>
          <w:kern w:val="0"/>
          <w:sz w:val="24"/>
          <w:szCs w:val="24"/>
          <w:lang w:eastAsia="en-GB"/>
          <w14:ligatures w14:val="none"/>
        </w:rPr>
      </w:pPr>
      <w:r w:rsidRPr="00CD3376">
        <w:rPr>
          <w:rFonts w:eastAsia="Times New Roman" w:cs="Times New Roman"/>
          <w:kern w:val="0"/>
          <w:sz w:val="24"/>
          <w:szCs w:val="24"/>
          <w:lang w:eastAsia="en-GB"/>
          <w14:ligatures w14:val="none"/>
        </w:rPr>
        <w:t>Vroom, V. H. (1964). Work and Motivation. John Wiley &amp; Sons.</w:t>
      </w:r>
    </w:p>
    <w:sectPr w:rsidR="00CD3376" w:rsidRPr="00CD3376" w:rsidSect="00973230">
      <w:footerReference w:type="default" r:id="rId8"/>
      <w:headerReference w:type="first" r:id="rId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A74CD5" w14:textId="77777777" w:rsidR="00CB4EFD" w:rsidRPr="002D20B9" w:rsidRDefault="00CB4EFD" w:rsidP="00CB4EFD">
      <w:pPr>
        <w:spacing w:after="0" w:line="240" w:lineRule="auto"/>
      </w:pPr>
      <w:r w:rsidRPr="002D20B9">
        <w:separator/>
      </w:r>
    </w:p>
  </w:endnote>
  <w:endnote w:type="continuationSeparator" w:id="0">
    <w:p w14:paraId="65FABE01" w14:textId="77777777" w:rsidR="00CB4EFD" w:rsidRPr="002D20B9" w:rsidRDefault="00CB4EFD" w:rsidP="00CB4EFD">
      <w:pPr>
        <w:spacing w:after="0" w:line="240" w:lineRule="auto"/>
      </w:pPr>
      <w:r w:rsidRPr="002D20B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DF50F4" w14:textId="77777777" w:rsidR="00973230" w:rsidRPr="002D20B9" w:rsidRDefault="00973230" w:rsidP="00973230">
    <w:pPr>
      <w:pStyle w:val="Footer"/>
      <w:jc w:val="both"/>
    </w:pPr>
    <w:r w:rsidRPr="002D20B9">
      <w:rPr>
        <w:noProof/>
      </w:rPr>
      <w:drawing>
        <wp:anchor distT="0" distB="0" distL="114300" distR="114300" simplePos="0" relativeHeight="251659264" behindDoc="0" locked="0" layoutInCell="1" allowOverlap="1" wp14:anchorId="77C782C7" wp14:editId="3BF0FE56">
          <wp:simplePos x="0" y="0"/>
          <wp:positionH relativeFrom="column">
            <wp:posOffset>5283200</wp:posOffset>
          </wp:positionH>
          <wp:positionV relativeFrom="paragraph">
            <wp:posOffset>170815</wp:posOffset>
          </wp:positionV>
          <wp:extent cx="901700" cy="323850"/>
          <wp:effectExtent l="0" t="0" r="0" b="0"/>
          <wp:wrapSquare wrapText="bothSides"/>
          <wp:docPr id="1486613755" name="Picture 2"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312538" name="Picture 2" descr="A close-up of a signatur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01700" cy="323850"/>
                  </a:xfrm>
                  <a:prstGeom prst="rect">
                    <a:avLst/>
                  </a:prstGeom>
                </pic:spPr>
              </pic:pic>
            </a:graphicData>
          </a:graphic>
          <wp14:sizeRelH relativeFrom="margin">
            <wp14:pctWidth>0</wp14:pctWidth>
          </wp14:sizeRelH>
        </wp:anchor>
      </w:drawing>
    </w:r>
    <w:r w:rsidRPr="002D20B9">
      <w:t>Student Number 2319141</w:t>
    </w:r>
  </w:p>
  <w:p w14:paraId="043170F8" w14:textId="1911A2EB" w:rsidR="00973230" w:rsidRPr="002D20B9" w:rsidRDefault="00973230" w:rsidP="00973230">
    <w:pPr>
      <w:pStyle w:val="Footer"/>
      <w:jc w:val="both"/>
    </w:pPr>
    <w:r w:rsidRPr="002D20B9">
      <w:t>Name: Phillip Rees                                    Date:</w:t>
    </w:r>
    <w:r w:rsidR="0047335B">
      <w:t>8</w:t>
    </w:r>
    <w:r w:rsidR="0047335B" w:rsidRPr="0047335B">
      <w:rPr>
        <w:vertAlign w:val="superscript"/>
      </w:rPr>
      <w:t>th</w:t>
    </w:r>
    <w:r w:rsidR="0047335B">
      <w:t xml:space="preserve"> July 2024</w:t>
    </w:r>
    <w:r w:rsidRPr="002D20B9">
      <w:t xml:space="preserve">                          Signature:</w:t>
    </w:r>
  </w:p>
  <w:p w14:paraId="6146281A" w14:textId="77777777" w:rsidR="00973230" w:rsidRPr="002D20B9" w:rsidRDefault="009732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2A96E0" w14:textId="77777777" w:rsidR="00CB4EFD" w:rsidRPr="002D20B9" w:rsidRDefault="00CB4EFD" w:rsidP="00CB4EFD">
      <w:pPr>
        <w:spacing w:after="0" w:line="240" w:lineRule="auto"/>
      </w:pPr>
      <w:r w:rsidRPr="002D20B9">
        <w:separator/>
      </w:r>
    </w:p>
  </w:footnote>
  <w:footnote w:type="continuationSeparator" w:id="0">
    <w:p w14:paraId="4C35F56F" w14:textId="77777777" w:rsidR="00CB4EFD" w:rsidRPr="002D20B9" w:rsidRDefault="00CB4EFD" w:rsidP="00CB4EFD">
      <w:pPr>
        <w:spacing w:after="0" w:line="240" w:lineRule="auto"/>
      </w:pPr>
      <w:r w:rsidRPr="002D20B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95607" w14:textId="60AFDD6F" w:rsidR="00CB4EFD" w:rsidRPr="002D20B9" w:rsidRDefault="00CB4EFD" w:rsidP="00912FFC">
    <w:pPr>
      <w:pStyle w:val="Header"/>
      <w:jc w:val="center"/>
    </w:pPr>
    <w:r w:rsidRPr="002D20B9">
      <w:t xml:space="preserve">Student number 2379141                     </w:t>
    </w:r>
    <w:r w:rsidR="00912FFC" w:rsidRPr="002D20B9">
      <w:t xml:space="preserve">Task </w:t>
    </w:r>
    <w:r w:rsidR="00921393" w:rsidRPr="002D20B9">
      <w:t>4</w:t>
    </w:r>
    <w:r w:rsidRPr="002D20B9">
      <w:t xml:space="preserve">                                   Word count 1</w:t>
    </w:r>
    <w:r w:rsidR="0047335B">
      <w:t>650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35875"/>
    <w:multiLevelType w:val="hybridMultilevel"/>
    <w:tmpl w:val="24AE6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211AC"/>
    <w:multiLevelType w:val="multilevel"/>
    <w:tmpl w:val="8D14C3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A5C2AB9"/>
    <w:multiLevelType w:val="hybridMultilevel"/>
    <w:tmpl w:val="52840CD4"/>
    <w:lvl w:ilvl="0" w:tplc="F6F82CF8">
      <w:start w:val="1"/>
      <w:numFmt w:val="decimal"/>
      <w:pStyle w:val="Style1"/>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A3DA1"/>
    <w:multiLevelType w:val="hybridMultilevel"/>
    <w:tmpl w:val="152C9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786991"/>
    <w:multiLevelType w:val="hybridMultilevel"/>
    <w:tmpl w:val="627C9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E501B1"/>
    <w:multiLevelType w:val="hybridMultilevel"/>
    <w:tmpl w:val="CB62F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334CA4"/>
    <w:multiLevelType w:val="multilevel"/>
    <w:tmpl w:val="8D14C3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DD731FB"/>
    <w:multiLevelType w:val="multilevel"/>
    <w:tmpl w:val="8D14C3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E6E5460"/>
    <w:multiLevelType w:val="multilevel"/>
    <w:tmpl w:val="8D14C3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4E1D7D94"/>
    <w:multiLevelType w:val="hybridMultilevel"/>
    <w:tmpl w:val="EAFEC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9978C3"/>
    <w:multiLevelType w:val="multilevel"/>
    <w:tmpl w:val="8D14C3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52FC4FC3"/>
    <w:multiLevelType w:val="hybridMultilevel"/>
    <w:tmpl w:val="83921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CF3EEA"/>
    <w:multiLevelType w:val="multilevel"/>
    <w:tmpl w:val="8D14C3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64A138D5"/>
    <w:multiLevelType w:val="multilevel"/>
    <w:tmpl w:val="8D14C3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75F32FAD"/>
    <w:multiLevelType w:val="multilevel"/>
    <w:tmpl w:val="8D14C3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7E2D4545"/>
    <w:multiLevelType w:val="multilevel"/>
    <w:tmpl w:val="8D14C3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56505348">
    <w:abstractNumId w:val="2"/>
  </w:num>
  <w:num w:numId="2" w16cid:durableId="931931106">
    <w:abstractNumId w:val="9"/>
  </w:num>
  <w:num w:numId="3" w16cid:durableId="371030251">
    <w:abstractNumId w:val="4"/>
  </w:num>
  <w:num w:numId="4" w16cid:durableId="1879315510">
    <w:abstractNumId w:val="3"/>
  </w:num>
  <w:num w:numId="5" w16cid:durableId="1217666398">
    <w:abstractNumId w:val="11"/>
  </w:num>
  <w:num w:numId="6" w16cid:durableId="1439444285">
    <w:abstractNumId w:val="5"/>
  </w:num>
  <w:num w:numId="7" w16cid:durableId="1309745076">
    <w:abstractNumId w:val="0"/>
  </w:num>
  <w:num w:numId="8" w16cid:durableId="5884705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09445786">
    <w:abstractNumId w:val="8"/>
  </w:num>
  <w:num w:numId="10" w16cid:durableId="605817630">
    <w:abstractNumId w:val="7"/>
  </w:num>
  <w:num w:numId="11" w16cid:durableId="252249353">
    <w:abstractNumId w:val="10"/>
  </w:num>
  <w:num w:numId="12" w16cid:durableId="1906404425">
    <w:abstractNumId w:val="1"/>
  </w:num>
  <w:num w:numId="13" w16cid:durableId="521405105">
    <w:abstractNumId w:val="12"/>
  </w:num>
  <w:num w:numId="14" w16cid:durableId="280189203">
    <w:abstractNumId w:val="13"/>
  </w:num>
  <w:num w:numId="15" w16cid:durableId="1147623167">
    <w:abstractNumId w:val="6"/>
  </w:num>
  <w:num w:numId="16" w16cid:durableId="113417497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8B7"/>
    <w:rsid w:val="000203DF"/>
    <w:rsid w:val="00032F00"/>
    <w:rsid w:val="0009346A"/>
    <w:rsid w:val="000C6582"/>
    <w:rsid w:val="00217380"/>
    <w:rsid w:val="0023516D"/>
    <w:rsid w:val="00240C1A"/>
    <w:rsid w:val="002924FA"/>
    <w:rsid w:val="00294EC0"/>
    <w:rsid w:val="002D20B9"/>
    <w:rsid w:val="002D45AF"/>
    <w:rsid w:val="002E0FBF"/>
    <w:rsid w:val="00312A24"/>
    <w:rsid w:val="0035143E"/>
    <w:rsid w:val="003D1EB3"/>
    <w:rsid w:val="00440699"/>
    <w:rsid w:val="00446F0E"/>
    <w:rsid w:val="0047335B"/>
    <w:rsid w:val="00496EA7"/>
    <w:rsid w:val="004C65A8"/>
    <w:rsid w:val="004E7270"/>
    <w:rsid w:val="00527167"/>
    <w:rsid w:val="005A3039"/>
    <w:rsid w:val="005E48B7"/>
    <w:rsid w:val="006B0400"/>
    <w:rsid w:val="006E3D52"/>
    <w:rsid w:val="006E5DF7"/>
    <w:rsid w:val="006E7B86"/>
    <w:rsid w:val="007110B8"/>
    <w:rsid w:val="00723A42"/>
    <w:rsid w:val="00781BC5"/>
    <w:rsid w:val="007B5583"/>
    <w:rsid w:val="008040FB"/>
    <w:rsid w:val="008D0A27"/>
    <w:rsid w:val="00912FFC"/>
    <w:rsid w:val="00921393"/>
    <w:rsid w:val="00941333"/>
    <w:rsid w:val="00964EB6"/>
    <w:rsid w:val="00973230"/>
    <w:rsid w:val="00976552"/>
    <w:rsid w:val="009816F6"/>
    <w:rsid w:val="009C629A"/>
    <w:rsid w:val="00A84CAA"/>
    <w:rsid w:val="00A85C6E"/>
    <w:rsid w:val="00B537B9"/>
    <w:rsid w:val="00B54C23"/>
    <w:rsid w:val="00B66F95"/>
    <w:rsid w:val="00BE525C"/>
    <w:rsid w:val="00C5013F"/>
    <w:rsid w:val="00CB4EFD"/>
    <w:rsid w:val="00CD3376"/>
    <w:rsid w:val="00D15DB0"/>
    <w:rsid w:val="00D84EEA"/>
    <w:rsid w:val="00DC0844"/>
    <w:rsid w:val="00DD7B16"/>
    <w:rsid w:val="00E5425C"/>
    <w:rsid w:val="00EA52A7"/>
    <w:rsid w:val="00ED3EFA"/>
    <w:rsid w:val="00F4480A"/>
    <w:rsid w:val="00FD5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394EA"/>
  <w15:chartTrackingRefBased/>
  <w15:docId w15:val="{E09CFD7C-1A61-486C-94FC-1CFFBC49F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32F00"/>
    <w:pPr>
      <w:keepNext/>
      <w:keepLines/>
      <w:spacing w:before="360" w:after="80"/>
      <w:outlineLvl w:val="0"/>
    </w:pPr>
    <w:rPr>
      <w:rFonts w:asciiTheme="majorHAnsi" w:eastAsiaTheme="majorEastAsia" w:hAnsiTheme="majorHAnsi" w:cstheme="majorBidi"/>
      <w:sz w:val="24"/>
      <w:szCs w:val="40"/>
    </w:rPr>
  </w:style>
  <w:style w:type="paragraph" w:styleId="Heading2">
    <w:name w:val="heading 2"/>
    <w:basedOn w:val="Normal"/>
    <w:next w:val="Normal"/>
    <w:link w:val="Heading2Char"/>
    <w:uiPriority w:val="9"/>
    <w:semiHidden/>
    <w:unhideWhenUsed/>
    <w:qFormat/>
    <w:rsid w:val="00496E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48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48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48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48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48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48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48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olicies">
    <w:name w:val="Policies"/>
    <w:basedOn w:val="Heading2"/>
    <w:autoRedefine/>
    <w:qFormat/>
    <w:rsid w:val="00496EA7"/>
    <w:rPr>
      <w:color w:val="auto"/>
      <w:sz w:val="24"/>
    </w:rPr>
  </w:style>
  <w:style w:type="character" w:customStyle="1" w:styleId="Heading2Char">
    <w:name w:val="Heading 2 Char"/>
    <w:basedOn w:val="DefaultParagraphFont"/>
    <w:link w:val="Heading2"/>
    <w:uiPriority w:val="9"/>
    <w:semiHidden/>
    <w:rsid w:val="00496EA7"/>
    <w:rPr>
      <w:rFonts w:asciiTheme="majorHAnsi" w:eastAsiaTheme="majorEastAsia" w:hAnsiTheme="majorHAnsi" w:cstheme="majorBidi"/>
      <w:color w:val="0F4761" w:themeColor="accent1" w:themeShade="BF"/>
      <w:sz w:val="32"/>
      <w:szCs w:val="32"/>
    </w:rPr>
  </w:style>
  <w:style w:type="paragraph" w:customStyle="1" w:styleId="Style1">
    <w:name w:val="Style1"/>
    <w:basedOn w:val="Heading1"/>
    <w:autoRedefine/>
    <w:qFormat/>
    <w:rsid w:val="00B66F95"/>
    <w:pPr>
      <w:numPr>
        <w:numId w:val="1"/>
      </w:numPr>
    </w:pPr>
    <w:rPr>
      <w:color w:val="000000" w:themeColor="text1"/>
    </w:rPr>
  </w:style>
  <w:style w:type="character" w:customStyle="1" w:styleId="Heading1Char">
    <w:name w:val="Heading 1 Char"/>
    <w:basedOn w:val="DefaultParagraphFont"/>
    <w:link w:val="Heading1"/>
    <w:uiPriority w:val="9"/>
    <w:rsid w:val="00032F00"/>
    <w:rPr>
      <w:rFonts w:asciiTheme="majorHAnsi" w:eastAsiaTheme="majorEastAsia" w:hAnsiTheme="majorHAnsi" w:cstheme="majorBidi"/>
      <w:sz w:val="24"/>
      <w:szCs w:val="40"/>
    </w:rPr>
  </w:style>
  <w:style w:type="character" w:customStyle="1" w:styleId="Heading3Char">
    <w:name w:val="Heading 3 Char"/>
    <w:basedOn w:val="DefaultParagraphFont"/>
    <w:link w:val="Heading3"/>
    <w:uiPriority w:val="9"/>
    <w:semiHidden/>
    <w:rsid w:val="005E48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48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48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48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48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48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48B7"/>
    <w:rPr>
      <w:rFonts w:eastAsiaTheme="majorEastAsia" w:cstheme="majorBidi"/>
      <w:color w:val="272727" w:themeColor="text1" w:themeTint="D8"/>
    </w:rPr>
  </w:style>
  <w:style w:type="paragraph" w:styleId="Title">
    <w:name w:val="Title"/>
    <w:basedOn w:val="Normal"/>
    <w:next w:val="Normal"/>
    <w:link w:val="TitleChar"/>
    <w:uiPriority w:val="10"/>
    <w:qFormat/>
    <w:rsid w:val="005E48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48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48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48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48B7"/>
    <w:pPr>
      <w:spacing w:before="160"/>
      <w:jc w:val="center"/>
    </w:pPr>
    <w:rPr>
      <w:i/>
      <w:iCs/>
      <w:color w:val="404040" w:themeColor="text1" w:themeTint="BF"/>
    </w:rPr>
  </w:style>
  <w:style w:type="character" w:customStyle="1" w:styleId="QuoteChar">
    <w:name w:val="Quote Char"/>
    <w:basedOn w:val="DefaultParagraphFont"/>
    <w:link w:val="Quote"/>
    <w:uiPriority w:val="29"/>
    <w:rsid w:val="005E48B7"/>
    <w:rPr>
      <w:i/>
      <w:iCs/>
      <w:color w:val="404040" w:themeColor="text1" w:themeTint="BF"/>
    </w:rPr>
  </w:style>
  <w:style w:type="paragraph" w:styleId="ListParagraph">
    <w:name w:val="List Paragraph"/>
    <w:basedOn w:val="Normal"/>
    <w:uiPriority w:val="34"/>
    <w:qFormat/>
    <w:rsid w:val="005E48B7"/>
    <w:pPr>
      <w:ind w:left="720"/>
      <w:contextualSpacing/>
    </w:pPr>
  </w:style>
  <w:style w:type="character" w:styleId="IntenseEmphasis">
    <w:name w:val="Intense Emphasis"/>
    <w:basedOn w:val="DefaultParagraphFont"/>
    <w:uiPriority w:val="21"/>
    <w:qFormat/>
    <w:rsid w:val="005E48B7"/>
    <w:rPr>
      <w:i/>
      <w:iCs/>
      <w:color w:val="0F4761" w:themeColor="accent1" w:themeShade="BF"/>
    </w:rPr>
  </w:style>
  <w:style w:type="paragraph" w:styleId="IntenseQuote">
    <w:name w:val="Intense Quote"/>
    <w:basedOn w:val="Normal"/>
    <w:next w:val="Normal"/>
    <w:link w:val="IntenseQuoteChar"/>
    <w:uiPriority w:val="30"/>
    <w:qFormat/>
    <w:rsid w:val="005E48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48B7"/>
    <w:rPr>
      <w:i/>
      <w:iCs/>
      <w:color w:val="0F4761" w:themeColor="accent1" w:themeShade="BF"/>
    </w:rPr>
  </w:style>
  <w:style w:type="character" w:styleId="IntenseReference">
    <w:name w:val="Intense Reference"/>
    <w:basedOn w:val="DefaultParagraphFont"/>
    <w:uiPriority w:val="32"/>
    <w:qFormat/>
    <w:rsid w:val="005E48B7"/>
    <w:rPr>
      <w:b/>
      <w:bCs/>
      <w:smallCaps/>
      <w:color w:val="0F4761" w:themeColor="accent1" w:themeShade="BF"/>
      <w:spacing w:val="5"/>
    </w:rPr>
  </w:style>
  <w:style w:type="paragraph" w:customStyle="1" w:styleId="p1">
    <w:name w:val="p1"/>
    <w:basedOn w:val="Normal"/>
    <w:rsid w:val="005E48B7"/>
    <w:pPr>
      <w:spacing w:before="100" w:beforeAutospacing="1" w:after="100" w:afterAutospacing="1" w:line="240" w:lineRule="auto"/>
    </w:pPr>
    <w:rPr>
      <w:rFonts w:ascii="Aptos" w:hAnsi="Aptos" w:cs="Aptos"/>
      <w:kern w:val="0"/>
      <w:sz w:val="24"/>
      <w:szCs w:val="24"/>
      <w:lang w:eastAsia="en-GB"/>
      <w14:ligatures w14:val="none"/>
    </w:rPr>
  </w:style>
  <w:style w:type="paragraph" w:customStyle="1" w:styleId="p2">
    <w:name w:val="p2"/>
    <w:basedOn w:val="Normal"/>
    <w:rsid w:val="005E48B7"/>
    <w:pPr>
      <w:spacing w:before="100" w:beforeAutospacing="1" w:after="100" w:afterAutospacing="1" w:line="240" w:lineRule="auto"/>
    </w:pPr>
    <w:rPr>
      <w:rFonts w:ascii="Aptos" w:hAnsi="Aptos" w:cs="Aptos"/>
      <w:kern w:val="0"/>
      <w:sz w:val="24"/>
      <w:szCs w:val="24"/>
      <w:lang w:eastAsia="en-GB"/>
      <w14:ligatures w14:val="none"/>
    </w:rPr>
  </w:style>
  <w:style w:type="character" w:customStyle="1" w:styleId="s1">
    <w:name w:val="s1"/>
    <w:basedOn w:val="DefaultParagraphFont"/>
    <w:rsid w:val="005E48B7"/>
  </w:style>
  <w:style w:type="character" w:customStyle="1" w:styleId="apple-converted-space">
    <w:name w:val="apple-converted-space"/>
    <w:basedOn w:val="DefaultParagraphFont"/>
    <w:rsid w:val="005E48B7"/>
  </w:style>
  <w:style w:type="character" w:customStyle="1" w:styleId="apple-tab-span">
    <w:name w:val="apple-tab-span"/>
    <w:basedOn w:val="DefaultParagraphFont"/>
    <w:rsid w:val="005E48B7"/>
  </w:style>
  <w:style w:type="paragraph" w:styleId="NormalWeb">
    <w:name w:val="Normal (Web)"/>
    <w:basedOn w:val="Normal"/>
    <w:uiPriority w:val="99"/>
    <w:unhideWhenUsed/>
    <w:rsid w:val="00240C1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CB4E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4EFD"/>
  </w:style>
  <w:style w:type="paragraph" w:styleId="Footer">
    <w:name w:val="footer"/>
    <w:basedOn w:val="Normal"/>
    <w:link w:val="FooterChar"/>
    <w:uiPriority w:val="99"/>
    <w:unhideWhenUsed/>
    <w:rsid w:val="00CB4E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4EFD"/>
  </w:style>
  <w:style w:type="paragraph" w:customStyle="1" w:styleId="li1">
    <w:name w:val="li1"/>
    <w:basedOn w:val="Normal"/>
    <w:rsid w:val="00A85C6E"/>
    <w:pPr>
      <w:spacing w:before="100" w:beforeAutospacing="1" w:after="100" w:afterAutospacing="1" w:line="240" w:lineRule="auto"/>
    </w:pPr>
    <w:rPr>
      <w:rFonts w:ascii="Aptos" w:hAnsi="Aptos" w:cs="Aptos"/>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8515179">
      <w:bodyDiv w:val="1"/>
      <w:marLeft w:val="0"/>
      <w:marRight w:val="0"/>
      <w:marTop w:val="0"/>
      <w:marBottom w:val="0"/>
      <w:divBdr>
        <w:top w:val="none" w:sz="0" w:space="0" w:color="auto"/>
        <w:left w:val="none" w:sz="0" w:space="0" w:color="auto"/>
        <w:bottom w:val="none" w:sz="0" w:space="0" w:color="auto"/>
        <w:right w:val="none" w:sz="0" w:space="0" w:color="auto"/>
      </w:divBdr>
    </w:div>
    <w:div w:id="1096171671">
      <w:bodyDiv w:val="1"/>
      <w:marLeft w:val="0"/>
      <w:marRight w:val="0"/>
      <w:marTop w:val="0"/>
      <w:marBottom w:val="0"/>
      <w:divBdr>
        <w:top w:val="none" w:sz="0" w:space="0" w:color="auto"/>
        <w:left w:val="none" w:sz="0" w:space="0" w:color="auto"/>
        <w:bottom w:val="none" w:sz="0" w:space="0" w:color="auto"/>
        <w:right w:val="none" w:sz="0" w:space="0" w:color="auto"/>
      </w:divBdr>
    </w:div>
    <w:div w:id="114546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A94AF-B4A2-4F50-9297-B6F64073F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2024</Words>
  <Characters>11540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 Rees</dc:creator>
  <cp:keywords/>
  <dc:description/>
  <cp:lastModifiedBy>Phillip Rees</cp:lastModifiedBy>
  <cp:revision>11</cp:revision>
  <dcterms:created xsi:type="dcterms:W3CDTF">2024-07-08T09:30:00Z</dcterms:created>
  <dcterms:modified xsi:type="dcterms:W3CDTF">2024-07-08T15:45:00Z</dcterms:modified>
</cp:coreProperties>
</file>