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582A832" w:rsidR="00EB3D3C" w:rsidRPr="00CB4FF0" w:rsidRDefault="6CBD119C" w:rsidP="004F325B">
      <w:pPr>
        <w:spacing w:line="360" w:lineRule="auto"/>
        <w:rPr>
          <w:rFonts w:ascii="Arial" w:hAnsi="Arial" w:cs="Arial"/>
          <w:sz w:val="22"/>
          <w:szCs w:val="22"/>
        </w:rPr>
      </w:pPr>
      <w:r w:rsidRPr="00CB4FF0">
        <w:rPr>
          <w:rFonts w:ascii="Arial" w:hAnsi="Arial" w:cs="Arial"/>
          <w:sz w:val="22"/>
          <w:szCs w:val="22"/>
        </w:rPr>
        <w:t>STUDENT NAM</w:t>
      </w:r>
      <w:r w:rsidR="00CB4FF0" w:rsidRPr="00CB4FF0">
        <w:rPr>
          <w:rFonts w:ascii="Arial" w:hAnsi="Arial" w:cs="Arial"/>
          <w:sz w:val="22"/>
          <w:szCs w:val="22"/>
        </w:rPr>
        <w:t>E:     MADALITSO MAJAWA</w:t>
      </w:r>
    </w:p>
    <w:p w14:paraId="6A23E41F" w14:textId="0FF89278" w:rsidR="00CB4FF0" w:rsidRPr="00CB4FF0" w:rsidRDefault="00CB4FF0" w:rsidP="004F325B">
      <w:pPr>
        <w:spacing w:line="360" w:lineRule="auto"/>
        <w:rPr>
          <w:rFonts w:ascii="Arial" w:hAnsi="Arial" w:cs="Arial"/>
          <w:sz w:val="22"/>
          <w:szCs w:val="22"/>
        </w:rPr>
      </w:pPr>
      <w:r w:rsidRPr="00CB4FF0">
        <w:rPr>
          <w:rFonts w:ascii="Arial" w:hAnsi="Arial" w:cs="Arial"/>
          <w:sz w:val="22"/>
          <w:szCs w:val="22"/>
        </w:rPr>
        <w:t xml:space="preserve">STUDENT NUMBER: 2432520 </w:t>
      </w:r>
    </w:p>
    <w:p w14:paraId="0AFDA9DF" w14:textId="406A7C25" w:rsidR="00CB4FF0" w:rsidRPr="00CB4FF0" w:rsidRDefault="6CBD119C" w:rsidP="004F325B">
      <w:pPr>
        <w:spacing w:line="360" w:lineRule="auto"/>
        <w:rPr>
          <w:rFonts w:ascii="Arial" w:hAnsi="Arial" w:cs="Arial"/>
          <w:sz w:val="22"/>
          <w:szCs w:val="22"/>
        </w:rPr>
      </w:pPr>
      <w:r w:rsidRPr="00CB4FF0">
        <w:rPr>
          <w:rFonts w:ascii="Arial" w:hAnsi="Arial" w:cs="Arial"/>
          <w:sz w:val="22"/>
          <w:szCs w:val="22"/>
        </w:rPr>
        <w:t>REPORT TITLE</w:t>
      </w:r>
      <w:r w:rsidR="00CB4FF0" w:rsidRPr="00CB4FF0">
        <w:rPr>
          <w:rFonts w:ascii="Arial" w:hAnsi="Arial" w:cs="Arial"/>
          <w:sz w:val="22"/>
          <w:szCs w:val="22"/>
        </w:rPr>
        <w:t>:         ADULT MENTAL SERVICES</w:t>
      </w:r>
    </w:p>
    <w:p w14:paraId="0F78D3B0" w14:textId="2131EE3B" w:rsidR="6CBD119C" w:rsidRPr="00CB4FF0" w:rsidRDefault="6CBD119C" w:rsidP="004F325B">
      <w:pPr>
        <w:spacing w:line="360" w:lineRule="auto"/>
        <w:rPr>
          <w:rFonts w:ascii="Arial" w:hAnsi="Arial" w:cs="Arial"/>
          <w:sz w:val="22"/>
          <w:szCs w:val="22"/>
        </w:rPr>
      </w:pPr>
      <w:r w:rsidRPr="00CB4FF0">
        <w:rPr>
          <w:rFonts w:ascii="Arial" w:hAnsi="Arial" w:cs="Arial"/>
          <w:sz w:val="22"/>
          <w:szCs w:val="22"/>
        </w:rPr>
        <w:t>MODULE CODE</w:t>
      </w:r>
      <w:r w:rsidR="00CB4FF0" w:rsidRPr="00CB4FF0">
        <w:rPr>
          <w:rFonts w:ascii="Arial" w:hAnsi="Arial" w:cs="Arial"/>
          <w:sz w:val="22"/>
          <w:szCs w:val="22"/>
        </w:rPr>
        <w:t>:        BMHP5016</w:t>
      </w:r>
    </w:p>
    <w:p w14:paraId="103D2C4F" w14:textId="6A42BA62" w:rsidR="6CBD119C" w:rsidRPr="00CB4FF0" w:rsidRDefault="6CBD119C" w:rsidP="004F325B">
      <w:pPr>
        <w:spacing w:line="360" w:lineRule="auto"/>
        <w:rPr>
          <w:rFonts w:ascii="Arial" w:hAnsi="Arial" w:cs="Arial"/>
          <w:sz w:val="22"/>
          <w:szCs w:val="22"/>
        </w:rPr>
      </w:pPr>
      <w:r w:rsidRPr="00CB4FF0">
        <w:rPr>
          <w:rFonts w:ascii="Arial" w:hAnsi="Arial" w:cs="Arial"/>
          <w:sz w:val="22"/>
          <w:szCs w:val="22"/>
        </w:rPr>
        <w:t>MODULE TITLE</w:t>
      </w:r>
      <w:r w:rsidR="00CB4FF0" w:rsidRPr="00CB4FF0">
        <w:rPr>
          <w:rFonts w:ascii="Arial" w:hAnsi="Arial" w:cs="Arial"/>
          <w:sz w:val="22"/>
          <w:szCs w:val="22"/>
        </w:rPr>
        <w:t>:         PRINCIPLE OF HEALTH AND SOCIAL CARE PRACTICE</w:t>
      </w:r>
    </w:p>
    <w:p w14:paraId="0E8CC949" w14:textId="34015560" w:rsidR="6CCE08EC" w:rsidRPr="00CB4FF0" w:rsidRDefault="6CCE08EC" w:rsidP="004F325B">
      <w:pPr>
        <w:spacing w:line="360" w:lineRule="auto"/>
        <w:rPr>
          <w:rFonts w:ascii="Arial" w:hAnsi="Arial" w:cs="Arial"/>
          <w:sz w:val="22"/>
          <w:szCs w:val="22"/>
        </w:rPr>
      </w:pPr>
    </w:p>
    <w:p w14:paraId="671BD5DE" w14:textId="063A8B48" w:rsidR="6CCE08EC" w:rsidRPr="00CB4FF0" w:rsidRDefault="6CCE08EC" w:rsidP="004F325B">
      <w:pPr>
        <w:spacing w:line="360" w:lineRule="auto"/>
        <w:rPr>
          <w:rFonts w:ascii="Arial" w:hAnsi="Arial" w:cs="Arial"/>
          <w:sz w:val="22"/>
          <w:szCs w:val="22"/>
        </w:rPr>
      </w:pPr>
    </w:p>
    <w:p w14:paraId="4AB158A0" w14:textId="4586FEF2" w:rsidR="6CCE08EC" w:rsidRPr="00CB4FF0" w:rsidRDefault="6CCE08EC" w:rsidP="004F325B">
      <w:pPr>
        <w:spacing w:line="360" w:lineRule="auto"/>
        <w:rPr>
          <w:rFonts w:ascii="Arial" w:hAnsi="Arial" w:cs="Arial"/>
          <w:sz w:val="22"/>
          <w:szCs w:val="22"/>
        </w:rPr>
      </w:pPr>
    </w:p>
    <w:p w14:paraId="28EB2A39" w14:textId="71F2BA7C" w:rsidR="6CCE08EC" w:rsidRPr="00CB4FF0" w:rsidRDefault="6CCE08EC" w:rsidP="004F325B">
      <w:pPr>
        <w:spacing w:line="360" w:lineRule="auto"/>
        <w:rPr>
          <w:rFonts w:ascii="Arial" w:hAnsi="Arial" w:cs="Arial"/>
          <w:sz w:val="22"/>
          <w:szCs w:val="22"/>
        </w:rPr>
      </w:pPr>
    </w:p>
    <w:p w14:paraId="09AD88B6" w14:textId="6A40BE56" w:rsidR="6CCE08EC" w:rsidRPr="00CB4FF0" w:rsidRDefault="6CCE08EC" w:rsidP="004F325B">
      <w:pPr>
        <w:spacing w:line="360" w:lineRule="auto"/>
        <w:rPr>
          <w:rFonts w:ascii="Arial" w:hAnsi="Arial" w:cs="Arial"/>
          <w:sz w:val="22"/>
          <w:szCs w:val="22"/>
        </w:rPr>
      </w:pPr>
    </w:p>
    <w:p w14:paraId="62D3744C" w14:textId="45C7BEE7" w:rsidR="6CCE08EC" w:rsidRPr="00CB4FF0" w:rsidRDefault="6CCE08EC" w:rsidP="004F325B">
      <w:pPr>
        <w:spacing w:line="360" w:lineRule="auto"/>
        <w:rPr>
          <w:rFonts w:ascii="Arial" w:hAnsi="Arial" w:cs="Arial"/>
          <w:sz w:val="22"/>
          <w:szCs w:val="22"/>
        </w:rPr>
      </w:pPr>
    </w:p>
    <w:p w14:paraId="663E1E23" w14:textId="7010BA17" w:rsidR="6CCE08EC" w:rsidRPr="00CB4FF0" w:rsidRDefault="6CCE08EC" w:rsidP="004F325B">
      <w:pPr>
        <w:spacing w:line="360" w:lineRule="auto"/>
        <w:rPr>
          <w:rFonts w:ascii="Arial" w:hAnsi="Arial" w:cs="Arial"/>
          <w:sz w:val="22"/>
          <w:szCs w:val="22"/>
        </w:rPr>
      </w:pPr>
    </w:p>
    <w:p w14:paraId="0F9151B7" w14:textId="77588668" w:rsidR="6CCE08EC" w:rsidRPr="00CB4FF0" w:rsidRDefault="6CCE08EC" w:rsidP="004F325B">
      <w:pPr>
        <w:spacing w:line="360" w:lineRule="auto"/>
        <w:rPr>
          <w:rFonts w:ascii="Arial" w:hAnsi="Arial" w:cs="Arial"/>
          <w:sz w:val="22"/>
          <w:szCs w:val="22"/>
        </w:rPr>
      </w:pPr>
    </w:p>
    <w:p w14:paraId="1E3BA6AA" w14:textId="705E1F06" w:rsidR="6CCE08EC" w:rsidRPr="00CB4FF0" w:rsidRDefault="6CCE08EC" w:rsidP="004F325B">
      <w:pPr>
        <w:spacing w:line="360" w:lineRule="auto"/>
        <w:rPr>
          <w:rFonts w:ascii="Arial" w:hAnsi="Arial" w:cs="Arial"/>
          <w:sz w:val="22"/>
          <w:szCs w:val="22"/>
        </w:rPr>
      </w:pPr>
    </w:p>
    <w:p w14:paraId="11D3B8D3" w14:textId="4210384A" w:rsidR="6CCE08EC" w:rsidRPr="00CB4FF0" w:rsidRDefault="6CCE08EC" w:rsidP="004F325B">
      <w:pPr>
        <w:spacing w:line="360" w:lineRule="auto"/>
        <w:rPr>
          <w:rFonts w:ascii="Arial" w:hAnsi="Arial" w:cs="Arial"/>
          <w:sz w:val="22"/>
          <w:szCs w:val="22"/>
        </w:rPr>
      </w:pPr>
    </w:p>
    <w:p w14:paraId="2DB657FD" w14:textId="33AF1A5D" w:rsidR="6CCE08EC" w:rsidRPr="00CB4FF0" w:rsidRDefault="6CCE08EC" w:rsidP="004F325B">
      <w:pPr>
        <w:spacing w:line="360" w:lineRule="auto"/>
        <w:rPr>
          <w:rFonts w:ascii="Arial" w:hAnsi="Arial" w:cs="Arial"/>
          <w:sz w:val="22"/>
          <w:szCs w:val="22"/>
        </w:rPr>
      </w:pPr>
    </w:p>
    <w:p w14:paraId="723F7CE3" w14:textId="1839962D" w:rsidR="6CCE08EC" w:rsidRPr="00CB4FF0" w:rsidRDefault="6CCE08EC" w:rsidP="004F325B">
      <w:pPr>
        <w:spacing w:line="360" w:lineRule="auto"/>
        <w:rPr>
          <w:rFonts w:ascii="Arial" w:hAnsi="Arial" w:cs="Arial"/>
          <w:sz w:val="22"/>
          <w:szCs w:val="22"/>
        </w:rPr>
      </w:pPr>
    </w:p>
    <w:p w14:paraId="2C3AAD26" w14:textId="17D812FA" w:rsidR="6CCE08EC" w:rsidRPr="00CB4FF0" w:rsidRDefault="6CCE08EC" w:rsidP="004F325B">
      <w:pPr>
        <w:spacing w:line="360" w:lineRule="auto"/>
        <w:rPr>
          <w:rFonts w:ascii="Arial" w:hAnsi="Arial" w:cs="Arial"/>
          <w:sz w:val="22"/>
          <w:szCs w:val="22"/>
        </w:rPr>
      </w:pPr>
    </w:p>
    <w:p w14:paraId="0CB0C315" w14:textId="45958E41" w:rsidR="6CCE08EC" w:rsidRPr="00CB4FF0" w:rsidRDefault="6CCE08EC" w:rsidP="004F325B">
      <w:pPr>
        <w:spacing w:line="360" w:lineRule="auto"/>
        <w:rPr>
          <w:rFonts w:ascii="Arial" w:hAnsi="Arial" w:cs="Arial"/>
          <w:sz w:val="22"/>
          <w:szCs w:val="22"/>
        </w:rPr>
      </w:pPr>
    </w:p>
    <w:p w14:paraId="471BBD5B" w14:textId="1176B6CC" w:rsidR="6CCE08EC" w:rsidRPr="00CB4FF0" w:rsidRDefault="6CCE08EC" w:rsidP="004F325B">
      <w:pPr>
        <w:spacing w:line="360" w:lineRule="auto"/>
        <w:rPr>
          <w:rFonts w:ascii="Arial" w:hAnsi="Arial" w:cs="Arial"/>
          <w:sz w:val="22"/>
          <w:szCs w:val="22"/>
        </w:rPr>
      </w:pPr>
    </w:p>
    <w:p w14:paraId="203AEC08" w14:textId="5086430E" w:rsidR="6CCE08EC" w:rsidRPr="00CB4FF0" w:rsidRDefault="6CCE08EC" w:rsidP="004F325B">
      <w:pPr>
        <w:spacing w:line="360" w:lineRule="auto"/>
        <w:rPr>
          <w:rFonts w:ascii="Arial" w:hAnsi="Arial" w:cs="Arial"/>
          <w:sz w:val="22"/>
          <w:szCs w:val="22"/>
        </w:rPr>
      </w:pPr>
    </w:p>
    <w:p w14:paraId="6CEC129D" w14:textId="60E4377D" w:rsidR="6CCE08EC" w:rsidRPr="00CB4FF0" w:rsidRDefault="6CCE08EC" w:rsidP="004F325B">
      <w:pPr>
        <w:spacing w:line="360" w:lineRule="auto"/>
        <w:rPr>
          <w:rFonts w:ascii="Arial" w:hAnsi="Arial" w:cs="Arial"/>
          <w:sz w:val="22"/>
          <w:szCs w:val="22"/>
        </w:rPr>
      </w:pPr>
    </w:p>
    <w:p w14:paraId="60F73046" w14:textId="567DF368" w:rsidR="6CCE08EC" w:rsidRPr="00CB4FF0" w:rsidRDefault="6CCE08EC" w:rsidP="004F325B">
      <w:pPr>
        <w:spacing w:line="360" w:lineRule="auto"/>
        <w:rPr>
          <w:rFonts w:ascii="Arial" w:hAnsi="Arial" w:cs="Arial"/>
          <w:sz w:val="22"/>
          <w:szCs w:val="22"/>
        </w:rPr>
      </w:pPr>
    </w:p>
    <w:p w14:paraId="692C9CB6" w14:textId="47A651CE" w:rsidR="6CCE08EC" w:rsidRPr="00CB4FF0" w:rsidRDefault="6CCE08EC" w:rsidP="004F325B">
      <w:pPr>
        <w:spacing w:line="360" w:lineRule="auto"/>
        <w:rPr>
          <w:rFonts w:ascii="Arial" w:hAnsi="Arial" w:cs="Arial"/>
          <w:sz w:val="22"/>
          <w:szCs w:val="22"/>
        </w:rPr>
      </w:pPr>
    </w:p>
    <w:p w14:paraId="67ECFB50" w14:textId="7954178D" w:rsidR="6CCE08EC" w:rsidRPr="00CB4FF0" w:rsidRDefault="6CCE08EC" w:rsidP="004F325B">
      <w:pPr>
        <w:spacing w:line="360" w:lineRule="auto"/>
        <w:rPr>
          <w:rFonts w:ascii="Arial" w:hAnsi="Arial" w:cs="Arial"/>
          <w:sz w:val="22"/>
          <w:szCs w:val="22"/>
        </w:rPr>
      </w:pPr>
    </w:p>
    <w:p w14:paraId="086FFCE4" w14:textId="0934C560" w:rsidR="6CCE08EC" w:rsidRPr="00CB4FF0" w:rsidRDefault="6CCE08EC" w:rsidP="004F325B">
      <w:pPr>
        <w:spacing w:line="360" w:lineRule="auto"/>
        <w:rPr>
          <w:rFonts w:ascii="Arial" w:hAnsi="Arial" w:cs="Arial"/>
          <w:sz w:val="22"/>
          <w:szCs w:val="22"/>
        </w:rPr>
      </w:pPr>
    </w:p>
    <w:p w14:paraId="02625310" w14:textId="4C8D44E5" w:rsidR="6CCE08EC" w:rsidRPr="00CB4FF0" w:rsidRDefault="6CCE08EC" w:rsidP="004F325B">
      <w:pPr>
        <w:spacing w:line="360" w:lineRule="auto"/>
        <w:rPr>
          <w:rFonts w:ascii="Arial" w:hAnsi="Arial" w:cs="Arial"/>
          <w:sz w:val="22"/>
          <w:szCs w:val="22"/>
        </w:rPr>
      </w:pPr>
    </w:p>
    <w:p w14:paraId="5BC51ED6" w14:textId="13B71495" w:rsidR="6CCE08EC" w:rsidRPr="00CB4FF0" w:rsidRDefault="6CCE08EC" w:rsidP="004F325B">
      <w:pPr>
        <w:spacing w:line="360" w:lineRule="auto"/>
        <w:rPr>
          <w:rFonts w:ascii="Arial" w:hAnsi="Arial" w:cs="Arial"/>
          <w:sz w:val="22"/>
          <w:szCs w:val="22"/>
        </w:rPr>
      </w:pPr>
    </w:p>
    <w:p w14:paraId="13320BF6" w14:textId="4E1BB79F" w:rsidR="6CCE08EC" w:rsidRPr="00CB4FF0" w:rsidRDefault="6CCE08EC" w:rsidP="004F325B">
      <w:pPr>
        <w:spacing w:line="360" w:lineRule="auto"/>
        <w:rPr>
          <w:rFonts w:ascii="Arial" w:hAnsi="Arial" w:cs="Arial"/>
          <w:sz w:val="22"/>
          <w:szCs w:val="22"/>
        </w:rPr>
      </w:pPr>
    </w:p>
    <w:p w14:paraId="0B90210C" w14:textId="5F49A226" w:rsidR="6CCE08EC" w:rsidRPr="00CB4FF0" w:rsidRDefault="7B4EF8F0" w:rsidP="004F325B">
      <w:pPr>
        <w:pStyle w:val="Heading1"/>
        <w:spacing w:before="322" w:after="322" w:line="360" w:lineRule="auto"/>
        <w:rPr>
          <w:rFonts w:ascii="Arial" w:hAnsi="Arial" w:cs="Arial"/>
          <w:sz w:val="22"/>
          <w:szCs w:val="22"/>
        </w:rPr>
      </w:pPr>
      <w:r w:rsidRPr="00CB4FF0">
        <w:rPr>
          <w:rFonts w:ascii="Arial" w:eastAsia="Arial Nova" w:hAnsi="Arial" w:cs="Arial"/>
          <w:b/>
          <w:bCs/>
          <w:sz w:val="22"/>
          <w:szCs w:val="22"/>
        </w:rPr>
        <w:t>Person-Centred Care and Partnership Working in UK Adult Community Mental Health Services: A Case Study of Sandwell Adult Community Mental Health Team (CMHT)</w:t>
      </w:r>
    </w:p>
    <w:p w14:paraId="30872805" w14:textId="21F6AE18" w:rsidR="6CCE08EC" w:rsidRPr="00CB4FF0" w:rsidRDefault="7B4EF8F0"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Abstract</w:t>
      </w:r>
    </w:p>
    <w:p w14:paraId="493D2B51" w14:textId="7D64D412" w:rsidR="6CCE08EC" w:rsidRPr="00CB4FF0" w:rsidRDefault="7B4EF8F0"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Person-centred care (PCC) and partnership working (PW) are fundamental principles underpinning contemporary mental health services in England. They promote collaborative relationships between service users, healthcare professionals, carers and partner organisations to improve health outcomes and recovery. This report critically examines the application of PCC and PW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part of the Black Country Integrated Care System (ICS). It evaluates the theoretical and ethical foundations of person-centred practice, analyses the benefits and challenges associated with its implementation, and explores the importance of multidisciplinary partnership working. The report further examines the influence of UK legislation and national policy on mental health practice before presenting evidence-based recommendations to strengthen service delivery within Sandwell CMHT. It concludes that although UK policy provides a strong framework for integrated, recovery-focused care, sustained investment in workforce development, digital innovation and collaborative practice is required to achieve consistently high-quality person-centred mental health services.</w:t>
      </w:r>
    </w:p>
    <w:p w14:paraId="01B563E8" w14:textId="7A987C16" w:rsidR="6CCE08EC" w:rsidRPr="00CB4FF0" w:rsidRDefault="6CCE08EC" w:rsidP="004F325B">
      <w:pPr>
        <w:spacing w:line="360" w:lineRule="auto"/>
        <w:rPr>
          <w:rFonts w:ascii="Arial" w:hAnsi="Arial" w:cs="Arial"/>
          <w:sz w:val="22"/>
          <w:szCs w:val="22"/>
        </w:rPr>
      </w:pPr>
    </w:p>
    <w:p w14:paraId="7AD2E0BE" w14:textId="39777CD3" w:rsidR="6CCE08EC" w:rsidRPr="00CB4FF0" w:rsidRDefault="19C4BD6C"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 xml:space="preserve">Introduction </w:t>
      </w:r>
    </w:p>
    <w:p w14:paraId="67D0AE28" w14:textId="4641B6E0" w:rsidR="6CCE08EC" w:rsidRPr="00CB4FF0" w:rsidRDefault="19C4BD6C"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Person-centred care (PCC) and partnership working (PW) are fundamental principles of modern UK mental health services, promoting care that is responsive to individual needs, preferences and recovery goals. These approaches recognise that effective mental healthcare requires collaboration between service users, healthcare professionals, carers and partner organisations to achieve positive outcomes. Community Mental Health Teams (CMHTs) play a key role in delivering integrated, recovery-focused support for people with severe and enduring mental health conditions. This report focuses on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part of the Black Country Integrated Care System (ICS), serving a population affected by high levels of deprivation and health </w:t>
      </w:r>
      <w:r w:rsidRPr="00CB4FF0">
        <w:rPr>
          <w:rFonts w:ascii="Arial" w:eastAsia="Arial Nova" w:hAnsi="Arial" w:cs="Arial"/>
          <w:sz w:val="22"/>
          <w:szCs w:val="22"/>
        </w:rPr>
        <w:lastRenderedPageBreak/>
        <w:t>inequality. It critically examines the principles of person-centred care and partnership working, evaluates their benefits and challenges, and explores the ethical, theoretical and legislative frameworks that underpin practice. The report concludes by presenting evidence-based recommendations to strengthen person-centred, collaborative mental health care within Sandwell CMHT.</w:t>
      </w:r>
    </w:p>
    <w:p w14:paraId="2708AC5B" w14:textId="49555374" w:rsidR="6CCE08EC" w:rsidRPr="00CB4FF0" w:rsidRDefault="6CCE08EC" w:rsidP="004F325B">
      <w:pPr>
        <w:spacing w:before="240" w:after="240" w:line="360" w:lineRule="auto"/>
        <w:rPr>
          <w:rFonts w:ascii="Arial" w:eastAsia="Arial Nova" w:hAnsi="Arial" w:cs="Arial"/>
          <w:sz w:val="22"/>
          <w:szCs w:val="22"/>
        </w:rPr>
      </w:pPr>
    </w:p>
    <w:p w14:paraId="0FD5D9AF" w14:textId="53AA1C1C" w:rsidR="6CCE08EC" w:rsidRPr="00CB4FF0" w:rsidRDefault="6CCE08EC" w:rsidP="004F325B">
      <w:pPr>
        <w:spacing w:line="360" w:lineRule="auto"/>
        <w:rPr>
          <w:rFonts w:ascii="Arial" w:hAnsi="Arial" w:cs="Arial"/>
          <w:sz w:val="22"/>
          <w:szCs w:val="22"/>
        </w:rPr>
      </w:pPr>
    </w:p>
    <w:p w14:paraId="12B3677F" w14:textId="34B3093E" w:rsidR="6CCE08EC" w:rsidRPr="00CB4FF0" w:rsidRDefault="7B4EF8F0" w:rsidP="004F325B">
      <w:pPr>
        <w:pStyle w:val="Heading2"/>
        <w:spacing w:before="299" w:after="299" w:line="360" w:lineRule="auto"/>
        <w:rPr>
          <w:rFonts w:ascii="Arial" w:hAnsi="Arial" w:cs="Arial"/>
          <w:sz w:val="22"/>
          <w:szCs w:val="22"/>
        </w:rPr>
      </w:pPr>
      <w:r w:rsidRPr="00CB4FF0">
        <w:rPr>
          <w:rFonts w:ascii="Arial" w:eastAsia="Arial Nova" w:hAnsi="Arial" w:cs="Arial"/>
          <w:b/>
          <w:bCs/>
          <w:sz w:val="22"/>
          <w:szCs w:val="22"/>
        </w:rPr>
        <w:t>Person-Centred Care</w:t>
      </w:r>
    </w:p>
    <w:p w14:paraId="73AC6A3E" w14:textId="37FC8AA3" w:rsidR="6CCE08EC" w:rsidRPr="00CB4FF0" w:rsidRDefault="7B4EF8F0"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Person-centred care is an approach to healthcare that places the individual, rather than their illness, at the centre of all assessment, planning and decision-making. The </w:t>
      </w:r>
      <w:r w:rsidRPr="00CB4FF0">
        <w:rPr>
          <w:rFonts w:ascii="Arial" w:eastAsia="Arial Nova" w:hAnsi="Arial" w:cs="Arial"/>
          <w:b/>
          <w:bCs/>
          <w:sz w:val="22"/>
          <w:szCs w:val="22"/>
        </w:rPr>
        <w:t>Royal College of Psychiatrists (2022)</w:t>
      </w:r>
      <w:r w:rsidRPr="00CB4FF0">
        <w:rPr>
          <w:rFonts w:ascii="Arial" w:eastAsia="Arial Nova" w:hAnsi="Arial" w:cs="Arial"/>
          <w:sz w:val="22"/>
          <w:szCs w:val="22"/>
        </w:rPr>
        <w:t xml:space="preserve"> defines person-centred care as care that respects an individual's preferences, values, cultural background and life experiences while involving them as equal partners throughout the care process. Unlike traditional medical models that focus primarily on diagnosis and symptom management, person-centred care considers the wider factors affecting health, including physical wellbeing, family relationships, employment, education, housing and social inclusion.Within mental health services, person-centred care is strongly influenced by the </w:t>
      </w:r>
      <w:r w:rsidRPr="00CB4FF0">
        <w:rPr>
          <w:rFonts w:ascii="Arial" w:eastAsia="Arial Nova" w:hAnsi="Arial" w:cs="Arial"/>
          <w:b/>
          <w:bCs/>
          <w:sz w:val="22"/>
          <w:szCs w:val="22"/>
        </w:rPr>
        <w:t>Recovery Model</w:t>
      </w:r>
      <w:r w:rsidRPr="00CB4FF0">
        <w:rPr>
          <w:rFonts w:ascii="Arial" w:eastAsia="Arial Nova" w:hAnsi="Arial" w:cs="Arial"/>
          <w:sz w:val="22"/>
          <w:szCs w:val="22"/>
        </w:rPr>
        <w:t xml:space="preserve"> (Anthony, 1993), which views recovery as an individual and ongoing journey rather than simply the elimination of symptoms. Recovery focuses on enabling individuals to live meaningful, satisfying lives despite the challenges associated with mental illness. Consequently, successful outcomes are measured not only by symptom reduction but also by improvements in independence, confidence, employment, education, relationships and participation within the community.</w:t>
      </w:r>
    </w:p>
    <w:p w14:paraId="6A241703" w14:textId="22317650" w:rsidR="6CCE08EC" w:rsidRPr="00CB4FF0" w:rsidRDefault="7B4EF8F0"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person-centred care is delivered through comprehensive assessments, personalised care planning and collaborative goal setting. Multidisciplinary professionals work alongside service users and carers to identify individual priorities, ensuring that treatment reflects personal preferences and recovery goals rather than professional assumptions. Care plans are regularly reviewed and adapted to reflect changing needs, promoting flexibility and ongoing engagement.</w:t>
      </w:r>
    </w:p>
    <w:p w14:paraId="76D697E5" w14:textId="55F5054E" w:rsidR="6CCE08EC" w:rsidRPr="00CB4FF0" w:rsidRDefault="7B4EF8F0"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A key strength of person-centred care within Sandwell CMHT is its recognition of the wider determinants of mental health. Professionals acknowledge that poverty, unemployment, poor housing, physical illness and social isolation frequently influence recovery outcomes. Consequently, interventions extend beyond medication and psychological therapy to include social prescribing, occupational support, welfare advice and collaboration with community </w:t>
      </w:r>
      <w:r w:rsidRPr="00CB4FF0">
        <w:rPr>
          <w:rFonts w:ascii="Arial" w:eastAsia="Arial Nova" w:hAnsi="Arial" w:cs="Arial"/>
          <w:sz w:val="22"/>
          <w:szCs w:val="22"/>
        </w:rPr>
        <w:lastRenderedPageBreak/>
        <w:t>organisations. This holistic approach enables professionals to address the underlying factors contributing to mental illness while empowering individuals to take an active role in their recovery.</w:t>
      </w:r>
    </w:p>
    <w:p w14:paraId="6A5EA768" w14:textId="120C1FB0" w:rsidR="6CCE08EC" w:rsidRPr="00CB4FF0" w:rsidRDefault="7B4EF8F0" w:rsidP="004F325B">
      <w:pPr>
        <w:spacing w:before="240" w:after="240" w:line="360" w:lineRule="auto"/>
        <w:rPr>
          <w:rFonts w:ascii="Arial" w:hAnsi="Arial" w:cs="Arial"/>
          <w:sz w:val="22"/>
          <w:szCs w:val="22"/>
        </w:rPr>
      </w:pPr>
      <w:r w:rsidRPr="00CB4FF0">
        <w:rPr>
          <w:rFonts w:ascii="Arial" w:eastAsia="Arial Nova" w:hAnsi="Arial" w:cs="Arial"/>
          <w:sz w:val="22"/>
          <w:szCs w:val="22"/>
        </w:rPr>
        <w:t>However, although person-centred care represents best practice within contemporary mental health services, translating policy into everyday clinical practice remains challenging. These benefits and limitations are critically evaluated in the next section.</w:t>
      </w:r>
    </w:p>
    <w:p w14:paraId="52FAD695" w14:textId="04D230F2" w:rsidR="6CCE08EC" w:rsidRPr="00CB4FF0" w:rsidRDefault="29C2DA65"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Benefits of Person-Centred Care</w:t>
      </w:r>
    </w:p>
    <w:p w14:paraId="0A6AF814" w14:textId="5DFD486B" w:rsidR="6CCE08EC" w:rsidRPr="00CB4FF0" w:rsidRDefault="29C2DA6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Person-centred care (PCC) offers significant benefits for service users, healthcare professionals and organisations by promoting holistic, individualised and recovery-focused care.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PCC encourages service users to actively participate in decisions about their treatment, improving autonomy, confidence and engagement with mental health services. Shared decision-making strengthens therapeutic relationships by building trust and ensuring that care plans reflect each individual's values, preferences and recovery goals. Evidence indicates that involving service users in their care improves treatment adherence, satisfaction and overall health outcomes (NICE, 2021).</w:t>
      </w:r>
    </w:p>
    <w:p w14:paraId="4590CA4E" w14:textId="4C0A5CAD" w:rsidR="6CCE08EC" w:rsidRPr="00CB4FF0" w:rsidRDefault="29C2DA65" w:rsidP="004F325B">
      <w:pPr>
        <w:spacing w:before="240" w:after="240" w:line="360" w:lineRule="auto"/>
        <w:rPr>
          <w:rFonts w:ascii="Arial" w:hAnsi="Arial" w:cs="Arial"/>
          <w:sz w:val="22"/>
          <w:szCs w:val="22"/>
        </w:rPr>
      </w:pPr>
      <w:r w:rsidRPr="00CB4FF0">
        <w:rPr>
          <w:rFonts w:ascii="Arial" w:eastAsia="Arial Nova" w:hAnsi="Arial" w:cs="Arial"/>
          <w:sz w:val="22"/>
          <w:szCs w:val="22"/>
        </w:rPr>
        <w:t>PCC also promotes holistic care by recognising that mental health is influenced by biological, psychological and social factors. Professionals within Sandwell CMHT work collaboratively to address wider determinants of health, including housing, employment, financial wellbeing and family support, helping individuals achieve sustainable recovery. Furthermore, person-centred care reduces health inequalities by ensuring services are culturally sensitive and responsive to the diverse needs of the local population. Effective collaboration within multidisciplinary teams improves communication, continuity of care and early intervention, reducing unnecessary hospital admissions. Overall, PCC empowers individuals to take an active role in their recovery while improving the quality, safety and effectiveness of community mental health services within Sandwell CMHT.</w:t>
      </w:r>
    </w:p>
    <w:p w14:paraId="5698D40E" w14:textId="15930D3B" w:rsidR="6CCE08EC" w:rsidRPr="00CB4FF0" w:rsidRDefault="6CCE08EC" w:rsidP="004F325B">
      <w:pPr>
        <w:spacing w:before="240" w:after="240" w:line="360" w:lineRule="auto"/>
        <w:rPr>
          <w:rFonts w:ascii="Arial" w:eastAsia="Arial Nova" w:hAnsi="Arial" w:cs="Arial"/>
          <w:sz w:val="22"/>
          <w:szCs w:val="22"/>
        </w:rPr>
      </w:pPr>
    </w:p>
    <w:p w14:paraId="5F1B15A0" w14:textId="477244E6" w:rsidR="6CCE08EC" w:rsidRPr="00CB4FF0" w:rsidRDefault="51AC4BCC"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Challenges of Person-Centred Care</w:t>
      </w:r>
    </w:p>
    <w:p w14:paraId="633647F6" w14:textId="5166320E" w:rsidR="6CCE08EC" w:rsidRPr="00CB4FF0" w:rsidRDefault="51AC4BCC"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Despite its recognised benefits, implementing person-centred care (PCC) consistently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remains challenging. One major barrier is increasing demand for mental health services combined with workforce shortages and limited NHS resources, leaving professionals with insufficient time to develop </w:t>
      </w:r>
      <w:r w:rsidRPr="00CB4FF0">
        <w:rPr>
          <w:rFonts w:ascii="Arial" w:eastAsia="Arial Nova" w:hAnsi="Arial" w:cs="Arial"/>
          <w:sz w:val="22"/>
          <w:szCs w:val="22"/>
        </w:rPr>
        <w:lastRenderedPageBreak/>
        <w:t xml:space="preserve">personalised care plans. Communication difficulties between NHS services, social care and voluntary organisations, often caused by incompatible electronic record systems, can also delay information sharing and disrupt continuity of care. In addition, balancing service users' autonomy with professionals' duty to manage risk can create ethical dilemmas, particularly when compulsory treatment is required under the </w:t>
      </w:r>
      <w:r w:rsidRPr="00CB4FF0">
        <w:rPr>
          <w:rFonts w:ascii="Arial" w:eastAsia="Arial Nova" w:hAnsi="Arial" w:cs="Arial"/>
          <w:b/>
          <w:bCs/>
          <w:sz w:val="22"/>
          <w:szCs w:val="22"/>
        </w:rPr>
        <w:t>Mental Health Act 1983</w:t>
      </w:r>
      <w:r w:rsidRPr="00CB4FF0">
        <w:rPr>
          <w:rFonts w:ascii="Arial" w:eastAsia="Arial Nova" w:hAnsi="Arial" w:cs="Arial"/>
          <w:sz w:val="22"/>
          <w:szCs w:val="22"/>
        </w:rPr>
        <w:t>. Cultural differences, varying levels of health literacy and limited service-user engagement may further hinder effective shared decision-making. Addressing these challenges requires sustained investment in staffing, integrated digital technology, interprofessional collaboration and continuous professional development to ensure person-centred care is delivered consistently and effectively across Sandwell CMHT.</w:t>
      </w:r>
    </w:p>
    <w:p w14:paraId="5C36EF86" w14:textId="59E1BF2C" w:rsidR="6CCE08EC" w:rsidRPr="00CB4FF0" w:rsidRDefault="6CCE08EC" w:rsidP="004F325B">
      <w:pPr>
        <w:spacing w:before="240" w:after="240" w:line="360" w:lineRule="auto"/>
        <w:rPr>
          <w:rFonts w:ascii="Arial" w:eastAsia="Arial Nova" w:hAnsi="Arial" w:cs="Arial"/>
          <w:sz w:val="22"/>
          <w:szCs w:val="22"/>
        </w:rPr>
      </w:pPr>
    </w:p>
    <w:p w14:paraId="0FC0BD24" w14:textId="627BDF3E" w:rsidR="6CCE08EC" w:rsidRPr="00CB4FF0" w:rsidRDefault="6B0072EF" w:rsidP="004F325B">
      <w:pPr>
        <w:pStyle w:val="Heading2"/>
        <w:spacing w:before="299" w:after="299" w:line="360" w:lineRule="auto"/>
        <w:rPr>
          <w:rFonts w:ascii="Arial" w:hAnsi="Arial" w:cs="Arial"/>
          <w:sz w:val="22"/>
          <w:szCs w:val="22"/>
        </w:rPr>
      </w:pPr>
      <w:r w:rsidRPr="00CB4FF0">
        <w:rPr>
          <w:rFonts w:ascii="Arial" w:eastAsia="Arial Nova" w:hAnsi="Arial" w:cs="Arial"/>
          <w:b/>
          <w:bCs/>
          <w:sz w:val="22"/>
          <w:szCs w:val="22"/>
        </w:rPr>
        <w:t>Theoretical Frameworks Underpinning Person-Centred Care</w:t>
      </w:r>
    </w:p>
    <w:p w14:paraId="21D0FA63" w14:textId="07845CDB" w:rsidR="6CCE08EC" w:rsidRPr="00CB4FF0" w:rsidRDefault="54A24254"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Several theoretical frameworks underpin person-centred care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by providing a holistic understanding of individuals' needs and recovery. </w:t>
      </w:r>
      <w:r w:rsidRPr="00CB4FF0">
        <w:rPr>
          <w:rFonts w:ascii="Arial" w:eastAsia="Arial Nova" w:hAnsi="Arial" w:cs="Arial"/>
          <w:b/>
          <w:bCs/>
          <w:sz w:val="22"/>
          <w:szCs w:val="22"/>
        </w:rPr>
        <w:t>Bronfenbrenner's Ecological Systems Theory (1979)</w:t>
      </w:r>
      <w:r w:rsidRPr="00CB4FF0">
        <w:rPr>
          <w:rFonts w:ascii="Arial" w:eastAsia="Arial Nova" w:hAnsi="Arial" w:cs="Arial"/>
          <w:sz w:val="22"/>
          <w:szCs w:val="22"/>
        </w:rPr>
        <w:t xml:space="preserve"> explains that mental health is influenced by interactions between individuals and their environment, including family, community, employment and wider social policies. This theory supports multidisciplinary partnership working, as recovery often requires addressing social determinants alongside clinical treatment.</w:t>
      </w:r>
    </w:p>
    <w:p w14:paraId="4C485434" w14:textId="6519B7BF" w:rsidR="6CCE08EC" w:rsidRPr="00CB4FF0" w:rsidRDefault="54A24254" w:rsidP="004F325B">
      <w:pPr>
        <w:spacing w:before="240" w:after="240" w:line="360" w:lineRule="auto"/>
        <w:rPr>
          <w:rFonts w:ascii="Arial" w:hAnsi="Arial" w:cs="Arial"/>
          <w:sz w:val="22"/>
          <w:szCs w:val="22"/>
        </w:rPr>
      </w:pPr>
      <w:r w:rsidRPr="00CB4FF0">
        <w:rPr>
          <w:rFonts w:ascii="Arial" w:eastAsia="Arial Nova" w:hAnsi="Arial" w:cs="Arial"/>
          <w:b/>
          <w:bCs/>
          <w:sz w:val="22"/>
          <w:szCs w:val="22"/>
        </w:rPr>
        <w:t>Maslow's Hierarchy of Needs (1943)</w:t>
      </w:r>
      <w:r w:rsidRPr="00CB4FF0">
        <w:rPr>
          <w:rFonts w:ascii="Arial" w:eastAsia="Arial Nova" w:hAnsi="Arial" w:cs="Arial"/>
          <w:sz w:val="22"/>
          <w:szCs w:val="22"/>
        </w:rPr>
        <w:t xml:space="preserve"> proposes that individuals must satisfy basic physiological and safety needs before achieving psychological wellbeing and self-actualisation. Within Sandwell CMHT, professionals recognise that addressing issues such as housing, financial stability and physical health is essential before individuals can fully engage in therapy and recovery programmes.</w:t>
      </w:r>
    </w:p>
    <w:p w14:paraId="3C2CA250" w14:textId="463DAF1D" w:rsidR="6CCE08EC" w:rsidRPr="00CB4FF0" w:rsidRDefault="54A24254" w:rsidP="004F325B">
      <w:pPr>
        <w:spacing w:before="240" w:after="240" w:line="360" w:lineRule="auto"/>
        <w:rPr>
          <w:rFonts w:ascii="Arial" w:hAnsi="Arial" w:cs="Arial"/>
          <w:sz w:val="22"/>
          <w:szCs w:val="22"/>
        </w:rPr>
      </w:pPr>
      <w:r w:rsidRPr="00CB4FF0">
        <w:rPr>
          <w:rFonts w:ascii="Arial" w:eastAsia="Arial Nova" w:hAnsi="Arial" w:cs="Arial"/>
          <w:b/>
          <w:bCs/>
          <w:sz w:val="22"/>
          <w:szCs w:val="22"/>
        </w:rPr>
        <w:t>Bradshaw's Taxonomy of Need (1972)</w:t>
      </w:r>
      <w:r w:rsidRPr="00CB4FF0">
        <w:rPr>
          <w:rFonts w:ascii="Arial" w:eastAsia="Arial Nova" w:hAnsi="Arial" w:cs="Arial"/>
          <w:sz w:val="22"/>
          <w:szCs w:val="22"/>
        </w:rPr>
        <w:t xml:space="preserve"> further supports person-centred practice by categorising needs as normative, felt, expressed and comparative. This framework highlights the importance of balancing professional assessments with the individual's own priorities and experiences when planning care.</w:t>
      </w:r>
    </w:p>
    <w:p w14:paraId="3A8A881D" w14:textId="0AA0D287" w:rsidR="6CCE08EC" w:rsidRPr="00CB4FF0" w:rsidRDefault="54A24254" w:rsidP="004F325B">
      <w:pPr>
        <w:spacing w:before="240" w:after="240" w:line="360" w:lineRule="auto"/>
        <w:rPr>
          <w:rFonts w:ascii="Arial" w:hAnsi="Arial" w:cs="Arial"/>
          <w:sz w:val="22"/>
          <w:szCs w:val="22"/>
        </w:rPr>
      </w:pPr>
      <w:r w:rsidRPr="00CB4FF0">
        <w:rPr>
          <w:rFonts w:ascii="Arial" w:eastAsia="Arial Nova" w:hAnsi="Arial" w:cs="Arial"/>
          <w:sz w:val="22"/>
          <w:szCs w:val="22"/>
        </w:rPr>
        <w:t>Together, these theories reinforce holistic, recovery-focused practice by recognising that mental health is shaped by biological, psychological and social factors. Applying these frameworks enables Sandwell CMHT professionals to deliver personalised interventions that promote independence, wellbeing and long-term recov</w:t>
      </w:r>
    </w:p>
    <w:p w14:paraId="5653E4C4" w14:textId="0F8A3F4B" w:rsidR="6CCE08EC" w:rsidRPr="00CB4FF0" w:rsidRDefault="6CCE08EC" w:rsidP="004F325B">
      <w:pPr>
        <w:spacing w:line="360" w:lineRule="auto"/>
        <w:rPr>
          <w:rFonts w:ascii="Arial" w:hAnsi="Arial" w:cs="Arial"/>
          <w:sz w:val="22"/>
          <w:szCs w:val="22"/>
        </w:rPr>
      </w:pPr>
    </w:p>
    <w:p w14:paraId="43D55F40" w14:textId="54AD2627" w:rsidR="6CCE08EC" w:rsidRPr="00CB4FF0" w:rsidRDefault="103B58E6"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Ethical Principles</w:t>
      </w:r>
    </w:p>
    <w:p w14:paraId="2B9E854E" w14:textId="298AD899" w:rsidR="6CCE08EC" w:rsidRPr="00CB4FF0" w:rsidRDefault="103B58E6"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Ethical principles are fundamental to delivering person-centred care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Beauchamp and Childress (2019) identify four key principles that guide healthcare practice: </w:t>
      </w:r>
      <w:r w:rsidRPr="00CB4FF0">
        <w:rPr>
          <w:rFonts w:ascii="Arial" w:eastAsia="Arial Nova" w:hAnsi="Arial" w:cs="Arial"/>
          <w:b/>
          <w:bCs/>
          <w:sz w:val="22"/>
          <w:szCs w:val="22"/>
        </w:rPr>
        <w:t>autonomy, beneficence, non-maleficence and justice</w:t>
      </w:r>
      <w:r w:rsidRPr="00CB4FF0">
        <w:rPr>
          <w:rFonts w:ascii="Arial" w:eastAsia="Arial Nova" w:hAnsi="Arial" w:cs="Arial"/>
          <w:sz w:val="22"/>
          <w:szCs w:val="22"/>
        </w:rPr>
        <w:t>. These principles ensure that care is delivered safely, respectfully and in the best interests of service users.</w:t>
      </w:r>
    </w:p>
    <w:p w14:paraId="2505C402" w14:textId="1B1813FF" w:rsidR="6CCE08EC" w:rsidRPr="00CB4FF0" w:rsidRDefault="103B58E6" w:rsidP="004F325B">
      <w:pPr>
        <w:spacing w:before="240" w:after="240" w:line="360" w:lineRule="auto"/>
        <w:rPr>
          <w:rFonts w:ascii="Arial" w:hAnsi="Arial" w:cs="Arial"/>
          <w:sz w:val="22"/>
          <w:szCs w:val="22"/>
        </w:rPr>
      </w:pPr>
      <w:r w:rsidRPr="00CB4FF0">
        <w:rPr>
          <w:rFonts w:ascii="Arial" w:eastAsia="Arial Nova" w:hAnsi="Arial" w:cs="Arial"/>
          <w:b/>
          <w:bCs/>
          <w:sz w:val="22"/>
          <w:szCs w:val="22"/>
        </w:rPr>
        <w:t>Autonomy</w:t>
      </w:r>
      <w:r w:rsidRPr="00CB4FF0">
        <w:rPr>
          <w:rFonts w:ascii="Arial" w:eastAsia="Arial Nova" w:hAnsi="Arial" w:cs="Arial"/>
          <w:sz w:val="22"/>
          <w:szCs w:val="22"/>
        </w:rPr>
        <w:t xml:space="preserve"> involves respecting an individual's right to make informed decisions about their treatment and recovery. Within Sandwell CMHT, professionals promote autonomy through shared decision-making and personalised care planning. </w:t>
      </w:r>
      <w:r w:rsidRPr="00CB4FF0">
        <w:rPr>
          <w:rFonts w:ascii="Arial" w:eastAsia="Arial Nova" w:hAnsi="Arial" w:cs="Arial"/>
          <w:b/>
          <w:bCs/>
          <w:sz w:val="22"/>
          <w:szCs w:val="22"/>
        </w:rPr>
        <w:t>Beneficence</w:t>
      </w:r>
      <w:r w:rsidRPr="00CB4FF0">
        <w:rPr>
          <w:rFonts w:ascii="Arial" w:eastAsia="Arial Nova" w:hAnsi="Arial" w:cs="Arial"/>
          <w:sz w:val="22"/>
          <w:szCs w:val="22"/>
        </w:rPr>
        <w:t xml:space="preserve"> requires practitioners to act in the best interests of service users by providing evidence-based interventions that improve mental health, wellbeing and recovery outcomes. </w:t>
      </w:r>
      <w:r w:rsidRPr="00CB4FF0">
        <w:rPr>
          <w:rFonts w:ascii="Arial" w:eastAsia="Arial Nova" w:hAnsi="Arial" w:cs="Arial"/>
          <w:b/>
          <w:bCs/>
          <w:sz w:val="22"/>
          <w:szCs w:val="22"/>
        </w:rPr>
        <w:t>Non-maleficence</w:t>
      </w:r>
      <w:r w:rsidRPr="00CB4FF0">
        <w:rPr>
          <w:rFonts w:ascii="Arial" w:eastAsia="Arial Nova" w:hAnsi="Arial" w:cs="Arial"/>
          <w:sz w:val="22"/>
          <w:szCs w:val="22"/>
        </w:rPr>
        <w:t xml:space="preserve">, meaning "do no harm", requires professionals to minimise risks by delivering safe treatment, undertaking effective risk assessments and safeguarding vulnerable individuals. </w:t>
      </w:r>
      <w:r w:rsidRPr="00CB4FF0">
        <w:rPr>
          <w:rFonts w:ascii="Arial" w:eastAsia="Arial Nova" w:hAnsi="Arial" w:cs="Arial"/>
          <w:b/>
          <w:bCs/>
          <w:sz w:val="22"/>
          <w:szCs w:val="22"/>
        </w:rPr>
        <w:t>Justice</w:t>
      </w:r>
      <w:r w:rsidRPr="00CB4FF0">
        <w:rPr>
          <w:rFonts w:ascii="Arial" w:eastAsia="Arial Nova" w:hAnsi="Arial" w:cs="Arial"/>
          <w:sz w:val="22"/>
          <w:szCs w:val="22"/>
        </w:rPr>
        <w:t xml:space="preserve"> focuses on fairness and equality, ensuring that all service users have equitable access to mental health services regardless of age, ethnicity, disability, gender or socioeconomic status.</w:t>
      </w:r>
    </w:p>
    <w:p w14:paraId="316FAE23" w14:textId="0B64EABF" w:rsidR="6CCE08EC" w:rsidRPr="00CB4FF0" w:rsidRDefault="103B58E6" w:rsidP="004F325B">
      <w:pPr>
        <w:spacing w:before="240" w:after="240" w:line="360" w:lineRule="auto"/>
        <w:rPr>
          <w:rFonts w:ascii="Arial" w:hAnsi="Arial" w:cs="Arial"/>
          <w:sz w:val="22"/>
          <w:szCs w:val="22"/>
        </w:rPr>
      </w:pPr>
      <w:r w:rsidRPr="00CB4FF0">
        <w:rPr>
          <w:rFonts w:ascii="Arial" w:eastAsia="Arial Nova" w:hAnsi="Arial" w:cs="Arial"/>
          <w:sz w:val="22"/>
          <w:szCs w:val="22"/>
        </w:rPr>
        <w:t>Applying these ethical principles helps professionals balance individual choice with safeguarding responsibilities while maintaining dignity, respect and equality. Consequently, ethical practice strengthens therapeutic relationships, supports recovery and promotes high-quality, person-centred mental healthcare within Sandwell Adult CMHT.</w:t>
      </w:r>
    </w:p>
    <w:p w14:paraId="1FF8A7CF" w14:textId="1AB4B659" w:rsidR="6CCE08EC" w:rsidRPr="00CB4FF0" w:rsidRDefault="6CCE08EC" w:rsidP="004F325B">
      <w:pPr>
        <w:spacing w:before="240" w:after="240" w:line="360" w:lineRule="auto"/>
        <w:rPr>
          <w:rFonts w:ascii="Arial" w:eastAsia="Arial Nova" w:hAnsi="Arial" w:cs="Arial"/>
          <w:sz w:val="22"/>
          <w:szCs w:val="22"/>
        </w:rPr>
      </w:pPr>
    </w:p>
    <w:p w14:paraId="676271FC" w14:textId="056BBA39" w:rsidR="6CCE08EC" w:rsidRPr="00CB4FF0" w:rsidRDefault="1AA2E593"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Partnership Working</w:t>
      </w:r>
    </w:p>
    <w:p w14:paraId="30822F34" w14:textId="47BBD6BC" w:rsidR="6CCE08EC" w:rsidRPr="00CB4FF0" w:rsidRDefault="1AA2E593"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Partnership working is the collaborative process in which healthcare professionals, social care providers, service users, carers and voluntary organisations work together to plan, deliver and evaluate care. In mental health services, partnership working is essential because individuals often have complex needs that require support from multiple agencies. </w:t>
      </w:r>
      <w:r w:rsidRPr="00CB4FF0">
        <w:rPr>
          <w:rFonts w:ascii="Arial" w:eastAsia="Arial Nova" w:hAnsi="Arial" w:cs="Arial"/>
          <w:b/>
          <w:bCs/>
          <w:sz w:val="22"/>
          <w:szCs w:val="22"/>
        </w:rPr>
        <w:t>NHS England (2023)</w:t>
      </w:r>
      <w:r w:rsidRPr="00CB4FF0">
        <w:rPr>
          <w:rFonts w:ascii="Arial" w:eastAsia="Arial Nova" w:hAnsi="Arial" w:cs="Arial"/>
          <w:sz w:val="22"/>
          <w:szCs w:val="22"/>
        </w:rPr>
        <w:t xml:space="preserve"> states that integrated working improves care coordination, enhances communication and promotes better health outcomes by ensuring services are organised around the needs of the individual rather than separate organisations.</w:t>
      </w:r>
    </w:p>
    <w:p w14:paraId="3D8C24E6" w14:textId="12CF95C3" w:rsidR="6CCE08EC" w:rsidRPr="00CB4FF0" w:rsidRDefault="1AA2E593"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partnership working involves psychiatrists, community psychiatric nurses, psychologists, occupational therapists, </w:t>
      </w:r>
      <w:r w:rsidRPr="00CB4FF0">
        <w:rPr>
          <w:rFonts w:ascii="Arial" w:eastAsia="Arial Nova" w:hAnsi="Arial" w:cs="Arial"/>
          <w:sz w:val="22"/>
          <w:szCs w:val="22"/>
        </w:rPr>
        <w:lastRenderedPageBreak/>
        <w:t>social workers and support workers collaborating to develop personalised recovery plans. The team also works closely with general practitioners, housing providers, employment services, substance misuse teams and voluntary organisations to address the wider social determinants of mental health. This multidisciplinary approach enables holistic care, reduces duplication of services and supports continuity of care.</w:t>
      </w:r>
    </w:p>
    <w:p w14:paraId="315CD912" w14:textId="33FE3A03" w:rsidR="6CCE08EC" w:rsidRPr="00CB4FF0" w:rsidRDefault="1AA2E593" w:rsidP="004F325B">
      <w:pPr>
        <w:spacing w:before="240" w:after="240" w:line="360" w:lineRule="auto"/>
        <w:rPr>
          <w:rFonts w:ascii="Arial" w:hAnsi="Arial" w:cs="Arial"/>
          <w:sz w:val="22"/>
          <w:szCs w:val="22"/>
        </w:rPr>
      </w:pPr>
      <w:r w:rsidRPr="00CB4FF0">
        <w:rPr>
          <w:rFonts w:ascii="Arial" w:eastAsia="Arial Nova" w:hAnsi="Arial" w:cs="Arial"/>
          <w:sz w:val="22"/>
          <w:szCs w:val="22"/>
        </w:rPr>
        <w:t>Despite these benefits, partnership working faces challenges, including workforce shortages, incompatible electronic record systems and differences in organisational priorities, which can delay communication and decision-making. Strengthening integrated digital systems, improving interprofessional communication and encouraging service-user involvement are essential to achieving effective partnership working and improving recovery outcomes within Sandwell CMHT.</w:t>
      </w:r>
    </w:p>
    <w:p w14:paraId="3B694C11" w14:textId="14274911" w:rsidR="6CCE08EC" w:rsidRPr="00CB4FF0" w:rsidRDefault="6CCE08EC" w:rsidP="004F325B">
      <w:pPr>
        <w:spacing w:line="360" w:lineRule="auto"/>
        <w:rPr>
          <w:rFonts w:ascii="Arial" w:hAnsi="Arial" w:cs="Arial"/>
          <w:sz w:val="22"/>
          <w:szCs w:val="22"/>
        </w:rPr>
      </w:pPr>
    </w:p>
    <w:p w14:paraId="2B7C2D4E" w14:textId="0298BFC7" w:rsidR="6CCE08EC" w:rsidRPr="00CB4FF0" w:rsidRDefault="6FC5FC4F"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Policy and Legislation</w:t>
      </w:r>
    </w:p>
    <w:p w14:paraId="3D08E67E" w14:textId="5E1599AD" w:rsidR="6CCE08EC" w:rsidRPr="00CB4FF0" w:rsidRDefault="6FC5FC4F"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Person-centred care and partnership working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are supported by several key UK policies and legislative frameworks. The </w:t>
      </w:r>
      <w:r w:rsidRPr="00CB4FF0">
        <w:rPr>
          <w:rFonts w:ascii="Arial" w:eastAsia="Arial Nova" w:hAnsi="Arial" w:cs="Arial"/>
          <w:b/>
          <w:bCs/>
          <w:sz w:val="22"/>
          <w:szCs w:val="22"/>
        </w:rPr>
        <w:t>Health and Care Act 2022</w:t>
      </w:r>
      <w:r w:rsidRPr="00CB4FF0">
        <w:rPr>
          <w:rFonts w:ascii="Arial" w:eastAsia="Arial Nova" w:hAnsi="Arial" w:cs="Arial"/>
          <w:sz w:val="22"/>
          <w:szCs w:val="22"/>
        </w:rPr>
        <w:t xml:space="preserve"> established Integrated Care Systems (ICSs), promoting collaboration between NHS organisations, local authorities and voluntary services to deliver integrated, person-centred care. The </w:t>
      </w:r>
      <w:r w:rsidRPr="00CB4FF0">
        <w:rPr>
          <w:rFonts w:ascii="Arial" w:eastAsia="Arial Nova" w:hAnsi="Arial" w:cs="Arial"/>
          <w:b/>
          <w:bCs/>
          <w:sz w:val="22"/>
          <w:szCs w:val="22"/>
        </w:rPr>
        <w:t>Health and Social Care Act 2012</w:t>
      </w:r>
      <w:r w:rsidRPr="00CB4FF0">
        <w:rPr>
          <w:rFonts w:ascii="Arial" w:eastAsia="Arial Nova" w:hAnsi="Arial" w:cs="Arial"/>
          <w:sz w:val="22"/>
          <w:szCs w:val="22"/>
        </w:rPr>
        <w:t xml:space="preserve"> encourages patient involvement in decision-making and improves service integration. The </w:t>
      </w:r>
      <w:r w:rsidRPr="00CB4FF0">
        <w:rPr>
          <w:rFonts w:ascii="Arial" w:eastAsia="Arial Nova" w:hAnsi="Arial" w:cs="Arial"/>
          <w:b/>
          <w:bCs/>
          <w:sz w:val="22"/>
          <w:szCs w:val="22"/>
        </w:rPr>
        <w:t>Care Act 2014</w:t>
      </w:r>
      <w:r w:rsidRPr="00CB4FF0">
        <w:rPr>
          <w:rFonts w:ascii="Arial" w:eastAsia="Arial Nova" w:hAnsi="Arial" w:cs="Arial"/>
          <w:sz w:val="22"/>
          <w:szCs w:val="22"/>
        </w:rPr>
        <w:t xml:space="preserve"> introduced the wellbeing principle, requiring professionals to prioritise individuals' wishes, independence and overall wellbeing during assessment and care planning. Furthermore, the </w:t>
      </w:r>
      <w:r w:rsidRPr="00CB4FF0">
        <w:rPr>
          <w:rFonts w:ascii="Arial" w:eastAsia="Arial Nova" w:hAnsi="Arial" w:cs="Arial"/>
          <w:b/>
          <w:bCs/>
          <w:sz w:val="22"/>
          <w:szCs w:val="22"/>
        </w:rPr>
        <w:t>Human Rights Act 1998</w:t>
      </w:r>
      <w:r w:rsidRPr="00CB4FF0">
        <w:rPr>
          <w:rFonts w:ascii="Arial" w:eastAsia="Arial Nova" w:hAnsi="Arial" w:cs="Arial"/>
          <w:sz w:val="22"/>
          <w:szCs w:val="22"/>
        </w:rPr>
        <w:t xml:space="preserve"> protects fundamental rights, including dignity, privacy and respect for family life, while the </w:t>
      </w:r>
      <w:r w:rsidRPr="00CB4FF0">
        <w:rPr>
          <w:rFonts w:ascii="Arial" w:eastAsia="Arial Nova" w:hAnsi="Arial" w:cs="Arial"/>
          <w:b/>
          <w:bCs/>
          <w:sz w:val="22"/>
          <w:szCs w:val="22"/>
        </w:rPr>
        <w:t>Equality Act 2010</w:t>
      </w:r>
      <w:r w:rsidRPr="00CB4FF0">
        <w:rPr>
          <w:rFonts w:ascii="Arial" w:eastAsia="Arial Nova" w:hAnsi="Arial" w:cs="Arial"/>
          <w:sz w:val="22"/>
          <w:szCs w:val="22"/>
        </w:rPr>
        <w:t xml:space="preserve"> requires healthcare providers to eliminate discrimination and make reasonable adjustments for people with protected characteristics. Collectively, these policies and laws provide the legal and ethical framework that supports equitable, collaborative and recovery-focused mental health care within Sandwell CMHT.</w:t>
      </w:r>
    </w:p>
    <w:p w14:paraId="3A1FC5C5" w14:textId="2AA9C256" w:rsidR="6CCE08EC" w:rsidRPr="00CB4FF0" w:rsidRDefault="6CCE08EC" w:rsidP="004F325B">
      <w:pPr>
        <w:spacing w:line="360" w:lineRule="auto"/>
        <w:rPr>
          <w:rFonts w:ascii="Arial" w:hAnsi="Arial" w:cs="Arial"/>
          <w:sz w:val="22"/>
          <w:szCs w:val="22"/>
        </w:rPr>
      </w:pPr>
    </w:p>
    <w:p w14:paraId="6AFB963F" w14:textId="0B7CCF24" w:rsidR="6CCE08EC" w:rsidRPr="00CB4FF0" w:rsidRDefault="7658E9BC"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Recommendations</w:t>
      </w:r>
    </w:p>
    <w:p w14:paraId="1B25BA24" w14:textId="4463316A" w:rsidR="6CCE08EC" w:rsidRPr="00CB4FF0" w:rsidRDefault="7658E9BC"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To strengthen person-centred care and partnership working within </w:t>
      </w:r>
      <w:r w:rsidRPr="00CB4FF0">
        <w:rPr>
          <w:rFonts w:ascii="Arial" w:eastAsia="Arial Nova" w:hAnsi="Arial" w:cs="Arial"/>
          <w:b/>
          <w:bCs/>
          <w:sz w:val="22"/>
          <w:szCs w:val="22"/>
        </w:rPr>
        <w:t>Sandwell Adult Community Mental Health Team (CMHT)</w:t>
      </w:r>
      <w:r w:rsidRPr="00CB4FF0">
        <w:rPr>
          <w:rFonts w:ascii="Arial" w:eastAsia="Arial Nova" w:hAnsi="Arial" w:cs="Arial"/>
          <w:sz w:val="22"/>
          <w:szCs w:val="22"/>
        </w:rPr>
        <w:t xml:space="preserve">, several evidence-based improvements are recommended. Firstly, staff should receive regular training in shared decision-making, cultural competence and trauma-informed care to improve collaborative practice and </w:t>
      </w:r>
      <w:r w:rsidRPr="00CB4FF0">
        <w:rPr>
          <w:rFonts w:ascii="Arial" w:eastAsia="Arial Nova" w:hAnsi="Arial" w:cs="Arial"/>
          <w:sz w:val="22"/>
          <w:szCs w:val="22"/>
        </w:rPr>
        <w:lastRenderedPageBreak/>
        <w:t>recovery-focused support. Secondly, Sandwell CMHT should implement an integrated electronic health record accessible across NHS, social care and voluntary organisations. Evidence suggests that shared digital records improve communication, reduce duplication and enhance continuity of person-centred care (BMC Medical Informatics and Decision Making, 2024). Thirdly, service users and carers should be actively involved in care planning and service evaluation through co-production, ensuring services reflect their experiences and priorities. Finally, complementary approaches, including peer support and wellbeing programmes, should be considered where appropriate, as they can improve engagement and recovery when integrated with conventional care (Bhattacharyya, Craft Morgan and Burgess, 2022). These recommendations would promote more coordinated, personalised and effective community mental health services.</w:t>
      </w:r>
    </w:p>
    <w:p w14:paraId="19BB899B" w14:textId="6C9DDB3F" w:rsidR="6CCE08EC" w:rsidRPr="00CB4FF0" w:rsidRDefault="6CCE08EC" w:rsidP="004F325B">
      <w:pPr>
        <w:spacing w:line="360" w:lineRule="auto"/>
        <w:rPr>
          <w:rFonts w:ascii="Arial" w:hAnsi="Arial" w:cs="Arial"/>
          <w:sz w:val="22"/>
          <w:szCs w:val="22"/>
        </w:rPr>
      </w:pPr>
    </w:p>
    <w:p w14:paraId="217B0359" w14:textId="4882848B" w:rsidR="6CCE08EC" w:rsidRPr="00CB4FF0" w:rsidRDefault="7F7E5622" w:rsidP="004F325B">
      <w:pPr>
        <w:pStyle w:val="Heading3"/>
        <w:spacing w:before="281" w:after="281" w:line="360" w:lineRule="auto"/>
        <w:rPr>
          <w:rFonts w:ascii="Arial" w:hAnsi="Arial" w:cs="Arial"/>
          <w:sz w:val="22"/>
          <w:szCs w:val="22"/>
        </w:rPr>
      </w:pPr>
      <w:r w:rsidRPr="00CB4FF0">
        <w:rPr>
          <w:rFonts w:ascii="Arial" w:eastAsia="Arial Nova" w:hAnsi="Arial" w:cs="Arial"/>
          <w:b/>
          <w:bCs/>
          <w:sz w:val="22"/>
          <w:szCs w:val="22"/>
        </w:rPr>
        <w:t>Conclusion</w:t>
      </w:r>
    </w:p>
    <w:p w14:paraId="66387076" w14:textId="562ABD8E" w:rsidR="6CCE08EC" w:rsidRPr="00CB4FF0" w:rsidRDefault="7F7E5622" w:rsidP="004F325B">
      <w:pPr>
        <w:spacing w:before="240" w:after="240" w:line="360" w:lineRule="auto"/>
        <w:rPr>
          <w:rFonts w:ascii="Arial" w:hAnsi="Arial" w:cs="Arial"/>
          <w:sz w:val="22"/>
          <w:szCs w:val="22"/>
        </w:rPr>
      </w:pPr>
      <w:r w:rsidRPr="00CB4FF0">
        <w:rPr>
          <w:rFonts w:ascii="Arial" w:eastAsia="Arial Nova" w:hAnsi="Arial" w:cs="Arial"/>
          <w:sz w:val="22"/>
          <w:szCs w:val="22"/>
        </w:rPr>
        <w:t>In conclusion, person-centred care and partnership working are fundamental to delivering effective, recovery-focused mental health services within Sandwell Adult Community Mental Health Team (CMHT). By promoting shared decision-making, respecting individual preferences and encouraging multidisciplinary collaboration, these approaches improve service-user outcomes and quality of life. However, workforce shortages, resource constraints and communication challenges continue to affect consistent implementation. The report has demonstrated that ethical principles, theoretical frameworks and UK legislation provide a strong foundation for practice. Continued investment in staff development, digital integration and meaningful service-user involvement will strengthen collaborative care and support sustainable improvements in community mental health services.</w:t>
      </w:r>
    </w:p>
    <w:p w14:paraId="08E6E109" w14:textId="1E89D275" w:rsidR="6CCE08EC" w:rsidRPr="00CB4FF0" w:rsidRDefault="6CCE08EC" w:rsidP="004F325B">
      <w:pPr>
        <w:spacing w:before="240" w:after="240" w:line="360" w:lineRule="auto"/>
        <w:rPr>
          <w:rFonts w:ascii="Arial" w:eastAsia="Arial Nova" w:hAnsi="Arial" w:cs="Arial"/>
          <w:sz w:val="22"/>
          <w:szCs w:val="22"/>
        </w:rPr>
      </w:pPr>
    </w:p>
    <w:p w14:paraId="32BF9E6E" w14:textId="266FFB1E" w:rsidR="6CCE08EC" w:rsidRPr="00CB4FF0" w:rsidRDefault="6CCE08EC" w:rsidP="004F325B">
      <w:pPr>
        <w:spacing w:line="360" w:lineRule="auto"/>
        <w:rPr>
          <w:rFonts w:ascii="Arial" w:hAnsi="Arial" w:cs="Arial"/>
          <w:sz w:val="22"/>
          <w:szCs w:val="22"/>
        </w:rPr>
      </w:pPr>
    </w:p>
    <w:p w14:paraId="25AB5810" w14:textId="18756B1C" w:rsidR="6CCE08EC" w:rsidRPr="00CB4FF0" w:rsidRDefault="54029395" w:rsidP="004F325B">
      <w:pPr>
        <w:pStyle w:val="Heading1"/>
        <w:spacing w:before="322" w:after="322" w:line="360" w:lineRule="auto"/>
        <w:rPr>
          <w:rFonts w:ascii="Arial" w:hAnsi="Arial" w:cs="Arial"/>
          <w:sz w:val="22"/>
          <w:szCs w:val="22"/>
        </w:rPr>
      </w:pPr>
      <w:r w:rsidRPr="00CB4FF0">
        <w:rPr>
          <w:rFonts w:ascii="Arial" w:eastAsia="Arial Nova" w:hAnsi="Arial" w:cs="Arial"/>
          <w:b/>
          <w:bCs/>
          <w:sz w:val="22"/>
          <w:szCs w:val="22"/>
        </w:rPr>
        <w:t xml:space="preserve">Reference </w:t>
      </w:r>
    </w:p>
    <w:p w14:paraId="7F163513" w14:textId="6D923062"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Anthony, W.A. (1993) ‘Recovery from mental illness: the guiding vision of the mental health service system in the 1990s’, </w:t>
      </w:r>
      <w:r w:rsidRPr="00CB4FF0">
        <w:rPr>
          <w:rFonts w:ascii="Arial" w:eastAsia="Arial Nova" w:hAnsi="Arial" w:cs="Arial"/>
          <w:i/>
          <w:iCs/>
          <w:sz w:val="22"/>
          <w:szCs w:val="22"/>
        </w:rPr>
        <w:t>Psychosocial Rehabilitation Journal</w:t>
      </w:r>
      <w:r w:rsidRPr="00CB4FF0">
        <w:rPr>
          <w:rFonts w:ascii="Arial" w:eastAsia="Arial Nova" w:hAnsi="Arial" w:cs="Arial"/>
          <w:sz w:val="22"/>
          <w:szCs w:val="22"/>
        </w:rPr>
        <w:t>, 16(4), pp. 11–23.</w:t>
      </w:r>
    </w:p>
    <w:p w14:paraId="1D9D478B" w14:textId="12A2FDBC"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Beauchamp, T.L. and Childress, J.F. (2019) </w:t>
      </w:r>
      <w:r w:rsidRPr="00CB4FF0">
        <w:rPr>
          <w:rFonts w:ascii="Arial" w:eastAsia="Arial Nova" w:hAnsi="Arial" w:cs="Arial"/>
          <w:i/>
          <w:iCs/>
          <w:sz w:val="22"/>
          <w:szCs w:val="22"/>
        </w:rPr>
        <w:t>Principles of Biomedical Ethics</w:t>
      </w:r>
      <w:r w:rsidRPr="00CB4FF0">
        <w:rPr>
          <w:rFonts w:ascii="Arial" w:eastAsia="Arial Nova" w:hAnsi="Arial" w:cs="Arial"/>
          <w:sz w:val="22"/>
          <w:szCs w:val="22"/>
        </w:rPr>
        <w:t>. 8th edn. Oxford: Oxford University Press.</w:t>
      </w:r>
    </w:p>
    <w:p w14:paraId="2FE9B888" w14:textId="42C3AF36"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lastRenderedPageBreak/>
        <w:t xml:space="preserve">Bradshaw, J. (1972) ‘The concept of social need’, </w:t>
      </w:r>
      <w:r w:rsidRPr="00CB4FF0">
        <w:rPr>
          <w:rFonts w:ascii="Arial" w:eastAsia="Arial Nova" w:hAnsi="Arial" w:cs="Arial"/>
          <w:i/>
          <w:iCs/>
          <w:sz w:val="22"/>
          <w:szCs w:val="22"/>
        </w:rPr>
        <w:t>New Society</w:t>
      </w:r>
      <w:r w:rsidRPr="00CB4FF0">
        <w:rPr>
          <w:rFonts w:ascii="Arial" w:eastAsia="Arial Nova" w:hAnsi="Arial" w:cs="Arial"/>
          <w:sz w:val="22"/>
          <w:szCs w:val="22"/>
        </w:rPr>
        <w:t>, 30(773), pp. 640–643.</w:t>
      </w:r>
    </w:p>
    <w:p w14:paraId="0BEC1F7E" w14:textId="06A4C442"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Bronfenbrenner, U. (1979) </w:t>
      </w:r>
      <w:r w:rsidRPr="00CB4FF0">
        <w:rPr>
          <w:rFonts w:ascii="Arial" w:eastAsia="Arial Nova" w:hAnsi="Arial" w:cs="Arial"/>
          <w:i/>
          <w:iCs/>
          <w:sz w:val="22"/>
          <w:szCs w:val="22"/>
        </w:rPr>
        <w:t>The Ecology of Human Development: Experiments by Nature and Design</w:t>
      </w:r>
      <w:r w:rsidRPr="00CB4FF0">
        <w:rPr>
          <w:rFonts w:ascii="Arial" w:eastAsia="Arial Nova" w:hAnsi="Arial" w:cs="Arial"/>
          <w:sz w:val="22"/>
          <w:szCs w:val="22"/>
        </w:rPr>
        <w:t>. Cambridge, MA: Harvard University Press.</w:t>
      </w:r>
    </w:p>
    <w:p w14:paraId="682CBFAE" w14:textId="08AC706E"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Care Act 2014. c.23. London: The Stationery Office.</w:t>
      </w:r>
    </w:p>
    <w:p w14:paraId="674F060C" w14:textId="3B216CEF"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Equality Act 2010. c.15. London: The Stationery Office.</w:t>
      </w:r>
    </w:p>
    <w:p w14:paraId="11F06C1F" w14:textId="37A86A8E"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Health and Care Act 2022. c.31. London: The Stationery Office.</w:t>
      </w:r>
    </w:p>
    <w:p w14:paraId="7FCE1546" w14:textId="02C7849D"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Health and Social Care Act 2012. c.7. London: The Stationery Office.</w:t>
      </w:r>
    </w:p>
    <w:p w14:paraId="2B7A2BEC" w14:textId="6C7BFFC2"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Human Rights Act 1998. c.42. London: The Stationery Office.</w:t>
      </w:r>
    </w:p>
    <w:p w14:paraId="6F1EFCBC" w14:textId="0373BE0F"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King's Fund (2023) </w:t>
      </w:r>
      <w:r w:rsidRPr="00CB4FF0">
        <w:rPr>
          <w:rFonts w:ascii="Arial" w:eastAsia="Arial Nova" w:hAnsi="Arial" w:cs="Arial"/>
          <w:i/>
          <w:iCs/>
          <w:sz w:val="22"/>
          <w:szCs w:val="22"/>
        </w:rPr>
        <w:t>Partnership Working in Integrated Care Systems</w:t>
      </w:r>
      <w:r w:rsidRPr="00CB4FF0">
        <w:rPr>
          <w:rFonts w:ascii="Arial" w:eastAsia="Arial Nova" w:hAnsi="Arial" w:cs="Arial"/>
          <w:sz w:val="22"/>
          <w:szCs w:val="22"/>
        </w:rPr>
        <w:t>. London: The King's Fund.</w:t>
      </w:r>
    </w:p>
    <w:p w14:paraId="2AEABF44" w14:textId="2D228CBF"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Mental Health Act 1983. c.20. London: The Stationery Office.</w:t>
      </w:r>
    </w:p>
    <w:p w14:paraId="0617F7C7" w14:textId="3FF9558F"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National Institute for Health and Care Excellence (NICE) (2021) </w:t>
      </w:r>
      <w:r w:rsidRPr="00CB4FF0">
        <w:rPr>
          <w:rFonts w:ascii="Arial" w:eastAsia="Arial Nova" w:hAnsi="Arial" w:cs="Arial"/>
          <w:i/>
          <w:iCs/>
          <w:sz w:val="22"/>
          <w:szCs w:val="22"/>
        </w:rPr>
        <w:t>Shared Decision Making (NG197)</w:t>
      </w:r>
      <w:r w:rsidRPr="00CB4FF0">
        <w:rPr>
          <w:rFonts w:ascii="Arial" w:eastAsia="Arial Nova" w:hAnsi="Arial" w:cs="Arial"/>
          <w:sz w:val="22"/>
          <w:szCs w:val="22"/>
        </w:rPr>
        <w:t>. London: NICE.</w:t>
      </w:r>
    </w:p>
    <w:p w14:paraId="6A439A32" w14:textId="6E3D5F4C"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NHS England (2023) </w:t>
      </w:r>
      <w:r w:rsidRPr="00CB4FF0">
        <w:rPr>
          <w:rFonts w:ascii="Arial" w:eastAsia="Arial Nova" w:hAnsi="Arial" w:cs="Arial"/>
          <w:i/>
          <w:iCs/>
          <w:sz w:val="22"/>
          <w:szCs w:val="22"/>
        </w:rPr>
        <w:t>NHS Long Term Workforce Plan</w:t>
      </w:r>
      <w:r w:rsidRPr="00CB4FF0">
        <w:rPr>
          <w:rFonts w:ascii="Arial" w:eastAsia="Arial Nova" w:hAnsi="Arial" w:cs="Arial"/>
          <w:sz w:val="22"/>
          <w:szCs w:val="22"/>
        </w:rPr>
        <w:t>. London: NHS England.</w:t>
      </w:r>
    </w:p>
    <w:p w14:paraId="54E5E692" w14:textId="65044A3C"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Royal College of Psychiatrists (2022) </w:t>
      </w:r>
      <w:r w:rsidRPr="00CB4FF0">
        <w:rPr>
          <w:rFonts w:ascii="Arial" w:eastAsia="Arial Nova" w:hAnsi="Arial" w:cs="Arial"/>
          <w:i/>
          <w:iCs/>
          <w:sz w:val="22"/>
          <w:szCs w:val="22"/>
        </w:rPr>
        <w:t>Person-Centred Care in Mental Health Services</w:t>
      </w:r>
      <w:r w:rsidRPr="00CB4FF0">
        <w:rPr>
          <w:rFonts w:ascii="Arial" w:eastAsia="Arial Nova" w:hAnsi="Arial" w:cs="Arial"/>
          <w:sz w:val="22"/>
          <w:szCs w:val="22"/>
        </w:rPr>
        <w:t>. London: RCPsych.</w:t>
      </w:r>
    </w:p>
    <w:p w14:paraId="617EDBE6" w14:textId="60076689" w:rsidR="6CCE08EC" w:rsidRPr="00CB4FF0" w:rsidRDefault="54029395" w:rsidP="004F325B">
      <w:pPr>
        <w:spacing w:before="240" w:after="240" w:line="360" w:lineRule="auto"/>
        <w:rPr>
          <w:rFonts w:ascii="Arial" w:hAnsi="Arial" w:cs="Arial"/>
          <w:sz w:val="22"/>
          <w:szCs w:val="22"/>
        </w:rPr>
      </w:pPr>
      <w:r w:rsidRPr="00CB4FF0">
        <w:rPr>
          <w:rFonts w:ascii="Arial" w:eastAsia="Arial Nova" w:hAnsi="Arial" w:cs="Arial"/>
          <w:sz w:val="22"/>
          <w:szCs w:val="22"/>
        </w:rPr>
        <w:t xml:space="preserve">World Health Organization (2021) </w:t>
      </w:r>
      <w:r w:rsidRPr="00CB4FF0">
        <w:rPr>
          <w:rFonts w:ascii="Arial" w:eastAsia="Arial Nova" w:hAnsi="Arial" w:cs="Arial"/>
          <w:i/>
          <w:iCs/>
          <w:sz w:val="22"/>
          <w:szCs w:val="22"/>
        </w:rPr>
        <w:t>Guidance on Community Mental Health Services: Promoting Person-Centred and Rights-Based Approaches</w:t>
      </w:r>
      <w:r w:rsidRPr="00CB4FF0">
        <w:rPr>
          <w:rFonts w:ascii="Arial" w:eastAsia="Arial Nova" w:hAnsi="Arial" w:cs="Arial"/>
          <w:sz w:val="22"/>
          <w:szCs w:val="22"/>
        </w:rPr>
        <w:t>. Geneva: World Health Organization.</w:t>
      </w:r>
    </w:p>
    <w:p w14:paraId="73B27C6A" w14:textId="54C0CA5F" w:rsidR="6CCE08EC" w:rsidRPr="00CB4FF0" w:rsidRDefault="6CCE08EC" w:rsidP="004F325B">
      <w:pPr>
        <w:spacing w:before="240" w:after="240" w:line="360" w:lineRule="auto"/>
        <w:rPr>
          <w:rFonts w:ascii="Arial" w:eastAsia="Arial Nova" w:hAnsi="Arial" w:cs="Arial"/>
          <w:sz w:val="22"/>
          <w:szCs w:val="22"/>
        </w:rPr>
      </w:pPr>
    </w:p>
    <w:p w14:paraId="4EB6E618" w14:textId="65161863" w:rsidR="6CCE08EC" w:rsidRPr="00CB4FF0" w:rsidRDefault="6CCE08EC" w:rsidP="004F325B">
      <w:pPr>
        <w:spacing w:before="240" w:after="240" w:line="360" w:lineRule="auto"/>
        <w:rPr>
          <w:rFonts w:ascii="Arial" w:eastAsia="Arial Nova" w:hAnsi="Arial" w:cs="Arial"/>
          <w:sz w:val="22"/>
          <w:szCs w:val="22"/>
        </w:rPr>
      </w:pPr>
    </w:p>
    <w:p w14:paraId="0A949ED7" w14:textId="2071AB12" w:rsidR="6CCE08EC" w:rsidRPr="00CB4FF0" w:rsidRDefault="6CCE08EC" w:rsidP="004F325B">
      <w:pPr>
        <w:spacing w:before="240" w:after="240" w:line="360" w:lineRule="auto"/>
        <w:rPr>
          <w:rFonts w:ascii="Arial" w:eastAsia="Arial Nova" w:hAnsi="Arial" w:cs="Arial"/>
          <w:sz w:val="22"/>
          <w:szCs w:val="22"/>
        </w:rPr>
      </w:pPr>
    </w:p>
    <w:p w14:paraId="293228F1" w14:textId="6E9A6E04" w:rsidR="6CCE08EC" w:rsidRDefault="6CCE08EC" w:rsidP="49E7457E">
      <w:pPr>
        <w:spacing w:before="240" w:after="240"/>
        <w:rPr>
          <w:rFonts w:ascii="Arial Nova" w:eastAsia="Arial Nova" w:hAnsi="Arial Nova" w:cs="Arial Nova"/>
        </w:rPr>
      </w:pPr>
    </w:p>
    <w:p w14:paraId="1F08D43F" w14:textId="5AA58E55" w:rsidR="6CCE08EC" w:rsidRDefault="6CCE08EC" w:rsidP="49E7457E">
      <w:pPr>
        <w:spacing w:before="240" w:after="240"/>
        <w:rPr>
          <w:rFonts w:ascii="Arial Nova" w:eastAsia="Arial Nova" w:hAnsi="Arial Nova" w:cs="Arial Nova"/>
        </w:rPr>
      </w:pPr>
    </w:p>
    <w:p w14:paraId="6D0C65B2" w14:textId="6B95C889" w:rsidR="6CCE08EC" w:rsidRDefault="6CCE08EC" w:rsidP="49E7457E">
      <w:pPr>
        <w:spacing w:before="240" w:after="240"/>
        <w:rPr>
          <w:rFonts w:ascii="Arial Nova" w:eastAsia="Arial Nova" w:hAnsi="Arial Nova" w:cs="Arial Nova"/>
        </w:rPr>
      </w:pPr>
    </w:p>
    <w:p w14:paraId="0D6D0186" w14:textId="616A0A15" w:rsidR="6CCE08EC" w:rsidRDefault="6CCE08EC" w:rsidP="49E7457E">
      <w:pPr>
        <w:spacing w:before="240" w:after="240"/>
        <w:rPr>
          <w:rFonts w:ascii="Arial Nova" w:eastAsia="Arial Nova" w:hAnsi="Arial Nova" w:cs="Arial Nova"/>
        </w:rPr>
      </w:pPr>
    </w:p>
    <w:p w14:paraId="7B158A80" w14:textId="0830A0B1" w:rsidR="6CCE08EC" w:rsidRDefault="6CCE08EC" w:rsidP="49E7457E">
      <w:pPr>
        <w:spacing w:before="240" w:after="240"/>
        <w:rPr>
          <w:rFonts w:ascii="Arial Nova" w:eastAsia="Arial Nova" w:hAnsi="Arial Nova" w:cs="Arial Nova"/>
        </w:rPr>
      </w:pPr>
    </w:p>
    <w:p w14:paraId="0E89FF19" w14:textId="05C8D6EF" w:rsidR="6CCE08EC" w:rsidRDefault="6CCE08EC" w:rsidP="49E7457E">
      <w:pPr>
        <w:spacing w:before="240" w:after="240"/>
        <w:rPr>
          <w:rFonts w:ascii="Arial Nova" w:eastAsia="Arial Nova" w:hAnsi="Arial Nova" w:cs="Arial Nova"/>
        </w:rPr>
      </w:pPr>
    </w:p>
    <w:p w14:paraId="564BFEF2" w14:textId="66BD6C40" w:rsidR="6CCE08EC" w:rsidRDefault="6CCE08EC" w:rsidP="49E7457E">
      <w:pPr>
        <w:spacing w:before="240" w:after="240"/>
        <w:rPr>
          <w:rFonts w:ascii="Arial Nova" w:eastAsia="Arial Nova" w:hAnsi="Arial Nova" w:cs="Arial Nova"/>
        </w:rPr>
      </w:pPr>
    </w:p>
    <w:p w14:paraId="794BD01E" w14:textId="5C4D37B4" w:rsidR="6CCE08EC" w:rsidRDefault="6CCE08EC" w:rsidP="49E7457E">
      <w:pPr>
        <w:spacing w:before="240" w:after="240"/>
        <w:rPr>
          <w:rFonts w:ascii="Arial Nova" w:eastAsia="Arial Nova" w:hAnsi="Arial Nova" w:cs="Arial Nova"/>
        </w:rPr>
      </w:pPr>
    </w:p>
    <w:p w14:paraId="4B4ED5BC" w14:textId="5FEB5D7C" w:rsidR="6CCE08EC" w:rsidRDefault="6CCE08EC" w:rsidP="49E7457E">
      <w:pPr>
        <w:spacing w:before="240" w:after="240"/>
      </w:pPr>
    </w:p>
    <w:p w14:paraId="2774E151" w14:textId="2EA9219F" w:rsidR="6CCE08EC" w:rsidRDefault="6CCE08EC" w:rsidP="49E7457E">
      <w:pPr>
        <w:spacing w:before="240" w:after="240"/>
        <w:rPr>
          <w:rFonts w:ascii="Arial Nova" w:eastAsia="Arial Nova" w:hAnsi="Arial Nova" w:cs="Arial Nova"/>
        </w:rPr>
      </w:pPr>
    </w:p>
    <w:p w14:paraId="0637D830" w14:textId="46CBE1FB" w:rsidR="6CCE08EC" w:rsidRDefault="6CCE08EC" w:rsidP="49E7457E">
      <w:pPr>
        <w:spacing w:before="240" w:after="240"/>
        <w:rPr>
          <w:rFonts w:ascii="Arial Nova" w:eastAsia="Arial Nova" w:hAnsi="Arial Nova" w:cs="Arial Nova"/>
        </w:rPr>
      </w:pPr>
    </w:p>
    <w:p w14:paraId="3A4EF1CF" w14:textId="161D574A" w:rsidR="6CCE08EC" w:rsidRDefault="6CCE08EC" w:rsidP="49E7457E">
      <w:pPr>
        <w:spacing w:before="240" w:after="240"/>
        <w:rPr>
          <w:rFonts w:ascii="Arial Nova" w:eastAsia="Arial Nova" w:hAnsi="Arial Nova" w:cs="Arial Nova"/>
        </w:rPr>
      </w:pPr>
    </w:p>
    <w:p w14:paraId="5D1FADA3" w14:textId="66DAFD6C" w:rsidR="6CCE08EC" w:rsidRDefault="6CCE08EC" w:rsidP="49E7457E">
      <w:pPr>
        <w:spacing w:before="240" w:after="240"/>
        <w:rPr>
          <w:rFonts w:ascii="Arial Nova" w:eastAsia="Arial Nova" w:hAnsi="Arial Nova" w:cs="Arial Nova"/>
        </w:rPr>
      </w:pPr>
    </w:p>
    <w:p w14:paraId="23DDB634" w14:textId="2A527142" w:rsidR="6CCE08EC" w:rsidRDefault="6CCE08EC" w:rsidP="6CCE08EC"/>
    <w:p w14:paraId="2D58678A" w14:textId="35E7AF26" w:rsidR="6CCE08EC" w:rsidRDefault="6CCE08EC" w:rsidP="6CCE08EC">
      <w:pPr>
        <w:spacing w:before="240" w:after="240"/>
        <w:rPr>
          <w:rFonts w:ascii="Arial Nova" w:eastAsia="Arial Nova" w:hAnsi="Arial Nova" w:cs="Arial Nova"/>
        </w:rPr>
      </w:pPr>
    </w:p>
    <w:p w14:paraId="12B31C2A" w14:textId="10B36E0C" w:rsidR="6CCE08EC" w:rsidRDefault="6CCE08EC" w:rsidP="6CCE08EC">
      <w:pPr>
        <w:spacing w:before="240" w:after="240"/>
        <w:rPr>
          <w:rFonts w:ascii="Arial Nova" w:eastAsia="Arial Nova" w:hAnsi="Arial Nova" w:cs="Arial Nova"/>
        </w:rPr>
      </w:pPr>
    </w:p>
    <w:p w14:paraId="5080A9BD" w14:textId="4A50A3E3" w:rsidR="6CCE08EC" w:rsidRDefault="6CCE08EC"/>
    <w:p w14:paraId="73A0553F" w14:textId="20F92222" w:rsidR="6CCE08EC" w:rsidRDefault="6CCE08EC" w:rsidP="6CCE08EC">
      <w:pPr>
        <w:spacing w:before="240" w:after="240"/>
        <w:rPr>
          <w:rFonts w:ascii="Arial Nova" w:eastAsia="Arial Nova" w:hAnsi="Arial Nova" w:cs="Arial Nova"/>
        </w:rPr>
      </w:pPr>
    </w:p>
    <w:p w14:paraId="2E44C7D8" w14:textId="53DE1CA1" w:rsidR="6CCE08EC" w:rsidRDefault="6CCE08EC"/>
    <w:sectPr w:rsidR="6CCE08E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82CF1"/>
    <w:multiLevelType w:val="hybridMultilevel"/>
    <w:tmpl w:val="45043940"/>
    <w:lvl w:ilvl="0" w:tplc="A8AC79A6">
      <w:start w:val="1"/>
      <w:numFmt w:val="bullet"/>
      <w:lvlText w:val=""/>
      <w:lvlJc w:val="left"/>
      <w:pPr>
        <w:ind w:left="720" w:hanging="360"/>
      </w:pPr>
      <w:rPr>
        <w:rFonts w:ascii="Symbol" w:hAnsi="Symbol" w:hint="default"/>
      </w:rPr>
    </w:lvl>
    <w:lvl w:ilvl="1" w:tplc="393C3700">
      <w:start w:val="1"/>
      <w:numFmt w:val="bullet"/>
      <w:lvlText w:val="o"/>
      <w:lvlJc w:val="left"/>
      <w:pPr>
        <w:ind w:left="1440" w:hanging="360"/>
      </w:pPr>
      <w:rPr>
        <w:rFonts w:ascii="Courier New" w:hAnsi="Courier New" w:hint="default"/>
      </w:rPr>
    </w:lvl>
    <w:lvl w:ilvl="2" w:tplc="5AB64D08">
      <w:start w:val="1"/>
      <w:numFmt w:val="bullet"/>
      <w:lvlText w:val=""/>
      <w:lvlJc w:val="left"/>
      <w:pPr>
        <w:ind w:left="2160" w:hanging="360"/>
      </w:pPr>
      <w:rPr>
        <w:rFonts w:ascii="Wingdings" w:hAnsi="Wingdings" w:hint="default"/>
      </w:rPr>
    </w:lvl>
    <w:lvl w:ilvl="3" w:tplc="8034C2D0">
      <w:start w:val="1"/>
      <w:numFmt w:val="bullet"/>
      <w:lvlText w:val=""/>
      <w:lvlJc w:val="left"/>
      <w:pPr>
        <w:ind w:left="2880" w:hanging="360"/>
      </w:pPr>
      <w:rPr>
        <w:rFonts w:ascii="Symbol" w:hAnsi="Symbol" w:hint="default"/>
      </w:rPr>
    </w:lvl>
    <w:lvl w:ilvl="4" w:tplc="2B163950">
      <w:start w:val="1"/>
      <w:numFmt w:val="bullet"/>
      <w:lvlText w:val="o"/>
      <w:lvlJc w:val="left"/>
      <w:pPr>
        <w:ind w:left="3600" w:hanging="360"/>
      </w:pPr>
      <w:rPr>
        <w:rFonts w:ascii="Courier New" w:hAnsi="Courier New" w:hint="default"/>
      </w:rPr>
    </w:lvl>
    <w:lvl w:ilvl="5" w:tplc="F964120C">
      <w:start w:val="1"/>
      <w:numFmt w:val="bullet"/>
      <w:lvlText w:val=""/>
      <w:lvlJc w:val="left"/>
      <w:pPr>
        <w:ind w:left="4320" w:hanging="360"/>
      </w:pPr>
      <w:rPr>
        <w:rFonts w:ascii="Wingdings" w:hAnsi="Wingdings" w:hint="default"/>
      </w:rPr>
    </w:lvl>
    <w:lvl w:ilvl="6" w:tplc="C78252C4">
      <w:start w:val="1"/>
      <w:numFmt w:val="bullet"/>
      <w:lvlText w:val=""/>
      <w:lvlJc w:val="left"/>
      <w:pPr>
        <w:ind w:left="5040" w:hanging="360"/>
      </w:pPr>
      <w:rPr>
        <w:rFonts w:ascii="Symbol" w:hAnsi="Symbol" w:hint="default"/>
      </w:rPr>
    </w:lvl>
    <w:lvl w:ilvl="7" w:tplc="8D02F900">
      <w:start w:val="1"/>
      <w:numFmt w:val="bullet"/>
      <w:lvlText w:val="o"/>
      <w:lvlJc w:val="left"/>
      <w:pPr>
        <w:ind w:left="5760" w:hanging="360"/>
      </w:pPr>
      <w:rPr>
        <w:rFonts w:ascii="Courier New" w:hAnsi="Courier New" w:hint="default"/>
      </w:rPr>
    </w:lvl>
    <w:lvl w:ilvl="8" w:tplc="3DF0ADD8">
      <w:start w:val="1"/>
      <w:numFmt w:val="bullet"/>
      <w:lvlText w:val=""/>
      <w:lvlJc w:val="left"/>
      <w:pPr>
        <w:ind w:left="6480" w:hanging="360"/>
      </w:pPr>
      <w:rPr>
        <w:rFonts w:ascii="Wingdings" w:hAnsi="Wingdings" w:hint="default"/>
      </w:rPr>
    </w:lvl>
  </w:abstractNum>
  <w:abstractNum w:abstractNumId="1" w15:restartNumberingAfterBreak="0">
    <w:nsid w:val="2180BC56"/>
    <w:multiLevelType w:val="hybridMultilevel"/>
    <w:tmpl w:val="D4987E42"/>
    <w:lvl w:ilvl="0" w:tplc="36663478">
      <w:start w:val="1"/>
      <w:numFmt w:val="bullet"/>
      <w:lvlText w:val=""/>
      <w:lvlJc w:val="left"/>
      <w:pPr>
        <w:ind w:left="720" w:hanging="360"/>
      </w:pPr>
      <w:rPr>
        <w:rFonts w:ascii="Symbol" w:hAnsi="Symbol" w:hint="default"/>
      </w:rPr>
    </w:lvl>
    <w:lvl w:ilvl="1" w:tplc="5DE47FC0">
      <w:start w:val="1"/>
      <w:numFmt w:val="bullet"/>
      <w:lvlText w:val="o"/>
      <w:lvlJc w:val="left"/>
      <w:pPr>
        <w:ind w:left="1440" w:hanging="360"/>
      </w:pPr>
      <w:rPr>
        <w:rFonts w:ascii="Courier New" w:hAnsi="Courier New" w:hint="default"/>
      </w:rPr>
    </w:lvl>
    <w:lvl w:ilvl="2" w:tplc="62B42B86">
      <w:start w:val="1"/>
      <w:numFmt w:val="bullet"/>
      <w:lvlText w:val=""/>
      <w:lvlJc w:val="left"/>
      <w:pPr>
        <w:ind w:left="2160" w:hanging="360"/>
      </w:pPr>
      <w:rPr>
        <w:rFonts w:ascii="Wingdings" w:hAnsi="Wingdings" w:hint="default"/>
      </w:rPr>
    </w:lvl>
    <w:lvl w:ilvl="3" w:tplc="3782FECC">
      <w:start w:val="1"/>
      <w:numFmt w:val="bullet"/>
      <w:lvlText w:val=""/>
      <w:lvlJc w:val="left"/>
      <w:pPr>
        <w:ind w:left="2880" w:hanging="360"/>
      </w:pPr>
      <w:rPr>
        <w:rFonts w:ascii="Symbol" w:hAnsi="Symbol" w:hint="default"/>
      </w:rPr>
    </w:lvl>
    <w:lvl w:ilvl="4" w:tplc="7DD85D14">
      <w:start w:val="1"/>
      <w:numFmt w:val="bullet"/>
      <w:lvlText w:val="o"/>
      <w:lvlJc w:val="left"/>
      <w:pPr>
        <w:ind w:left="3600" w:hanging="360"/>
      </w:pPr>
      <w:rPr>
        <w:rFonts w:ascii="Courier New" w:hAnsi="Courier New" w:hint="default"/>
      </w:rPr>
    </w:lvl>
    <w:lvl w:ilvl="5" w:tplc="52284660">
      <w:start w:val="1"/>
      <w:numFmt w:val="bullet"/>
      <w:lvlText w:val=""/>
      <w:lvlJc w:val="left"/>
      <w:pPr>
        <w:ind w:left="4320" w:hanging="360"/>
      </w:pPr>
      <w:rPr>
        <w:rFonts w:ascii="Wingdings" w:hAnsi="Wingdings" w:hint="default"/>
      </w:rPr>
    </w:lvl>
    <w:lvl w:ilvl="6" w:tplc="46349EFA">
      <w:start w:val="1"/>
      <w:numFmt w:val="bullet"/>
      <w:lvlText w:val=""/>
      <w:lvlJc w:val="left"/>
      <w:pPr>
        <w:ind w:left="5040" w:hanging="360"/>
      </w:pPr>
      <w:rPr>
        <w:rFonts w:ascii="Symbol" w:hAnsi="Symbol" w:hint="default"/>
      </w:rPr>
    </w:lvl>
    <w:lvl w:ilvl="7" w:tplc="5A224926">
      <w:start w:val="1"/>
      <w:numFmt w:val="bullet"/>
      <w:lvlText w:val="o"/>
      <w:lvlJc w:val="left"/>
      <w:pPr>
        <w:ind w:left="5760" w:hanging="360"/>
      </w:pPr>
      <w:rPr>
        <w:rFonts w:ascii="Courier New" w:hAnsi="Courier New" w:hint="default"/>
      </w:rPr>
    </w:lvl>
    <w:lvl w:ilvl="8" w:tplc="C5862730">
      <w:start w:val="1"/>
      <w:numFmt w:val="bullet"/>
      <w:lvlText w:val=""/>
      <w:lvlJc w:val="left"/>
      <w:pPr>
        <w:ind w:left="6480" w:hanging="360"/>
      </w:pPr>
      <w:rPr>
        <w:rFonts w:ascii="Wingdings" w:hAnsi="Wingdings" w:hint="default"/>
      </w:rPr>
    </w:lvl>
  </w:abstractNum>
  <w:abstractNum w:abstractNumId="2" w15:restartNumberingAfterBreak="0">
    <w:nsid w:val="32765A77"/>
    <w:multiLevelType w:val="hybridMultilevel"/>
    <w:tmpl w:val="27EC0310"/>
    <w:lvl w:ilvl="0" w:tplc="DA8A615C">
      <w:start w:val="1"/>
      <w:numFmt w:val="bullet"/>
      <w:lvlText w:val=""/>
      <w:lvlJc w:val="left"/>
      <w:pPr>
        <w:ind w:left="720" w:hanging="360"/>
      </w:pPr>
      <w:rPr>
        <w:rFonts w:ascii="Symbol" w:hAnsi="Symbol" w:hint="default"/>
      </w:rPr>
    </w:lvl>
    <w:lvl w:ilvl="1" w:tplc="96A027D2">
      <w:start w:val="1"/>
      <w:numFmt w:val="bullet"/>
      <w:lvlText w:val="o"/>
      <w:lvlJc w:val="left"/>
      <w:pPr>
        <w:ind w:left="1440" w:hanging="360"/>
      </w:pPr>
      <w:rPr>
        <w:rFonts w:ascii="Courier New" w:hAnsi="Courier New" w:hint="default"/>
      </w:rPr>
    </w:lvl>
    <w:lvl w:ilvl="2" w:tplc="24145626">
      <w:start w:val="1"/>
      <w:numFmt w:val="bullet"/>
      <w:lvlText w:val=""/>
      <w:lvlJc w:val="left"/>
      <w:pPr>
        <w:ind w:left="2160" w:hanging="360"/>
      </w:pPr>
      <w:rPr>
        <w:rFonts w:ascii="Wingdings" w:hAnsi="Wingdings" w:hint="default"/>
      </w:rPr>
    </w:lvl>
    <w:lvl w:ilvl="3" w:tplc="50DEEDF0">
      <w:start w:val="1"/>
      <w:numFmt w:val="bullet"/>
      <w:lvlText w:val=""/>
      <w:lvlJc w:val="left"/>
      <w:pPr>
        <w:ind w:left="2880" w:hanging="360"/>
      </w:pPr>
      <w:rPr>
        <w:rFonts w:ascii="Symbol" w:hAnsi="Symbol" w:hint="default"/>
      </w:rPr>
    </w:lvl>
    <w:lvl w:ilvl="4" w:tplc="C394BBF6">
      <w:start w:val="1"/>
      <w:numFmt w:val="bullet"/>
      <w:lvlText w:val="o"/>
      <w:lvlJc w:val="left"/>
      <w:pPr>
        <w:ind w:left="3600" w:hanging="360"/>
      </w:pPr>
      <w:rPr>
        <w:rFonts w:ascii="Courier New" w:hAnsi="Courier New" w:hint="default"/>
      </w:rPr>
    </w:lvl>
    <w:lvl w:ilvl="5" w:tplc="5C64EAA2">
      <w:start w:val="1"/>
      <w:numFmt w:val="bullet"/>
      <w:lvlText w:val=""/>
      <w:lvlJc w:val="left"/>
      <w:pPr>
        <w:ind w:left="4320" w:hanging="360"/>
      </w:pPr>
      <w:rPr>
        <w:rFonts w:ascii="Wingdings" w:hAnsi="Wingdings" w:hint="default"/>
      </w:rPr>
    </w:lvl>
    <w:lvl w:ilvl="6" w:tplc="D0D86A8E">
      <w:start w:val="1"/>
      <w:numFmt w:val="bullet"/>
      <w:lvlText w:val=""/>
      <w:lvlJc w:val="left"/>
      <w:pPr>
        <w:ind w:left="5040" w:hanging="360"/>
      </w:pPr>
      <w:rPr>
        <w:rFonts w:ascii="Symbol" w:hAnsi="Symbol" w:hint="default"/>
      </w:rPr>
    </w:lvl>
    <w:lvl w:ilvl="7" w:tplc="61F8E4FC">
      <w:start w:val="1"/>
      <w:numFmt w:val="bullet"/>
      <w:lvlText w:val="o"/>
      <w:lvlJc w:val="left"/>
      <w:pPr>
        <w:ind w:left="5760" w:hanging="360"/>
      </w:pPr>
      <w:rPr>
        <w:rFonts w:ascii="Courier New" w:hAnsi="Courier New" w:hint="default"/>
      </w:rPr>
    </w:lvl>
    <w:lvl w:ilvl="8" w:tplc="4888E04E">
      <w:start w:val="1"/>
      <w:numFmt w:val="bullet"/>
      <w:lvlText w:val=""/>
      <w:lvlJc w:val="left"/>
      <w:pPr>
        <w:ind w:left="6480" w:hanging="360"/>
      </w:pPr>
      <w:rPr>
        <w:rFonts w:ascii="Wingdings" w:hAnsi="Wingdings" w:hint="default"/>
      </w:rPr>
    </w:lvl>
  </w:abstractNum>
  <w:num w:numId="1" w16cid:durableId="2088191688">
    <w:abstractNumId w:val="2"/>
  </w:num>
  <w:num w:numId="2" w16cid:durableId="1375542550">
    <w:abstractNumId w:val="1"/>
  </w:num>
  <w:num w:numId="3" w16cid:durableId="1042555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376851"/>
    <w:rsid w:val="004F325B"/>
    <w:rsid w:val="0058683C"/>
    <w:rsid w:val="007439E7"/>
    <w:rsid w:val="00966A0E"/>
    <w:rsid w:val="00CB4FF0"/>
    <w:rsid w:val="00EB3D3C"/>
    <w:rsid w:val="00EF1DB4"/>
    <w:rsid w:val="01038549"/>
    <w:rsid w:val="04BECDFF"/>
    <w:rsid w:val="077192AB"/>
    <w:rsid w:val="0868D9BC"/>
    <w:rsid w:val="08B7CE55"/>
    <w:rsid w:val="0B1B9FBE"/>
    <w:rsid w:val="0BE4CAAD"/>
    <w:rsid w:val="0BE9A0F3"/>
    <w:rsid w:val="0C727908"/>
    <w:rsid w:val="0D9EBADD"/>
    <w:rsid w:val="0F34F06A"/>
    <w:rsid w:val="0F822D11"/>
    <w:rsid w:val="103892B6"/>
    <w:rsid w:val="103B58E6"/>
    <w:rsid w:val="1388729B"/>
    <w:rsid w:val="1422CCE1"/>
    <w:rsid w:val="152DF849"/>
    <w:rsid w:val="1726845C"/>
    <w:rsid w:val="179E635A"/>
    <w:rsid w:val="1832691C"/>
    <w:rsid w:val="19C4BD6C"/>
    <w:rsid w:val="1A5BA88F"/>
    <w:rsid w:val="1AA2E593"/>
    <w:rsid w:val="1B18CDD4"/>
    <w:rsid w:val="1B67AFBD"/>
    <w:rsid w:val="1C48F745"/>
    <w:rsid w:val="1EAA4C7E"/>
    <w:rsid w:val="1FEBD62C"/>
    <w:rsid w:val="21151B95"/>
    <w:rsid w:val="21650986"/>
    <w:rsid w:val="22669CBD"/>
    <w:rsid w:val="25F638AA"/>
    <w:rsid w:val="260CCB41"/>
    <w:rsid w:val="27EA8928"/>
    <w:rsid w:val="280D9BB3"/>
    <w:rsid w:val="29C2DA65"/>
    <w:rsid w:val="29E183E9"/>
    <w:rsid w:val="2CA8E7E7"/>
    <w:rsid w:val="2DE3F900"/>
    <w:rsid w:val="37376851"/>
    <w:rsid w:val="37F86D53"/>
    <w:rsid w:val="38C9B46D"/>
    <w:rsid w:val="39BB198E"/>
    <w:rsid w:val="3BCAC37B"/>
    <w:rsid w:val="3F411DB0"/>
    <w:rsid w:val="3F8FC29D"/>
    <w:rsid w:val="40C1A929"/>
    <w:rsid w:val="411B3D15"/>
    <w:rsid w:val="43C3A4F1"/>
    <w:rsid w:val="44074289"/>
    <w:rsid w:val="46244F40"/>
    <w:rsid w:val="469975E1"/>
    <w:rsid w:val="476FD979"/>
    <w:rsid w:val="477AED96"/>
    <w:rsid w:val="49B4C329"/>
    <w:rsid w:val="49E7457E"/>
    <w:rsid w:val="4A5F0735"/>
    <w:rsid w:val="4B311925"/>
    <w:rsid w:val="4B5BD8ED"/>
    <w:rsid w:val="4B87FF38"/>
    <w:rsid w:val="4D17E4A0"/>
    <w:rsid w:val="4FD697F4"/>
    <w:rsid w:val="50592CBB"/>
    <w:rsid w:val="51AC4BCC"/>
    <w:rsid w:val="54029395"/>
    <w:rsid w:val="54921221"/>
    <w:rsid w:val="54A24254"/>
    <w:rsid w:val="550142AB"/>
    <w:rsid w:val="59C97E44"/>
    <w:rsid w:val="5C7D5498"/>
    <w:rsid w:val="5D094998"/>
    <w:rsid w:val="5D57B61C"/>
    <w:rsid w:val="5D7380CA"/>
    <w:rsid w:val="5D802A73"/>
    <w:rsid w:val="5E453369"/>
    <w:rsid w:val="6168F565"/>
    <w:rsid w:val="61876D32"/>
    <w:rsid w:val="61AC73A4"/>
    <w:rsid w:val="61CEAE68"/>
    <w:rsid w:val="62486227"/>
    <w:rsid w:val="625F4408"/>
    <w:rsid w:val="63098CB7"/>
    <w:rsid w:val="6420F7D1"/>
    <w:rsid w:val="6614C21B"/>
    <w:rsid w:val="675EF849"/>
    <w:rsid w:val="6805E6CE"/>
    <w:rsid w:val="68142028"/>
    <w:rsid w:val="69280BBE"/>
    <w:rsid w:val="699B44EC"/>
    <w:rsid w:val="6B0072EF"/>
    <w:rsid w:val="6B82B778"/>
    <w:rsid w:val="6C152FDE"/>
    <w:rsid w:val="6CBD119C"/>
    <w:rsid w:val="6CCE08EC"/>
    <w:rsid w:val="6EFC629A"/>
    <w:rsid w:val="6F807371"/>
    <w:rsid w:val="6FC5FC4F"/>
    <w:rsid w:val="70F0C2DB"/>
    <w:rsid w:val="720894CC"/>
    <w:rsid w:val="7234A503"/>
    <w:rsid w:val="73591A4C"/>
    <w:rsid w:val="73888AEC"/>
    <w:rsid w:val="74677E9E"/>
    <w:rsid w:val="7658E9BC"/>
    <w:rsid w:val="775BEDC6"/>
    <w:rsid w:val="7762DB25"/>
    <w:rsid w:val="789F8ABE"/>
    <w:rsid w:val="79B49FF9"/>
    <w:rsid w:val="7ABF6EC6"/>
    <w:rsid w:val="7AF755A5"/>
    <w:rsid w:val="7AFFCFFB"/>
    <w:rsid w:val="7B4EF8F0"/>
    <w:rsid w:val="7CCF98A9"/>
    <w:rsid w:val="7D4B9629"/>
    <w:rsid w:val="7D7207B0"/>
    <w:rsid w:val="7E433B40"/>
    <w:rsid w:val="7E46D24A"/>
    <w:rsid w:val="7F7E5622"/>
    <w:rsid w:val="7FD38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13E76"/>
  <w15:chartTrackingRefBased/>
  <w15:docId w15:val="{C129A090-2D32-41BE-8F56-F32335235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CCE08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CCE08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CCE08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6CCE08EC"/>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CCE08EC"/>
    <w:pPr>
      <w:ind w:left="720"/>
      <w:contextualSpacing/>
    </w:pPr>
  </w:style>
  <w:style w:type="character" w:styleId="Hyperlink">
    <w:name w:val="Hyperlink"/>
    <w:basedOn w:val="DefaultParagraphFont"/>
    <w:uiPriority w:val="99"/>
    <w:unhideWhenUsed/>
    <w:rsid w:val="6CCE08E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2668</Words>
  <Characters>15211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Madalitso Majawa (2432520)</dc:creator>
  <cp:keywords/>
  <dc:description/>
  <cp:lastModifiedBy>Madalitso Majawa (2432520)</cp:lastModifiedBy>
  <cp:revision>7</cp:revision>
  <dcterms:created xsi:type="dcterms:W3CDTF">2026-07-20T13:44:00Z</dcterms:created>
  <dcterms:modified xsi:type="dcterms:W3CDTF">2026-07-22T21:41:00Z</dcterms:modified>
</cp:coreProperties>
</file>