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E5B04" w14:textId="77777777" w:rsidR="00222E35" w:rsidRPr="00222E35" w:rsidRDefault="00000000" w:rsidP="00222E35">
      <w:pPr>
        <w:jc w:val="center"/>
        <w:rPr>
          <w:rFonts w:cs="Times New Roman"/>
          <w:b/>
          <w:bCs/>
          <w:sz w:val="36"/>
          <w:szCs w:val="40"/>
        </w:rPr>
      </w:pPr>
      <w:r w:rsidRPr="00222E35">
        <w:rPr>
          <w:rFonts w:cs="Times New Roman"/>
          <w:b/>
          <w:bCs/>
          <w:noProof/>
          <w:sz w:val="36"/>
          <w:szCs w:val="40"/>
        </w:rPr>
        <w:drawing>
          <wp:anchor distT="0" distB="0" distL="114300" distR="114300" simplePos="0" relativeHeight="251658240" behindDoc="0" locked="0" layoutInCell="1" allowOverlap="1" wp14:anchorId="66E5C8A3" wp14:editId="184EFE44">
            <wp:simplePos x="0" y="0"/>
            <wp:positionH relativeFrom="column">
              <wp:posOffset>1410056</wp:posOffset>
            </wp:positionH>
            <wp:positionV relativeFrom="paragraph">
              <wp:posOffset>162287</wp:posOffset>
            </wp:positionV>
            <wp:extent cx="2862580" cy="1068705"/>
            <wp:effectExtent l="0" t="0" r="0" b="0"/>
            <wp:wrapTopAndBottom/>
            <wp:docPr id="82972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22959" name=""/>
                    <pic:cNvPicPr/>
                  </pic:nvPicPr>
                  <pic:blipFill>
                    <a:blip r:embed="rId8"/>
                    <a:stretch>
                      <a:fillRect/>
                    </a:stretch>
                  </pic:blipFill>
                  <pic:spPr>
                    <a:xfrm>
                      <a:off x="0" y="0"/>
                      <a:ext cx="2862580" cy="1068705"/>
                    </a:xfrm>
                    <a:prstGeom prst="rect">
                      <a:avLst/>
                    </a:prstGeom>
                  </pic:spPr>
                </pic:pic>
              </a:graphicData>
            </a:graphic>
            <wp14:sizeRelH relativeFrom="margin">
              <wp14:pctWidth>0</wp14:pctWidth>
            </wp14:sizeRelH>
            <wp14:sizeRelV relativeFrom="margin">
              <wp14:pctHeight>0</wp14:pctHeight>
            </wp14:sizeRelV>
          </wp:anchor>
        </w:drawing>
      </w:r>
    </w:p>
    <w:p w14:paraId="3ED64B12" w14:textId="77777777" w:rsidR="00222E35" w:rsidRPr="00222E35" w:rsidRDefault="00222E35" w:rsidP="00222E35">
      <w:pPr>
        <w:jc w:val="center"/>
        <w:rPr>
          <w:rFonts w:cs="Times New Roman"/>
          <w:b/>
          <w:bCs/>
          <w:sz w:val="36"/>
          <w:szCs w:val="40"/>
        </w:rPr>
      </w:pPr>
    </w:p>
    <w:p w14:paraId="3E0AC83C" w14:textId="77777777" w:rsidR="00222E35" w:rsidRPr="00222E35" w:rsidRDefault="00222E35" w:rsidP="00222E35">
      <w:pPr>
        <w:rPr>
          <w:rFonts w:cs="Times New Roman"/>
          <w:b/>
          <w:bCs/>
          <w:sz w:val="36"/>
          <w:szCs w:val="40"/>
        </w:rPr>
      </w:pPr>
    </w:p>
    <w:p w14:paraId="3EB06DBA" w14:textId="77777777" w:rsidR="00222E35" w:rsidRPr="00222E35" w:rsidRDefault="00000000" w:rsidP="00222E35">
      <w:pPr>
        <w:jc w:val="center"/>
        <w:rPr>
          <w:rFonts w:cs="Times New Roman"/>
          <w:sz w:val="36"/>
          <w:szCs w:val="40"/>
        </w:rPr>
      </w:pPr>
      <w:r w:rsidRPr="00222E35">
        <w:rPr>
          <w:rFonts w:cs="Times New Roman"/>
          <w:sz w:val="36"/>
          <w:szCs w:val="40"/>
        </w:rPr>
        <w:t>BMIH6001</w:t>
      </w:r>
    </w:p>
    <w:p w14:paraId="116E60CC" w14:textId="77777777" w:rsidR="00222E35" w:rsidRPr="00222E35" w:rsidRDefault="00000000" w:rsidP="00222E35">
      <w:pPr>
        <w:jc w:val="center"/>
        <w:rPr>
          <w:rFonts w:cs="Times New Roman"/>
          <w:sz w:val="36"/>
          <w:szCs w:val="40"/>
        </w:rPr>
      </w:pPr>
      <w:r w:rsidRPr="00222E35">
        <w:rPr>
          <w:rFonts w:cs="Times New Roman"/>
          <w:sz w:val="36"/>
          <w:szCs w:val="40"/>
        </w:rPr>
        <w:t>Contemporary Themes in the Hotel and Hospitality Sector</w:t>
      </w:r>
    </w:p>
    <w:p w14:paraId="52843EFC" w14:textId="77777777" w:rsidR="00222E35" w:rsidRPr="00222E35" w:rsidRDefault="00222E35" w:rsidP="00222E35">
      <w:pPr>
        <w:jc w:val="center"/>
        <w:rPr>
          <w:rFonts w:cs="Times New Roman"/>
          <w:sz w:val="36"/>
          <w:szCs w:val="40"/>
        </w:rPr>
      </w:pPr>
    </w:p>
    <w:p w14:paraId="36713153" w14:textId="77777777" w:rsidR="00222E35" w:rsidRPr="00222E35" w:rsidRDefault="00000000" w:rsidP="00222E35">
      <w:pPr>
        <w:jc w:val="center"/>
        <w:rPr>
          <w:rFonts w:cs="Times New Roman"/>
          <w:sz w:val="40"/>
          <w:szCs w:val="44"/>
        </w:rPr>
      </w:pPr>
      <w:r w:rsidRPr="00222E35">
        <w:rPr>
          <w:rFonts w:cs="Times New Roman"/>
          <w:sz w:val="40"/>
          <w:szCs w:val="44"/>
        </w:rPr>
        <w:t>Conference Research Paper</w:t>
      </w:r>
    </w:p>
    <w:p w14:paraId="2F7E0695" w14:textId="77777777" w:rsidR="009675F2" w:rsidRPr="00222E35" w:rsidRDefault="00000000" w:rsidP="00222E35">
      <w:pPr>
        <w:jc w:val="center"/>
        <w:rPr>
          <w:rFonts w:cs="Times New Roman"/>
          <w:i/>
          <w:iCs/>
          <w:sz w:val="28"/>
          <w:szCs w:val="32"/>
        </w:rPr>
      </w:pPr>
      <w:r w:rsidRPr="009675F2">
        <w:rPr>
          <w:rFonts w:cs="Times New Roman"/>
          <w:i/>
          <w:iCs/>
          <w:sz w:val="28"/>
          <w:szCs w:val="32"/>
        </w:rPr>
        <w:t>“Balancing Sustainability and Profitability: Evaluating the Efficacy of Food Waste Reduction Strategies in the Hotel and Hospitality Sector.”</w:t>
      </w:r>
    </w:p>
    <w:p w14:paraId="10CF5C45" w14:textId="77777777" w:rsidR="00222E35" w:rsidRPr="00222E35" w:rsidRDefault="00222E35" w:rsidP="00222E35">
      <w:pPr>
        <w:jc w:val="center"/>
        <w:rPr>
          <w:rFonts w:cs="Times New Roman"/>
          <w:i/>
          <w:iCs/>
          <w:sz w:val="28"/>
          <w:szCs w:val="32"/>
        </w:rPr>
      </w:pPr>
    </w:p>
    <w:p w14:paraId="7E138A3F" w14:textId="77777777" w:rsidR="00222E35" w:rsidRPr="00222E35" w:rsidRDefault="00222E35" w:rsidP="00222E35">
      <w:pPr>
        <w:jc w:val="center"/>
        <w:rPr>
          <w:rFonts w:cs="Times New Roman"/>
          <w:i/>
          <w:iCs/>
          <w:sz w:val="28"/>
          <w:szCs w:val="32"/>
        </w:rPr>
      </w:pPr>
    </w:p>
    <w:p w14:paraId="4EAB8228" w14:textId="77777777" w:rsidR="00222E35" w:rsidRPr="00222E35" w:rsidRDefault="00222E35" w:rsidP="00222E35">
      <w:pPr>
        <w:jc w:val="center"/>
        <w:rPr>
          <w:rFonts w:cs="Times New Roman"/>
          <w:i/>
          <w:iCs/>
          <w:sz w:val="28"/>
          <w:szCs w:val="32"/>
        </w:rPr>
      </w:pPr>
    </w:p>
    <w:p w14:paraId="24AD0855" w14:textId="77777777" w:rsidR="00222E35" w:rsidRPr="00222E35" w:rsidRDefault="00222E35" w:rsidP="00222E35">
      <w:pPr>
        <w:jc w:val="center"/>
        <w:rPr>
          <w:rFonts w:cs="Times New Roman"/>
          <w:i/>
          <w:iCs/>
          <w:sz w:val="28"/>
          <w:szCs w:val="32"/>
        </w:rPr>
      </w:pPr>
    </w:p>
    <w:p w14:paraId="1D256984" w14:textId="77777777" w:rsidR="00222E35" w:rsidRPr="00222E35" w:rsidRDefault="00222E35" w:rsidP="00222E35">
      <w:pPr>
        <w:jc w:val="center"/>
        <w:rPr>
          <w:rFonts w:cs="Times New Roman"/>
          <w:i/>
          <w:iCs/>
          <w:sz w:val="28"/>
          <w:szCs w:val="32"/>
        </w:rPr>
      </w:pPr>
    </w:p>
    <w:p w14:paraId="3F4DAF1D" w14:textId="77777777" w:rsidR="00222E35" w:rsidRPr="00222E35" w:rsidRDefault="00222E35" w:rsidP="00222E35">
      <w:pPr>
        <w:jc w:val="center"/>
        <w:rPr>
          <w:rFonts w:cs="Times New Roman"/>
          <w:i/>
          <w:iCs/>
          <w:sz w:val="28"/>
          <w:szCs w:val="32"/>
        </w:rPr>
      </w:pPr>
    </w:p>
    <w:p w14:paraId="2243D449" w14:textId="6085E44C" w:rsidR="00222E35" w:rsidRPr="00222E35" w:rsidRDefault="00000000" w:rsidP="00222E35">
      <w:pPr>
        <w:jc w:val="center"/>
        <w:rPr>
          <w:rFonts w:cs="Times New Roman"/>
          <w:sz w:val="28"/>
          <w:szCs w:val="32"/>
        </w:rPr>
      </w:pPr>
      <w:r w:rsidRPr="00222E35">
        <w:rPr>
          <w:rFonts w:cs="Times New Roman"/>
          <w:sz w:val="28"/>
          <w:szCs w:val="32"/>
        </w:rPr>
        <w:t>Student Name:</w:t>
      </w:r>
      <w:r w:rsidR="00AF5FA0">
        <w:rPr>
          <w:rFonts w:cs="Times New Roman"/>
          <w:sz w:val="28"/>
          <w:szCs w:val="32"/>
        </w:rPr>
        <w:t xml:space="preserve"> Lalani De Silva </w:t>
      </w:r>
    </w:p>
    <w:p w14:paraId="1F33CBD0" w14:textId="68999A04" w:rsidR="00222E35" w:rsidRPr="009675F2" w:rsidRDefault="00000000" w:rsidP="00222E35">
      <w:pPr>
        <w:jc w:val="center"/>
        <w:rPr>
          <w:rFonts w:cs="Times New Roman"/>
          <w:sz w:val="28"/>
          <w:szCs w:val="32"/>
        </w:rPr>
      </w:pPr>
      <w:r w:rsidRPr="00222E35">
        <w:rPr>
          <w:rFonts w:cs="Times New Roman"/>
          <w:sz w:val="28"/>
          <w:szCs w:val="32"/>
        </w:rPr>
        <w:t>ID:</w:t>
      </w:r>
      <w:r w:rsidR="00AF5FA0">
        <w:rPr>
          <w:rFonts w:cs="Times New Roman"/>
          <w:sz w:val="28"/>
          <w:szCs w:val="32"/>
        </w:rPr>
        <w:t xml:space="preserve"> 2230713</w:t>
      </w:r>
    </w:p>
    <w:p w14:paraId="211EB57E" w14:textId="77777777" w:rsidR="009675F2" w:rsidRPr="00222E35" w:rsidRDefault="009675F2" w:rsidP="00222E35">
      <w:pPr>
        <w:rPr>
          <w:rFonts w:cs="Times New Roman"/>
        </w:rPr>
      </w:pPr>
    </w:p>
    <w:p w14:paraId="32256ED4" w14:textId="77777777" w:rsidR="00C55DE0" w:rsidRPr="00222E35" w:rsidRDefault="00000000" w:rsidP="00222E35">
      <w:pPr>
        <w:rPr>
          <w:rFonts w:eastAsiaTheme="majorEastAsia" w:cs="Times New Roman"/>
          <w:b/>
          <w:color w:val="2F5496" w:themeColor="accent1" w:themeShade="BF"/>
          <w:sz w:val="32"/>
          <w:szCs w:val="40"/>
        </w:rPr>
      </w:pPr>
      <w:r w:rsidRPr="00222E35">
        <w:rPr>
          <w:rFonts w:cs="Times New Roman"/>
        </w:rPr>
        <w:br w:type="page"/>
      </w:r>
    </w:p>
    <w:p w14:paraId="61197C80" w14:textId="77777777" w:rsidR="0086049D" w:rsidRPr="0086049D" w:rsidRDefault="00000000" w:rsidP="00222E35">
      <w:pPr>
        <w:rPr>
          <w:rFonts w:cs="Times New Roman"/>
          <w:b/>
          <w:bCs/>
          <w:color w:val="2F5496" w:themeColor="accent1" w:themeShade="BF"/>
          <w:sz w:val="32"/>
          <w:szCs w:val="36"/>
        </w:rPr>
      </w:pPr>
      <w:r w:rsidRPr="0086049D">
        <w:rPr>
          <w:rFonts w:cs="Times New Roman"/>
          <w:b/>
          <w:bCs/>
          <w:color w:val="2F5496" w:themeColor="accent1" w:themeShade="BF"/>
          <w:sz w:val="32"/>
          <w:szCs w:val="36"/>
        </w:rPr>
        <w:lastRenderedPageBreak/>
        <w:t>Abstract</w:t>
      </w:r>
      <w:r w:rsidRPr="00222E35">
        <w:rPr>
          <w:rFonts w:cs="Times New Roman"/>
          <w:b/>
          <w:bCs/>
          <w:color w:val="2F5496" w:themeColor="accent1" w:themeShade="BF"/>
          <w:sz w:val="32"/>
          <w:szCs w:val="36"/>
        </w:rPr>
        <w:t>:</w:t>
      </w:r>
    </w:p>
    <w:p w14:paraId="29CA3143" w14:textId="77777777" w:rsidR="0086049D" w:rsidRPr="0086049D" w:rsidRDefault="00000000" w:rsidP="00222E35">
      <w:pPr>
        <w:rPr>
          <w:rFonts w:cs="Times New Roman"/>
        </w:rPr>
      </w:pPr>
      <w:r w:rsidRPr="0086049D">
        <w:rPr>
          <w:rFonts w:cs="Times New Roman"/>
        </w:rPr>
        <w:t>Food waste in hospitality is a significant contributor to greenhouse gas emissions and operational cost leakage; hotels, therefore, face mounting pressure to adopt effective, financially viable reduction strategies (UNEP, 2021; WRAP, 2018). This paper assesses the efficacy of three pragmatic interventions: smart inventory/AI forecasting, composting and donation partnerships, and local sourcing for mid-scale UK hotels. A mixed-methods approach (systematic literature synthesis, industry case evidence and planned semi-structured interviews) informs a comparative analysis using SWOT, Cost–Benefit Analysis and a simplified Life-Cycle Assessment proxy. Findings indicate prevention-focused measures (forecasting, menu engineering, portion control) deliver the largest combined environmental and financial returns, while diversion strategies and local sourcing provide complementary social and branding benefits but are more context-sensitive and sometimes cost-intensive (Champions 12.3, 2018; Meier, 2021). The paper recommends short-term pilots for digital monitoring and staff training, medium-term KPI integration and supplier partnerships, and long-term strategic embedding of sustainability supported by policy incentives and industry knowledge-sharing. Implications target hotel managers, industry associations and policymakers seeking evidence-based pathways to reduce food waste without undermining profitability.</w:t>
      </w:r>
    </w:p>
    <w:p w14:paraId="4CD0AD5B" w14:textId="77777777" w:rsidR="0086049D" w:rsidRPr="009675F2" w:rsidRDefault="0086049D" w:rsidP="00222E35">
      <w:pPr>
        <w:rPr>
          <w:rFonts w:cs="Times New Roman"/>
        </w:rPr>
      </w:pPr>
    </w:p>
    <w:p w14:paraId="7C9769FA" w14:textId="77777777" w:rsidR="0086049D" w:rsidRPr="00222E35" w:rsidRDefault="00000000" w:rsidP="00222E35">
      <w:pPr>
        <w:rPr>
          <w:rFonts w:eastAsiaTheme="majorEastAsia" w:cs="Times New Roman"/>
          <w:b/>
          <w:color w:val="2F5496" w:themeColor="accent1" w:themeShade="BF"/>
          <w:sz w:val="32"/>
          <w:szCs w:val="40"/>
        </w:rPr>
      </w:pPr>
      <w:r w:rsidRPr="00222E35">
        <w:rPr>
          <w:rFonts w:cs="Times New Roman"/>
        </w:rPr>
        <w:br w:type="page"/>
      </w:r>
    </w:p>
    <w:sdt>
      <w:sdtPr>
        <w:rPr>
          <w:rFonts w:ascii="Times New Roman" w:eastAsiaTheme="minorHAnsi" w:hAnsi="Times New Roman" w:cs="Times New Roman"/>
          <w:b w:val="0"/>
          <w:bCs w:val="0"/>
          <w:color w:val="auto"/>
          <w:kern w:val="2"/>
          <w:sz w:val="24"/>
          <w:szCs w:val="30"/>
          <w:lang w:val="en-GB" w:bidi="bn-IN"/>
          <w14:ligatures w14:val="standardContextual"/>
        </w:rPr>
        <w:id w:val="1339820655"/>
        <w:docPartObj>
          <w:docPartGallery w:val="Table of Contents"/>
          <w:docPartUnique/>
        </w:docPartObj>
      </w:sdtPr>
      <w:sdtEndPr>
        <w:rPr>
          <w:noProof/>
        </w:rPr>
      </w:sdtEndPr>
      <w:sdtContent>
        <w:p w14:paraId="57C98791" w14:textId="77777777" w:rsidR="00222E35" w:rsidRPr="00222E35" w:rsidRDefault="00000000" w:rsidP="00222E35">
          <w:pPr>
            <w:pStyle w:val="TOCHeading"/>
            <w:spacing w:line="360" w:lineRule="auto"/>
            <w:jc w:val="center"/>
            <w:rPr>
              <w:rFonts w:ascii="Times New Roman" w:hAnsi="Times New Roman" w:cs="Times New Roman"/>
              <w:lang w:val="en-GB"/>
            </w:rPr>
          </w:pPr>
          <w:r w:rsidRPr="00222E35">
            <w:rPr>
              <w:rFonts w:ascii="Times New Roman" w:hAnsi="Times New Roman" w:cs="Times New Roman"/>
              <w:lang w:val="en-GB"/>
            </w:rPr>
            <w:t>Table of Contents</w:t>
          </w:r>
        </w:p>
        <w:p w14:paraId="6962A74E" w14:textId="77777777" w:rsidR="00222E35" w:rsidRPr="00222E35" w:rsidRDefault="00000000" w:rsidP="00222E35">
          <w:pPr>
            <w:pStyle w:val="TOC1"/>
            <w:tabs>
              <w:tab w:val="right" w:leader="dot" w:pos="9016"/>
            </w:tabs>
            <w:rPr>
              <w:rFonts w:ascii="Times New Roman" w:eastAsiaTheme="minorEastAsia" w:hAnsi="Times New Roman" w:cs="Times New Roman"/>
              <w:bCs w:val="0"/>
              <w:caps w:val="0"/>
              <w:noProof/>
              <w:szCs w:val="30"/>
              <w:lang w:eastAsia="en-GB"/>
            </w:rPr>
          </w:pPr>
          <w:r w:rsidRPr="00222E35">
            <w:rPr>
              <w:rFonts w:ascii="Times New Roman" w:hAnsi="Times New Roman" w:cs="Times New Roman"/>
              <w:b w:val="0"/>
              <w:bCs w:val="0"/>
            </w:rPr>
            <w:fldChar w:fldCharType="begin"/>
          </w:r>
          <w:r w:rsidRPr="00222E35">
            <w:rPr>
              <w:rFonts w:ascii="Times New Roman" w:hAnsi="Times New Roman" w:cs="Times New Roman"/>
            </w:rPr>
            <w:instrText xml:space="preserve"> TOC \o "1-3" \h \z \u </w:instrText>
          </w:r>
          <w:r w:rsidRPr="00222E35">
            <w:rPr>
              <w:rFonts w:ascii="Times New Roman" w:hAnsi="Times New Roman" w:cs="Times New Roman"/>
              <w:b w:val="0"/>
              <w:bCs w:val="0"/>
            </w:rPr>
            <w:fldChar w:fldCharType="separate"/>
          </w:r>
          <w:hyperlink w:anchor="_Toc211282119" w:history="1">
            <w:r w:rsidR="00222E35" w:rsidRPr="00222E35">
              <w:rPr>
                <w:rStyle w:val="Hyperlink"/>
                <w:rFonts w:ascii="Times New Roman" w:hAnsi="Times New Roman" w:cs="Times New Roman"/>
                <w:noProof/>
              </w:rPr>
              <w:t>1. Introduction:</w:t>
            </w:r>
            <w:r w:rsidR="00222E35" w:rsidRPr="00222E35">
              <w:rPr>
                <w:rFonts w:ascii="Times New Roman" w:hAnsi="Times New Roman" w:cs="Times New Roman"/>
                <w:noProof/>
                <w:webHidden/>
              </w:rPr>
              <w:tab/>
            </w:r>
            <w:r w:rsidR="00222E35" w:rsidRPr="00222E35">
              <w:rPr>
                <w:rFonts w:ascii="Times New Roman" w:hAnsi="Times New Roman" w:cs="Times New Roman"/>
                <w:noProof/>
                <w:webHidden/>
              </w:rPr>
              <w:fldChar w:fldCharType="begin"/>
            </w:r>
            <w:r w:rsidR="00222E35" w:rsidRPr="00222E35">
              <w:rPr>
                <w:rFonts w:ascii="Times New Roman" w:hAnsi="Times New Roman" w:cs="Times New Roman"/>
                <w:noProof/>
                <w:webHidden/>
              </w:rPr>
              <w:instrText xml:space="preserve"> PAGEREF _Toc211282119 \h </w:instrText>
            </w:r>
            <w:r w:rsidR="00222E35" w:rsidRPr="00222E35">
              <w:rPr>
                <w:rFonts w:ascii="Times New Roman" w:hAnsi="Times New Roman" w:cs="Times New Roman"/>
                <w:noProof/>
                <w:webHidden/>
              </w:rPr>
            </w:r>
            <w:r w:rsidR="00222E35" w:rsidRPr="00222E35">
              <w:rPr>
                <w:rFonts w:ascii="Times New Roman" w:hAnsi="Times New Roman" w:cs="Times New Roman"/>
                <w:noProof/>
                <w:webHidden/>
              </w:rPr>
              <w:fldChar w:fldCharType="separate"/>
            </w:r>
            <w:r w:rsidR="00222E35" w:rsidRPr="00222E35">
              <w:rPr>
                <w:rFonts w:ascii="Times New Roman" w:hAnsi="Times New Roman" w:cs="Times New Roman"/>
                <w:noProof/>
                <w:webHidden/>
              </w:rPr>
              <w:t>4</w:t>
            </w:r>
            <w:r w:rsidR="00222E35" w:rsidRPr="00222E35">
              <w:rPr>
                <w:rFonts w:ascii="Times New Roman" w:hAnsi="Times New Roman" w:cs="Times New Roman"/>
                <w:noProof/>
                <w:webHidden/>
              </w:rPr>
              <w:fldChar w:fldCharType="end"/>
            </w:r>
          </w:hyperlink>
        </w:p>
        <w:p w14:paraId="08B94F2E"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20" w:history="1">
            <w:r w:rsidRPr="00222E35">
              <w:rPr>
                <w:rStyle w:val="Hyperlink"/>
                <w:rFonts w:ascii="Times New Roman" w:hAnsi="Times New Roman" w:cs="Times New Roman"/>
                <w:noProof/>
              </w:rPr>
              <w:t>2. Literature Review:</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_Toc211282120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4</w:t>
            </w:r>
            <w:r w:rsidRPr="00222E35">
              <w:rPr>
                <w:rFonts w:ascii="Times New Roman" w:hAnsi="Times New Roman" w:cs="Times New Roman"/>
                <w:noProof/>
                <w:webHidden/>
              </w:rPr>
              <w:fldChar w:fldCharType="end"/>
            </w:r>
          </w:hyperlink>
        </w:p>
        <w:p w14:paraId="481F4425"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1" w:history="1">
            <w:r w:rsidRPr="00222E35">
              <w:rPr>
                <w:rStyle w:val="Hyperlink"/>
                <w:rFonts w:ascii="Times New Roman" w:hAnsi="Times New Roman" w:cs="Times New Roman"/>
                <w:noProof/>
              </w:rPr>
              <w:t>2.1 Overview of Food Waste in Hospitality:</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_Toc211282121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4</w:t>
            </w:r>
            <w:r w:rsidRPr="00222E35">
              <w:rPr>
                <w:rFonts w:ascii="Times New Roman" w:hAnsi="Times New Roman" w:cs="Times New Roman"/>
                <w:noProof/>
                <w:webHidden/>
              </w:rPr>
              <w:fldChar w:fldCharType="end"/>
            </w:r>
          </w:hyperlink>
        </w:p>
        <w:p w14:paraId="72860E43"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2" w:history="1">
            <w:r w:rsidRPr="00222E35">
              <w:rPr>
                <w:rStyle w:val="Hyperlink"/>
                <w:rFonts w:ascii="Times New Roman" w:hAnsi="Times New Roman" w:cs="Times New Roman"/>
                <w:noProof/>
              </w:rPr>
              <w:t>2.2 Theoretical Context and Sustainability Frameworks: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_Toc211282122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5</w:t>
            </w:r>
            <w:r w:rsidRPr="00222E35">
              <w:rPr>
                <w:rFonts w:ascii="Times New Roman" w:hAnsi="Times New Roman" w:cs="Times New Roman"/>
                <w:noProof/>
                <w:webHidden/>
              </w:rPr>
              <w:fldChar w:fldCharType="end"/>
            </w:r>
          </w:hyperlink>
        </w:p>
        <w:p w14:paraId="1BDE23D7"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3" w:history="1">
            <w:r w:rsidRPr="00222E35">
              <w:rPr>
                <w:rStyle w:val="Hyperlink"/>
                <w:rFonts w:ascii="Times New Roman" w:hAnsi="Times New Roman" w:cs="Times New Roman"/>
                <w:noProof/>
              </w:rPr>
              <w:t>2.3 Food-Waste Reduction Strategies in Hotels: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_Toc211282123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5</w:t>
            </w:r>
            <w:r w:rsidRPr="00222E35">
              <w:rPr>
                <w:rFonts w:ascii="Times New Roman" w:hAnsi="Times New Roman" w:cs="Times New Roman"/>
                <w:noProof/>
                <w:webHidden/>
              </w:rPr>
              <w:fldChar w:fldCharType="end"/>
            </w:r>
          </w:hyperlink>
        </w:p>
        <w:p w14:paraId="3411C08E"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4" w:history="1">
            <w:r w:rsidRPr="00222E35">
              <w:rPr>
                <w:rStyle w:val="Hyperlink"/>
                <w:rFonts w:ascii="Times New Roman" w:hAnsi="Times New Roman" w:cs="Times New Roman"/>
                <w:noProof/>
              </w:rPr>
              <w:t>2.4 Barriers and Challenges: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_Toc211282124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6</w:t>
            </w:r>
            <w:r w:rsidRPr="00222E35">
              <w:rPr>
                <w:rFonts w:ascii="Times New Roman" w:hAnsi="Times New Roman" w:cs="Times New Roman"/>
                <w:noProof/>
                <w:webHidden/>
              </w:rPr>
              <w:fldChar w:fldCharType="end"/>
            </w:r>
          </w:hyperlink>
        </w:p>
        <w:p w14:paraId="2814CC12"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5" w:history="1">
            <w:r w:rsidRPr="00222E35">
              <w:rPr>
                <w:rStyle w:val="Hyperlink"/>
                <w:rFonts w:ascii="Times New Roman" w:hAnsi="Times New Roman" w:cs="Times New Roman"/>
                <w:noProof/>
              </w:rPr>
              <w:t>2.5 Gaps in the Literature:</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_Toc211282125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6</w:t>
            </w:r>
            <w:r w:rsidRPr="00222E35">
              <w:rPr>
                <w:rFonts w:ascii="Times New Roman" w:hAnsi="Times New Roman" w:cs="Times New Roman"/>
                <w:noProof/>
                <w:webHidden/>
              </w:rPr>
              <w:fldChar w:fldCharType="end"/>
            </w:r>
          </w:hyperlink>
        </w:p>
        <w:p w14:paraId="40E5A921"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26" w:history="1">
            <w:r w:rsidRPr="00222E35">
              <w:rPr>
                <w:rStyle w:val="Hyperlink"/>
                <w:rFonts w:ascii="Times New Roman" w:hAnsi="Times New Roman" w:cs="Times New Roman"/>
                <w:noProof/>
              </w:rPr>
              <w:t>3. Methodology:</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_Toc211282126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6</w:t>
            </w:r>
            <w:r w:rsidRPr="00222E35">
              <w:rPr>
                <w:rFonts w:ascii="Times New Roman" w:hAnsi="Times New Roman" w:cs="Times New Roman"/>
                <w:noProof/>
                <w:webHidden/>
              </w:rPr>
              <w:fldChar w:fldCharType="end"/>
            </w:r>
          </w:hyperlink>
        </w:p>
        <w:p w14:paraId="4596219E"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27" w:history="1">
            <w:r w:rsidRPr="00222E35">
              <w:rPr>
                <w:rStyle w:val="Hyperlink"/>
                <w:rFonts w:ascii="Times New Roman" w:hAnsi="Times New Roman" w:cs="Times New Roman"/>
                <w:noProof/>
              </w:rPr>
              <w:t>4. Theme Impact Analysis: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_Toc211282127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7</w:t>
            </w:r>
            <w:r w:rsidRPr="00222E35">
              <w:rPr>
                <w:rFonts w:ascii="Times New Roman" w:hAnsi="Times New Roman" w:cs="Times New Roman"/>
                <w:noProof/>
                <w:webHidden/>
              </w:rPr>
              <w:fldChar w:fldCharType="end"/>
            </w:r>
          </w:hyperlink>
        </w:p>
        <w:p w14:paraId="2B9480F1"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8" w:history="1">
            <w:r w:rsidRPr="00222E35">
              <w:rPr>
                <w:rStyle w:val="Hyperlink"/>
                <w:rFonts w:ascii="Times New Roman" w:hAnsi="Times New Roman" w:cs="Times New Roman"/>
                <w:noProof/>
              </w:rPr>
              <w:t>4.1 SWOT Analysis of Food-Waste Reduction Strategies: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_Toc211282128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7</w:t>
            </w:r>
            <w:r w:rsidRPr="00222E35">
              <w:rPr>
                <w:rFonts w:ascii="Times New Roman" w:hAnsi="Times New Roman" w:cs="Times New Roman"/>
                <w:noProof/>
                <w:webHidden/>
              </w:rPr>
              <w:fldChar w:fldCharType="end"/>
            </w:r>
          </w:hyperlink>
        </w:p>
        <w:p w14:paraId="7B236F85"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29" w:history="1">
            <w:r w:rsidRPr="00222E35">
              <w:rPr>
                <w:rStyle w:val="Hyperlink"/>
                <w:rFonts w:ascii="Times New Roman" w:hAnsi="Times New Roman" w:cs="Times New Roman"/>
                <w:noProof/>
              </w:rPr>
              <w:t>4.2 Industry Case Examples and Comparative Evaluation</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_Toc211282129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8</w:t>
            </w:r>
            <w:r w:rsidRPr="00222E35">
              <w:rPr>
                <w:rFonts w:ascii="Times New Roman" w:hAnsi="Times New Roman" w:cs="Times New Roman"/>
                <w:noProof/>
                <w:webHidden/>
              </w:rPr>
              <w:fldChar w:fldCharType="end"/>
            </w:r>
          </w:hyperlink>
        </w:p>
        <w:p w14:paraId="197A3695" w14:textId="77777777" w:rsidR="00222E35" w:rsidRPr="00222E35" w:rsidRDefault="00222E35" w:rsidP="00222E35">
          <w:pPr>
            <w:pStyle w:val="TOC2"/>
            <w:tabs>
              <w:tab w:val="right" w:leader="dot" w:pos="9016"/>
            </w:tabs>
            <w:rPr>
              <w:rFonts w:ascii="Times New Roman" w:hAnsi="Times New Roman" w:cs="Times New Roman"/>
              <w:noProof/>
            </w:rPr>
          </w:pPr>
          <w:hyperlink w:anchor="_Toc211282130" w:history="1">
            <w:r w:rsidRPr="00222E35">
              <w:rPr>
                <w:rStyle w:val="Hyperlink"/>
                <w:rFonts w:ascii="Times New Roman" w:hAnsi="Times New Roman" w:cs="Times New Roman"/>
                <w:noProof/>
              </w:rPr>
              <w:t>4.3 Critical Evaluation - Environmental vs. Financial Outcomes and Managerial Implications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_Toc211282130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9</w:t>
            </w:r>
            <w:r w:rsidRPr="00222E35">
              <w:rPr>
                <w:rFonts w:ascii="Times New Roman" w:hAnsi="Times New Roman" w:cs="Times New Roman"/>
                <w:noProof/>
                <w:webHidden/>
              </w:rPr>
              <w:fldChar w:fldCharType="end"/>
            </w:r>
          </w:hyperlink>
        </w:p>
        <w:p w14:paraId="008CAFF3"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31" w:history="1">
            <w:r w:rsidRPr="00222E35">
              <w:rPr>
                <w:rStyle w:val="Hyperlink"/>
                <w:rFonts w:ascii="Times New Roman" w:hAnsi="Times New Roman" w:cs="Times New Roman"/>
                <w:noProof/>
              </w:rPr>
              <w:t>5. Conclusion:</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_Toc211282131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10</w:t>
            </w:r>
            <w:r w:rsidRPr="00222E35">
              <w:rPr>
                <w:rFonts w:ascii="Times New Roman" w:hAnsi="Times New Roman" w:cs="Times New Roman"/>
                <w:noProof/>
                <w:webHidden/>
              </w:rPr>
              <w:fldChar w:fldCharType="end"/>
            </w:r>
          </w:hyperlink>
        </w:p>
        <w:p w14:paraId="3046AB22"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32" w:history="1">
            <w:r w:rsidRPr="00222E35">
              <w:rPr>
                <w:rStyle w:val="Hyperlink"/>
                <w:rFonts w:ascii="Times New Roman" w:hAnsi="Times New Roman" w:cs="Times New Roman"/>
                <w:noProof/>
              </w:rPr>
              <w:t>6. Recommendations:</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_Toc211282132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10</w:t>
            </w:r>
            <w:r w:rsidRPr="00222E35">
              <w:rPr>
                <w:rFonts w:ascii="Times New Roman" w:hAnsi="Times New Roman" w:cs="Times New Roman"/>
                <w:noProof/>
                <w:webHidden/>
              </w:rPr>
              <w:fldChar w:fldCharType="end"/>
            </w:r>
          </w:hyperlink>
        </w:p>
        <w:p w14:paraId="2220177D" w14:textId="77777777" w:rsidR="00222E35" w:rsidRPr="00222E35" w:rsidRDefault="00222E35" w:rsidP="00222E35">
          <w:pPr>
            <w:pStyle w:val="TOC1"/>
            <w:tabs>
              <w:tab w:val="right" w:leader="dot" w:pos="9016"/>
            </w:tabs>
            <w:rPr>
              <w:rFonts w:ascii="Times New Roman" w:eastAsiaTheme="minorEastAsia" w:hAnsi="Times New Roman" w:cs="Times New Roman"/>
              <w:bCs w:val="0"/>
              <w:caps w:val="0"/>
              <w:noProof/>
              <w:szCs w:val="30"/>
              <w:lang w:eastAsia="en-GB"/>
            </w:rPr>
          </w:pPr>
          <w:hyperlink w:anchor="_Toc211282133" w:history="1">
            <w:r w:rsidRPr="00222E35">
              <w:rPr>
                <w:rStyle w:val="Hyperlink"/>
                <w:rFonts w:ascii="Times New Roman" w:hAnsi="Times New Roman" w:cs="Times New Roman"/>
                <w:noProof/>
              </w:rPr>
              <w:t>7. Reference List:</w:t>
            </w:r>
            <w:r w:rsidRPr="00222E35">
              <w:rPr>
                <w:rFonts w:ascii="Times New Roman" w:hAnsi="Times New Roman" w:cs="Times New Roman"/>
                <w:noProof/>
                <w:webHidden/>
              </w:rPr>
              <w:tab/>
            </w:r>
            <w:r w:rsidRPr="00222E35">
              <w:rPr>
                <w:rFonts w:ascii="Times New Roman" w:hAnsi="Times New Roman" w:cs="Times New Roman"/>
                <w:noProof/>
                <w:webHidden/>
              </w:rPr>
              <w:fldChar w:fldCharType="begin"/>
            </w:r>
            <w:r w:rsidRPr="00222E35">
              <w:rPr>
                <w:rFonts w:ascii="Times New Roman" w:hAnsi="Times New Roman" w:cs="Times New Roman"/>
                <w:noProof/>
                <w:webHidden/>
              </w:rPr>
              <w:instrText xml:space="preserve"> PAGEREF _Toc211282133 \h </w:instrText>
            </w:r>
            <w:r w:rsidRPr="00222E35">
              <w:rPr>
                <w:rFonts w:ascii="Times New Roman" w:hAnsi="Times New Roman" w:cs="Times New Roman"/>
                <w:noProof/>
                <w:webHidden/>
              </w:rPr>
            </w:r>
            <w:r w:rsidRPr="00222E35">
              <w:rPr>
                <w:rFonts w:ascii="Times New Roman" w:hAnsi="Times New Roman" w:cs="Times New Roman"/>
                <w:noProof/>
                <w:webHidden/>
              </w:rPr>
              <w:fldChar w:fldCharType="separate"/>
            </w:r>
            <w:r w:rsidRPr="00222E35">
              <w:rPr>
                <w:rFonts w:ascii="Times New Roman" w:hAnsi="Times New Roman" w:cs="Times New Roman"/>
                <w:noProof/>
                <w:webHidden/>
              </w:rPr>
              <w:t>13</w:t>
            </w:r>
            <w:r w:rsidRPr="00222E35">
              <w:rPr>
                <w:rFonts w:ascii="Times New Roman" w:hAnsi="Times New Roman" w:cs="Times New Roman"/>
                <w:noProof/>
                <w:webHidden/>
              </w:rPr>
              <w:fldChar w:fldCharType="end"/>
            </w:r>
          </w:hyperlink>
        </w:p>
        <w:p w14:paraId="4431D71C" w14:textId="77777777" w:rsidR="00222E35" w:rsidRPr="00222E35" w:rsidRDefault="00000000" w:rsidP="00222E35">
          <w:pPr>
            <w:rPr>
              <w:rFonts w:cs="Times New Roman"/>
            </w:rPr>
          </w:pPr>
          <w:r w:rsidRPr="00222E35">
            <w:rPr>
              <w:rFonts w:cs="Times New Roman"/>
              <w:b/>
              <w:bCs/>
              <w:noProof/>
            </w:rPr>
            <w:fldChar w:fldCharType="end"/>
          </w:r>
        </w:p>
      </w:sdtContent>
    </w:sdt>
    <w:p w14:paraId="47163450" w14:textId="77777777" w:rsidR="0086049D" w:rsidRPr="00222E35" w:rsidRDefault="00000000" w:rsidP="00222E35">
      <w:pPr>
        <w:rPr>
          <w:rFonts w:eastAsiaTheme="majorEastAsia" w:cs="Times New Roman"/>
          <w:b/>
          <w:color w:val="2F5496" w:themeColor="accent1" w:themeShade="BF"/>
          <w:sz w:val="32"/>
          <w:szCs w:val="40"/>
        </w:rPr>
      </w:pPr>
      <w:r w:rsidRPr="00222E35">
        <w:rPr>
          <w:rFonts w:cs="Times New Roman"/>
        </w:rPr>
        <w:br w:type="page"/>
      </w:r>
    </w:p>
    <w:p w14:paraId="39E1A8D8" w14:textId="77777777" w:rsidR="00C55DE0" w:rsidRPr="00222E35" w:rsidRDefault="00000000" w:rsidP="00222E35">
      <w:pPr>
        <w:pStyle w:val="Heading1"/>
        <w:rPr>
          <w:rFonts w:cs="Times New Roman"/>
        </w:rPr>
      </w:pPr>
      <w:bookmarkStart w:id="0" w:name="_Toc211282119"/>
      <w:r w:rsidRPr="00222E35">
        <w:rPr>
          <w:rFonts w:cs="Times New Roman"/>
        </w:rPr>
        <w:lastRenderedPageBreak/>
        <w:t>1. Introduction:</w:t>
      </w:r>
      <w:bookmarkEnd w:id="0"/>
    </w:p>
    <w:p w14:paraId="211740C2" w14:textId="77777777" w:rsidR="00C55DE0" w:rsidRPr="00C55DE0" w:rsidRDefault="00000000" w:rsidP="00222E35">
      <w:pPr>
        <w:rPr>
          <w:rFonts w:cs="Times New Roman"/>
        </w:rPr>
      </w:pPr>
      <w:r w:rsidRPr="00C55DE0">
        <w:rPr>
          <w:rFonts w:cs="Times New Roman"/>
        </w:rPr>
        <w:t>Food waste is a major sustainability challenge for the hospitality sector: globally, an estimated 8–10% of greenhouse-gas emissions are associated with food that is produced but not eaten (UNEP, 2021), and the hotel and food-service sector contributes a substantial share of that loss (WRAP, 2018). Hotels therefore face environmental, financial and reputational pressures to reduce waste: aside from its carbon footprint, food waste represents direct cost leakage (WRAP, 2018; WRAP, 2024) and a potential reputational risk as guests increasingly prefer environmentally responsible providers (McKinsey, 2024). Key policy drivers reinforce this imperative, notably the UN Sustainable Development Goal 12.3 (halving food waste by 2030) and national net-zero commitments, which require businesses, including hotels, to decarbonise supply chains (UNEP, 2024; DEFRA, 2025).</w:t>
      </w:r>
    </w:p>
    <w:p w14:paraId="141C2799" w14:textId="77777777" w:rsidR="00C55DE0" w:rsidRPr="00C55DE0" w:rsidRDefault="00000000" w:rsidP="00222E35">
      <w:pPr>
        <w:rPr>
          <w:rFonts w:cs="Times New Roman"/>
        </w:rPr>
      </w:pPr>
      <w:r w:rsidRPr="00C55DE0">
        <w:rPr>
          <w:rFonts w:cs="Times New Roman"/>
        </w:rPr>
        <w:t>For clarity, “food waste” refers to edible food discarded at retail, food-service or consumer levels (FAO/UNEP definitions summarised in UNEP, 2021). “Sustainability efficacy” here denotes the measurable environmental and socio-economic outcomes achieved by interventions, while “eco-efficiency” describes delivering hotel services with reduced environmental impact per unit of value (Ellen MacArthur Foundation, 2019; Elkington, 1997). Post-COVID pressures reduced business travel, tighter margins and heightened guest expectations make cost-effective, evidence-based waste interventions urgent for mid-scale hotels (McKinsey, 2024; Serrano-Baena et al., 2023). This paper, therefore, examines the efficacy of three pragmatic strategies: smart inventory, composting/donation, and local sourcing to reduce food waste while balancing environmental and financial outcomes. The objectives, methods and structure follow.</w:t>
      </w:r>
    </w:p>
    <w:p w14:paraId="1727D93F" w14:textId="77777777" w:rsidR="00C55DE0" w:rsidRPr="00222E35" w:rsidRDefault="00000000" w:rsidP="00222E35">
      <w:pPr>
        <w:pStyle w:val="Heading1"/>
        <w:rPr>
          <w:rFonts w:cs="Times New Roman"/>
        </w:rPr>
      </w:pPr>
      <w:bookmarkStart w:id="1" w:name="_Toc211282120"/>
      <w:r w:rsidRPr="00222E35">
        <w:rPr>
          <w:rFonts w:cs="Times New Roman"/>
        </w:rPr>
        <w:t>2. Literature Review:</w:t>
      </w:r>
      <w:bookmarkEnd w:id="1"/>
    </w:p>
    <w:p w14:paraId="6EC6165B" w14:textId="77777777" w:rsidR="00C55DE0" w:rsidRPr="00222E35" w:rsidRDefault="00000000" w:rsidP="00222E35">
      <w:pPr>
        <w:pStyle w:val="Heading2"/>
        <w:rPr>
          <w:rFonts w:cs="Times New Roman"/>
        </w:rPr>
      </w:pPr>
      <w:bookmarkStart w:id="2" w:name="_Toc211282121"/>
      <w:r w:rsidRPr="00222E35">
        <w:rPr>
          <w:rFonts w:cs="Times New Roman"/>
        </w:rPr>
        <w:t>2.1 Overview of Food Waste in Hospitality:</w:t>
      </w:r>
      <w:bookmarkEnd w:id="2"/>
    </w:p>
    <w:p w14:paraId="4054A468" w14:textId="77777777" w:rsidR="00C55DE0" w:rsidRPr="00C55DE0" w:rsidRDefault="00000000" w:rsidP="00222E35">
      <w:pPr>
        <w:rPr>
          <w:rFonts w:cs="Times New Roman"/>
        </w:rPr>
      </w:pPr>
      <w:r w:rsidRPr="00C55DE0">
        <w:rPr>
          <w:rFonts w:cs="Times New Roman"/>
        </w:rPr>
        <w:t xml:space="preserve">Recent international assessments quantify the scale and impact of food loss and waste. The UNEP Food Waste Index (2021; updated analysis 2024) estimates that food that is not consumed generates roughly 8–10% of global greenhouse-gas emissions and that food-service (including hotels) is a major contributor to service-sector waste (UNEP, 2021; UNEP, 2024). In the UK context, WRAP estimates the hospitality and food-service sector loses billions annually. Commonly cited figures include approximately £3.2 billion per year and an average loss of ~£10k per outlet per year (WRAP, 2018; WRAP, 2024). National waste statistics also </w:t>
      </w:r>
      <w:r w:rsidRPr="00C55DE0">
        <w:rPr>
          <w:rFonts w:cs="Times New Roman"/>
        </w:rPr>
        <w:lastRenderedPageBreak/>
        <w:t>highlight that commercial and service sectors remain key targets for waste reduction policy (DEFRA, 2025).</w:t>
      </w:r>
    </w:p>
    <w:p w14:paraId="0A3413A9" w14:textId="77777777" w:rsidR="00C55DE0" w:rsidRPr="00C55DE0" w:rsidRDefault="00000000" w:rsidP="00222E35">
      <w:pPr>
        <w:rPr>
          <w:rFonts w:cs="Times New Roman"/>
        </w:rPr>
      </w:pPr>
      <w:r w:rsidRPr="00C55DE0">
        <w:rPr>
          <w:rFonts w:cs="Times New Roman"/>
        </w:rPr>
        <w:t>Empirical studies of hotels and catering show that food waste arises primarily from three operational sources: (1) preparation and spoilage (supply/stock issues), (2) overproduction (forecasting errors, buffets and banquet mis-estimation), and (3) plate waste (portion sizes, guest preferences) (Papargyropoulou et al., 2019; Lins et al., 2021; Lévesque, 2022). Quantitative investigations across diverse hotel contexts report that kitchen/preparation losses and buffet-related waste often dominate totals, although the precise distribution varies with hotel size, market segment and service style (Papargyropoulou et al., 2019; Lévesque, 2022).</w:t>
      </w:r>
    </w:p>
    <w:p w14:paraId="0AE2E0C3" w14:textId="77777777" w:rsidR="00C55DE0" w:rsidRPr="00222E35" w:rsidRDefault="00000000" w:rsidP="00222E35">
      <w:pPr>
        <w:pStyle w:val="Heading2"/>
        <w:rPr>
          <w:rFonts w:cs="Times New Roman"/>
        </w:rPr>
      </w:pPr>
      <w:bookmarkStart w:id="3" w:name="_Toc211282122"/>
      <w:r w:rsidRPr="00222E35">
        <w:rPr>
          <w:rFonts w:cs="Times New Roman"/>
        </w:rPr>
        <w:t>2.2 Theoretical Context and Sustainability Frameworks:</w:t>
      </w:r>
      <w:bookmarkEnd w:id="3"/>
    </w:p>
    <w:p w14:paraId="3CD54C51" w14:textId="77777777" w:rsidR="00C55DE0" w:rsidRPr="00C55DE0" w:rsidRDefault="00000000" w:rsidP="00222E35">
      <w:pPr>
        <w:rPr>
          <w:rFonts w:cs="Times New Roman"/>
        </w:rPr>
      </w:pPr>
      <w:r w:rsidRPr="00C55DE0">
        <w:rPr>
          <w:rFonts w:cs="Times New Roman"/>
        </w:rPr>
        <w:t>Three interrelated frameworks underpin current scholarship. The </w:t>
      </w:r>
      <w:r w:rsidRPr="00C55DE0">
        <w:rPr>
          <w:rFonts w:cs="Times New Roman"/>
          <w:b/>
          <w:bCs/>
        </w:rPr>
        <w:t>circular economy</w:t>
      </w:r>
      <w:r w:rsidRPr="00C55DE0">
        <w:rPr>
          <w:rFonts w:cs="Times New Roman"/>
        </w:rPr>
        <w:t> reframes food as a resource to be maintained in use and cycled (Ellen MacArthur Foundation, 2019), supporting interventions such as redistribution, composting and circular procurement. The </w:t>
      </w:r>
      <w:r w:rsidRPr="00C55DE0">
        <w:rPr>
          <w:rFonts w:cs="Times New Roman"/>
          <w:b/>
          <w:bCs/>
        </w:rPr>
        <w:t>Triple Bottom Line</w:t>
      </w:r>
      <w:r w:rsidRPr="00C55DE0">
        <w:rPr>
          <w:rFonts w:cs="Times New Roman"/>
        </w:rPr>
        <w:t xml:space="preserve"> (Elkington, 1997) emphasises simultaneous environmental, social and economic performance, a useful lens when evaluating whether waste reduction both lowers emissions and improves profitability. The </w:t>
      </w:r>
      <w:r w:rsidRPr="00C55DE0">
        <w:rPr>
          <w:rFonts w:cs="Times New Roman"/>
          <w:b/>
          <w:bCs/>
        </w:rPr>
        <w:t>waste hierarchy</w:t>
      </w:r>
      <w:r w:rsidRPr="00C55DE0">
        <w:rPr>
          <w:rFonts w:cs="Times New Roman"/>
        </w:rPr>
        <w:t> (prevent → reuse → recycle → recover → dispose) remains a practical policy tool and prioritises prevention (GOV.UK, 2011), guiding hotels to privilege avoidance and redistribution before recycling or disposal.</w:t>
      </w:r>
    </w:p>
    <w:p w14:paraId="5DDD9119" w14:textId="77777777" w:rsidR="00C55DE0" w:rsidRPr="00222E35" w:rsidRDefault="00000000" w:rsidP="00222E35">
      <w:pPr>
        <w:pStyle w:val="Heading2"/>
        <w:rPr>
          <w:rFonts w:cs="Times New Roman"/>
        </w:rPr>
      </w:pPr>
      <w:bookmarkStart w:id="4" w:name="_Toc211282123"/>
      <w:r w:rsidRPr="00222E35">
        <w:rPr>
          <w:rFonts w:cs="Times New Roman"/>
        </w:rPr>
        <w:t>2.3 Food-Waste Reduction Strategies in Hotels:</w:t>
      </w:r>
      <w:bookmarkEnd w:id="4"/>
    </w:p>
    <w:p w14:paraId="18144579" w14:textId="77777777" w:rsidR="00C55DE0" w:rsidRPr="00C55DE0" w:rsidRDefault="00000000" w:rsidP="00222E35">
      <w:pPr>
        <w:rPr>
          <w:rFonts w:cs="Times New Roman"/>
          <w:b/>
          <w:bCs/>
        </w:rPr>
      </w:pPr>
      <w:r w:rsidRPr="00C55DE0">
        <w:rPr>
          <w:rFonts w:cs="Times New Roman"/>
          <w:b/>
          <w:bCs/>
        </w:rPr>
        <w:t>Smart inventory and AI forecasting</w:t>
      </w:r>
      <w:r w:rsidRPr="00222E35">
        <w:rPr>
          <w:rFonts w:cs="Times New Roman"/>
          <w:b/>
          <w:bCs/>
        </w:rPr>
        <w:t>:</w:t>
      </w:r>
    </w:p>
    <w:p w14:paraId="5CBA012E" w14:textId="77777777" w:rsidR="00C55DE0" w:rsidRPr="00C55DE0" w:rsidRDefault="00000000" w:rsidP="00222E35">
      <w:pPr>
        <w:rPr>
          <w:rFonts w:cs="Times New Roman"/>
        </w:rPr>
      </w:pPr>
      <w:r w:rsidRPr="00C55DE0">
        <w:rPr>
          <w:rFonts w:cs="Times New Roman"/>
        </w:rPr>
        <w:t>Digital inventory systems and AI-driven demand forecasting are emerging as high-potential interventions. Recent pilot studies and reviews indicate that predictive analytics can reduce over-ordering, optimise menu planning and identify spoilage risks, thereby lowering spoilage and overproduction losses (Clark, 2025; Tiwari, 2024). However, adoption barriers include integration with legacy property management systems, data quality and capital costs (Clark, 2025; Dhir et al., 2020).</w:t>
      </w:r>
    </w:p>
    <w:p w14:paraId="66CC33D3" w14:textId="77777777" w:rsidR="00C55DE0" w:rsidRPr="00C55DE0" w:rsidRDefault="00000000" w:rsidP="00222E35">
      <w:pPr>
        <w:rPr>
          <w:rFonts w:cs="Times New Roman"/>
          <w:b/>
          <w:bCs/>
        </w:rPr>
      </w:pPr>
      <w:r w:rsidRPr="00C55DE0">
        <w:rPr>
          <w:rFonts w:cs="Times New Roman"/>
          <w:b/>
          <w:bCs/>
        </w:rPr>
        <w:t>Composting and donation partnerships</w:t>
      </w:r>
      <w:r w:rsidRPr="00222E35">
        <w:rPr>
          <w:rFonts w:cs="Times New Roman"/>
          <w:b/>
          <w:bCs/>
        </w:rPr>
        <w:t>:</w:t>
      </w:r>
    </w:p>
    <w:p w14:paraId="42ED17FE" w14:textId="77777777" w:rsidR="00C55DE0" w:rsidRPr="00C55DE0" w:rsidRDefault="00000000" w:rsidP="00222E35">
      <w:pPr>
        <w:rPr>
          <w:rFonts w:cs="Times New Roman"/>
        </w:rPr>
      </w:pPr>
      <w:r w:rsidRPr="00C55DE0">
        <w:rPr>
          <w:rFonts w:cs="Times New Roman"/>
        </w:rPr>
        <w:t xml:space="preserve">On-site composting or arranged diversion of unavoidable organic waste to anaerobic digestion/composting reduces landfill emissions and recovers value from unavoidable waste streams (Sustainable Hospitality Alliance, 2021). Parallel redistribution/donation initiatives (partnerships with food banks or digital surplus-sale platforms) divert edible surplus to people in need and enhance corporate social responsibility; industry case analyses report meaningful diversion with co-benefits for brand reputation (Lenox Hotel case; Sustainable Hospitality </w:t>
      </w:r>
      <w:r w:rsidRPr="00C55DE0">
        <w:rPr>
          <w:rFonts w:cs="Times New Roman"/>
        </w:rPr>
        <w:lastRenderedPageBreak/>
        <w:t>Alliance, 2021; WRAP, 2018). Food-donation, however, is constrained by food-safety regulations and logistical complexity (WRAP, 2018).</w:t>
      </w:r>
    </w:p>
    <w:p w14:paraId="1CBE4C28" w14:textId="77777777" w:rsidR="00C55DE0" w:rsidRPr="00C55DE0" w:rsidRDefault="00000000" w:rsidP="00222E35">
      <w:pPr>
        <w:rPr>
          <w:rFonts w:cs="Times New Roman"/>
          <w:b/>
          <w:bCs/>
        </w:rPr>
      </w:pPr>
      <w:r w:rsidRPr="00C55DE0">
        <w:rPr>
          <w:rFonts w:cs="Times New Roman"/>
          <w:b/>
          <w:bCs/>
        </w:rPr>
        <w:t>Local sourcing</w:t>
      </w:r>
      <w:r w:rsidR="0086049D" w:rsidRPr="00222E35">
        <w:rPr>
          <w:rFonts w:cs="Times New Roman"/>
          <w:b/>
          <w:bCs/>
        </w:rPr>
        <w:t>:</w:t>
      </w:r>
    </w:p>
    <w:p w14:paraId="4B7C6F0D" w14:textId="77777777" w:rsidR="00C55DE0" w:rsidRPr="00C55DE0" w:rsidRDefault="00000000" w:rsidP="00222E35">
      <w:pPr>
        <w:rPr>
          <w:rFonts w:cs="Times New Roman"/>
        </w:rPr>
      </w:pPr>
      <w:r w:rsidRPr="00C55DE0">
        <w:rPr>
          <w:rFonts w:cs="Times New Roman"/>
        </w:rPr>
        <w:t>Sourcing closer to production can reduce spoilage risk and food miles, improve freshness and support local economies, all attractive outcomes for both sustainability reporting and guest marketing (FAO, 2021; Roy, 2020). Empirical studies find chefs and procurement managers value local sourcing for freshness, though supply reliability, seasonal variability and price volatility restrict full adoption (Roy, 2020; Hamza et al., 2025).</w:t>
      </w:r>
    </w:p>
    <w:p w14:paraId="7FBD1B5D" w14:textId="77777777" w:rsidR="00C55DE0" w:rsidRPr="00222E35" w:rsidRDefault="00000000" w:rsidP="00222E35">
      <w:pPr>
        <w:pStyle w:val="Heading2"/>
        <w:rPr>
          <w:rFonts w:cs="Times New Roman"/>
        </w:rPr>
      </w:pPr>
      <w:bookmarkStart w:id="5" w:name="_Toc211282124"/>
      <w:r w:rsidRPr="00222E35">
        <w:rPr>
          <w:rFonts w:cs="Times New Roman"/>
        </w:rPr>
        <w:t xml:space="preserve">2.4 Barriers and </w:t>
      </w:r>
      <w:r w:rsidR="0086049D" w:rsidRPr="00222E35">
        <w:rPr>
          <w:rFonts w:cs="Times New Roman"/>
        </w:rPr>
        <w:t>C</w:t>
      </w:r>
      <w:r w:rsidRPr="00222E35">
        <w:rPr>
          <w:rFonts w:cs="Times New Roman"/>
        </w:rPr>
        <w:t>hallenges</w:t>
      </w:r>
      <w:r w:rsidR="0086049D" w:rsidRPr="00222E35">
        <w:rPr>
          <w:rFonts w:cs="Times New Roman"/>
        </w:rPr>
        <w:t>:</w:t>
      </w:r>
      <w:bookmarkEnd w:id="5"/>
    </w:p>
    <w:p w14:paraId="14CFB03B" w14:textId="77777777" w:rsidR="00C55DE0" w:rsidRPr="00C55DE0" w:rsidRDefault="00000000" w:rsidP="00222E35">
      <w:pPr>
        <w:rPr>
          <w:rFonts w:cs="Times New Roman"/>
        </w:rPr>
      </w:pPr>
      <w:r w:rsidRPr="00C55DE0">
        <w:rPr>
          <w:rFonts w:cs="Times New Roman"/>
        </w:rPr>
        <w:t>Common barriers recur across studies. Financial constraints inhibit investment in digital tools or on-site composting infrastructure (WRAP, 2018; Dhir et al., 2020). Human factors (staff skill, kitchen culture, buffet practices) generate resistance and implementation inconsistency (Papargyropoulou et al., 2019; Lins et al., 2021). Regulatory and operational limits</w:t>
      </w:r>
      <w:r w:rsidR="00222E35">
        <w:rPr>
          <w:rFonts w:cs="Times New Roman"/>
        </w:rPr>
        <w:t xml:space="preserve">, </w:t>
      </w:r>
      <w:r w:rsidRPr="00C55DE0">
        <w:rPr>
          <w:rFonts w:cs="Times New Roman"/>
        </w:rPr>
        <w:t>including food-safety liability for donations, local waste-collection arrangements, and variable municipal composting services</w:t>
      </w:r>
      <w:r w:rsidR="00222E35">
        <w:rPr>
          <w:rFonts w:cs="Times New Roman"/>
        </w:rPr>
        <w:t xml:space="preserve">, </w:t>
      </w:r>
      <w:r w:rsidRPr="00C55DE0">
        <w:rPr>
          <w:rFonts w:cs="Times New Roman"/>
        </w:rPr>
        <w:t>complicate diversion strategies (GOV.UK, 2011; WRAP, 2018). Finally, a persistent managerial concern is the perceived trade-off between eco-efficiency and profit: while some studies show positive ROI from waste reduction (WRAP, 2018), hotels remain cautious where up-front costs and uncertain payback exist.</w:t>
      </w:r>
    </w:p>
    <w:p w14:paraId="7EA87B35" w14:textId="77777777" w:rsidR="00C55DE0" w:rsidRPr="00222E35" w:rsidRDefault="00000000" w:rsidP="00222E35">
      <w:pPr>
        <w:pStyle w:val="Heading2"/>
        <w:rPr>
          <w:rFonts w:cs="Times New Roman"/>
        </w:rPr>
      </w:pPr>
      <w:bookmarkStart w:id="6" w:name="_Toc211282125"/>
      <w:r w:rsidRPr="00222E35">
        <w:rPr>
          <w:rFonts w:cs="Times New Roman"/>
        </w:rPr>
        <w:t xml:space="preserve">2.5 Gaps in the </w:t>
      </w:r>
      <w:r w:rsidR="0086049D" w:rsidRPr="00222E35">
        <w:rPr>
          <w:rFonts w:cs="Times New Roman"/>
        </w:rPr>
        <w:t>L</w:t>
      </w:r>
      <w:r w:rsidRPr="00222E35">
        <w:rPr>
          <w:rFonts w:cs="Times New Roman"/>
        </w:rPr>
        <w:t>iterature</w:t>
      </w:r>
      <w:r w:rsidR="0086049D" w:rsidRPr="00222E35">
        <w:rPr>
          <w:rFonts w:cs="Times New Roman"/>
        </w:rPr>
        <w:t>:</w:t>
      </w:r>
      <w:bookmarkEnd w:id="6"/>
    </w:p>
    <w:p w14:paraId="208B8DCD" w14:textId="77777777" w:rsidR="00C55DE0" w:rsidRPr="00C55DE0" w:rsidRDefault="00000000" w:rsidP="00222E35">
      <w:pPr>
        <w:rPr>
          <w:rFonts w:cs="Times New Roman"/>
        </w:rPr>
      </w:pPr>
      <w:r w:rsidRPr="00C55DE0">
        <w:rPr>
          <w:rFonts w:cs="Times New Roman"/>
        </w:rPr>
        <w:t>Although descriptive studies are numerous, three gaps are prominent. First, few rigorous empirical studies simultaneously quantify both environmental and financial outcomes in the hotel context using common metrics (Papargyropoulou et al., 2019; Dhir et al., 2020). Second, comparative analyses across hotel segments (small/mid-scale vs large chains) are limited, limiting the transferability of results (WRAP, 2018). Third, integrated models that combine operational data, life-cycle emissions and CBA to guide managerial decision-making are still underdeveloped (Clark, 2025; UNEP, 2024). These gaps justify the present paper's focus on pragmatic, evidence-informed evaluation of smart inventory, composting/donation and local sourcing for mid-scale hotels.</w:t>
      </w:r>
    </w:p>
    <w:p w14:paraId="24CBBA88" w14:textId="77777777" w:rsidR="00C55DE0" w:rsidRPr="00222E35" w:rsidRDefault="00000000" w:rsidP="00222E35">
      <w:pPr>
        <w:pStyle w:val="Heading1"/>
        <w:rPr>
          <w:rFonts w:cs="Times New Roman"/>
        </w:rPr>
      </w:pPr>
      <w:bookmarkStart w:id="7" w:name="_Toc211282126"/>
      <w:r w:rsidRPr="00222E35">
        <w:rPr>
          <w:rFonts w:cs="Times New Roman"/>
        </w:rPr>
        <w:t>3. Methodology</w:t>
      </w:r>
      <w:r w:rsidR="0086049D" w:rsidRPr="00222E35">
        <w:rPr>
          <w:rFonts w:cs="Times New Roman"/>
        </w:rPr>
        <w:t>:</w:t>
      </w:r>
      <w:bookmarkEnd w:id="7"/>
    </w:p>
    <w:p w14:paraId="36BFAAB4" w14:textId="77777777" w:rsidR="00C55DE0" w:rsidRPr="00C55DE0" w:rsidRDefault="00000000" w:rsidP="00222E35">
      <w:pPr>
        <w:rPr>
          <w:rFonts w:cs="Times New Roman"/>
        </w:rPr>
      </w:pPr>
      <w:r w:rsidRPr="00C55DE0">
        <w:rPr>
          <w:rFonts w:cs="Times New Roman"/>
        </w:rPr>
        <w:t>This study adopts a </w:t>
      </w:r>
      <w:r w:rsidRPr="00C55DE0">
        <w:rPr>
          <w:rFonts w:cs="Times New Roman"/>
          <w:b/>
          <w:bCs/>
        </w:rPr>
        <w:t>mixed-methods</w:t>
      </w:r>
      <w:r w:rsidRPr="00C55DE0">
        <w:rPr>
          <w:rFonts w:cs="Times New Roman"/>
        </w:rPr>
        <w:t> approach combining qualitative and quantitative techniques to evaluate the efficacy of three food-waste interventions in mid-scale UK hotels. The </w:t>
      </w:r>
      <w:r w:rsidRPr="00C55DE0">
        <w:rPr>
          <w:rFonts w:cs="Times New Roman"/>
          <w:b/>
          <w:bCs/>
        </w:rPr>
        <w:t>secondary</w:t>
      </w:r>
      <w:r w:rsidRPr="00C55DE0">
        <w:rPr>
          <w:rFonts w:cs="Times New Roman"/>
        </w:rPr>
        <w:t> component comprises a systematic review of peer-reviewed literature (2015–</w:t>
      </w:r>
      <w:r w:rsidRPr="00C55DE0">
        <w:rPr>
          <w:rFonts w:cs="Times New Roman"/>
        </w:rPr>
        <w:lastRenderedPageBreak/>
        <w:t>2025), government guidance and industry reports (WRAP; Champions 12.3; Sustainable Hospitality Alliance) to establish benchmarks, measurement protocols and prior cost/benefit evidence (WRAP, 2024; Champions 12.3, 2018; Sustainable Hospitality Alliance, 2021).</w:t>
      </w:r>
      <w:r w:rsidR="0086049D" w:rsidRPr="00222E35">
        <w:rPr>
          <w:rFonts w:cs="Times New Roman"/>
        </w:rPr>
        <w:t xml:space="preserve"> </w:t>
      </w:r>
    </w:p>
    <w:p w14:paraId="7204972D" w14:textId="77777777" w:rsidR="00C55DE0" w:rsidRPr="00C55DE0" w:rsidRDefault="00000000" w:rsidP="00222E35">
      <w:pPr>
        <w:rPr>
          <w:rFonts w:cs="Times New Roman"/>
        </w:rPr>
      </w:pPr>
      <w:r w:rsidRPr="00C55DE0">
        <w:rPr>
          <w:rFonts w:cs="Times New Roman"/>
        </w:rPr>
        <w:t>The </w:t>
      </w:r>
      <w:r w:rsidRPr="00C55DE0">
        <w:rPr>
          <w:rFonts w:cs="Times New Roman"/>
          <w:b/>
          <w:bCs/>
        </w:rPr>
        <w:t>primary</w:t>
      </w:r>
      <w:r w:rsidRPr="00C55DE0">
        <w:rPr>
          <w:rFonts w:cs="Times New Roman"/>
        </w:rPr>
        <w:t> component (planned) uses semi-structured interviews with hotel sustainability managers and operations heads (n ≈ 8–12) and operational case data from 2–3 cooperating mid-scale UK hotels (kitchen waste tonnage, procurement spend, menu change records) to provide contextualised, practice-level insights and basic before-and-after comparisons. Where primary data are not available, the paper triangulates published case examples (e.g., Premier Inn, Accor, Marriott) and vendor evaluations (Winnow/Leanpath) to populate the analyses (Premier Inn, 2020; Accor, 2024; Marriott, 2024).</w:t>
      </w:r>
      <w:r w:rsidR="0086049D" w:rsidRPr="00222E35">
        <w:rPr>
          <w:rFonts w:cs="Times New Roman"/>
        </w:rPr>
        <w:t xml:space="preserve"> </w:t>
      </w:r>
    </w:p>
    <w:p w14:paraId="352886BE" w14:textId="77777777" w:rsidR="00C55DE0" w:rsidRPr="00C55DE0" w:rsidRDefault="00000000" w:rsidP="00222E35">
      <w:pPr>
        <w:rPr>
          <w:rFonts w:cs="Times New Roman"/>
        </w:rPr>
      </w:pPr>
      <w:r w:rsidRPr="00C55DE0">
        <w:rPr>
          <w:rFonts w:cs="Times New Roman"/>
          <w:b/>
          <w:bCs/>
        </w:rPr>
        <w:t>Analytical framework</w:t>
      </w:r>
      <w:r w:rsidRPr="00C55DE0">
        <w:rPr>
          <w:rFonts w:cs="Times New Roman"/>
        </w:rPr>
        <w:t>: (1) a SWOT analysis compares strengths, weaknesses, opportunities and threats for each intervention; (2) a Cost–Benefit Analysis (CBA) monetises implementation costs and operating savings drawing on Champions 12.3 ROI evidence; and (3) a simplified Life-Cycle Assessment (LCA) proxy estimates avoided greenhouse-gas emissions from diverted food waste (Meier, 2021; Muñoz-Torres, 2025). Ethical safeguards include informed consent, anonymisation of hotel data and secure storage.</w:t>
      </w:r>
      <w:r w:rsidR="0086049D" w:rsidRPr="00222E35">
        <w:rPr>
          <w:rFonts w:cs="Times New Roman"/>
        </w:rPr>
        <w:t xml:space="preserve"> </w:t>
      </w:r>
    </w:p>
    <w:p w14:paraId="6EC6085A" w14:textId="77777777" w:rsidR="00C55DE0" w:rsidRPr="00222E35" w:rsidRDefault="00000000" w:rsidP="00222E35">
      <w:pPr>
        <w:pStyle w:val="Heading1"/>
        <w:rPr>
          <w:rFonts w:cs="Times New Roman"/>
        </w:rPr>
      </w:pPr>
      <w:bookmarkStart w:id="8" w:name="_Toc211282127"/>
      <w:r w:rsidRPr="00222E35">
        <w:rPr>
          <w:rFonts w:cs="Times New Roman"/>
        </w:rPr>
        <w:t>4. Theme Impact Analysis</w:t>
      </w:r>
      <w:r w:rsidR="0086049D" w:rsidRPr="00222E35">
        <w:rPr>
          <w:rFonts w:cs="Times New Roman"/>
        </w:rPr>
        <w:t>:</w:t>
      </w:r>
      <w:bookmarkEnd w:id="8"/>
    </w:p>
    <w:p w14:paraId="3E3B6306" w14:textId="77777777" w:rsidR="00C55DE0" w:rsidRPr="00222E35" w:rsidRDefault="00000000" w:rsidP="00222E35">
      <w:pPr>
        <w:pStyle w:val="Heading2"/>
        <w:rPr>
          <w:rFonts w:cs="Times New Roman"/>
        </w:rPr>
      </w:pPr>
      <w:bookmarkStart w:id="9" w:name="_Toc211282128"/>
      <w:r w:rsidRPr="00222E35">
        <w:rPr>
          <w:rFonts w:cs="Times New Roman"/>
        </w:rPr>
        <w:t xml:space="preserve">4.1 SWOT </w:t>
      </w:r>
      <w:r w:rsidR="0086049D" w:rsidRPr="00222E35">
        <w:rPr>
          <w:rFonts w:cs="Times New Roman"/>
        </w:rPr>
        <w:t>A</w:t>
      </w:r>
      <w:r w:rsidRPr="00222E35">
        <w:rPr>
          <w:rFonts w:cs="Times New Roman"/>
        </w:rPr>
        <w:t xml:space="preserve">nalysis of </w:t>
      </w:r>
      <w:r w:rsidR="0086049D" w:rsidRPr="00222E35">
        <w:rPr>
          <w:rFonts w:cs="Times New Roman"/>
        </w:rPr>
        <w:t>F</w:t>
      </w:r>
      <w:r w:rsidRPr="00222E35">
        <w:rPr>
          <w:rFonts w:cs="Times New Roman"/>
        </w:rPr>
        <w:t>ood-</w:t>
      </w:r>
      <w:r w:rsidR="0086049D" w:rsidRPr="00222E35">
        <w:rPr>
          <w:rFonts w:cs="Times New Roman"/>
        </w:rPr>
        <w:t>W</w:t>
      </w:r>
      <w:r w:rsidRPr="00222E35">
        <w:rPr>
          <w:rFonts w:cs="Times New Roman"/>
        </w:rPr>
        <w:t xml:space="preserve">aste </w:t>
      </w:r>
      <w:r w:rsidR="0086049D" w:rsidRPr="00222E35">
        <w:rPr>
          <w:rFonts w:cs="Times New Roman"/>
        </w:rPr>
        <w:t>R</w:t>
      </w:r>
      <w:r w:rsidRPr="00222E35">
        <w:rPr>
          <w:rFonts w:cs="Times New Roman"/>
        </w:rPr>
        <w:t xml:space="preserve">eduction </w:t>
      </w:r>
      <w:r w:rsidR="0086049D" w:rsidRPr="00222E35">
        <w:rPr>
          <w:rFonts w:cs="Times New Roman"/>
        </w:rPr>
        <w:t>S</w:t>
      </w:r>
      <w:r w:rsidRPr="00222E35">
        <w:rPr>
          <w:rFonts w:cs="Times New Roman"/>
        </w:rPr>
        <w:t>trategies</w:t>
      </w:r>
      <w:r w:rsidR="0086049D" w:rsidRPr="00222E35">
        <w:rPr>
          <w:rFonts w:cs="Times New Roman"/>
        </w:rPr>
        <w:t>:</w:t>
      </w:r>
      <w:bookmarkEnd w:id="9"/>
    </w:p>
    <w:p w14:paraId="0752C09D" w14:textId="77777777" w:rsidR="00C55DE0" w:rsidRPr="00C55DE0" w:rsidRDefault="00000000" w:rsidP="00222E35">
      <w:pPr>
        <w:rPr>
          <w:rFonts w:cs="Times New Roman"/>
        </w:rPr>
      </w:pPr>
      <w:r w:rsidRPr="00C55DE0">
        <w:rPr>
          <w:rFonts w:cs="Times New Roman"/>
          <w:b/>
          <w:bCs/>
        </w:rPr>
        <w:t>Strengths</w:t>
      </w:r>
      <w:r w:rsidR="0086049D" w:rsidRPr="00222E35">
        <w:rPr>
          <w:rFonts w:cs="Times New Roman"/>
          <w:b/>
          <w:bCs/>
        </w:rPr>
        <w:t>:</w:t>
      </w:r>
      <w:r w:rsidRPr="00C55DE0">
        <w:rPr>
          <w:rFonts w:cs="Times New Roman"/>
        </w:rPr>
        <w:t> Food-waste interventions deliver clear environmental and reputational benefits and can generate measurable cost savings. Industry syntheses show hotels can achieve rapid reductions in kitchen waste and positive benefit-cost ratios through focused interventions; Champions 12.3 reports average kitchen-waste reductions of ~21% within one year and a mean benefit–cost ratio approaching 7:1 for many hotel interventions (Champions 12.3, 2018). Implementing digital waste-tracking or inventory control also improves operational visibility and menu planning, strengthening procurement accuracy (WRAP, 2024; Sustainable Hospitality Alliance, 2021).</w:t>
      </w:r>
      <w:r w:rsidR="0086049D" w:rsidRPr="00222E35">
        <w:rPr>
          <w:rFonts w:cs="Times New Roman"/>
        </w:rPr>
        <w:t xml:space="preserve"> </w:t>
      </w:r>
    </w:p>
    <w:p w14:paraId="0CB3FBF0" w14:textId="77777777" w:rsidR="00C55DE0" w:rsidRPr="00C55DE0" w:rsidRDefault="00000000" w:rsidP="00222E35">
      <w:pPr>
        <w:rPr>
          <w:rFonts w:cs="Times New Roman"/>
        </w:rPr>
      </w:pPr>
      <w:r w:rsidRPr="00C55DE0">
        <w:rPr>
          <w:rFonts w:cs="Times New Roman"/>
          <w:b/>
          <w:bCs/>
        </w:rPr>
        <w:t>Weaknesses</w:t>
      </w:r>
      <w:r w:rsidR="0086049D" w:rsidRPr="00222E35">
        <w:rPr>
          <w:rFonts w:cs="Times New Roman"/>
          <w:b/>
          <w:bCs/>
        </w:rPr>
        <w:t>:</w:t>
      </w:r>
      <w:r w:rsidRPr="00C55DE0">
        <w:rPr>
          <w:rFonts w:cs="Times New Roman"/>
        </w:rPr>
        <w:t xml:space="preserve"> Upfront capital for digital systems (scales and cameras), staff training and infrastructure for composting/digestion are non-trivial barriers, particularly for cash-constrained mid-scale hotels (WRAP, 2018; Champions 12.3, 2018). Some technologies require integration with legacy property-management systems and reliable data flows; poor data quality undermines forecasting algorithms (Sustainable Hospitality Alliance, 2021; Clark, </w:t>
      </w:r>
      <w:r w:rsidRPr="00C55DE0">
        <w:rPr>
          <w:rFonts w:cs="Times New Roman"/>
        </w:rPr>
        <w:lastRenderedPageBreak/>
        <w:t>2025). Composting is effective for unavoidable organic residues but does not capture edible surplus; donation requires logistics and adherence to food-safety rules.</w:t>
      </w:r>
      <w:r w:rsidR="0086049D" w:rsidRPr="00222E35">
        <w:rPr>
          <w:rFonts w:cs="Times New Roman"/>
        </w:rPr>
        <w:t xml:space="preserve"> </w:t>
      </w:r>
    </w:p>
    <w:p w14:paraId="6FD4E2CD" w14:textId="77777777" w:rsidR="00C55DE0" w:rsidRPr="00C55DE0" w:rsidRDefault="00000000" w:rsidP="00222E35">
      <w:pPr>
        <w:rPr>
          <w:rFonts w:cs="Times New Roman"/>
        </w:rPr>
      </w:pPr>
      <w:r w:rsidRPr="00C55DE0">
        <w:rPr>
          <w:rFonts w:cs="Times New Roman"/>
          <w:b/>
          <w:bCs/>
        </w:rPr>
        <w:t>Opportunities</w:t>
      </w:r>
      <w:r w:rsidR="0086049D" w:rsidRPr="00222E35">
        <w:rPr>
          <w:rFonts w:cs="Times New Roman"/>
          <w:b/>
          <w:bCs/>
        </w:rPr>
        <w:t>:</w:t>
      </w:r>
      <w:r w:rsidR="00222E35">
        <w:rPr>
          <w:rFonts w:cs="Times New Roman"/>
          <w:b/>
          <w:bCs/>
        </w:rPr>
        <w:t xml:space="preserve"> </w:t>
      </w:r>
      <w:r w:rsidRPr="00C55DE0">
        <w:rPr>
          <w:rFonts w:cs="Times New Roman"/>
        </w:rPr>
        <w:t>Aligning interventions with ESG reporting and guest-facing sustainability narratives creates marketing value and can attract ethically motivated travellers (Accor, 2024). Partnerships (food redistribution charities, local suppliers, tech vendors) can lower costs and accelerate implementation; e.g., Too Good To Go partnerships or surplus-food redistribution guidance simplify donation pathways (Accor, 2023–24; WRAP, 2024). Additionally, AI forecasting and real-time waste monitoring present innovation potential to continuously reduce overproduction and plate waste.</w:t>
      </w:r>
      <w:r w:rsidR="0086049D" w:rsidRPr="00222E35">
        <w:rPr>
          <w:rFonts w:cs="Times New Roman"/>
        </w:rPr>
        <w:t xml:space="preserve"> </w:t>
      </w:r>
    </w:p>
    <w:p w14:paraId="550DD0A7" w14:textId="77777777" w:rsidR="00C55DE0" w:rsidRPr="00C55DE0" w:rsidRDefault="00000000" w:rsidP="00222E35">
      <w:pPr>
        <w:rPr>
          <w:rFonts w:cs="Times New Roman"/>
        </w:rPr>
      </w:pPr>
      <w:r w:rsidRPr="00C55DE0">
        <w:rPr>
          <w:rFonts w:cs="Times New Roman"/>
          <w:b/>
          <w:bCs/>
        </w:rPr>
        <w:t>Threats.</w:t>
      </w:r>
      <w:r w:rsidRPr="00C55DE0">
        <w:rPr>
          <w:rFonts w:cs="Times New Roman"/>
        </w:rPr>
        <w:t> Economic volatility (inflation, labour costs) may reduce willingness to invest; changing municipal waste-collection frameworks and inconsistent regulatory treatment of food donation across jurisdictions create operational uncertainty (Food Donation Policy Atlas; WRAP, 2024). Finally, short-term focus on occupancy recovery post-COVID may deprioritise sustainability investments despite long-term benefits (UNEP; Serrano-Baena et al., 2023).</w:t>
      </w:r>
      <w:r w:rsidR="0086049D" w:rsidRPr="00222E35">
        <w:rPr>
          <w:rFonts w:cs="Times New Roman"/>
        </w:rPr>
        <w:t xml:space="preserve"> </w:t>
      </w:r>
    </w:p>
    <w:p w14:paraId="0E0A6C04" w14:textId="77777777" w:rsidR="00C55DE0" w:rsidRPr="00222E35" w:rsidRDefault="00000000" w:rsidP="00222E35">
      <w:pPr>
        <w:pStyle w:val="Heading2"/>
        <w:rPr>
          <w:rFonts w:cs="Times New Roman"/>
        </w:rPr>
      </w:pPr>
      <w:bookmarkStart w:id="10" w:name="_Toc211282129"/>
      <w:r w:rsidRPr="00222E35">
        <w:rPr>
          <w:rFonts w:cs="Times New Roman"/>
        </w:rPr>
        <w:t xml:space="preserve">4.2 Industry </w:t>
      </w:r>
      <w:r w:rsidR="0086049D" w:rsidRPr="00222E35">
        <w:rPr>
          <w:rFonts w:cs="Times New Roman"/>
        </w:rPr>
        <w:t>C</w:t>
      </w:r>
      <w:r w:rsidRPr="00222E35">
        <w:rPr>
          <w:rFonts w:cs="Times New Roman"/>
        </w:rPr>
        <w:t xml:space="preserve">ase </w:t>
      </w:r>
      <w:r w:rsidR="0086049D" w:rsidRPr="00222E35">
        <w:rPr>
          <w:rFonts w:cs="Times New Roman"/>
        </w:rPr>
        <w:t>E</w:t>
      </w:r>
      <w:r w:rsidRPr="00222E35">
        <w:rPr>
          <w:rFonts w:cs="Times New Roman"/>
        </w:rPr>
        <w:t xml:space="preserve">xamples and </w:t>
      </w:r>
      <w:r w:rsidR="0086049D" w:rsidRPr="00222E35">
        <w:rPr>
          <w:rFonts w:cs="Times New Roman"/>
        </w:rPr>
        <w:t>C</w:t>
      </w:r>
      <w:r w:rsidRPr="00222E35">
        <w:rPr>
          <w:rFonts w:cs="Times New Roman"/>
        </w:rPr>
        <w:t xml:space="preserve">omparative </w:t>
      </w:r>
      <w:r w:rsidR="0086049D" w:rsidRPr="00222E35">
        <w:rPr>
          <w:rFonts w:cs="Times New Roman"/>
        </w:rPr>
        <w:t>E</w:t>
      </w:r>
      <w:r w:rsidRPr="00222E35">
        <w:rPr>
          <w:rFonts w:cs="Times New Roman"/>
        </w:rPr>
        <w:t>valuation</w:t>
      </w:r>
      <w:bookmarkEnd w:id="10"/>
    </w:p>
    <w:p w14:paraId="40DE84A9" w14:textId="77777777" w:rsidR="00C55DE0" w:rsidRPr="00C55DE0" w:rsidRDefault="00000000" w:rsidP="00222E35">
      <w:pPr>
        <w:rPr>
          <w:rFonts w:cs="Times New Roman"/>
        </w:rPr>
      </w:pPr>
      <w:r w:rsidRPr="00C55DE0">
        <w:rPr>
          <w:rFonts w:cs="Times New Roman"/>
          <w:b/>
          <w:bCs/>
        </w:rPr>
        <w:t xml:space="preserve">Case 1 </w:t>
      </w:r>
      <w:r w:rsidR="0086049D" w:rsidRPr="00222E35">
        <w:rPr>
          <w:rFonts w:cs="Times New Roman"/>
          <w:b/>
          <w:bCs/>
        </w:rPr>
        <w:t>-</w:t>
      </w:r>
      <w:r w:rsidRPr="00C55DE0">
        <w:rPr>
          <w:rFonts w:cs="Times New Roman"/>
          <w:b/>
          <w:bCs/>
        </w:rPr>
        <w:t xml:space="preserve"> Smart inventory &amp; AI (mid-scale chains)</w:t>
      </w:r>
      <w:r w:rsidR="0086049D" w:rsidRPr="00222E35">
        <w:rPr>
          <w:rFonts w:cs="Times New Roman"/>
          <w:b/>
          <w:bCs/>
        </w:rPr>
        <w:t>:</w:t>
      </w:r>
      <w:r w:rsidRPr="00C55DE0">
        <w:rPr>
          <w:rFonts w:cs="Times New Roman"/>
        </w:rPr>
        <w:t> Several hotel groups have piloted AI-enabled waste monitoring and forecasting tools. Marriott’s rollout of Winnow and related AI solutions across managed properties reported a 25% food-waste reduction within six months in a 2024 regional initiative, demonstrating rapid operational returns when staff engagement and measurement systems are deployed (Marriott, 2024). Such systems reduce overproduction through recipe-level portion analysis, menu engineering and real-time feedback to kitchen teams (Marriott, 2024; Sustainable Hospitality Alliance, 2021). However, vendor costs and ongoing calibration are required; ROI studies show many sites recoup investments within 12–24 months but depend on scale and baseline waste levels (Champions 12.3, 2018). </w:t>
      </w:r>
      <w:r w:rsidR="0086049D" w:rsidRPr="00222E35">
        <w:rPr>
          <w:rFonts w:cs="Times New Roman"/>
        </w:rPr>
        <w:t xml:space="preserve"> </w:t>
      </w:r>
    </w:p>
    <w:p w14:paraId="33940B81" w14:textId="77777777" w:rsidR="00C55DE0" w:rsidRPr="00C55DE0" w:rsidRDefault="00000000" w:rsidP="00222E35">
      <w:pPr>
        <w:rPr>
          <w:rFonts w:cs="Times New Roman"/>
        </w:rPr>
      </w:pPr>
      <w:r w:rsidRPr="00C55DE0">
        <w:rPr>
          <w:rFonts w:cs="Times New Roman"/>
          <w:b/>
          <w:bCs/>
        </w:rPr>
        <w:t xml:space="preserve">Case 2 </w:t>
      </w:r>
      <w:r w:rsidR="0086049D" w:rsidRPr="00222E35">
        <w:rPr>
          <w:rFonts w:cs="Times New Roman"/>
          <w:b/>
          <w:bCs/>
        </w:rPr>
        <w:t>-</w:t>
      </w:r>
      <w:r w:rsidRPr="00C55DE0">
        <w:rPr>
          <w:rFonts w:cs="Times New Roman"/>
          <w:b/>
          <w:bCs/>
        </w:rPr>
        <w:t xml:space="preserve"> Composting and donation partnerships (global groups)</w:t>
      </w:r>
      <w:r w:rsidR="0086049D" w:rsidRPr="00222E35">
        <w:rPr>
          <w:rFonts w:cs="Times New Roman"/>
          <w:b/>
          <w:bCs/>
        </w:rPr>
        <w:t>:</w:t>
      </w:r>
      <w:r w:rsidRPr="00C55DE0">
        <w:rPr>
          <w:rFonts w:cs="Times New Roman"/>
        </w:rPr>
        <w:t> Accor’s Planet 21 programme integrates both diversion and redistribution: using technology to track waste, promoting Too Good To Go resale of surplus meals, and deploying onsite/outsourced organic diversion where feasible (Accor, 2024). Donation and resale diversify outcomes: edible surplus is redistributed; unavoidable organic waste is composted or anaerobically digested. Industry guidance (WRAP) and legal toolkits help hotels navigate food-safety liability and date-label issues, increasing donation volumes (WRAP, 2024; Food Donation Policy Atlas, 2023). While diversion reduces disposal emissions, its financial returns are typically smaller than predictive inventory gains because donation/resale rarely monetises the full retail value.</w:t>
      </w:r>
      <w:r w:rsidR="0086049D" w:rsidRPr="00222E35">
        <w:rPr>
          <w:rFonts w:cs="Times New Roman"/>
        </w:rPr>
        <w:t xml:space="preserve"> </w:t>
      </w:r>
    </w:p>
    <w:p w14:paraId="518A31F9" w14:textId="77777777" w:rsidR="00C55DE0" w:rsidRPr="00C55DE0" w:rsidRDefault="00000000" w:rsidP="00222E35">
      <w:pPr>
        <w:rPr>
          <w:rFonts w:cs="Times New Roman"/>
        </w:rPr>
      </w:pPr>
      <w:r w:rsidRPr="00C55DE0">
        <w:rPr>
          <w:rFonts w:cs="Times New Roman"/>
          <w:b/>
          <w:bCs/>
        </w:rPr>
        <w:lastRenderedPageBreak/>
        <w:t xml:space="preserve">Case 3 </w:t>
      </w:r>
      <w:r w:rsidR="0086049D" w:rsidRPr="00222E35">
        <w:rPr>
          <w:rFonts w:cs="Times New Roman"/>
          <w:b/>
          <w:bCs/>
        </w:rPr>
        <w:t>-</w:t>
      </w:r>
      <w:r w:rsidRPr="00C55DE0">
        <w:rPr>
          <w:rFonts w:cs="Times New Roman"/>
          <w:b/>
          <w:bCs/>
        </w:rPr>
        <w:t xml:space="preserve"> Local sourcing in boutique/eco-hotels</w:t>
      </w:r>
      <w:r w:rsidR="0086049D" w:rsidRPr="00222E35">
        <w:rPr>
          <w:rFonts w:cs="Times New Roman"/>
          <w:b/>
          <w:bCs/>
        </w:rPr>
        <w:t>:</w:t>
      </w:r>
      <w:r w:rsidRPr="00C55DE0">
        <w:rPr>
          <w:rFonts w:cs="Times New Roman"/>
        </w:rPr>
        <w:t> Smaller eco-forward properties often emphasise hyper-local procurement to reduce freshness-related spoilage and strengthen guest storytelling. Studies indicate local sourcing can reduce logistical losses and improve menu flexibility, but seasonal variability and higher supplier prices can increase procurement risk (Roy, 2020; FAO, 2021). Local sourcing pairs well with menu optimisation (smaller, seasonal menus) to reduce plate waste, but is less effective where large banquet or buffet services dominate.</w:t>
      </w:r>
      <w:r w:rsidR="0086049D" w:rsidRPr="00222E35">
        <w:rPr>
          <w:rFonts w:cs="Times New Roman"/>
        </w:rPr>
        <w:t xml:space="preserve"> </w:t>
      </w:r>
    </w:p>
    <w:p w14:paraId="3DABFCB1" w14:textId="77777777" w:rsidR="00C55DE0" w:rsidRPr="00222E35" w:rsidRDefault="00000000" w:rsidP="00222E35">
      <w:pPr>
        <w:pStyle w:val="Heading2"/>
        <w:rPr>
          <w:rFonts w:cs="Times New Roman"/>
        </w:rPr>
      </w:pPr>
      <w:bookmarkStart w:id="11" w:name="_Toc211282130"/>
      <w:r w:rsidRPr="00222E35">
        <w:rPr>
          <w:rFonts w:cs="Times New Roman"/>
        </w:rPr>
        <w:t xml:space="preserve">4.3 Critical </w:t>
      </w:r>
      <w:r w:rsidR="0086049D" w:rsidRPr="00222E35">
        <w:rPr>
          <w:rFonts w:cs="Times New Roman"/>
        </w:rPr>
        <w:t>E</w:t>
      </w:r>
      <w:r w:rsidRPr="00222E35">
        <w:rPr>
          <w:rFonts w:cs="Times New Roman"/>
        </w:rPr>
        <w:t xml:space="preserve">valuation </w:t>
      </w:r>
      <w:r w:rsidR="0086049D" w:rsidRPr="00222E35">
        <w:rPr>
          <w:rFonts w:cs="Times New Roman"/>
        </w:rPr>
        <w:t>-</w:t>
      </w:r>
      <w:r w:rsidRPr="00222E35">
        <w:rPr>
          <w:rFonts w:cs="Times New Roman"/>
        </w:rPr>
        <w:t xml:space="preserve"> </w:t>
      </w:r>
      <w:r w:rsidR="0086049D" w:rsidRPr="00222E35">
        <w:rPr>
          <w:rFonts w:cs="Times New Roman"/>
        </w:rPr>
        <w:t>E</w:t>
      </w:r>
      <w:r w:rsidRPr="00222E35">
        <w:rPr>
          <w:rFonts w:cs="Times New Roman"/>
        </w:rPr>
        <w:t xml:space="preserve">nvironmental vs. </w:t>
      </w:r>
      <w:r w:rsidR="0086049D" w:rsidRPr="00222E35">
        <w:rPr>
          <w:rFonts w:cs="Times New Roman"/>
        </w:rPr>
        <w:t>F</w:t>
      </w:r>
      <w:r w:rsidRPr="00222E35">
        <w:rPr>
          <w:rFonts w:cs="Times New Roman"/>
        </w:rPr>
        <w:t xml:space="preserve">inancial </w:t>
      </w:r>
      <w:r w:rsidR="0086049D" w:rsidRPr="00222E35">
        <w:rPr>
          <w:rFonts w:cs="Times New Roman"/>
        </w:rPr>
        <w:t>O</w:t>
      </w:r>
      <w:r w:rsidRPr="00222E35">
        <w:rPr>
          <w:rFonts w:cs="Times New Roman"/>
        </w:rPr>
        <w:t xml:space="preserve">utcomes and </w:t>
      </w:r>
      <w:r w:rsidR="0086049D" w:rsidRPr="00222E35">
        <w:rPr>
          <w:rFonts w:cs="Times New Roman"/>
        </w:rPr>
        <w:t>M</w:t>
      </w:r>
      <w:r w:rsidRPr="00222E35">
        <w:rPr>
          <w:rFonts w:cs="Times New Roman"/>
        </w:rPr>
        <w:t xml:space="preserve">anagerial </w:t>
      </w:r>
      <w:r w:rsidR="0086049D" w:rsidRPr="00222E35">
        <w:rPr>
          <w:rFonts w:cs="Times New Roman"/>
        </w:rPr>
        <w:t>I</w:t>
      </w:r>
      <w:r w:rsidRPr="00222E35">
        <w:rPr>
          <w:rFonts w:cs="Times New Roman"/>
        </w:rPr>
        <w:t>mplications</w:t>
      </w:r>
      <w:bookmarkEnd w:id="11"/>
    </w:p>
    <w:p w14:paraId="0A09E6F9" w14:textId="77777777" w:rsidR="00C55DE0" w:rsidRPr="00C55DE0" w:rsidRDefault="00000000" w:rsidP="00222E35">
      <w:pPr>
        <w:rPr>
          <w:rFonts w:cs="Times New Roman"/>
        </w:rPr>
      </w:pPr>
      <w:r w:rsidRPr="00C55DE0">
        <w:rPr>
          <w:rFonts w:cs="Times New Roman"/>
          <w:b/>
          <w:bCs/>
        </w:rPr>
        <w:t>Environmental outcomes (LCA proxy)</w:t>
      </w:r>
      <w:r w:rsidR="0086049D" w:rsidRPr="00222E35">
        <w:rPr>
          <w:rFonts w:cs="Times New Roman"/>
          <w:b/>
          <w:bCs/>
        </w:rPr>
        <w:t>:</w:t>
      </w:r>
      <w:r w:rsidRPr="00C55DE0">
        <w:rPr>
          <w:rFonts w:cs="Times New Roman"/>
        </w:rPr>
        <w:t> Avoiding edible food waste yields substantial GHG savings because upstream production emissions are preserved; LCA studies and proxy assessments indicate that prevention (reduced production and consumption) provides greater climate benefit than downstream disposal diversion (Meier, 2021; Muñoz-Torres, 2025). Thus, interventions that prevent overproduction (AI forecasting, menu redesign) typically outperform composting in net emission reductions per £ spent because they stop embedded emissions at source.</w:t>
      </w:r>
      <w:r w:rsidR="0086049D" w:rsidRPr="00222E35">
        <w:rPr>
          <w:rFonts w:cs="Times New Roman"/>
        </w:rPr>
        <w:t xml:space="preserve"> </w:t>
      </w:r>
    </w:p>
    <w:p w14:paraId="38EE9BAD" w14:textId="77777777" w:rsidR="00C55DE0" w:rsidRPr="00C55DE0" w:rsidRDefault="00000000" w:rsidP="00222E35">
      <w:pPr>
        <w:rPr>
          <w:rFonts w:cs="Times New Roman"/>
        </w:rPr>
      </w:pPr>
      <w:r w:rsidRPr="00C55DE0">
        <w:rPr>
          <w:rFonts w:cs="Times New Roman"/>
          <w:b/>
          <w:bCs/>
        </w:rPr>
        <w:t>Financial outcomes (CBA)</w:t>
      </w:r>
      <w:r w:rsidR="0086049D" w:rsidRPr="00222E35">
        <w:rPr>
          <w:rFonts w:cs="Times New Roman"/>
          <w:b/>
          <w:bCs/>
        </w:rPr>
        <w:t>:</w:t>
      </w:r>
      <w:r w:rsidRPr="00C55DE0">
        <w:rPr>
          <w:rFonts w:cs="Times New Roman"/>
        </w:rPr>
        <w:t> The Champions 12.3 business analysis found attractive benefit–cost ratios for many hotel interventions, with typical payback under two years when interventions focused on procurement, portion control and menu engineering (Champions 12.3, 2018). Technology-led solutions (Winnow, Leanpath) showed rapid savings in operational contexts where kitchens generate high pre-consumer waste; however, small sites with low baseline waste may face longer paybacks (Sustainable Hospitality Alliance, 2021).</w:t>
      </w:r>
      <w:r w:rsidR="0086049D" w:rsidRPr="00222E35">
        <w:rPr>
          <w:rFonts w:cs="Times New Roman"/>
        </w:rPr>
        <w:t xml:space="preserve"> </w:t>
      </w:r>
    </w:p>
    <w:p w14:paraId="34D6FEAF" w14:textId="77777777" w:rsidR="00C55DE0" w:rsidRPr="00C55DE0" w:rsidRDefault="00000000" w:rsidP="00222E35">
      <w:pPr>
        <w:rPr>
          <w:rFonts w:cs="Times New Roman"/>
        </w:rPr>
      </w:pPr>
      <w:r w:rsidRPr="00C55DE0">
        <w:rPr>
          <w:rFonts w:cs="Times New Roman"/>
          <w:b/>
          <w:bCs/>
        </w:rPr>
        <w:t>Operational and procurement implications</w:t>
      </w:r>
      <w:r w:rsidR="0086049D" w:rsidRPr="00222E35">
        <w:rPr>
          <w:rFonts w:cs="Times New Roman"/>
          <w:b/>
          <w:bCs/>
        </w:rPr>
        <w:t>:</w:t>
      </w:r>
      <w:r w:rsidRPr="00C55DE0">
        <w:rPr>
          <w:rFonts w:cs="Times New Roman"/>
        </w:rPr>
        <w:t> Integrating smart inventory and waste tracking requires cross-functional collaboration (procurement, F&amp;B, IT), staff training and continuous monitoring. Donation and composting require reliable logistics partnerships and regulatory awareness (WRAP surplus guidance) to avoid food-safety pitfalls (WRAP, 2024; Food Donation Policy Atlas, 2023). Local sourcing demands supplier development and menu flexibility to manage seasonality and price risk (FAO, 2021).</w:t>
      </w:r>
    </w:p>
    <w:p w14:paraId="36F55A50" w14:textId="77777777" w:rsidR="00C55DE0" w:rsidRPr="00C55DE0" w:rsidRDefault="00000000" w:rsidP="00222E35">
      <w:pPr>
        <w:rPr>
          <w:rFonts w:cs="Times New Roman"/>
        </w:rPr>
      </w:pPr>
      <w:r w:rsidRPr="00C55DE0">
        <w:rPr>
          <w:rFonts w:cs="Times New Roman"/>
          <w:b/>
          <w:bCs/>
        </w:rPr>
        <w:t>Reflections on managerial perceptions</w:t>
      </w:r>
      <w:r w:rsidR="0086049D" w:rsidRPr="00222E35">
        <w:rPr>
          <w:rFonts w:cs="Times New Roman"/>
          <w:b/>
          <w:bCs/>
        </w:rPr>
        <w:t>:</w:t>
      </w:r>
      <w:r w:rsidRPr="00C55DE0">
        <w:rPr>
          <w:rFonts w:cs="Times New Roman"/>
        </w:rPr>
        <w:t xml:space="preserve"> Published interview evidence and industry reports suggest managers value quick-win, low-skill measures (portion control, staff awareness) and are more cautious about capital-intensive solutions without clear vendor ROI data (WRAP, 2018; Champions 12.3, 2018). Conversely, where corporate sustainability targets or brand </w:t>
      </w:r>
      <w:r w:rsidRPr="00C55DE0">
        <w:rPr>
          <w:rFonts w:cs="Times New Roman"/>
        </w:rPr>
        <w:lastRenderedPageBreak/>
        <w:t>commitments exist (e.g., Accor, Marriott), managers are more likely to accept investment and partner with technology vendors to meet targets (Accor, 2024; Marriott, 2024).</w:t>
      </w:r>
      <w:r w:rsidR="0086049D" w:rsidRPr="00222E35">
        <w:rPr>
          <w:rFonts w:cs="Times New Roman"/>
        </w:rPr>
        <w:t xml:space="preserve"> </w:t>
      </w:r>
    </w:p>
    <w:p w14:paraId="7D9687A0" w14:textId="77777777" w:rsidR="009675F2" w:rsidRPr="00222E35" w:rsidRDefault="00000000" w:rsidP="00222E35">
      <w:pPr>
        <w:rPr>
          <w:rFonts w:cs="Times New Roman"/>
        </w:rPr>
      </w:pPr>
      <w:r w:rsidRPr="00C55DE0">
        <w:rPr>
          <w:rFonts w:cs="Times New Roman"/>
          <w:b/>
          <w:bCs/>
        </w:rPr>
        <w:t>Synthesis</w:t>
      </w:r>
      <w:r w:rsidR="0086049D" w:rsidRPr="00222E35">
        <w:rPr>
          <w:rFonts w:cs="Times New Roman"/>
          <w:b/>
          <w:bCs/>
        </w:rPr>
        <w:t xml:space="preserve">: </w:t>
      </w:r>
      <w:r w:rsidRPr="00C55DE0">
        <w:rPr>
          <w:rFonts w:cs="Times New Roman"/>
        </w:rPr>
        <w:t>Preventive measures (AI forecasting and smart inventory) generally yield the highest combined environmental and financial returns, especially in larger or multi-site operations where scale amplifies savings. Composting and donation remain valuable complements essential for unavoidable waste and CSR objectives, but alone they deliver smaller emission reductions per pound spent. Local sourcing is context-dependent: it supports eco-branding and freshness but requires procurement agility and may increase costs. Hence, a hybrid strategy</w:t>
      </w:r>
      <w:r w:rsidR="00222E35">
        <w:rPr>
          <w:rFonts w:cs="Times New Roman"/>
        </w:rPr>
        <w:t xml:space="preserve">, </w:t>
      </w:r>
      <w:r w:rsidRPr="00C55DE0">
        <w:rPr>
          <w:rFonts w:cs="Times New Roman"/>
        </w:rPr>
        <w:t>prevention first, redistribution where safe, and recycling/diversion for residuals</w:t>
      </w:r>
      <w:r w:rsidR="00222E35">
        <w:rPr>
          <w:rFonts w:cs="Times New Roman"/>
        </w:rPr>
        <w:t xml:space="preserve"> </w:t>
      </w:r>
      <w:r w:rsidRPr="00C55DE0">
        <w:rPr>
          <w:rFonts w:cs="Times New Roman"/>
        </w:rPr>
        <w:t>aligned with measurement and staff engagement, offers the most robust route for mid-scale hotels to balance sustainability efficacy and profitability (WRAP; Champions 12.3; Sustainable Hospitality Alliance).</w:t>
      </w:r>
    </w:p>
    <w:p w14:paraId="12DDF9CB" w14:textId="77777777" w:rsidR="0086049D" w:rsidRPr="00222E35" w:rsidRDefault="00000000" w:rsidP="00222E35">
      <w:pPr>
        <w:pStyle w:val="Heading1"/>
        <w:rPr>
          <w:rFonts w:cs="Times New Roman"/>
        </w:rPr>
      </w:pPr>
      <w:bookmarkStart w:id="12" w:name="_Toc211282131"/>
      <w:r w:rsidRPr="00222E35">
        <w:rPr>
          <w:rFonts w:cs="Times New Roman"/>
        </w:rPr>
        <w:t>5. Conclusion:</w:t>
      </w:r>
      <w:bookmarkEnd w:id="12"/>
    </w:p>
    <w:p w14:paraId="68C48D2D" w14:textId="77777777" w:rsidR="0086049D" w:rsidRPr="0086049D" w:rsidRDefault="00000000" w:rsidP="00222E35">
      <w:pPr>
        <w:rPr>
          <w:rFonts w:cs="Times New Roman"/>
        </w:rPr>
      </w:pPr>
      <w:r w:rsidRPr="0086049D">
        <w:rPr>
          <w:rFonts w:cs="Times New Roman"/>
        </w:rPr>
        <w:t>This study finds that food-waste reduction in hotels delivers measurable environmental and financial benefits when interventions prioritise </w:t>
      </w:r>
      <w:r w:rsidRPr="0086049D">
        <w:rPr>
          <w:rFonts w:cs="Times New Roman"/>
          <w:b/>
          <w:bCs/>
        </w:rPr>
        <w:t>prevention</w:t>
      </w:r>
      <w:r w:rsidRPr="0086049D">
        <w:rPr>
          <w:rFonts w:cs="Times New Roman"/>
        </w:rPr>
        <w:t xml:space="preserve"> (menu engineering, portion control, smart inventory), complemented by redistribution and organic diversion for unavoidable residues (WRAP, 2018; UNEP, 2021). Technology-driven forecasting and waste-monitoring systems offer the strongest combined eco-efficiency and return on investment in medium- to large-scale operations, while composting and donation enhance corporate social responsibility but typically yield smaller emission savings per £ spent (Champions 12.3, 2018; Meier, 2021). Sustainable outcomes, therefore, require integrated technological, behavioural and supply-chain measures tailored to hotel scale and service model, balancing ecological goals with financial performance under post-COVID cost pressures (Sustainable Hospitality Alliance, 2021; Serrano-Baena et al., 2023)</w:t>
      </w:r>
    </w:p>
    <w:p w14:paraId="5768EC89" w14:textId="77777777" w:rsidR="0086049D" w:rsidRPr="00222E35" w:rsidRDefault="00000000" w:rsidP="00222E35">
      <w:pPr>
        <w:pStyle w:val="Heading1"/>
        <w:rPr>
          <w:rFonts w:cs="Times New Roman"/>
        </w:rPr>
      </w:pPr>
      <w:bookmarkStart w:id="13" w:name="_Toc211282132"/>
      <w:r w:rsidRPr="00222E35">
        <w:rPr>
          <w:rFonts w:cs="Times New Roman"/>
        </w:rPr>
        <w:t>6. Recommendations:</w:t>
      </w:r>
      <w:bookmarkEnd w:id="13"/>
    </w:p>
    <w:p w14:paraId="6F4720E7" w14:textId="77777777" w:rsidR="0086049D" w:rsidRPr="0086049D" w:rsidRDefault="00000000" w:rsidP="00222E35">
      <w:pPr>
        <w:rPr>
          <w:rFonts w:cs="Times New Roman"/>
        </w:rPr>
      </w:pPr>
      <w:r w:rsidRPr="0086049D">
        <w:rPr>
          <w:rFonts w:cs="Times New Roman"/>
        </w:rPr>
        <w:t>This section gives actionable short-term, medium-term, and long-term recommendations to help mid-scale UK hotels reduce food waste while maintaining profitability. Each recommendation references established industry guidance and recent evidence on efficacy.</w:t>
      </w:r>
    </w:p>
    <w:p w14:paraId="16C635A8" w14:textId="77777777" w:rsidR="0086049D" w:rsidRPr="0086049D" w:rsidRDefault="00000000" w:rsidP="00222E35">
      <w:pPr>
        <w:rPr>
          <w:rFonts w:cs="Times New Roman"/>
          <w:b/>
          <w:bCs/>
        </w:rPr>
      </w:pPr>
      <w:r w:rsidRPr="0086049D">
        <w:rPr>
          <w:rFonts w:cs="Times New Roman"/>
          <w:b/>
          <w:bCs/>
        </w:rPr>
        <w:t>Short-term (0–12 months)</w:t>
      </w:r>
    </w:p>
    <w:p w14:paraId="4D052BB2" w14:textId="77777777" w:rsidR="0086049D" w:rsidRPr="0086049D" w:rsidRDefault="00000000" w:rsidP="00222E35">
      <w:pPr>
        <w:numPr>
          <w:ilvl w:val="0"/>
          <w:numId w:val="16"/>
        </w:numPr>
        <w:rPr>
          <w:rFonts w:cs="Times New Roman"/>
        </w:rPr>
      </w:pPr>
      <w:r w:rsidRPr="0086049D">
        <w:rPr>
          <w:rFonts w:cs="Times New Roman"/>
          <w:b/>
          <w:bCs/>
        </w:rPr>
        <w:t>Staff training and behavioural change</w:t>
      </w:r>
      <w:r w:rsidRPr="00222E35">
        <w:rPr>
          <w:rFonts w:cs="Times New Roman"/>
          <w:b/>
          <w:bCs/>
        </w:rPr>
        <w:t>:</w:t>
      </w:r>
      <w:r w:rsidRPr="0086049D">
        <w:rPr>
          <w:rFonts w:cs="Times New Roman"/>
        </w:rPr>
        <w:t xml:space="preserve"> Implement mandatory short modules for kitchen and service staff on portion control, date-label interpretation and waste sorting. </w:t>
      </w:r>
      <w:r w:rsidRPr="0086049D">
        <w:rPr>
          <w:rFonts w:cs="Times New Roman"/>
        </w:rPr>
        <w:lastRenderedPageBreak/>
        <w:t>Practical coaching, weekly waste-review meetings and incentives (team KPIs) enhance compliance and reduce plate/production waste (WRAP, 2018; Champions 12.3, 2018).</w:t>
      </w:r>
    </w:p>
    <w:p w14:paraId="5A6A384F" w14:textId="77777777" w:rsidR="0086049D" w:rsidRPr="0086049D" w:rsidRDefault="00000000" w:rsidP="00222E35">
      <w:pPr>
        <w:numPr>
          <w:ilvl w:val="0"/>
          <w:numId w:val="16"/>
        </w:numPr>
        <w:rPr>
          <w:rFonts w:cs="Times New Roman"/>
        </w:rPr>
      </w:pPr>
      <w:r w:rsidRPr="0086049D">
        <w:rPr>
          <w:rFonts w:cs="Times New Roman"/>
          <w:b/>
          <w:bCs/>
        </w:rPr>
        <w:t>Deploy low-cost digital monitoring</w:t>
      </w:r>
      <w:r w:rsidRPr="00222E35">
        <w:rPr>
          <w:rFonts w:cs="Times New Roman"/>
          <w:b/>
          <w:bCs/>
        </w:rPr>
        <w:t>:</w:t>
      </w:r>
      <w:r w:rsidRPr="0086049D">
        <w:rPr>
          <w:rFonts w:cs="Times New Roman"/>
        </w:rPr>
        <w:t> Start with affordable waste-scales or camera-assisted logging (entry-level Leanpath/Winnow solutions or vendor pilots) to collect baseline data. Even simple metrics (kg waste per 100 covers; cost of waste per week) enable immediate menu and procurement adjustments with fast payback in many hotels (Champions 12.3, 2018; Clark, 2025).</w:t>
      </w:r>
    </w:p>
    <w:p w14:paraId="37FF1713" w14:textId="77777777" w:rsidR="0086049D" w:rsidRPr="0086049D" w:rsidRDefault="00000000" w:rsidP="00222E35">
      <w:pPr>
        <w:numPr>
          <w:ilvl w:val="0"/>
          <w:numId w:val="16"/>
        </w:numPr>
        <w:rPr>
          <w:rFonts w:cs="Times New Roman"/>
        </w:rPr>
      </w:pPr>
      <w:r w:rsidRPr="0086049D">
        <w:rPr>
          <w:rFonts w:cs="Times New Roman"/>
          <w:b/>
          <w:bCs/>
        </w:rPr>
        <w:t>Partner with local redistribution charities</w:t>
      </w:r>
      <w:r w:rsidRPr="00222E35">
        <w:rPr>
          <w:rFonts w:cs="Times New Roman"/>
          <w:b/>
          <w:bCs/>
        </w:rPr>
        <w:t>:</w:t>
      </w:r>
      <w:r w:rsidRPr="0086049D">
        <w:rPr>
          <w:rFonts w:cs="Times New Roman"/>
        </w:rPr>
        <w:t> Establish formal links with Fareshare, local food banks or surplus-sale platforms (Too Good To Go) and use WRAP donation toolkits to manage food safety and logistics. Donation improves social impact and reduces disposal costs while enhancing guest goodwill (WRAP, 2024; Food Donation Policy Atlas, 2023).</w:t>
      </w:r>
    </w:p>
    <w:p w14:paraId="50250EB7" w14:textId="77777777" w:rsidR="0086049D" w:rsidRPr="0086049D" w:rsidRDefault="00000000" w:rsidP="00222E35">
      <w:pPr>
        <w:rPr>
          <w:rFonts w:cs="Times New Roman"/>
          <w:b/>
          <w:bCs/>
        </w:rPr>
      </w:pPr>
      <w:r w:rsidRPr="0086049D">
        <w:rPr>
          <w:rFonts w:cs="Times New Roman"/>
          <w:b/>
          <w:bCs/>
        </w:rPr>
        <w:t>Medium-term (1–3 years)</w:t>
      </w:r>
    </w:p>
    <w:p w14:paraId="38B26204" w14:textId="77777777" w:rsidR="0086049D" w:rsidRPr="0086049D" w:rsidRDefault="00000000" w:rsidP="00222E35">
      <w:pPr>
        <w:numPr>
          <w:ilvl w:val="0"/>
          <w:numId w:val="17"/>
        </w:numPr>
        <w:rPr>
          <w:rFonts w:cs="Times New Roman"/>
        </w:rPr>
      </w:pPr>
      <w:r w:rsidRPr="0086049D">
        <w:rPr>
          <w:rFonts w:cs="Times New Roman"/>
          <w:b/>
          <w:bCs/>
        </w:rPr>
        <w:t>Introduce sustainability KPIs tied to management appraisal</w:t>
      </w:r>
      <w:r w:rsidRPr="00222E35">
        <w:rPr>
          <w:rFonts w:cs="Times New Roman"/>
          <w:b/>
          <w:bCs/>
        </w:rPr>
        <w:t>:</w:t>
      </w:r>
      <w:r w:rsidRPr="0086049D">
        <w:rPr>
          <w:rFonts w:cs="Times New Roman"/>
        </w:rPr>
        <w:t> Adopt standardised KPIs (kg food waste per guest night; % reduction year-on-year; food cost as % of revenue) and link a proportion of manager bonuses to improvements. Formal KPIs drive accountability and resource allocation (Accor, 2024; Champions 12.3, 2018).</w:t>
      </w:r>
    </w:p>
    <w:p w14:paraId="2E66FDA2" w14:textId="77777777" w:rsidR="0086049D" w:rsidRPr="0086049D" w:rsidRDefault="00000000" w:rsidP="00222E35">
      <w:pPr>
        <w:numPr>
          <w:ilvl w:val="0"/>
          <w:numId w:val="17"/>
        </w:numPr>
        <w:rPr>
          <w:rFonts w:cs="Times New Roman"/>
        </w:rPr>
      </w:pPr>
      <w:r w:rsidRPr="0086049D">
        <w:rPr>
          <w:rFonts w:cs="Times New Roman"/>
          <w:b/>
          <w:bCs/>
        </w:rPr>
        <w:t>Supplier partnerships and contract design</w:t>
      </w:r>
      <w:r w:rsidRPr="00222E35">
        <w:rPr>
          <w:rFonts w:cs="Times New Roman"/>
          <w:b/>
          <w:bCs/>
        </w:rPr>
        <w:t xml:space="preserve">: </w:t>
      </w:r>
      <w:r w:rsidRPr="0086049D">
        <w:rPr>
          <w:rFonts w:cs="Times New Roman"/>
        </w:rPr>
        <w:t>Negotiate procurement contracts that include service-level expectations for packaging, minimum shelf-life, and flexible ordering/delivery windows to reduce spoilage. Pilot local supplier pools for seasonal menus to improve freshness while hedging supply risk with multiple small suppliers (FAO, 2021; Roy, 2020).</w:t>
      </w:r>
    </w:p>
    <w:p w14:paraId="401D02F3" w14:textId="77777777" w:rsidR="0086049D" w:rsidRPr="0086049D" w:rsidRDefault="00000000" w:rsidP="00222E35">
      <w:pPr>
        <w:numPr>
          <w:ilvl w:val="0"/>
          <w:numId w:val="17"/>
        </w:numPr>
        <w:rPr>
          <w:rFonts w:cs="Times New Roman"/>
        </w:rPr>
      </w:pPr>
      <w:r w:rsidRPr="0086049D">
        <w:rPr>
          <w:rFonts w:cs="Times New Roman"/>
          <w:b/>
          <w:bCs/>
        </w:rPr>
        <w:t>Adopt appropriate organic diversion capacity</w:t>
      </w:r>
      <w:r w:rsidRPr="00222E35">
        <w:rPr>
          <w:rFonts w:cs="Times New Roman"/>
          <w:b/>
          <w:bCs/>
        </w:rPr>
        <w:t>:</w:t>
      </w:r>
      <w:r w:rsidRPr="0086049D">
        <w:rPr>
          <w:rFonts w:cs="Times New Roman"/>
        </w:rPr>
        <w:t> Where volume justifies, invest in on-site composting/anaerobic digestion or secure commercial diversion contracts. Conduct cost-benefit modelling (including haulage and gate fees) before capital decisions; combine diversion with prevention measures to maximise environmental impact (Sustainable Hospitality Alliance, 2021; Meier, 2021).</w:t>
      </w:r>
    </w:p>
    <w:p w14:paraId="3406E89D" w14:textId="77777777" w:rsidR="0086049D" w:rsidRPr="0086049D" w:rsidRDefault="00000000" w:rsidP="00222E35">
      <w:pPr>
        <w:rPr>
          <w:rFonts w:cs="Times New Roman"/>
          <w:b/>
          <w:bCs/>
        </w:rPr>
      </w:pPr>
      <w:r w:rsidRPr="0086049D">
        <w:rPr>
          <w:rFonts w:cs="Times New Roman"/>
          <w:b/>
          <w:bCs/>
        </w:rPr>
        <w:t>Long-term (3+ years)</w:t>
      </w:r>
    </w:p>
    <w:p w14:paraId="08169BB1" w14:textId="77777777" w:rsidR="0086049D" w:rsidRPr="0086049D" w:rsidRDefault="00000000" w:rsidP="00222E35">
      <w:pPr>
        <w:numPr>
          <w:ilvl w:val="0"/>
          <w:numId w:val="18"/>
        </w:numPr>
        <w:rPr>
          <w:rFonts w:cs="Times New Roman"/>
        </w:rPr>
      </w:pPr>
      <w:r w:rsidRPr="0086049D">
        <w:rPr>
          <w:rFonts w:cs="Times New Roman"/>
          <w:b/>
          <w:bCs/>
        </w:rPr>
        <w:t>Embed sustainability in corporate strategy and brand identity</w:t>
      </w:r>
      <w:r w:rsidRPr="00222E35">
        <w:rPr>
          <w:rFonts w:cs="Times New Roman"/>
          <w:b/>
          <w:bCs/>
        </w:rPr>
        <w:t>:</w:t>
      </w:r>
      <w:r w:rsidRPr="0086049D">
        <w:rPr>
          <w:rFonts w:cs="Times New Roman"/>
        </w:rPr>
        <w:t> Integrate food-waste targets into corporate ESG frameworks and public reporting. Strategic alignment helps leverage marketing value, investor interest and cross-site standardisation (Elkington, 1997; Ellen MacArthur Foundation, 2019).</w:t>
      </w:r>
    </w:p>
    <w:p w14:paraId="665F81CE" w14:textId="77777777" w:rsidR="0086049D" w:rsidRPr="0086049D" w:rsidRDefault="00000000" w:rsidP="00222E35">
      <w:pPr>
        <w:numPr>
          <w:ilvl w:val="0"/>
          <w:numId w:val="18"/>
        </w:numPr>
        <w:rPr>
          <w:rFonts w:cs="Times New Roman"/>
        </w:rPr>
      </w:pPr>
      <w:r w:rsidRPr="0086049D">
        <w:rPr>
          <w:rFonts w:cs="Times New Roman"/>
          <w:b/>
          <w:bCs/>
        </w:rPr>
        <w:t>Advocate for supportive policy and financial incentives</w:t>
      </w:r>
      <w:r w:rsidRPr="00222E35">
        <w:rPr>
          <w:rFonts w:cs="Times New Roman"/>
          <w:b/>
          <w:bCs/>
        </w:rPr>
        <w:t>:</w:t>
      </w:r>
      <w:r w:rsidRPr="0086049D">
        <w:rPr>
          <w:rFonts w:cs="Times New Roman"/>
        </w:rPr>
        <w:t xml:space="preserve"> Work with trade bodies (UKHospitality, WRAP) to lobby for tax credits, reduced business rates for certified </w:t>
      </w:r>
      <w:r w:rsidRPr="0086049D">
        <w:rPr>
          <w:rFonts w:cs="Times New Roman"/>
        </w:rPr>
        <w:lastRenderedPageBreak/>
        <w:t>diversion equipment, or grant support for small hotels adopting technology, lowering barriers to scale (DEFRA, 2025; UKHospitality, 2020).</w:t>
      </w:r>
    </w:p>
    <w:p w14:paraId="7903B7FD" w14:textId="77777777" w:rsidR="0086049D" w:rsidRPr="0086049D" w:rsidRDefault="00000000" w:rsidP="00222E35">
      <w:pPr>
        <w:numPr>
          <w:ilvl w:val="0"/>
          <w:numId w:val="18"/>
        </w:numPr>
        <w:rPr>
          <w:rFonts w:cs="Times New Roman"/>
        </w:rPr>
      </w:pPr>
      <w:r w:rsidRPr="0086049D">
        <w:rPr>
          <w:rFonts w:cs="Times New Roman"/>
          <w:b/>
          <w:bCs/>
        </w:rPr>
        <w:t>Facilitate industry knowledge-sharing and standards</w:t>
      </w:r>
      <w:r w:rsidRPr="00222E35">
        <w:rPr>
          <w:rFonts w:cs="Times New Roman"/>
          <w:b/>
          <w:bCs/>
        </w:rPr>
        <w:t>:</w:t>
      </w:r>
      <w:r w:rsidRPr="0086049D">
        <w:rPr>
          <w:rFonts w:cs="Times New Roman"/>
        </w:rPr>
        <w:t> Participate in sectoral pilots, share anonymised data, and adopt harmonised measurement protocols (kg waste per guest night; standard LCA proxies) to enable benchmarking and attract vendor investment. Industry associations and cross-company collaboratives accelerate diffusion of best practice (WRAP; Champions 12.3).</w:t>
      </w:r>
    </w:p>
    <w:p w14:paraId="1EB6644A" w14:textId="77777777" w:rsidR="0086049D" w:rsidRPr="00222E35" w:rsidRDefault="00000000" w:rsidP="00222E35">
      <w:pPr>
        <w:rPr>
          <w:rFonts w:cs="Times New Roman"/>
        </w:rPr>
      </w:pPr>
      <w:r w:rsidRPr="0086049D">
        <w:rPr>
          <w:rFonts w:cs="Times New Roman"/>
          <w:b/>
          <w:bCs/>
        </w:rPr>
        <w:t>Implementation note:</w:t>
      </w:r>
      <w:r w:rsidRPr="0086049D">
        <w:rPr>
          <w:rFonts w:cs="Times New Roman"/>
        </w:rPr>
        <w:t xml:space="preserve"> Prioritise interventions with the quickest payback (menu engineering, portion control, low-cost monitoring) to build internal case studies and free resources for medium- and long-term investments. Use a phased approach (pilot → scale → standardise) and monitor both environmental (kg CO₂e avoided) and financial (net operating savings) metrics to ensure decisions balance eco-efficiency and profitability (Champions 12.3; Meier, 2021).</w:t>
      </w:r>
    </w:p>
    <w:p w14:paraId="56323CA1" w14:textId="77777777" w:rsidR="0086049D" w:rsidRPr="00222E35" w:rsidRDefault="00000000" w:rsidP="00222E35">
      <w:pPr>
        <w:rPr>
          <w:rFonts w:cs="Times New Roman"/>
        </w:rPr>
      </w:pPr>
      <w:r w:rsidRPr="00222E35">
        <w:rPr>
          <w:rFonts w:cs="Times New Roman"/>
        </w:rPr>
        <w:br w:type="page"/>
      </w:r>
    </w:p>
    <w:p w14:paraId="604CCCD8" w14:textId="77777777" w:rsidR="0086049D" w:rsidRPr="00222E35" w:rsidRDefault="00000000" w:rsidP="00222E35">
      <w:pPr>
        <w:pStyle w:val="Heading1"/>
        <w:rPr>
          <w:rFonts w:cs="Times New Roman"/>
        </w:rPr>
      </w:pPr>
      <w:bookmarkStart w:id="14" w:name="_Toc211282133"/>
      <w:r w:rsidRPr="00222E35">
        <w:rPr>
          <w:rFonts w:cs="Times New Roman"/>
        </w:rPr>
        <w:lastRenderedPageBreak/>
        <w:t>7. Reference List:</w:t>
      </w:r>
      <w:bookmarkEnd w:id="14"/>
    </w:p>
    <w:p w14:paraId="7D5B6AEF" w14:textId="77777777" w:rsidR="00222E35" w:rsidRPr="00222E35" w:rsidRDefault="00000000" w:rsidP="00222E35">
      <w:pPr>
        <w:rPr>
          <w:rFonts w:cs="Times New Roman"/>
        </w:rPr>
      </w:pPr>
      <w:r w:rsidRPr="00222E35">
        <w:rPr>
          <w:rFonts w:cs="Times New Roman"/>
        </w:rPr>
        <w:t xml:space="preserve">Accor (2024). </w:t>
      </w:r>
      <w:r w:rsidRPr="00222E35">
        <w:rPr>
          <w:rFonts w:cs="Times New Roman"/>
          <w:i/>
          <w:iCs/>
        </w:rPr>
        <w:t>Accor Circular Economy Policy</w:t>
      </w:r>
      <w:r w:rsidRPr="00222E35">
        <w:rPr>
          <w:rFonts w:cs="Times New Roman"/>
        </w:rPr>
        <w:t>. Accor Group. Available at: </w:t>
      </w:r>
      <w:hyperlink r:id="rId9" w:tgtFrame="_new" w:history="1">
        <w:r w:rsidR="00222E35" w:rsidRPr="00222E35">
          <w:rPr>
            <w:rStyle w:val="Hyperlink"/>
            <w:rFonts w:cs="Times New Roman"/>
          </w:rPr>
          <w:t>https://assets.group.accor.com/yrj0orc8tx24/4ShlxMwCXfMzSRAAu3JOR5/efc179240cf0238e6419b11d2efef85a/Accor-Circular-Economy-Policy_2024.pdf</w:t>
        </w:r>
      </w:hyperlink>
      <w:r w:rsidRPr="00222E35">
        <w:rPr>
          <w:rFonts w:cs="Times New Roman"/>
        </w:rPr>
        <w:t> (Accessed: 13 October 2025).</w:t>
      </w:r>
    </w:p>
    <w:p w14:paraId="37224551" w14:textId="77777777" w:rsidR="00222E35" w:rsidRPr="00222E35" w:rsidRDefault="00000000" w:rsidP="00222E35">
      <w:pPr>
        <w:rPr>
          <w:rFonts w:cs="Times New Roman"/>
        </w:rPr>
      </w:pPr>
      <w:r w:rsidRPr="00222E35">
        <w:rPr>
          <w:rFonts w:cs="Times New Roman"/>
        </w:rPr>
        <w:t>Champions 12.3 / WRAP / WRI (2018) </w:t>
      </w:r>
      <w:r w:rsidRPr="00222E35">
        <w:rPr>
          <w:rFonts w:cs="Times New Roman"/>
          <w:i/>
          <w:iCs/>
        </w:rPr>
        <w:t>The business case for reducing food loss and waste: Hotels</w:t>
      </w:r>
      <w:r w:rsidRPr="00222E35">
        <w:rPr>
          <w:rFonts w:cs="Times New Roman"/>
        </w:rPr>
        <w:t>. Champions 12.3. Available at: </w:t>
      </w:r>
      <w:hyperlink r:id="rId10" w:tgtFrame="_new" w:history="1">
        <w:r w:rsidR="00222E35" w:rsidRPr="00222E35">
          <w:rPr>
            <w:rStyle w:val="Hyperlink"/>
            <w:rFonts w:cs="Times New Roman"/>
          </w:rPr>
          <w:t>https://champions123.org/publication/business-case-reducing-food-loss-and-waste-hotels</w:t>
        </w:r>
      </w:hyperlink>
      <w:r w:rsidRPr="00222E35">
        <w:rPr>
          <w:rFonts w:cs="Times New Roman"/>
        </w:rPr>
        <w:t> (Accessed: 13 October 2025).</w:t>
      </w:r>
    </w:p>
    <w:p w14:paraId="38C9FCE2" w14:textId="77777777" w:rsidR="00222E35" w:rsidRPr="00222E35" w:rsidRDefault="00000000" w:rsidP="00222E35">
      <w:pPr>
        <w:rPr>
          <w:rFonts w:cs="Times New Roman"/>
        </w:rPr>
      </w:pPr>
      <w:r w:rsidRPr="00222E35">
        <w:rPr>
          <w:rFonts w:cs="Times New Roman"/>
        </w:rPr>
        <w:t>Clark, Q.M. (2025) ‘Exploring the potential of AI-driven food waste management: hospitality pilots and household adaptation’, </w:t>
      </w:r>
      <w:r w:rsidRPr="00222E35">
        <w:rPr>
          <w:rFonts w:cs="Times New Roman"/>
          <w:i/>
          <w:iCs/>
        </w:rPr>
        <w:t>International Journal of Food Systems Innovation</w:t>
      </w:r>
      <w:r w:rsidRPr="00222E35">
        <w:rPr>
          <w:rFonts w:cs="Times New Roman"/>
        </w:rPr>
        <w:t>, 2025. Available at: </w:t>
      </w:r>
      <w:hyperlink r:id="rId11" w:tgtFrame="_new" w:history="1">
        <w:r w:rsidR="00222E35" w:rsidRPr="00222E35">
          <w:rPr>
            <w:rStyle w:val="Hyperlink"/>
            <w:rFonts w:cs="Times New Roman"/>
          </w:rPr>
          <w:t>https://www.ncbi.nlm.nih.gov/pmc/articles/PMC11799730/</w:t>
        </w:r>
      </w:hyperlink>
      <w:r w:rsidRPr="00222E35">
        <w:rPr>
          <w:rFonts w:cs="Times New Roman"/>
        </w:rPr>
        <w:t> (Accessed: 13 October 2025).</w:t>
      </w:r>
    </w:p>
    <w:p w14:paraId="37F73661" w14:textId="77777777" w:rsidR="00222E35" w:rsidRPr="00222E35" w:rsidRDefault="00000000" w:rsidP="00222E35">
      <w:pPr>
        <w:rPr>
          <w:rFonts w:cs="Times New Roman"/>
        </w:rPr>
      </w:pPr>
      <w:r w:rsidRPr="00222E35">
        <w:rPr>
          <w:rFonts w:cs="Times New Roman"/>
        </w:rPr>
        <w:t>DEFRA (2025) </w:t>
      </w:r>
      <w:r w:rsidRPr="00222E35">
        <w:rPr>
          <w:rFonts w:cs="Times New Roman"/>
          <w:i/>
          <w:iCs/>
        </w:rPr>
        <w:t>UK statistics on waste</w:t>
      </w:r>
      <w:r w:rsidRPr="00222E35">
        <w:rPr>
          <w:rFonts w:cs="Times New Roman"/>
        </w:rPr>
        <w:t>. GOV.UK. Available at: </w:t>
      </w:r>
      <w:hyperlink r:id="rId12" w:tgtFrame="_new" w:history="1">
        <w:r w:rsidR="00222E35" w:rsidRPr="00222E35">
          <w:rPr>
            <w:rStyle w:val="Hyperlink"/>
            <w:rFonts w:cs="Times New Roman"/>
          </w:rPr>
          <w:t>https://www.gov.uk/government/statistics/uk-waste-data/uk-statistics-on-waste</w:t>
        </w:r>
      </w:hyperlink>
      <w:r w:rsidRPr="00222E35">
        <w:rPr>
          <w:rFonts w:cs="Times New Roman"/>
        </w:rPr>
        <w:t> (Accessed: 13 October 2025).</w:t>
      </w:r>
    </w:p>
    <w:p w14:paraId="21EDFDA2" w14:textId="77777777" w:rsidR="00222E35" w:rsidRPr="00222E35" w:rsidRDefault="00000000" w:rsidP="00222E35">
      <w:pPr>
        <w:rPr>
          <w:rFonts w:cs="Times New Roman"/>
        </w:rPr>
      </w:pPr>
      <w:r w:rsidRPr="00222E35">
        <w:rPr>
          <w:rFonts w:cs="Times New Roman"/>
        </w:rPr>
        <w:t xml:space="preserve">Elkington, J. (1997). </w:t>
      </w:r>
      <w:r w:rsidRPr="00222E35">
        <w:rPr>
          <w:rFonts w:cs="Times New Roman"/>
          <w:i/>
          <w:iCs/>
        </w:rPr>
        <w:t>Cannibals with Forks: The Triple Bottom Line of 21st Century Business</w:t>
      </w:r>
      <w:r w:rsidRPr="00222E35">
        <w:rPr>
          <w:rFonts w:cs="Times New Roman"/>
        </w:rPr>
        <w:t>. Oxford: Capstone.</w:t>
      </w:r>
    </w:p>
    <w:p w14:paraId="4227F3E3" w14:textId="77777777" w:rsidR="00222E35" w:rsidRPr="00222E35" w:rsidRDefault="00000000" w:rsidP="00222E35">
      <w:pPr>
        <w:rPr>
          <w:rFonts w:cs="Times New Roman"/>
        </w:rPr>
      </w:pPr>
      <w:r w:rsidRPr="00222E35">
        <w:rPr>
          <w:rFonts w:cs="Times New Roman"/>
        </w:rPr>
        <w:t xml:space="preserve">Ellen MacArthur Foundation (2019). </w:t>
      </w:r>
      <w:r w:rsidRPr="00222E35">
        <w:rPr>
          <w:rFonts w:cs="Times New Roman"/>
          <w:i/>
          <w:iCs/>
        </w:rPr>
        <w:t>The circular economy: A brief introduction</w:t>
      </w:r>
      <w:r w:rsidRPr="00222E35">
        <w:rPr>
          <w:rFonts w:cs="Times New Roman"/>
        </w:rPr>
        <w:t>. Available at: </w:t>
      </w:r>
      <w:hyperlink r:id="rId13" w:tgtFrame="_new" w:history="1">
        <w:r w:rsidR="00222E35" w:rsidRPr="00222E35">
          <w:rPr>
            <w:rStyle w:val="Hyperlink"/>
            <w:rFonts w:cs="Times New Roman"/>
          </w:rPr>
          <w:t>https://www.ellenmacarthurfoundation.org/topics/circular-economy-introduction/overview</w:t>
        </w:r>
      </w:hyperlink>
      <w:r w:rsidRPr="00222E35">
        <w:rPr>
          <w:rFonts w:cs="Times New Roman"/>
        </w:rPr>
        <w:t> (Accessed: 13 October 2025).</w:t>
      </w:r>
    </w:p>
    <w:p w14:paraId="11C4229C" w14:textId="77777777" w:rsidR="00222E35" w:rsidRPr="00222E35" w:rsidRDefault="00000000" w:rsidP="00222E35">
      <w:pPr>
        <w:rPr>
          <w:rFonts w:cs="Times New Roman"/>
        </w:rPr>
      </w:pPr>
      <w:r w:rsidRPr="00222E35">
        <w:rPr>
          <w:rFonts w:cs="Times New Roman"/>
        </w:rPr>
        <w:t>FAO (2021) </w:t>
      </w:r>
      <w:r w:rsidRPr="00222E35">
        <w:rPr>
          <w:rFonts w:cs="Times New Roman"/>
          <w:i/>
          <w:iCs/>
        </w:rPr>
        <w:t>Local sourcing and the hospitality sector</w:t>
      </w:r>
      <w:r w:rsidRPr="00222E35">
        <w:rPr>
          <w:rFonts w:cs="Times New Roman"/>
        </w:rPr>
        <w:t>. FAO. Available at: </w:t>
      </w:r>
      <w:hyperlink r:id="rId14" w:tgtFrame="_new" w:history="1">
        <w:r w:rsidR="00222E35" w:rsidRPr="00222E35">
          <w:rPr>
            <w:rStyle w:val="Hyperlink"/>
            <w:rFonts w:cs="Times New Roman"/>
          </w:rPr>
          <w:t>https://www.fao.org/3/cb4476en/online/cb4476en.html</w:t>
        </w:r>
      </w:hyperlink>
      <w:r w:rsidRPr="00222E35">
        <w:rPr>
          <w:rFonts w:cs="Times New Roman"/>
        </w:rPr>
        <w:t> (Accessed: 13 October 2025).</w:t>
      </w:r>
    </w:p>
    <w:p w14:paraId="2C7077AA" w14:textId="77777777" w:rsidR="00222E35" w:rsidRPr="00222E35" w:rsidRDefault="00000000" w:rsidP="00222E35">
      <w:pPr>
        <w:rPr>
          <w:rFonts w:cs="Times New Roman"/>
        </w:rPr>
      </w:pPr>
      <w:r w:rsidRPr="00222E35">
        <w:rPr>
          <w:rFonts w:cs="Times New Roman"/>
        </w:rPr>
        <w:t>Food Donation Policy Atlas (2023) </w:t>
      </w:r>
      <w:r w:rsidRPr="00222E35">
        <w:rPr>
          <w:rFonts w:cs="Times New Roman"/>
          <w:i/>
          <w:iCs/>
        </w:rPr>
        <w:t>UK legal guide — food donation</w:t>
      </w:r>
      <w:r w:rsidRPr="00222E35">
        <w:rPr>
          <w:rFonts w:cs="Times New Roman"/>
        </w:rPr>
        <w:t>. Food Banking Alliance / Partners. Available at: </w:t>
      </w:r>
      <w:hyperlink r:id="rId15" w:tgtFrame="_new" w:history="1">
        <w:r w:rsidR="00222E35" w:rsidRPr="00222E35">
          <w:rPr>
            <w:rStyle w:val="Hyperlink"/>
            <w:rFonts w:cs="Times New Roman"/>
          </w:rPr>
          <w:t>https://atlas.foodbanking.org/wp-content/uploads/2023/11/UK-Legal-Guide-v2-1.pdf</w:t>
        </w:r>
      </w:hyperlink>
      <w:r w:rsidRPr="00222E35">
        <w:rPr>
          <w:rFonts w:cs="Times New Roman"/>
        </w:rPr>
        <w:t> (Accessed: 13 October 2025).</w:t>
      </w:r>
    </w:p>
    <w:p w14:paraId="71AB890D" w14:textId="77777777" w:rsidR="00222E35" w:rsidRPr="00222E35" w:rsidRDefault="00000000" w:rsidP="00222E35">
      <w:pPr>
        <w:rPr>
          <w:rFonts w:cs="Times New Roman"/>
        </w:rPr>
      </w:pPr>
      <w:r w:rsidRPr="00222E35">
        <w:rPr>
          <w:rFonts w:cs="Times New Roman"/>
        </w:rPr>
        <w:t xml:space="preserve">Food Standards Agency (2022). </w:t>
      </w:r>
      <w:r w:rsidRPr="00222E35">
        <w:rPr>
          <w:rFonts w:cs="Times New Roman"/>
          <w:i/>
          <w:iCs/>
        </w:rPr>
        <w:t>Guidance on food donation and food safety</w:t>
      </w:r>
      <w:r w:rsidRPr="00222E35">
        <w:rPr>
          <w:rFonts w:cs="Times New Roman"/>
        </w:rPr>
        <w:t>. Food Standards Agency. Available at: </w:t>
      </w:r>
      <w:hyperlink r:id="rId16" w:tgtFrame="_new" w:history="1">
        <w:r w:rsidR="00222E35" w:rsidRPr="00222E35">
          <w:rPr>
            <w:rStyle w:val="Hyperlink"/>
            <w:rFonts w:cs="Times New Roman"/>
          </w:rPr>
          <w:t>https://www.food.gov.uk/safety-hygiene/food-safety-for-businesses/food-donation-guidance</w:t>
        </w:r>
      </w:hyperlink>
      <w:r w:rsidRPr="00222E35">
        <w:rPr>
          <w:rFonts w:cs="Times New Roman"/>
        </w:rPr>
        <w:t> (Accessed: 13 October 2025).</w:t>
      </w:r>
    </w:p>
    <w:p w14:paraId="5CB59ED3" w14:textId="77777777" w:rsidR="00222E35" w:rsidRPr="00222E35" w:rsidRDefault="00000000" w:rsidP="00222E35">
      <w:pPr>
        <w:rPr>
          <w:rFonts w:cs="Times New Roman"/>
        </w:rPr>
      </w:pPr>
      <w:r w:rsidRPr="00222E35">
        <w:rPr>
          <w:rFonts w:cs="Times New Roman"/>
        </w:rPr>
        <w:t>Lévesque, J. (2022) ‘Food waste in a hotel foodservice: A case study identifying hotspots and strategies’, </w:t>
      </w:r>
      <w:r w:rsidRPr="00222E35">
        <w:rPr>
          <w:rFonts w:cs="Times New Roman"/>
          <w:i/>
          <w:iCs/>
        </w:rPr>
        <w:t>Food Service Technology/Conference Proceedings</w:t>
      </w:r>
      <w:r w:rsidRPr="00222E35">
        <w:rPr>
          <w:rFonts w:cs="Times New Roman"/>
        </w:rPr>
        <w:t>, 2022. (Accessed: 13 October 2025).</w:t>
      </w:r>
    </w:p>
    <w:p w14:paraId="3E9ADC18" w14:textId="77777777" w:rsidR="00222E35" w:rsidRPr="00222E35" w:rsidRDefault="00000000" w:rsidP="00222E35">
      <w:pPr>
        <w:rPr>
          <w:rFonts w:cs="Times New Roman"/>
        </w:rPr>
      </w:pPr>
      <w:r w:rsidRPr="00222E35">
        <w:rPr>
          <w:rFonts w:cs="Times New Roman"/>
        </w:rPr>
        <w:t xml:space="preserve">Leanpath (2022). </w:t>
      </w:r>
      <w:r w:rsidRPr="00222E35">
        <w:rPr>
          <w:rFonts w:cs="Times New Roman"/>
          <w:i/>
          <w:iCs/>
        </w:rPr>
        <w:t>Leanpath commercial case studies</w:t>
      </w:r>
      <w:r w:rsidRPr="00222E35">
        <w:rPr>
          <w:rFonts w:cs="Times New Roman"/>
        </w:rPr>
        <w:t>. Leanpath. Available at: </w:t>
      </w:r>
      <w:hyperlink r:id="rId17" w:tgtFrame="_new" w:history="1">
        <w:r w:rsidR="00222E35" w:rsidRPr="00222E35">
          <w:rPr>
            <w:rStyle w:val="Hyperlink"/>
            <w:rFonts w:cs="Times New Roman"/>
          </w:rPr>
          <w:t>https://www.leanpath.com/case-studies</w:t>
        </w:r>
      </w:hyperlink>
      <w:r w:rsidRPr="00222E35">
        <w:rPr>
          <w:rFonts w:cs="Times New Roman"/>
        </w:rPr>
        <w:t>(Accessed: 13 October 2025).</w:t>
      </w:r>
    </w:p>
    <w:p w14:paraId="55FA5D95" w14:textId="77777777" w:rsidR="00222E35" w:rsidRPr="00222E35" w:rsidRDefault="00000000" w:rsidP="00222E35">
      <w:pPr>
        <w:rPr>
          <w:rFonts w:cs="Times New Roman"/>
        </w:rPr>
      </w:pPr>
      <w:r w:rsidRPr="00222E35">
        <w:rPr>
          <w:rFonts w:cs="Times New Roman"/>
        </w:rPr>
        <w:lastRenderedPageBreak/>
        <w:t xml:space="preserve">Lenox Hotel (2019). </w:t>
      </w:r>
      <w:r w:rsidRPr="00222E35">
        <w:rPr>
          <w:rFonts w:cs="Times New Roman"/>
          <w:i/>
          <w:iCs/>
        </w:rPr>
        <w:t>The Lenox Hotel food-materials diversion case study</w:t>
      </w:r>
      <w:r w:rsidRPr="00222E35">
        <w:rPr>
          <w:rFonts w:cs="Times New Roman"/>
        </w:rPr>
        <w:t>. RecyclingWorks MA. Available at: </w:t>
      </w:r>
      <w:hyperlink r:id="rId18" w:tgtFrame="_new" w:history="1">
        <w:r w:rsidR="00222E35" w:rsidRPr="00222E35">
          <w:rPr>
            <w:rStyle w:val="Hyperlink"/>
            <w:rFonts w:cs="Times New Roman"/>
          </w:rPr>
          <w:t>https://recyclingworksma.com/wp-content/uploads/2019/07/The-Lenox-Hotel-Case-Study_2019-1.pdf</w:t>
        </w:r>
      </w:hyperlink>
      <w:r w:rsidRPr="00222E35">
        <w:rPr>
          <w:rFonts w:cs="Times New Roman"/>
        </w:rPr>
        <w:t> (Accessed: 13 October 2025).</w:t>
      </w:r>
    </w:p>
    <w:p w14:paraId="00E5074E" w14:textId="77777777" w:rsidR="00222E35" w:rsidRPr="00222E35" w:rsidRDefault="00000000" w:rsidP="00222E35">
      <w:pPr>
        <w:rPr>
          <w:rFonts w:cs="Times New Roman"/>
        </w:rPr>
      </w:pPr>
      <w:r w:rsidRPr="00222E35">
        <w:rPr>
          <w:rFonts w:cs="Times New Roman"/>
        </w:rPr>
        <w:t xml:space="preserve">Marriott International (2024). Marriott Hotels UK, Ireland and Nordics launches initiative to reduce food waste across 53 hotels. Press release, 17 October 2024. Available at: </w:t>
      </w:r>
      <w:hyperlink r:id="rId19" w:tgtFrame="_new" w:history="1">
        <w:r w:rsidR="00222E35" w:rsidRPr="00222E35">
          <w:rPr>
            <w:rStyle w:val="Hyperlink"/>
            <w:rFonts w:cs="Times New Roman"/>
          </w:rPr>
          <w:t>https://marriott.pressarea.com/en/news/17102024/marriott-hotels-uk-ireland-and-nordics-launches-initiative-to-reduce-food-waste-across-53-hotels-1</w:t>
        </w:r>
      </w:hyperlink>
      <w:r w:rsidRPr="00222E35">
        <w:rPr>
          <w:rFonts w:cs="Times New Roman"/>
        </w:rPr>
        <w:t> (Accessed: 13 October 2025).</w:t>
      </w:r>
    </w:p>
    <w:p w14:paraId="6D55FD92" w14:textId="77777777" w:rsidR="00222E35" w:rsidRPr="00222E35" w:rsidRDefault="00000000" w:rsidP="00222E35">
      <w:pPr>
        <w:rPr>
          <w:rFonts w:cs="Times New Roman"/>
        </w:rPr>
      </w:pPr>
      <w:r w:rsidRPr="00222E35">
        <w:rPr>
          <w:rFonts w:cs="Times New Roman"/>
        </w:rPr>
        <w:t>McKinsey &amp; Company (2024) ‘What is the future of travel?’, </w:t>
      </w:r>
      <w:r w:rsidRPr="00222E35">
        <w:rPr>
          <w:rFonts w:cs="Times New Roman"/>
          <w:i/>
          <w:iCs/>
        </w:rPr>
        <w:t>McKinsey Explainers</w:t>
      </w:r>
      <w:r w:rsidRPr="00222E35">
        <w:rPr>
          <w:rFonts w:cs="Times New Roman"/>
        </w:rPr>
        <w:t>, 7 June. Available at: </w:t>
      </w:r>
      <w:hyperlink r:id="rId20" w:tgtFrame="_new" w:history="1">
        <w:r w:rsidR="00222E35" w:rsidRPr="00222E35">
          <w:rPr>
            <w:rStyle w:val="Hyperlink"/>
            <w:rFonts w:cs="Times New Roman"/>
          </w:rPr>
          <w:t>https://www.mckinsey.com/featured-insights/mckinsey-explainers/what-is-the-future-of-travel</w:t>
        </w:r>
      </w:hyperlink>
      <w:r w:rsidRPr="00222E35">
        <w:rPr>
          <w:rFonts w:cs="Times New Roman"/>
        </w:rPr>
        <w:t> (Accessed: 13 October 2025).</w:t>
      </w:r>
    </w:p>
    <w:p w14:paraId="16EDB9C3" w14:textId="77777777" w:rsidR="00222E35" w:rsidRPr="00222E35" w:rsidRDefault="00000000" w:rsidP="00222E35">
      <w:pPr>
        <w:rPr>
          <w:rFonts w:cs="Times New Roman"/>
        </w:rPr>
      </w:pPr>
      <w:r w:rsidRPr="00222E35">
        <w:rPr>
          <w:rFonts w:cs="Times New Roman"/>
        </w:rPr>
        <w:t>Meier, T. (2021) ‘Food waste in healthcare, business and hospitality catering: environmental assessment using life-cycle approaches’, </w:t>
      </w:r>
      <w:r w:rsidRPr="00222E35">
        <w:rPr>
          <w:rFonts w:cs="Times New Roman"/>
          <w:i/>
          <w:iCs/>
        </w:rPr>
        <w:t>Sustainability</w:t>
      </w:r>
      <w:r w:rsidRPr="00222E35">
        <w:rPr>
          <w:rFonts w:cs="Times New Roman"/>
        </w:rPr>
        <w:t>, 13(6), p. 3288. doi:10.3390/su13063288.</w:t>
      </w:r>
    </w:p>
    <w:p w14:paraId="38FC2643" w14:textId="77777777" w:rsidR="00222E35" w:rsidRPr="00222E35" w:rsidRDefault="00000000" w:rsidP="00222E35">
      <w:pPr>
        <w:rPr>
          <w:rFonts w:cs="Times New Roman"/>
        </w:rPr>
      </w:pPr>
      <w:r w:rsidRPr="00222E35">
        <w:rPr>
          <w:rFonts w:cs="Times New Roman"/>
        </w:rPr>
        <w:t>Muñoz-Torres, M.J. and others (2025) ‘Environmental assessment of food loss and waste prevention scenarios’, </w:t>
      </w:r>
      <w:r w:rsidRPr="00222E35">
        <w:rPr>
          <w:rFonts w:cs="Times New Roman"/>
          <w:i/>
          <w:iCs/>
        </w:rPr>
        <w:t>Journal of Environmental Management</w:t>
      </w:r>
      <w:r w:rsidRPr="00222E35">
        <w:rPr>
          <w:rFonts w:cs="Times New Roman"/>
        </w:rPr>
        <w:t> (in press/2025).</w:t>
      </w:r>
    </w:p>
    <w:p w14:paraId="3C54A990" w14:textId="77777777" w:rsidR="00222E35" w:rsidRPr="00222E35" w:rsidRDefault="00000000" w:rsidP="00222E35">
      <w:pPr>
        <w:rPr>
          <w:rFonts w:cs="Times New Roman"/>
        </w:rPr>
      </w:pPr>
      <w:r w:rsidRPr="00222E35">
        <w:rPr>
          <w:rFonts w:cs="Times New Roman"/>
        </w:rPr>
        <w:t>Papargyropoulou, E. and others (2019) ‘Patterns and causes of food waste in the hospitality and food service sector: Food waste prevention insights from Malaysia’, </w:t>
      </w:r>
      <w:r w:rsidRPr="00222E35">
        <w:rPr>
          <w:rFonts w:cs="Times New Roman"/>
          <w:i/>
          <w:iCs/>
        </w:rPr>
        <w:t>Sustainability</w:t>
      </w:r>
      <w:r w:rsidRPr="00222E35">
        <w:rPr>
          <w:rFonts w:cs="Times New Roman"/>
        </w:rPr>
        <w:t>, 11(21), p. 6016. doi:10.3390/su11216016.</w:t>
      </w:r>
    </w:p>
    <w:p w14:paraId="16F9CF42" w14:textId="77777777" w:rsidR="00222E35" w:rsidRPr="00222E35" w:rsidRDefault="00000000" w:rsidP="00222E35">
      <w:pPr>
        <w:rPr>
          <w:rFonts w:cs="Times New Roman"/>
        </w:rPr>
      </w:pPr>
      <w:r w:rsidRPr="00222E35">
        <w:rPr>
          <w:rFonts w:cs="Times New Roman"/>
        </w:rPr>
        <w:t>Premier Inn (2020) ‘Serving up 200 tonnes worth of food for UK charities’, </w:t>
      </w:r>
      <w:r w:rsidRPr="00222E35">
        <w:rPr>
          <w:rFonts w:cs="Times New Roman"/>
          <w:i/>
          <w:iCs/>
        </w:rPr>
        <w:t>Premier Inn News</w:t>
      </w:r>
      <w:r w:rsidRPr="00222E35">
        <w:rPr>
          <w:rFonts w:cs="Times New Roman"/>
        </w:rPr>
        <w:t>, 2020. Available at: </w:t>
      </w:r>
      <w:hyperlink r:id="rId21" w:tgtFrame="_new" w:history="1">
        <w:r w:rsidR="00222E35" w:rsidRPr="00222E35">
          <w:rPr>
            <w:rStyle w:val="Hyperlink"/>
            <w:rFonts w:cs="Times New Roman"/>
          </w:rPr>
          <w:t>https://www.premierinn.com/gb/en/news/2020/fareshare.html</w:t>
        </w:r>
      </w:hyperlink>
      <w:r w:rsidRPr="00222E35">
        <w:rPr>
          <w:rFonts w:cs="Times New Roman"/>
        </w:rPr>
        <w:t> (Accessed: 13 October 2025).</w:t>
      </w:r>
    </w:p>
    <w:p w14:paraId="0890D792" w14:textId="77777777" w:rsidR="00222E35" w:rsidRPr="00222E35" w:rsidRDefault="00000000" w:rsidP="00222E35">
      <w:pPr>
        <w:rPr>
          <w:rFonts w:cs="Times New Roman"/>
        </w:rPr>
      </w:pPr>
      <w:r w:rsidRPr="00222E35">
        <w:rPr>
          <w:rFonts w:cs="Times New Roman"/>
        </w:rPr>
        <w:t>Roy, H. (2020) ‘Preferences and attitudes toward locally produced food among chefs and restaurants’, </w:t>
      </w:r>
      <w:r w:rsidRPr="00222E35">
        <w:rPr>
          <w:rFonts w:cs="Times New Roman"/>
          <w:i/>
          <w:iCs/>
        </w:rPr>
        <w:t>International Journal of Hospitality Management</w:t>
      </w:r>
      <w:r w:rsidRPr="00222E35">
        <w:rPr>
          <w:rFonts w:cs="Times New Roman"/>
        </w:rPr>
        <w:t>, 88, p. 102531. (Accessed: 13 October 2025).</w:t>
      </w:r>
    </w:p>
    <w:p w14:paraId="37AA9F2E" w14:textId="77777777" w:rsidR="00222E35" w:rsidRPr="00222E35" w:rsidRDefault="00000000" w:rsidP="00222E35">
      <w:pPr>
        <w:rPr>
          <w:rFonts w:cs="Times New Roman"/>
        </w:rPr>
      </w:pPr>
      <w:r w:rsidRPr="00222E35">
        <w:rPr>
          <w:rFonts w:cs="Times New Roman"/>
        </w:rPr>
        <w:t>Serrano-Baena, M.M. and others (2023) ‘Promoting the sustainable recovery of hospitality in the post-pandemic era’, </w:t>
      </w:r>
      <w:r w:rsidRPr="00222E35">
        <w:rPr>
          <w:rFonts w:cs="Times New Roman"/>
          <w:i/>
          <w:iCs/>
        </w:rPr>
        <w:t>International Journal of Environmental Research and Public Health</w:t>
      </w:r>
      <w:r w:rsidRPr="00222E35">
        <w:rPr>
          <w:rFonts w:cs="Times New Roman"/>
        </w:rPr>
        <w:t>, 20(2), p. 985. doi:10.3390/ijerph20020985.</w:t>
      </w:r>
    </w:p>
    <w:p w14:paraId="27A988D2" w14:textId="77777777" w:rsidR="00222E35" w:rsidRPr="00222E35" w:rsidRDefault="00000000" w:rsidP="00222E35">
      <w:pPr>
        <w:rPr>
          <w:rFonts w:cs="Times New Roman"/>
        </w:rPr>
      </w:pPr>
      <w:r w:rsidRPr="00222E35">
        <w:rPr>
          <w:rFonts w:cs="Times New Roman"/>
        </w:rPr>
        <w:t xml:space="preserve">Sustainable Hospitality Alliance (2021). </w:t>
      </w:r>
      <w:r w:rsidRPr="00222E35">
        <w:rPr>
          <w:rFonts w:cs="Times New Roman"/>
          <w:i/>
          <w:iCs/>
        </w:rPr>
        <w:t>Food-waste factsheet</w:t>
      </w:r>
      <w:r w:rsidRPr="00222E35">
        <w:rPr>
          <w:rFonts w:cs="Times New Roman"/>
        </w:rPr>
        <w:t>. Sustainable Hospitality Alliance. Available at: </w:t>
      </w:r>
      <w:hyperlink r:id="rId22" w:tgtFrame="_new" w:history="1">
        <w:r w:rsidR="00222E35" w:rsidRPr="00222E35">
          <w:rPr>
            <w:rStyle w:val="Hyperlink"/>
            <w:rFonts w:cs="Times New Roman"/>
          </w:rPr>
          <w:t>https://sustainablehospitalityalliance.org/wp-content/uploads/2021/06/Food-waste-factsheet-1.pdf</w:t>
        </w:r>
      </w:hyperlink>
      <w:r w:rsidRPr="00222E35">
        <w:rPr>
          <w:rFonts w:cs="Times New Roman"/>
        </w:rPr>
        <w:t> (Accessed: 13 October 2025).</w:t>
      </w:r>
    </w:p>
    <w:p w14:paraId="2DF2A35A" w14:textId="77777777" w:rsidR="00222E35" w:rsidRPr="00222E35" w:rsidRDefault="00000000" w:rsidP="00222E35">
      <w:pPr>
        <w:rPr>
          <w:rFonts w:cs="Times New Roman"/>
        </w:rPr>
      </w:pPr>
      <w:r w:rsidRPr="00222E35">
        <w:rPr>
          <w:rFonts w:cs="Times New Roman"/>
        </w:rPr>
        <w:t xml:space="preserve">Tiwari, R. (2024) 'Optimising food utilisation: Smart inventory management and AI predictive analytics in reducing food waste', </w:t>
      </w:r>
      <w:r w:rsidRPr="00222E35">
        <w:rPr>
          <w:rFonts w:cs="Times New Roman"/>
          <w:i/>
          <w:iCs/>
        </w:rPr>
        <w:t>Journal of Hospitality Technology</w:t>
      </w:r>
      <w:r w:rsidRPr="00222E35">
        <w:rPr>
          <w:rFonts w:cs="Times New Roman"/>
        </w:rPr>
        <w:t>, 2(4), pp. 45–62. (Accessed: 13 October 2025).</w:t>
      </w:r>
    </w:p>
    <w:p w14:paraId="50717CF9" w14:textId="77777777" w:rsidR="00222E35" w:rsidRPr="00222E35" w:rsidRDefault="00000000" w:rsidP="00222E35">
      <w:pPr>
        <w:rPr>
          <w:rFonts w:cs="Times New Roman"/>
        </w:rPr>
      </w:pPr>
      <w:r w:rsidRPr="00222E35">
        <w:rPr>
          <w:rFonts w:cs="Times New Roman"/>
        </w:rPr>
        <w:lastRenderedPageBreak/>
        <w:t>UNEP (2021) </w:t>
      </w:r>
      <w:r w:rsidRPr="00222E35">
        <w:rPr>
          <w:rFonts w:cs="Times New Roman"/>
          <w:i/>
          <w:iCs/>
        </w:rPr>
        <w:t>Food Waste Index Report 2021</w:t>
      </w:r>
      <w:r w:rsidRPr="00222E35">
        <w:rPr>
          <w:rFonts w:cs="Times New Roman"/>
        </w:rPr>
        <w:t>. United Nations Environment Programme. Available at: </w:t>
      </w:r>
      <w:hyperlink r:id="rId23" w:tgtFrame="_new" w:history="1">
        <w:r w:rsidR="00222E35" w:rsidRPr="00222E35">
          <w:rPr>
            <w:rStyle w:val="Hyperlink"/>
            <w:rFonts w:cs="Times New Roman"/>
          </w:rPr>
          <w:t>https://www.unep.org/resources/report/unep-food-waste-index-report-2021</w:t>
        </w:r>
      </w:hyperlink>
      <w:r w:rsidRPr="00222E35">
        <w:rPr>
          <w:rFonts w:cs="Times New Roman"/>
        </w:rPr>
        <w:t> (Accessed: 13 October 2025).</w:t>
      </w:r>
    </w:p>
    <w:p w14:paraId="2CD44F06" w14:textId="77777777" w:rsidR="00222E35" w:rsidRPr="00222E35" w:rsidRDefault="00000000" w:rsidP="00222E35">
      <w:pPr>
        <w:rPr>
          <w:rFonts w:cs="Times New Roman"/>
        </w:rPr>
      </w:pPr>
      <w:r w:rsidRPr="00222E35">
        <w:rPr>
          <w:rFonts w:cs="Times New Roman"/>
        </w:rPr>
        <w:t>UNEP (2024) </w:t>
      </w:r>
      <w:r w:rsidRPr="00222E35">
        <w:rPr>
          <w:rFonts w:cs="Times New Roman"/>
          <w:i/>
          <w:iCs/>
        </w:rPr>
        <w:t>Food Waste Index Report 2024 — Overview and updates</w:t>
      </w:r>
      <w:r w:rsidRPr="00222E35">
        <w:rPr>
          <w:rFonts w:cs="Times New Roman"/>
        </w:rPr>
        <w:t>. United Nations Environment Programme. Available at: </w:t>
      </w:r>
      <w:hyperlink r:id="rId24" w:tgtFrame="_new" w:history="1">
        <w:r w:rsidR="00222E35" w:rsidRPr="00222E35">
          <w:rPr>
            <w:rStyle w:val="Hyperlink"/>
            <w:rFonts w:cs="Times New Roman"/>
          </w:rPr>
          <w:t>https://www.unep.org/resources/publication/food-waste-index-report-2024</w:t>
        </w:r>
      </w:hyperlink>
      <w:r w:rsidRPr="00222E35">
        <w:rPr>
          <w:rFonts w:cs="Times New Roman"/>
        </w:rPr>
        <w:t> (Accessed: 13 October 2025).</w:t>
      </w:r>
    </w:p>
    <w:p w14:paraId="67E8689A" w14:textId="77777777" w:rsidR="00222E35" w:rsidRPr="00222E35" w:rsidRDefault="00000000" w:rsidP="00222E35">
      <w:pPr>
        <w:rPr>
          <w:rFonts w:cs="Times New Roman"/>
        </w:rPr>
      </w:pPr>
      <w:r w:rsidRPr="00222E35">
        <w:rPr>
          <w:rFonts w:cs="Times New Roman"/>
        </w:rPr>
        <w:t xml:space="preserve">Winnow (2022). </w:t>
      </w:r>
      <w:r w:rsidRPr="00222E35">
        <w:rPr>
          <w:rFonts w:cs="Times New Roman"/>
          <w:i/>
          <w:iCs/>
        </w:rPr>
        <w:t>Winnow case studies and ROI data</w:t>
      </w:r>
      <w:r w:rsidRPr="00222E35">
        <w:rPr>
          <w:rFonts w:cs="Times New Roman"/>
        </w:rPr>
        <w:t>. Winnow Solutions. Available at: </w:t>
      </w:r>
      <w:hyperlink r:id="rId25" w:tgtFrame="_new" w:history="1">
        <w:r w:rsidR="00222E35" w:rsidRPr="00222E35">
          <w:rPr>
            <w:rStyle w:val="Hyperlink"/>
            <w:rFonts w:cs="Times New Roman"/>
          </w:rPr>
          <w:t>https://www.winnowsolutions.com/case-studies</w:t>
        </w:r>
      </w:hyperlink>
      <w:r w:rsidRPr="00222E35">
        <w:rPr>
          <w:rFonts w:cs="Times New Roman"/>
        </w:rPr>
        <w:t> (Accessed: 13 October 2025).</w:t>
      </w:r>
    </w:p>
    <w:p w14:paraId="5A01CA77" w14:textId="77777777" w:rsidR="00222E35" w:rsidRPr="00222E35" w:rsidRDefault="00000000" w:rsidP="00222E35">
      <w:pPr>
        <w:rPr>
          <w:rFonts w:cs="Times New Roman"/>
        </w:rPr>
      </w:pPr>
      <w:r w:rsidRPr="00222E35">
        <w:rPr>
          <w:rFonts w:cs="Times New Roman"/>
        </w:rPr>
        <w:t>WRAP (2018) </w:t>
      </w:r>
      <w:r w:rsidRPr="00222E35">
        <w:rPr>
          <w:rFonts w:cs="Times New Roman"/>
          <w:i/>
          <w:iCs/>
        </w:rPr>
        <w:t>The business case for reducing food loss and waste: Hotels</w:t>
      </w:r>
      <w:r w:rsidRPr="00222E35">
        <w:rPr>
          <w:rFonts w:cs="Times New Roman"/>
        </w:rPr>
        <w:t>. WRAP / Champions 12.3. Available at: </w:t>
      </w:r>
      <w:hyperlink r:id="rId26" w:tgtFrame="_new" w:history="1">
        <w:r w:rsidR="00222E35" w:rsidRPr="00222E35">
          <w:rPr>
            <w:rStyle w:val="Hyperlink"/>
            <w:rFonts w:cs="Times New Roman"/>
          </w:rPr>
          <w:t>https://www.wrap.org.uk/resources/report/business-case-reducing-food-loss-and-waste-hotels</w:t>
        </w:r>
      </w:hyperlink>
      <w:r w:rsidRPr="00222E35">
        <w:rPr>
          <w:rFonts w:cs="Times New Roman"/>
        </w:rPr>
        <w:t> (Accessed: 13 October 2025).</w:t>
      </w:r>
    </w:p>
    <w:p w14:paraId="11C10E00" w14:textId="77777777" w:rsidR="00222E35" w:rsidRPr="00222E35" w:rsidRDefault="00000000" w:rsidP="00222E35">
      <w:pPr>
        <w:rPr>
          <w:rFonts w:cs="Times New Roman"/>
        </w:rPr>
      </w:pPr>
      <w:r w:rsidRPr="00222E35">
        <w:rPr>
          <w:rFonts w:cs="Times New Roman"/>
        </w:rPr>
        <w:t>WRAP (2024) </w:t>
      </w:r>
      <w:r w:rsidRPr="00222E35">
        <w:rPr>
          <w:rFonts w:cs="Times New Roman"/>
          <w:i/>
          <w:iCs/>
        </w:rPr>
        <w:t>Hospitality and food service — sector overview &amp; surplus food guidance</w:t>
      </w:r>
      <w:r w:rsidRPr="00222E35">
        <w:rPr>
          <w:rFonts w:cs="Times New Roman"/>
        </w:rPr>
        <w:t>. WRAP. Available at: </w:t>
      </w:r>
      <w:hyperlink r:id="rId27" w:tgtFrame="_new" w:history="1">
        <w:r w:rsidR="00222E35" w:rsidRPr="00222E35">
          <w:rPr>
            <w:rStyle w:val="Hyperlink"/>
            <w:rFonts w:cs="Times New Roman"/>
          </w:rPr>
          <w:t>https://www.wrap.org.uk/taking-action/food-drink/sectors/hospitality-food-service</w:t>
        </w:r>
      </w:hyperlink>
      <w:r w:rsidRPr="00222E35">
        <w:rPr>
          <w:rFonts w:cs="Times New Roman"/>
        </w:rPr>
        <w:t> (Accessed: 13 October 2025).</w:t>
      </w:r>
    </w:p>
    <w:p w14:paraId="3642D684" w14:textId="77777777" w:rsidR="00222E35" w:rsidRPr="00222E35" w:rsidRDefault="00000000" w:rsidP="00222E35">
      <w:pPr>
        <w:rPr>
          <w:rFonts w:cs="Times New Roman"/>
        </w:rPr>
      </w:pPr>
      <w:r w:rsidRPr="00222E35">
        <w:rPr>
          <w:rFonts w:cs="Times New Roman"/>
        </w:rPr>
        <w:t xml:space="preserve">UKHospitality (2020). </w:t>
      </w:r>
      <w:r w:rsidRPr="00222E35">
        <w:rPr>
          <w:rFonts w:cs="Times New Roman"/>
          <w:i/>
          <w:iCs/>
        </w:rPr>
        <w:t>Sustainability guidance for hospitality businesses</w:t>
      </w:r>
      <w:r w:rsidRPr="00222E35">
        <w:rPr>
          <w:rFonts w:cs="Times New Roman"/>
        </w:rPr>
        <w:t>. UKHospitality. Available at: </w:t>
      </w:r>
      <w:hyperlink r:id="rId28" w:tgtFrame="_new" w:history="1">
        <w:r w:rsidR="00222E35" w:rsidRPr="00222E35">
          <w:rPr>
            <w:rStyle w:val="Hyperlink"/>
            <w:rFonts w:cs="Times New Roman"/>
          </w:rPr>
          <w:t>https://www.ukhospitality.org.uk/page/Sustainability</w:t>
        </w:r>
      </w:hyperlink>
      <w:r w:rsidRPr="00222E35">
        <w:rPr>
          <w:rFonts w:cs="Times New Roman"/>
        </w:rPr>
        <w:t> (Accessed: 13 October 2025).</w:t>
      </w:r>
    </w:p>
    <w:p w14:paraId="3D2C487D" w14:textId="77777777" w:rsidR="0086049D" w:rsidRPr="00222E35" w:rsidRDefault="0086049D" w:rsidP="00222E35">
      <w:pPr>
        <w:rPr>
          <w:rFonts w:cs="Times New Roman"/>
        </w:rPr>
      </w:pPr>
    </w:p>
    <w:sectPr w:rsidR="0086049D" w:rsidRPr="00222E35" w:rsidSect="00222E35">
      <w:footerReference w:type="even" r:id="rId2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CB13A" w14:textId="77777777" w:rsidR="008A6EEC" w:rsidRDefault="008A6EEC">
      <w:pPr>
        <w:spacing w:line="240" w:lineRule="auto"/>
      </w:pPr>
      <w:r>
        <w:separator/>
      </w:r>
    </w:p>
  </w:endnote>
  <w:endnote w:type="continuationSeparator" w:id="0">
    <w:p w14:paraId="51665F13" w14:textId="77777777" w:rsidR="008A6EEC" w:rsidRDefault="008A6E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8167270"/>
      <w:docPartObj>
        <w:docPartGallery w:val="Page Numbers (Bottom of Page)"/>
        <w:docPartUnique/>
      </w:docPartObj>
    </w:sdtPr>
    <w:sdtContent>
      <w:p w14:paraId="49FAF5A4" w14:textId="77777777" w:rsidR="00222E35" w:rsidRDefault="00000000" w:rsidP="004674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BAE796F" w14:textId="77777777" w:rsidR="00222E35" w:rsidRDefault="00222E35" w:rsidP="00222E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0445225"/>
      <w:docPartObj>
        <w:docPartGallery w:val="Page Numbers (Bottom of Page)"/>
        <w:docPartUnique/>
      </w:docPartObj>
    </w:sdtPr>
    <w:sdtContent>
      <w:p w14:paraId="44920BD0" w14:textId="77777777" w:rsidR="00222E35" w:rsidRDefault="00000000" w:rsidP="004674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DC097F" w14:textId="77777777" w:rsidR="00222E35" w:rsidRDefault="00222E35" w:rsidP="00222E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BE229" w14:textId="77777777" w:rsidR="008A6EEC" w:rsidRDefault="008A6EEC">
      <w:pPr>
        <w:spacing w:line="240" w:lineRule="auto"/>
      </w:pPr>
      <w:r>
        <w:separator/>
      </w:r>
    </w:p>
  </w:footnote>
  <w:footnote w:type="continuationSeparator" w:id="0">
    <w:p w14:paraId="2D11A56B" w14:textId="77777777" w:rsidR="008A6EEC" w:rsidRDefault="008A6E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5BD1"/>
    <w:multiLevelType w:val="multilevel"/>
    <w:tmpl w:val="5D785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32CE6"/>
    <w:multiLevelType w:val="multilevel"/>
    <w:tmpl w:val="3D1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372CA"/>
    <w:multiLevelType w:val="multilevel"/>
    <w:tmpl w:val="0C70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91B62"/>
    <w:multiLevelType w:val="multilevel"/>
    <w:tmpl w:val="8D02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8671B"/>
    <w:multiLevelType w:val="multilevel"/>
    <w:tmpl w:val="7058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92E7D"/>
    <w:multiLevelType w:val="multilevel"/>
    <w:tmpl w:val="34D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D13AB"/>
    <w:multiLevelType w:val="multilevel"/>
    <w:tmpl w:val="695C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C423B"/>
    <w:multiLevelType w:val="multilevel"/>
    <w:tmpl w:val="0A2EDB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053723"/>
    <w:multiLevelType w:val="multilevel"/>
    <w:tmpl w:val="D6B2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2E527C"/>
    <w:multiLevelType w:val="multilevel"/>
    <w:tmpl w:val="3E5C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0509B9"/>
    <w:multiLevelType w:val="multilevel"/>
    <w:tmpl w:val="7DDC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BF4F57"/>
    <w:multiLevelType w:val="multilevel"/>
    <w:tmpl w:val="005E8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BF1896"/>
    <w:multiLevelType w:val="multilevel"/>
    <w:tmpl w:val="B088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D2598"/>
    <w:multiLevelType w:val="multilevel"/>
    <w:tmpl w:val="E842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1417A"/>
    <w:multiLevelType w:val="multilevel"/>
    <w:tmpl w:val="3350E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0E6BEF"/>
    <w:multiLevelType w:val="multilevel"/>
    <w:tmpl w:val="0E4CF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A3465"/>
    <w:multiLevelType w:val="multilevel"/>
    <w:tmpl w:val="A678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31BB3"/>
    <w:multiLevelType w:val="multilevel"/>
    <w:tmpl w:val="91DAD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1572343">
    <w:abstractNumId w:val="13"/>
  </w:num>
  <w:num w:numId="2" w16cid:durableId="561137925">
    <w:abstractNumId w:val="4"/>
  </w:num>
  <w:num w:numId="3" w16cid:durableId="1558198160">
    <w:abstractNumId w:val="3"/>
  </w:num>
  <w:num w:numId="4" w16cid:durableId="547761060">
    <w:abstractNumId w:val="8"/>
  </w:num>
  <w:num w:numId="5" w16cid:durableId="154805235">
    <w:abstractNumId w:val="16"/>
  </w:num>
  <w:num w:numId="6" w16cid:durableId="1689602176">
    <w:abstractNumId w:val="10"/>
  </w:num>
  <w:num w:numId="7" w16cid:durableId="1393313582">
    <w:abstractNumId w:val="5"/>
  </w:num>
  <w:num w:numId="8" w16cid:durableId="1517504781">
    <w:abstractNumId w:val="14"/>
  </w:num>
  <w:num w:numId="9" w16cid:durableId="2047368937">
    <w:abstractNumId w:val="9"/>
  </w:num>
  <w:num w:numId="10" w16cid:durableId="566427704">
    <w:abstractNumId w:val="15"/>
  </w:num>
  <w:num w:numId="11" w16cid:durableId="760293835">
    <w:abstractNumId w:val="6"/>
  </w:num>
  <w:num w:numId="12" w16cid:durableId="291332128">
    <w:abstractNumId w:val="1"/>
  </w:num>
  <w:num w:numId="13" w16cid:durableId="1105344721">
    <w:abstractNumId w:val="2"/>
  </w:num>
  <w:num w:numId="14" w16cid:durableId="146437921">
    <w:abstractNumId w:val="12"/>
  </w:num>
  <w:num w:numId="15" w16cid:durableId="243532088">
    <w:abstractNumId w:val="17"/>
  </w:num>
  <w:num w:numId="16" w16cid:durableId="281494899">
    <w:abstractNumId w:val="11"/>
  </w:num>
  <w:num w:numId="17" w16cid:durableId="293676936">
    <w:abstractNumId w:val="0"/>
  </w:num>
  <w:num w:numId="18" w16cid:durableId="8778134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0E7"/>
    <w:rsid w:val="00185BB4"/>
    <w:rsid w:val="00222E35"/>
    <w:rsid w:val="003A6434"/>
    <w:rsid w:val="003C4C30"/>
    <w:rsid w:val="0046746A"/>
    <w:rsid w:val="006E63D1"/>
    <w:rsid w:val="006F23C7"/>
    <w:rsid w:val="00772430"/>
    <w:rsid w:val="0086049D"/>
    <w:rsid w:val="008A6EEC"/>
    <w:rsid w:val="009675F2"/>
    <w:rsid w:val="00AF5FA0"/>
    <w:rsid w:val="00C55DE0"/>
    <w:rsid w:val="00C630E7"/>
    <w:rsid w:val="00C96DB0"/>
    <w:rsid w:val="00F1564F"/>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28CE2"/>
  <w15:chartTrackingRefBased/>
  <w15:docId w15:val="{F221A6C0-FA53-A94F-9032-380AD5E8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185BB4"/>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3C4C30"/>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after="120"/>
      <w:jc w:val="left"/>
    </w:pPr>
    <w:rPr>
      <w:rFonts w:asciiTheme="minorHAnsi" w:hAnsiTheme="minorHAnsi"/>
      <w:b/>
      <w:bCs/>
      <w:caps/>
      <w:sz w:val="20"/>
      <w:szCs w:val="20"/>
    </w:rPr>
  </w:style>
  <w:style w:type="character" w:customStyle="1" w:styleId="Heading3Char">
    <w:name w:val="Heading 3 Char"/>
    <w:basedOn w:val="DefaultParagraphFont"/>
    <w:link w:val="Heading3"/>
    <w:uiPriority w:val="9"/>
    <w:rsid w:val="003C4C30"/>
    <w:rPr>
      <w:rFonts w:ascii="Times New Roman" w:eastAsiaTheme="majorEastAsia" w:hAnsi="Times New Roman" w:cstheme="majorBidi"/>
      <w:b/>
      <w:lang w:val="en-GB"/>
    </w:rPr>
  </w:style>
  <w:style w:type="paragraph" w:customStyle="1" w:styleId="p1">
    <w:name w:val="p1"/>
    <w:basedOn w:val="Normal"/>
    <w:rsid w:val="00C630E7"/>
    <w:pPr>
      <w:spacing w:line="240" w:lineRule="auto"/>
      <w:jc w:val="left"/>
    </w:pPr>
    <w:rPr>
      <w:rFonts w:ascii="Arial" w:eastAsia="Times New Roman" w:hAnsi="Arial" w:cs="Arial"/>
      <w:color w:val="FB0007"/>
      <w:kern w:val="0"/>
      <w:sz w:val="17"/>
      <w:szCs w:val="17"/>
      <w:lang w:val="" w:eastAsia="en-GB"/>
      <w14:ligatures w14:val="none"/>
    </w:rPr>
  </w:style>
  <w:style w:type="paragraph" w:customStyle="1" w:styleId="p2">
    <w:name w:val="p2"/>
    <w:basedOn w:val="Normal"/>
    <w:rsid w:val="00C630E7"/>
    <w:pPr>
      <w:spacing w:line="240" w:lineRule="auto"/>
      <w:jc w:val="left"/>
    </w:pPr>
    <w:rPr>
      <w:rFonts w:ascii="Arial" w:eastAsia="Times New Roman" w:hAnsi="Arial" w:cs="Arial"/>
      <w:color w:val="000000"/>
      <w:kern w:val="0"/>
      <w:sz w:val="17"/>
      <w:szCs w:val="17"/>
      <w:lang w:val="" w:eastAsia="en-GB"/>
      <w14:ligatures w14:val="none"/>
    </w:rPr>
  </w:style>
  <w:style w:type="character" w:customStyle="1" w:styleId="s1">
    <w:name w:val="s1"/>
    <w:basedOn w:val="DefaultParagraphFont"/>
    <w:rsid w:val="00C630E7"/>
    <w:rPr>
      <w:color w:val="000000"/>
    </w:rPr>
  </w:style>
  <w:style w:type="character" w:customStyle="1" w:styleId="s2">
    <w:name w:val="s2"/>
    <w:basedOn w:val="DefaultParagraphFont"/>
    <w:rsid w:val="00C630E7"/>
    <w:rPr>
      <w:rFonts w:ascii="Wingdings" w:hAnsi="Wingdings" w:hint="default"/>
      <w:sz w:val="17"/>
      <w:szCs w:val="17"/>
    </w:rPr>
  </w:style>
  <w:style w:type="paragraph" w:customStyle="1" w:styleId="p3">
    <w:name w:val="p3"/>
    <w:basedOn w:val="Normal"/>
    <w:rsid w:val="00C630E7"/>
    <w:pPr>
      <w:spacing w:line="240" w:lineRule="auto"/>
      <w:jc w:val="left"/>
    </w:pPr>
    <w:rPr>
      <w:rFonts w:ascii="Arial" w:eastAsia="Times New Roman" w:hAnsi="Arial" w:cs="Arial"/>
      <w:color w:val="222324"/>
      <w:kern w:val="0"/>
      <w:sz w:val="18"/>
      <w:szCs w:val="18"/>
      <w:lang w:val="" w:eastAsia="en-GB"/>
      <w14:ligatures w14:val="none"/>
    </w:rPr>
  </w:style>
  <w:style w:type="character" w:styleId="Hyperlink">
    <w:name w:val="Hyperlink"/>
    <w:basedOn w:val="DefaultParagraphFont"/>
    <w:uiPriority w:val="99"/>
    <w:unhideWhenUsed/>
    <w:rsid w:val="00C55DE0"/>
    <w:rPr>
      <w:color w:val="0563C1" w:themeColor="hyperlink"/>
      <w:u w:val="single"/>
    </w:rPr>
  </w:style>
  <w:style w:type="character" w:styleId="UnresolvedMention">
    <w:name w:val="Unresolved Mention"/>
    <w:basedOn w:val="DefaultParagraphFont"/>
    <w:uiPriority w:val="99"/>
    <w:semiHidden/>
    <w:unhideWhenUsed/>
    <w:rsid w:val="00C55DE0"/>
    <w:rPr>
      <w:color w:val="605E5C"/>
      <w:shd w:val="clear" w:color="auto" w:fill="E1DFDD"/>
    </w:rPr>
  </w:style>
  <w:style w:type="paragraph" w:styleId="ListParagraph">
    <w:name w:val="List Paragraph"/>
    <w:basedOn w:val="Normal"/>
    <w:uiPriority w:val="34"/>
    <w:qFormat/>
    <w:rsid w:val="0086049D"/>
    <w:pPr>
      <w:ind w:left="720"/>
      <w:contextualSpacing/>
    </w:pPr>
  </w:style>
  <w:style w:type="paragraph" w:styleId="Footer">
    <w:name w:val="footer"/>
    <w:basedOn w:val="Normal"/>
    <w:link w:val="FooterChar"/>
    <w:uiPriority w:val="99"/>
    <w:unhideWhenUsed/>
    <w:rsid w:val="00222E35"/>
    <w:pPr>
      <w:tabs>
        <w:tab w:val="center" w:pos="4513"/>
        <w:tab w:val="right" w:pos="9026"/>
      </w:tabs>
      <w:spacing w:line="240" w:lineRule="auto"/>
    </w:pPr>
  </w:style>
  <w:style w:type="character" w:customStyle="1" w:styleId="FooterChar">
    <w:name w:val="Footer Char"/>
    <w:basedOn w:val="DefaultParagraphFont"/>
    <w:link w:val="Footer"/>
    <w:uiPriority w:val="99"/>
    <w:rsid w:val="00222E35"/>
    <w:rPr>
      <w:rFonts w:ascii="Times New Roman" w:hAnsi="Times New Roman" w:cs="Vrinda"/>
      <w:lang w:val="en-GB"/>
    </w:rPr>
  </w:style>
  <w:style w:type="character" w:styleId="PageNumber">
    <w:name w:val="page number"/>
    <w:basedOn w:val="DefaultParagraphFont"/>
    <w:uiPriority w:val="99"/>
    <w:semiHidden/>
    <w:unhideWhenUsed/>
    <w:rsid w:val="00222E35"/>
  </w:style>
  <w:style w:type="paragraph" w:styleId="TOCHeading">
    <w:name w:val="TOC Heading"/>
    <w:basedOn w:val="Heading1"/>
    <w:next w:val="Normal"/>
    <w:uiPriority w:val="39"/>
    <w:unhideWhenUsed/>
    <w:qFormat/>
    <w:rsid w:val="00222E35"/>
    <w:pPr>
      <w:spacing w:before="480" w:line="276" w:lineRule="auto"/>
      <w:jc w:val="left"/>
      <w:outlineLvl w:val="9"/>
    </w:pPr>
    <w:rPr>
      <w:rFonts w:asciiTheme="majorHAnsi" w:hAnsiTheme="majorHAnsi"/>
      <w:bCs/>
      <w:kern w:val="0"/>
      <w:sz w:val="28"/>
      <w:szCs w:val="28"/>
      <w:lang w:val="en-US" w:bidi="ar-SA"/>
      <w14:ligatures w14:val="none"/>
    </w:rPr>
  </w:style>
  <w:style w:type="paragraph" w:styleId="TOC2">
    <w:name w:val="toc 2"/>
    <w:basedOn w:val="Normal"/>
    <w:next w:val="Normal"/>
    <w:autoRedefine/>
    <w:uiPriority w:val="39"/>
    <w:unhideWhenUsed/>
    <w:rsid w:val="00222E35"/>
    <w:pPr>
      <w:ind w:left="240"/>
      <w:jc w:val="left"/>
    </w:pPr>
    <w:rPr>
      <w:rFonts w:asciiTheme="minorHAnsi" w:hAnsiTheme="minorHAnsi"/>
      <w:smallCaps/>
      <w:sz w:val="20"/>
      <w:szCs w:val="20"/>
    </w:rPr>
  </w:style>
  <w:style w:type="paragraph" w:styleId="TOC3">
    <w:name w:val="toc 3"/>
    <w:basedOn w:val="Normal"/>
    <w:next w:val="Normal"/>
    <w:autoRedefine/>
    <w:uiPriority w:val="39"/>
    <w:semiHidden/>
    <w:unhideWhenUsed/>
    <w:rsid w:val="00222E35"/>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222E35"/>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222E35"/>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222E35"/>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222E35"/>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222E35"/>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222E35"/>
    <w:pPr>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lenmacarthurfoundation.org/topics/circular-economy-introduction/overview?utm_source=chatgpt.com" TargetMode="External"/><Relationship Id="rId18" Type="http://schemas.openxmlformats.org/officeDocument/2006/relationships/hyperlink" Target="https://recyclingworksma.com/wp-content/uploads/2019/07/The-Lenox-Hotel-Case-Study_2019-1.pdf?utm_source=chatgpt.com" TargetMode="External"/><Relationship Id="rId26" Type="http://schemas.openxmlformats.org/officeDocument/2006/relationships/hyperlink" Target="https://www.wrap.org.uk/resources/report/business-case-reducing-food-loss-and-waste-hotels" TargetMode="External"/><Relationship Id="rId3" Type="http://schemas.openxmlformats.org/officeDocument/2006/relationships/styles" Target="styles.xml"/><Relationship Id="rId21" Type="http://schemas.openxmlformats.org/officeDocument/2006/relationships/hyperlink" Target="https://www.premierinn.com/gb/en/news/2020/fareshare.html?utm_source=chatgpt.com" TargetMode="External"/><Relationship Id="rId7" Type="http://schemas.openxmlformats.org/officeDocument/2006/relationships/endnotes" Target="endnotes.xml"/><Relationship Id="rId12" Type="http://schemas.openxmlformats.org/officeDocument/2006/relationships/hyperlink" Target="https://www.gov.uk/government/statistics/uk-waste-data/uk-statistics-on-waste?utm_source=chatgpt.com" TargetMode="External"/><Relationship Id="rId17" Type="http://schemas.openxmlformats.org/officeDocument/2006/relationships/hyperlink" Target="https://www.leanpath.com/case-studies" TargetMode="External"/><Relationship Id="rId25" Type="http://schemas.openxmlformats.org/officeDocument/2006/relationships/hyperlink" Target="https://www.winnowsolutions.com/case-studies" TargetMode="External"/><Relationship Id="rId2" Type="http://schemas.openxmlformats.org/officeDocument/2006/relationships/numbering" Target="numbering.xml"/><Relationship Id="rId16" Type="http://schemas.openxmlformats.org/officeDocument/2006/relationships/hyperlink" Target="https://www.food.gov.uk/safety-hygiene/food-safety-for-businesses/food-donation-guidance" TargetMode="External"/><Relationship Id="rId20" Type="http://schemas.openxmlformats.org/officeDocument/2006/relationships/hyperlink" Target="https://www.mckinsey.com/featured-insights/mckinsey-explainers/what-is-the-future-of-travel?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11799730/" TargetMode="External"/><Relationship Id="rId24" Type="http://schemas.openxmlformats.org/officeDocument/2006/relationships/hyperlink" Target="https://www.unep.org/resources/publication/food-waste-index-report-2024?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tlas.foodbanking.org/wp-content/uploads/2023/11/UK-Legal-Guide-v2-1.pdf?utm_source=chatgpt.com" TargetMode="External"/><Relationship Id="rId23" Type="http://schemas.openxmlformats.org/officeDocument/2006/relationships/hyperlink" Target="https://www.unep.org/resources/report/unep-food-waste-index-report-2021?utm_source=chatgpt.com" TargetMode="External"/><Relationship Id="rId28" Type="http://schemas.openxmlformats.org/officeDocument/2006/relationships/hyperlink" Target="https://www.ukhospitality.org.uk/page/Sustainability" TargetMode="External"/><Relationship Id="rId10" Type="http://schemas.openxmlformats.org/officeDocument/2006/relationships/hyperlink" Target="https://champions123.org/publication/business-case-reducing-food-loss-and-waste-hotels?utm_source=chatgpt.com" TargetMode="External"/><Relationship Id="rId19" Type="http://schemas.openxmlformats.org/officeDocument/2006/relationships/hyperlink" Target="https://marriott.pressarea.com/en/news/17102024/marriott-hotels-uk-ireland-and-nordics-launches-initiative-to-reduce-food-waste-across-53-hotels-1?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group.accor.com/yrj0orc8tx24/4ShlxMwCXfMzSRAAu3JOR5/efc179240cf0238e6419b11d2efef85a/Accor-Circular-Economy-Policy_2024.pdf?utm_source=chatgpt.com" TargetMode="External"/><Relationship Id="rId14" Type="http://schemas.openxmlformats.org/officeDocument/2006/relationships/hyperlink" Target="https://www.fao.org/3/cb4476en/online/cb4476en.html" TargetMode="External"/><Relationship Id="rId22" Type="http://schemas.openxmlformats.org/officeDocument/2006/relationships/hyperlink" Target="https://sustainablehospitalityalliance.org/wp-content/uploads/2021/06/Food-waste-factsheet-1.pdf?utm_source=chatgpt.com" TargetMode="External"/><Relationship Id="rId27" Type="http://schemas.openxmlformats.org/officeDocument/2006/relationships/hyperlink" Target="https://www.wrap.org.uk/taking-action/food-drink/sectors/hospitality-food-service"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C7759-8449-0E4B-A824-442FB8DF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4927</Words>
  <Characters>28088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2</cp:revision>
  <dcterms:created xsi:type="dcterms:W3CDTF">2025-10-29T19:24:00Z</dcterms:created>
  <dcterms:modified xsi:type="dcterms:W3CDTF">2025-10-29T19:24:00Z</dcterms:modified>
  <cp:category/>
</cp:coreProperties>
</file>