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5E65EA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028A0">
              <w:rPr>
                <w:b/>
                <w:color w:val="auto"/>
                <w:sz w:val="32"/>
              </w:rPr>
              <w:t>Kieron McCaffrey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2F9C11A" w:rsidR="005A1BA3" w:rsidRDefault="001028A0" w:rsidP="00340E9A">
            <w:pPr>
              <w:overflowPunct/>
              <w:autoSpaceDE/>
              <w:autoSpaceDN/>
              <w:adjustRightInd/>
              <w:ind w:right="237"/>
              <w:textAlignment w:val="auto"/>
              <w:rPr>
                <w:b/>
                <w:color w:val="auto"/>
                <w:sz w:val="32"/>
              </w:rPr>
            </w:pPr>
            <w:r>
              <w:rPr>
                <w:b/>
                <w:color w:val="auto"/>
                <w:sz w:val="32"/>
              </w:rPr>
              <w:t>1815590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w:t>
      </w:r>
      <w:proofErr w:type="gramStart"/>
      <w:r w:rsidRPr="00D93CA6">
        <w:rPr>
          <w:rFonts w:eastAsia="Arial"/>
          <w:b/>
          <w:color w:val="000000" w:themeColor="text1"/>
          <w:sz w:val="24"/>
          <w:szCs w:val="24"/>
        </w:rPr>
        <w:t xml:space="preserve">to </w:t>
      </w:r>
      <w:r w:rsidR="0081788E">
        <w:rPr>
          <w:rFonts w:eastAsia="Arial"/>
          <w:b/>
          <w:color w:val="000000" w:themeColor="text1"/>
          <w:sz w:val="24"/>
          <w:szCs w:val="24"/>
        </w:rPr>
        <w:t xml:space="preserve"> </w:t>
      </w:r>
      <w:r w:rsidRPr="00D93CA6">
        <w:rPr>
          <w:rFonts w:eastAsia="Arial"/>
          <w:b/>
          <w:color w:val="000000" w:themeColor="text1"/>
          <w:sz w:val="24"/>
          <w:szCs w:val="24"/>
        </w:rPr>
        <w:t>elements</w:t>
      </w:r>
      <w:proofErr w:type="gramEnd"/>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3B9BEF73" w14:textId="4D5B854A" w:rsidR="008B28E7" w:rsidRDefault="008B28E7" w:rsidP="5848403C">
      <w:pPr>
        <w:ind w:right="237"/>
        <w:jc w:val="both"/>
        <w:rPr>
          <w:sz w:val="24"/>
          <w:szCs w:val="24"/>
          <w:highlight w:val="yellow"/>
        </w:rPr>
      </w:pPr>
    </w:p>
    <w:p w14:paraId="2572C327" w14:textId="77777777" w:rsidR="00BF75A9" w:rsidRPr="00270EEB" w:rsidRDefault="00BF75A9" w:rsidP="5848403C">
      <w:pPr>
        <w:ind w:right="237"/>
        <w:jc w:val="both"/>
        <w:rPr>
          <w:sz w:val="24"/>
          <w:szCs w:val="24"/>
          <w:highlight w:val="yellow"/>
        </w:rPr>
      </w:pPr>
    </w:p>
    <w:p w14:paraId="1073C960" w14:textId="0A0F73EB"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How should the workbook be presented?</w:t>
      </w:r>
    </w:p>
    <w:p w14:paraId="2348424D" w14:textId="5FD4142D" w:rsidR="5848403C" w:rsidRDefault="5848403C" w:rsidP="5848403C">
      <w:pPr>
        <w:jc w:val="both"/>
        <w:rPr>
          <w:rFonts w:eastAsia="Arial"/>
          <w:color w:val="000000" w:themeColor="text1"/>
          <w:sz w:val="24"/>
          <w:szCs w:val="24"/>
        </w:rPr>
      </w:pPr>
    </w:p>
    <w:p w14:paraId="1F1F2734" w14:textId="092FCA57" w:rsidR="00B66369"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49901740" w14:textId="7DFFEEC3" w:rsidR="5848403C" w:rsidRDefault="5848403C" w:rsidP="5848403C">
      <w:pPr>
        <w:jc w:val="both"/>
        <w:rPr>
          <w:rFonts w:eastAsia="Arial"/>
          <w:color w:val="000000" w:themeColor="text1"/>
          <w:sz w:val="24"/>
          <w:szCs w:val="24"/>
        </w:rPr>
      </w:pPr>
    </w:p>
    <w:p w14:paraId="73840992" w14:textId="359B1324"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How is the workbook assessed?</w:t>
      </w:r>
    </w:p>
    <w:p w14:paraId="4FFA5420" w14:textId="375CB4C4" w:rsidR="5848403C" w:rsidRDefault="5848403C" w:rsidP="5848403C">
      <w:pPr>
        <w:jc w:val="both"/>
        <w:rPr>
          <w:rFonts w:eastAsia="Arial"/>
          <w:color w:val="000000" w:themeColor="text1"/>
          <w:sz w:val="24"/>
          <w:szCs w:val="24"/>
        </w:rPr>
      </w:pPr>
    </w:p>
    <w:p w14:paraId="61D52A92" w14:textId="70DE46D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Advice and support about the completion of this workbook will be provided by university staff as part</w:t>
      </w:r>
      <w:r w:rsidR="00D951B9">
        <w:rPr>
          <w:rFonts w:eastAsia="Arial"/>
          <w:color w:val="000000" w:themeColor="text1"/>
          <w:sz w:val="24"/>
          <w:szCs w:val="24"/>
        </w:rPr>
        <w:t xml:space="preserve"> of your initial training day. </w:t>
      </w:r>
      <w:r w:rsidRPr="5848403C">
        <w:rPr>
          <w:rFonts w:eastAsia="Arial"/>
          <w:color w:val="000000" w:themeColor="text1"/>
          <w:sz w:val="24"/>
          <w:szCs w:val="24"/>
        </w:rPr>
        <w:t xml:space="preserve">Your tutor constable and in-force training staff will not be involved in assessing or marking your workbook after it has been submitted. </w:t>
      </w:r>
    </w:p>
    <w:p w14:paraId="21A96553" w14:textId="2952EB29" w:rsidR="5848403C" w:rsidRDefault="5848403C" w:rsidP="5848403C">
      <w:pPr>
        <w:jc w:val="both"/>
        <w:rPr>
          <w:rFonts w:eastAsia="Arial"/>
          <w:color w:val="000000" w:themeColor="text1"/>
          <w:sz w:val="24"/>
          <w:szCs w:val="24"/>
        </w:rPr>
      </w:pPr>
    </w:p>
    <w:p w14:paraId="781ACD54" w14:textId="35724F4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Dates of workbook submission will be made available during the initial training day and posted on Moodle.</w:t>
      </w:r>
    </w:p>
    <w:p w14:paraId="61051D5F" w14:textId="501332F6" w:rsidR="5848403C" w:rsidRDefault="5848403C" w:rsidP="5848403C">
      <w:pPr>
        <w:jc w:val="both"/>
        <w:rPr>
          <w:rFonts w:eastAsia="Arial"/>
          <w:color w:val="000000" w:themeColor="text1"/>
          <w:sz w:val="24"/>
          <w:szCs w:val="24"/>
        </w:rPr>
      </w:pPr>
    </w:p>
    <w:p w14:paraId="77A8A7A3" w14:textId="22149CC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Once submitted your workbook will be assessed and marked independently.</w:t>
      </w:r>
    </w:p>
    <w:p w14:paraId="62D7F2AE" w14:textId="66D8CE3D" w:rsidR="5848403C" w:rsidRDefault="5848403C" w:rsidP="5848403C">
      <w:pPr>
        <w:jc w:val="both"/>
        <w:rPr>
          <w:rFonts w:eastAsia="Arial"/>
          <w:color w:val="000000" w:themeColor="text1"/>
          <w:sz w:val="24"/>
          <w:szCs w:val="24"/>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 xml:space="preserve">You should use this </w:t>
      </w:r>
      <w:proofErr w:type="gramStart"/>
      <w:r w:rsidRPr="5848403C">
        <w:rPr>
          <w:rFonts w:eastAsia="Arial"/>
          <w:i/>
          <w:iCs/>
          <w:color w:val="000000" w:themeColor="text1"/>
          <w:sz w:val="24"/>
          <w:szCs w:val="24"/>
        </w:rPr>
        <w:t>particular document</w:t>
      </w:r>
      <w:proofErr w:type="gramEnd"/>
      <w:r w:rsidRPr="5848403C">
        <w:rPr>
          <w:rFonts w:eastAsia="Arial"/>
          <w:i/>
          <w:iCs/>
          <w:color w:val="000000" w:themeColor="text1"/>
          <w:sz w:val="24"/>
          <w:szCs w:val="24"/>
        </w:rPr>
        <w:t xml:space="preserve">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5084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1527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E18831D" w14:textId="627DBF8B"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In my workbook I have used the Gibbs Model of Reflection (1988) to structure my answers to enable me to critically analyse the situations.</w:t>
      </w:r>
    </w:p>
    <w:p w14:paraId="1D6ACFBF"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Description</w:t>
      </w:r>
    </w:p>
    <w:p w14:paraId="25B08E8E"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During my twelve weeks of tutorship following on from my initial six months training I expanded on my knowledge already learnt but more so practically than theory based. I will reflect on my tutorship.</w:t>
      </w:r>
    </w:p>
    <w:p w14:paraId="0159B1F6"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Feelings</w:t>
      </w:r>
    </w:p>
    <w:p w14:paraId="690CCBB5"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My feelings during the twelve weeks were that I had a lot to learn and remember on top of adjusting to a new shift pattern and working with new people. I found it difficult at first and over whelming. It was stressful as I needed to adjust my personal life in line with the shift patterns. I have a young son who lives in mid Wales and I felt that the change in shift pattern was going to put a strain on my relationship with him, which is very important to me. I also felt isolated as I did not know the area I was covering or anybody who worked at the station.</w:t>
      </w:r>
    </w:p>
    <w:p w14:paraId="2AEFD871"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Evaluation</w:t>
      </w:r>
    </w:p>
    <w:p w14:paraId="4E4F2564"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 xml:space="preserve">The good thing about the tutorship was that I was paired with an experienced officer who had been on the same team for all their service so far, so they have a good relationship with all my other team members. This made it easier for me to be introduced and build up rapports, because essentially although my tutor was there to help me adapt to my role as a response officer, they were also what I would describe as a comfort blanket. I have always struggled with social situations and looking back on my experience and the support my tutor gave me, I feel as if they have helped me massively. The bad thing about the experience was that because I struggle with social situations it was just an added stress that I had to manage on top of the new learning I did as a new response officer and the changes to my schedule out of work, such as seeing my son. Although having my tutor was a good experience, spending twelve weeks with the same person and learning their way of approaching </w:t>
      </w:r>
      <w:r w:rsidRPr="001028A0">
        <w:rPr>
          <w:rFonts w:asciiTheme="minorHAnsi" w:eastAsiaTheme="minorHAnsi" w:hAnsiTheme="minorHAnsi" w:cstheme="minorHAnsi"/>
          <w:color w:val="auto"/>
          <w:sz w:val="24"/>
          <w:szCs w:val="24"/>
          <w:lang w:eastAsia="en-US"/>
        </w:rPr>
        <w:lastRenderedPageBreak/>
        <w:t>situations has left me struggling with adapting to the way my other team members approach things as everyone is different. It was good that I have extended family members who could assist with the travelling and the relationship with my son, this enabled me to continue with my coping strategies I talked about in my first workbook.</w:t>
      </w:r>
    </w:p>
    <w:p w14:paraId="4D5A4BF6"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Analysis</w:t>
      </w:r>
    </w:p>
    <w:p w14:paraId="1C210605"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What I have learnt and understand during my time with my tutor is that although the initial six months training teaches you the basics of what may happen and how to deal with things, it is different to doing the job practically. During training we were not taught how to manage our workload, which if not managed I can imagine can add extra pressure and undue stress. I also learnt that some things that were focussed on more closely such as public order I have not dealt with as much as the more common calls I attend such as malicious communication.</w:t>
      </w:r>
    </w:p>
    <w:p w14:paraId="39F0A5A4"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Conclusions</w:t>
      </w:r>
    </w:p>
    <w:p w14:paraId="600F446A"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In conclusion I could have developed more coping strategies, however the coping strategies I have such as talking to my wife and going to the gym have helped me and with the changes I was dealing with going from working Monday to Friday to the shift pattern I work now. People say that change is always a big thing however “</w:t>
      </w:r>
      <w:r w:rsidRPr="001028A0">
        <w:rPr>
          <w:rFonts w:asciiTheme="minorHAnsi" w:eastAsiaTheme="minorHAnsi" w:hAnsiTheme="minorHAnsi" w:cstheme="minorHAnsi"/>
          <w:color w:val="2C2F34"/>
          <w:sz w:val="24"/>
          <w:szCs w:val="24"/>
          <w:shd w:val="clear" w:color="auto" w:fill="FFFFFF"/>
          <w:lang w:eastAsia="en-US"/>
        </w:rPr>
        <w:t xml:space="preserve">The thing about change that scares some people is that they assume it has to be gigantic life changes. That’s not necessarily the case.” </w:t>
      </w:r>
      <w:sdt>
        <w:sdtPr>
          <w:rPr>
            <w:rFonts w:asciiTheme="minorHAnsi" w:eastAsiaTheme="minorHAnsi" w:hAnsiTheme="minorHAnsi" w:cstheme="minorHAnsi"/>
            <w:color w:val="2C2F34"/>
            <w:sz w:val="24"/>
            <w:szCs w:val="24"/>
            <w:shd w:val="clear" w:color="auto" w:fill="FFFFFF"/>
            <w:lang w:eastAsia="en-US"/>
          </w:rPr>
          <w:id w:val="-1124453604"/>
          <w:citation/>
        </w:sdtPr>
        <w:sdtEndPr/>
        <w:sdtContent>
          <w:r w:rsidRPr="001028A0">
            <w:rPr>
              <w:rFonts w:asciiTheme="minorHAnsi" w:eastAsiaTheme="minorHAnsi" w:hAnsiTheme="minorHAnsi" w:cstheme="minorHAnsi"/>
              <w:color w:val="2C2F34"/>
              <w:sz w:val="24"/>
              <w:szCs w:val="24"/>
              <w:shd w:val="clear" w:color="auto" w:fill="FFFFFF"/>
              <w:lang w:eastAsia="en-US"/>
            </w:rPr>
            <w:fldChar w:fldCharType="begin"/>
          </w:r>
          <w:r w:rsidRPr="001028A0">
            <w:rPr>
              <w:rFonts w:asciiTheme="minorHAnsi" w:eastAsiaTheme="minorHAnsi" w:hAnsiTheme="minorHAnsi" w:cstheme="minorHAnsi"/>
              <w:color w:val="2C2F34"/>
              <w:sz w:val="24"/>
              <w:szCs w:val="24"/>
              <w:shd w:val="clear" w:color="auto" w:fill="FFFFFF"/>
              <w:lang w:eastAsia="en-US"/>
            </w:rPr>
            <w:instrText xml:space="preserve"> CITATION Com14 \l 2057 </w:instrText>
          </w:r>
          <w:r w:rsidRPr="001028A0">
            <w:rPr>
              <w:rFonts w:asciiTheme="minorHAnsi" w:eastAsiaTheme="minorHAnsi" w:hAnsiTheme="minorHAnsi" w:cstheme="minorHAnsi"/>
              <w:color w:val="2C2F34"/>
              <w:sz w:val="24"/>
              <w:szCs w:val="24"/>
              <w:shd w:val="clear" w:color="auto" w:fill="FFFFFF"/>
              <w:lang w:eastAsia="en-US"/>
            </w:rPr>
            <w:fldChar w:fldCharType="separate"/>
          </w:r>
          <w:r w:rsidRPr="001028A0">
            <w:rPr>
              <w:rFonts w:asciiTheme="minorHAnsi" w:eastAsiaTheme="minorHAnsi" w:hAnsiTheme="minorHAnsi" w:cstheme="minorHAnsi"/>
              <w:noProof/>
              <w:color w:val="2C2F34"/>
              <w:sz w:val="24"/>
              <w:szCs w:val="24"/>
              <w:shd w:val="clear" w:color="auto" w:fill="FFFFFF"/>
              <w:lang w:eastAsia="en-US"/>
            </w:rPr>
            <w:t>(writer, 2014)</w:t>
          </w:r>
          <w:r w:rsidRPr="001028A0">
            <w:rPr>
              <w:rFonts w:asciiTheme="minorHAnsi" w:eastAsiaTheme="minorHAnsi" w:hAnsiTheme="minorHAnsi" w:cstheme="minorHAnsi"/>
              <w:color w:val="2C2F34"/>
              <w:sz w:val="24"/>
              <w:szCs w:val="24"/>
              <w:shd w:val="clear" w:color="auto" w:fill="FFFFFF"/>
              <w:lang w:eastAsia="en-US"/>
            </w:rPr>
            <w:fldChar w:fldCharType="end"/>
          </w:r>
        </w:sdtContent>
      </w:sdt>
      <w:r w:rsidRPr="001028A0">
        <w:rPr>
          <w:rFonts w:asciiTheme="minorHAnsi" w:eastAsiaTheme="minorHAnsi" w:hAnsiTheme="minorHAnsi" w:cstheme="minorHAnsi"/>
          <w:color w:val="2C2F34"/>
          <w:sz w:val="24"/>
          <w:szCs w:val="24"/>
          <w:shd w:val="clear" w:color="auto" w:fill="FFFFFF"/>
          <w:lang w:eastAsia="en-US"/>
        </w:rPr>
        <w:t>.</w:t>
      </w:r>
    </w:p>
    <w:p w14:paraId="44C08D6B"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Action plan</w:t>
      </w:r>
    </w:p>
    <w:p w14:paraId="29FE25D4"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If I could go back to my tutorship phase I would suggest that the tutorship time is split up and that I would be given time to work with other experienced people. Moving forward I will investigate other coping strategies as change is good.</w:t>
      </w:r>
    </w:p>
    <w:p w14:paraId="15FDF555"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 xml:space="preserve"> (Word count 626)</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0D2A1875" w:rsidR="00AA666E" w:rsidRDefault="00AA666E" w:rsidP="00340E9A">
      <w:pPr>
        <w:ind w:right="237"/>
        <w:jc w:val="both"/>
        <w:rPr>
          <w:sz w:val="24"/>
          <w:szCs w:val="24"/>
        </w:rPr>
      </w:pPr>
    </w:p>
    <w:p w14:paraId="6B3A0C0E"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Description</w:t>
      </w:r>
    </w:p>
    <w:p w14:paraId="2CED5AB1"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I attended a call with my colleague for a suicidal male who had left their property saying that they were going to harm themselves. The subject lives with his family who made the phone call to the police. On arrival at the address there was a communication barrier with the mother due to her being deaf. We have located the male and established that the suicidal thoughts were due to his relationship breakdown a few months earlier. I have taken the subject to the local hospital to be assessed by the mental health team.</w:t>
      </w:r>
    </w:p>
    <w:p w14:paraId="28BCF778"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Feelings</w:t>
      </w:r>
    </w:p>
    <w:p w14:paraId="746E6EC9"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262626"/>
          <w:sz w:val="24"/>
          <w:szCs w:val="24"/>
          <w:shd w:val="clear" w:color="auto" w:fill="FFFFFF"/>
          <w:lang w:eastAsia="en-US"/>
        </w:rPr>
      </w:pPr>
      <w:r w:rsidRPr="001028A0">
        <w:rPr>
          <w:rFonts w:asciiTheme="minorHAnsi" w:eastAsiaTheme="minorHAnsi" w:hAnsiTheme="minorHAnsi" w:cstheme="minorHAnsi"/>
          <w:color w:val="auto"/>
          <w:sz w:val="24"/>
          <w:szCs w:val="24"/>
          <w:lang w:eastAsia="en-US"/>
        </w:rPr>
        <w:t xml:space="preserve">I arrived at the home address of the subject and soon established that the mother of the subject was deaf and felt as if it would be difficult to get a full account of what had happened due to the communication barrier. I felt that due to the nature of the call I did not have the time to enlist the support and help from a partner agency who could assist with </w:t>
      </w:r>
      <w:r w:rsidRPr="001028A0">
        <w:rPr>
          <w:rFonts w:asciiTheme="minorHAnsi" w:eastAsiaTheme="minorHAnsi" w:hAnsiTheme="minorHAnsi" w:cstheme="minorHAnsi"/>
          <w:color w:val="auto"/>
          <w:sz w:val="24"/>
          <w:szCs w:val="24"/>
          <w:lang w:eastAsia="en-US"/>
        </w:rPr>
        <w:lastRenderedPageBreak/>
        <w:t>the communication. I thought that I could find a quicker and more suitable option. I talked slowly and tried to use hand gestures to ask the mother if there was anyone else in the house. Odyssey says that “</w:t>
      </w:r>
      <w:r w:rsidRPr="001028A0">
        <w:rPr>
          <w:rFonts w:asciiTheme="minorHAnsi" w:eastAsiaTheme="minorHAnsi" w:hAnsiTheme="minorHAnsi" w:cstheme="minorHAnsi"/>
          <w:color w:val="262626"/>
          <w:sz w:val="24"/>
          <w:szCs w:val="24"/>
          <w:shd w:val="clear" w:color="auto" w:fill="FFFFFF"/>
          <w:lang w:eastAsia="en-US"/>
        </w:rPr>
        <w:t xml:space="preserve">Research shows that stronger speakers use hand gestures, and </w:t>
      </w:r>
      <w:hyperlink r:id="rId13" w:tgtFrame="_blank" w:history="1">
        <w:r w:rsidRPr="001028A0">
          <w:rPr>
            <w:rFonts w:asciiTheme="minorHAnsi" w:eastAsiaTheme="minorHAnsi" w:hAnsiTheme="minorHAnsi" w:cstheme="minorHAnsi"/>
            <w:color w:val="0000FF"/>
            <w:sz w:val="24"/>
            <w:szCs w:val="24"/>
            <w:u w:val="single"/>
            <w:lang w:eastAsia="en-US"/>
          </w:rPr>
          <w:t>here</w:t>
        </w:r>
      </w:hyperlink>
      <w:r w:rsidRPr="001028A0">
        <w:rPr>
          <w:rFonts w:asciiTheme="minorHAnsi" w:eastAsiaTheme="minorHAnsi" w:hAnsiTheme="minorHAnsi" w:cstheme="minorHAnsi"/>
          <w:color w:val="262626"/>
          <w:sz w:val="24"/>
          <w:szCs w:val="24"/>
          <w:shd w:val="clear" w:color="auto" w:fill="FFFFFF"/>
          <w:lang w:eastAsia="en-US"/>
        </w:rPr>
        <w:t xml:space="preserve"> are some common motions people use while speaking. People pay attention to the motions being taken during speeches. If you purposely use your body to stress a certain idea, the audience is much more likely to remember what you said. The movement draws attention to what you’re saying at that moment and draws attention to the important parts of the speech” </w:t>
      </w:r>
      <w:sdt>
        <w:sdtPr>
          <w:rPr>
            <w:rFonts w:asciiTheme="minorHAnsi" w:eastAsiaTheme="minorHAnsi" w:hAnsiTheme="minorHAnsi" w:cstheme="minorHAnsi"/>
            <w:color w:val="262626"/>
            <w:sz w:val="24"/>
            <w:szCs w:val="24"/>
            <w:shd w:val="clear" w:color="auto" w:fill="FFFFFF"/>
            <w:lang w:eastAsia="en-US"/>
          </w:rPr>
          <w:id w:val="-998727643"/>
          <w:citation/>
        </w:sdtPr>
        <w:sdtEndPr/>
        <w:sdtContent>
          <w:r w:rsidRPr="001028A0">
            <w:rPr>
              <w:rFonts w:asciiTheme="minorHAnsi" w:eastAsiaTheme="minorHAnsi" w:hAnsiTheme="minorHAnsi" w:cstheme="minorHAnsi"/>
              <w:color w:val="262626"/>
              <w:sz w:val="24"/>
              <w:szCs w:val="24"/>
              <w:shd w:val="clear" w:color="auto" w:fill="FFFFFF"/>
              <w:lang w:eastAsia="en-US"/>
            </w:rPr>
            <w:fldChar w:fldCharType="begin"/>
          </w:r>
          <w:r w:rsidRPr="001028A0">
            <w:rPr>
              <w:rFonts w:asciiTheme="minorHAnsi" w:eastAsiaTheme="minorHAnsi" w:hAnsiTheme="minorHAnsi" w:cstheme="minorHAnsi"/>
              <w:color w:val="262626"/>
              <w:sz w:val="24"/>
              <w:szCs w:val="24"/>
              <w:shd w:val="clear" w:color="auto" w:fill="FFFFFF"/>
              <w:lang w:eastAsia="en-US"/>
            </w:rPr>
            <w:instrText xml:space="preserve"> CITATION Syl16 \l 2057 </w:instrText>
          </w:r>
          <w:r w:rsidRPr="001028A0">
            <w:rPr>
              <w:rFonts w:asciiTheme="minorHAnsi" w:eastAsiaTheme="minorHAnsi" w:hAnsiTheme="minorHAnsi" w:cstheme="minorHAnsi"/>
              <w:color w:val="262626"/>
              <w:sz w:val="24"/>
              <w:szCs w:val="24"/>
              <w:shd w:val="clear" w:color="auto" w:fill="FFFFFF"/>
              <w:lang w:eastAsia="en-US"/>
            </w:rPr>
            <w:fldChar w:fldCharType="separate"/>
          </w:r>
          <w:r w:rsidRPr="001028A0">
            <w:rPr>
              <w:rFonts w:asciiTheme="minorHAnsi" w:eastAsiaTheme="minorHAnsi" w:hAnsiTheme="minorHAnsi" w:cstheme="minorHAnsi"/>
              <w:noProof/>
              <w:color w:val="262626"/>
              <w:sz w:val="24"/>
              <w:szCs w:val="24"/>
              <w:shd w:val="clear" w:color="auto" w:fill="FFFFFF"/>
              <w:lang w:eastAsia="en-US"/>
            </w:rPr>
            <w:t>(Tang, 2016)</w:t>
          </w:r>
          <w:r w:rsidRPr="001028A0">
            <w:rPr>
              <w:rFonts w:asciiTheme="minorHAnsi" w:eastAsiaTheme="minorHAnsi" w:hAnsiTheme="minorHAnsi" w:cstheme="minorHAnsi"/>
              <w:color w:val="262626"/>
              <w:sz w:val="24"/>
              <w:szCs w:val="24"/>
              <w:shd w:val="clear" w:color="auto" w:fill="FFFFFF"/>
              <w:lang w:eastAsia="en-US"/>
            </w:rPr>
            <w:fldChar w:fldCharType="end"/>
          </w:r>
        </w:sdtContent>
      </w:sdt>
      <w:r w:rsidRPr="001028A0">
        <w:rPr>
          <w:rFonts w:asciiTheme="minorHAnsi" w:eastAsiaTheme="minorHAnsi" w:hAnsiTheme="minorHAnsi" w:cstheme="minorHAnsi"/>
          <w:color w:val="262626"/>
          <w:sz w:val="24"/>
          <w:szCs w:val="24"/>
          <w:shd w:val="clear" w:color="auto" w:fill="FFFFFF"/>
          <w:lang w:eastAsia="en-US"/>
        </w:rPr>
        <w:t xml:space="preserve">. The use of my hand gestures meant that I was able to establish that the sister of the subject was upstairs and would be able to assist. This was a relief because time was critical. As a Police Officer I have a responsibility to safeguard every individual I encounter. </w:t>
      </w:r>
      <w:sdt>
        <w:sdtPr>
          <w:rPr>
            <w:rFonts w:asciiTheme="minorHAnsi" w:eastAsiaTheme="minorHAnsi" w:hAnsiTheme="minorHAnsi" w:cstheme="minorHAnsi"/>
            <w:color w:val="262626"/>
            <w:sz w:val="24"/>
            <w:szCs w:val="24"/>
            <w:shd w:val="clear" w:color="auto" w:fill="FFFFFF"/>
            <w:lang w:eastAsia="en-US"/>
          </w:rPr>
          <w:id w:val="1277524456"/>
          <w:citation/>
        </w:sdtPr>
        <w:sdtEndPr/>
        <w:sdtContent>
          <w:r w:rsidRPr="001028A0">
            <w:rPr>
              <w:rFonts w:asciiTheme="minorHAnsi" w:eastAsiaTheme="minorHAnsi" w:hAnsiTheme="minorHAnsi" w:cstheme="minorHAnsi"/>
              <w:color w:val="262626"/>
              <w:sz w:val="24"/>
              <w:szCs w:val="24"/>
              <w:shd w:val="clear" w:color="auto" w:fill="FFFFFF"/>
              <w:lang w:eastAsia="en-US"/>
            </w:rPr>
            <w:fldChar w:fldCharType="begin"/>
          </w:r>
          <w:r w:rsidRPr="001028A0">
            <w:rPr>
              <w:rFonts w:asciiTheme="minorHAnsi" w:eastAsiaTheme="minorHAnsi" w:hAnsiTheme="minorHAnsi" w:cstheme="minorHAnsi"/>
              <w:color w:val="262626"/>
              <w:sz w:val="24"/>
              <w:szCs w:val="24"/>
              <w:shd w:val="clear" w:color="auto" w:fill="FFFFFF"/>
              <w:lang w:eastAsia="en-US"/>
            </w:rPr>
            <w:instrText xml:space="preserve"> CITATION Soc17 \l 2057 </w:instrText>
          </w:r>
          <w:r w:rsidRPr="001028A0">
            <w:rPr>
              <w:rFonts w:asciiTheme="minorHAnsi" w:eastAsiaTheme="minorHAnsi" w:hAnsiTheme="minorHAnsi" w:cstheme="minorHAnsi"/>
              <w:color w:val="262626"/>
              <w:sz w:val="24"/>
              <w:szCs w:val="24"/>
              <w:shd w:val="clear" w:color="auto" w:fill="FFFFFF"/>
              <w:lang w:eastAsia="en-US"/>
            </w:rPr>
            <w:fldChar w:fldCharType="separate"/>
          </w:r>
          <w:r w:rsidRPr="001028A0">
            <w:rPr>
              <w:rFonts w:asciiTheme="minorHAnsi" w:eastAsiaTheme="minorHAnsi" w:hAnsiTheme="minorHAnsi" w:cstheme="minorHAnsi"/>
              <w:noProof/>
              <w:color w:val="262626"/>
              <w:sz w:val="24"/>
              <w:szCs w:val="24"/>
              <w:shd w:val="clear" w:color="auto" w:fill="FFFFFF"/>
              <w:lang w:eastAsia="en-US"/>
            </w:rPr>
            <w:t>(excellence, 2017)</w:t>
          </w:r>
          <w:r w:rsidRPr="001028A0">
            <w:rPr>
              <w:rFonts w:asciiTheme="minorHAnsi" w:eastAsiaTheme="minorHAnsi" w:hAnsiTheme="minorHAnsi" w:cstheme="minorHAnsi"/>
              <w:color w:val="262626"/>
              <w:sz w:val="24"/>
              <w:szCs w:val="24"/>
              <w:shd w:val="clear" w:color="auto" w:fill="FFFFFF"/>
              <w:lang w:eastAsia="en-US"/>
            </w:rPr>
            <w:fldChar w:fldCharType="end"/>
          </w:r>
        </w:sdtContent>
      </w:sdt>
      <w:r w:rsidRPr="001028A0">
        <w:rPr>
          <w:rFonts w:asciiTheme="minorHAnsi" w:eastAsiaTheme="minorHAnsi" w:hAnsiTheme="minorHAnsi" w:cstheme="minorHAnsi"/>
          <w:color w:val="262626"/>
          <w:sz w:val="24"/>
          <w:szCs w:val="24"/>
          <w:shd w:val="clear" w:color="auto" w:fill="FFFFFF"/>
          <w:lang w:eastAsia="en-US"/>
        </w:rPr>
        <w:t xml:space="preserve"> says that safeguarding is the process of protecting an adults right to live in safety, this could be to live freely from abuse or neglect and that it’s about multiple people and agencies working together to make sure that the safety and wellbeing of an individual is promoted whilst taking their feelings and thoughts into consideration.</w:t>
      </w:r>
    </w:p>
    <w:p w14:paraId="4B9D1E10"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262626"/>
          <w:sz w:val="24"/>
          <w:szCs w:val="24"/>
          <w:shd w:val="clear" w:color="auto" w:fill="FFFFFF"/>
          <w:lang w:eastAsia="en-US"/>
        </w:rPr>
      </w:pPr>
      <w:r w:rsidRPr="001028A0">
        <w:rPr>
          <w:rFonts w:asciiTheme="minorHAnsi" w:eastAsiaTheme="minorHAnsi" w:hAnsiTheme="minorHAnsi" w:cstheme="minorHAnsi"/>
          <w:color w:val="262626"/>
          <w:sz w:val="24"/>
          <w:szCs w:val="24"/>
          <w:shd w:val="clear" w:color="auto" w:fill="FFFFFF"/>
          <w:lang w:eastAsia="en-US"/>
        </w:rPr>
        <w:t>My thoughts were that I needed to find the subject and take reasonable steps to ensure his safety and wellbeing were taken care of. The subject returned to the property whilst I was establishing what had happened. When they returned, I completed a dynamic risk assessment. A dynamic risk assessment is where I considered the likelihood of the subject running away again and potentially harming themselves or other people, assessing the area and the people who are at risk, in this instance it was everyone present at the scene and the impact any such risk identified would have.</w:t>
      </w:r>
    </w:p>
    <w:p w14:paraId="65972E31"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43434"/>
          <w:sz w:val="24"/>
          <w:szCs w:val="24"/>
          <w:lang w:eastAsia="en-US"/>
        </w:rPr>
      </w:pPr>
      <w:r w:rsidRPr="001028A0">
        <w:rPr>
          <w:rFonts w:asciiTheme="minorHAnsi" w:eastAsiaTheme="minorHAnsi" w:hAnsiTheme="minorHAnsi" w:cstheme="minorHAnsi"/>
          <w:color w:val="262626"/>
          <w:sz w:val="24"/>
          <w:szCs w:val="24"/>
          <w:shd w:val="clear" w:color="auto" w:fill="FFFFFF"/>
          <w:lang w:eastAsia="en-US"/>
        </w:rPr>
        <w:t>I identified the subject and immediately adapted my approach to the environment. I spoke to the subject in a calm and caring way. I considered that my body language and the tone of voice I was using. I was conscious that that when speaking to the subject I was thinking positively because research shows that “</w:t>
      </w:r>
      <w:r w:rsidRPr="001028A0">
        <w:rPr>
          <w:rFonts w:asciiTheme="minorHAnsi" w:eastAsiaTheme="minorHAnsi" w:hAnsiTheme="minorHAnsi" w:cstheme="minorHAnsi"/>
          <w:sz w:val="24"/>
          <w:szCs w:val="24"/>
          <w:bdr w:val="none" w:sz="0" w:space="0" w:color="auto" w:frame="1"/>
          <w:lang w:eastAsia="en-US"/>
        </w:rPr>
        <w:t>The beauty of body language is that it is fuelled by thoughts and feelings. Another beautiful aspect of body language is that, not like its verbal counterpart, it is not a good medium for lying.</w:t>
      </w:r>
    </w:p>
    <w:p w14:paraId="73D3FA98"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sz w:val="24"/>
          <w:szCs w:val="24"/>
          <w:bdr w:val="none" w:sz="0" w:space="0" w:color="auto" w:frame="1"/>
          <w:lang w:eastAsia="en-US"/>
        </w:rPr>
      </w:pPr>
      <w:r w:rsidRPr="001028A0">
        <w:rPr>
          <w:rFonts w:asciiTheme="minorHAnsi" w:eastAsiaTheme="minorHAnsi" w:hAnsiTheme="minorHAnsi" w:cstheme="minorHAnsi"/>
          <w:sz w:val="24"/>
          <w:szCs w:val="24"/>
          <w:bdr w:val="none" w:sz="0" w:space="0" w:color="auto" w:frame="1"/>
          <w:lang w:eastAsia="en-US"/>
        </w:rPr>
        <w:t xml:space="preserve">In body language, there are several distinct cues that a person should be aware of. These cues include eye movements, body posture and angle, position of arms and legs, and proximity of the person’s body from the person he or she is talking with. These are the cues that are usually used when conveying messages using body language.” </w:t>
      </w:r>
      <w:sdt>
        <w:sdtPr>
          <w:rPr>
            <w:rFonts w:asciiTheme="minorHAnsi" w:eastAsiaTheme="minorHAnsi" w:hAnsiTheme="minorHAnsi" w:cstheme="minorHAnsi"/>
            <w:sz w:val="24"/>
            <w:szCs w:val="24"/>
            <w:bdr w:val="none" w:sz="0" w:space="0" w:color="auto" w:frame="1"/>
            <w:lang w:eastAsia="en-US"/>
          </w:rPr>
          <w:id w:val="-1254421048"/>
          <w:citation/>
        </w:sdtPr>
        <w:sdtEndPr/>
        <w:sdtContent>
          <w:r w:rsidRPr="001028A0">
            <w:rPr>
              <w:rFonts w:asciiTheme="minorHAnsi" w:eastAsiaTheme="minorHAnsi" w:hAnsiTheme="minorHAnsi" w:cstheme="minorHAnsi"/>
              <w:sz w:val="24"/>
              <w:szCs w:val="24"/>
              <w:bdr w:val="none" w:sz="0" w:space="0" w:color="auto" w:frame="1"/>
              <w:lang w:eastAsia="en-US"/>
            </w:rPr>
            <w:fldChar w:fldCharType="begin"/>
          </w:r>
          <w:r w:rsidRPr="001028A0">
            <w:rPr>
              <w:rFonts w:asciiTheme="minorHAnsi" w:eastAsiaTheme="minorHAnsi" w:hAnsiTheme="minorHAnsi" w:cstheme="minorHAnsi"/>
              <w:sz w:val="24"/>
              <w:szCs w:val="24"/>
              <w:bdr w:val="none" w:sz="0" w:space="0" w:color="auto" w:frame="1"/>
              <w:lang w:eastAsia="en-US"/>
            </w:rPr>
            <w:instrText xml:space="preserve"> CITATION Chr16 \l 2057 </w:instrText>
          </w:r>
          <w:r w:rsidRPr="001028A0">
            <w:rPr>
              <w:rFonts w:asciiTheme="minorHAnsi" w:eastAsiaTheme="minorHAnsi" w:hAnsiTheme="minorHAnsi" w:cstheme="minorHAnsi"/>
              <w:sz w:val="24"/>
              <w:szCs w:val="24"/>
              <w:bdr w:val="none" w:sz="0" w:space="0" w:color="auto" w:frame="1"/>
              <w:lang w:eastAsia="en-US"/>
            </w:rPr>
            <w:fldChar w:fldCharType="separate"/>
          </w:r>
          <w:r w:rsidRPr="001028A0">
            <w:rPr>
              <w:rFonts w:asciiTheme="minorHAnsi" w:eastAsiaTheme="minorHAnsi" w:hAnsiTheme="minorHAnsi" w:cstheme="minorHAnsi"/>
              <w:noProof/>
              <w:sz w:val="24"/>
              <w:szCs w:val="24"/>
              <w:bdr w:val="none" w:sz="0" w:space="0" w:color="auto" w:frame="1"/>
              <w:lang w:eastAsia="en-US"/>
            </w:rPr>
            <w:t>(Young, 2016)</w:t>
          </w:r>
          <w:r w:rsidRPr="001028A0">
            <w:rPr>
              <w:rFonts w:asciiTheme="minorHAnsi" w:eastAsiaTheme="minorHAnsi" w:hAnsiTheme="minorHAnsi" w:cstheme="minorHAnsi"/>
              <w:sz w:val="24"/>
              <w:szCs w:val="24"/>
              <w:bdr w:val="none" w:sz="0" w:space="0" w:color="auto" w:frame="1"/>
              <w:lang w:eastAsia="en-US"/>
            </w:rPr>
            <w:fldChar w:fldCharType="end"/>
          </w:r>
        </w:sdtContent>
      </w:sdt>
      <w:r w:rsidRPr="001028A0">
        <w:rPr>
          <w:rFonts w:asciiTheme="minorHAnsi" w:eastAsiaTheme="minorHAnsi" w:hAnsiTheme="minorHAnsi" w:cstheme="minorHAnsi"/>
          <w:sz w:val="24"/>
          <w:szCs w:val="24"/>
          <w:bdr w:val="none" w:sz="0" w:space="0" w:color="auto" w:frame="1"/>
          <w:lang w:eastAsia="en-US"/>
        </w:rPr>
        <w:t xml:space="preserve">. </w:t>
      </w:r>
    </w:p>
    <w:p w14:paraId="26418F88"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sz w:val="24"/>
          <w:szCs w:val="24"/>
          <w:bdr w:val="none" w:sz="0" w:space="0" w:color="auto" w:frame="1"/>
          <w:lang w:eastAsia="en-US"/>
        </w:rPr>
      </w:pPr>
    </w:p>
    <w:p w14:paraId="3C2C270D"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sz w:val="24"/>
          <w:szCs w:val="24"/>
          <w:bdr w:val="none" w:sz="0" w:space="0" w:color="auto" w:frame="1"/>
          <w:lang w:eastAsia="en-US"/>
        </w:rPr>
      </w:pPr>
      <w:r w:rsidRPr="001028A0">
        <w:rPr>
          <w:rFonts w:asciiTheme="minorHAnsi" w:eastAsiaTheme="minorHAnsi" w:hAnsiTheme="minorHAnsi" w:cstheme="minorHAnsi"/>
          <w:sz w:val="24"/>
          <w:szCs w:val="24"/>
          <w:bdr w:val="none" w:sz="0" w:space="0" w:color="auto" w:frame="1"/>
          <w:lang w:eastAsia="en-US"/>
        </w:rPr>
        <w:t>I do agree that body language is a big communicator, but in this situation and as my role as a Police Officer, it was important for me to be closer to the subject than I would normally be due to the risk of them making good their escape again, although the subject was free to leave as no criminal offences had taken place, it is my duty to ensure I have followed all reasonable steps to safeguard the subject.</w:t>
      </w:r>
    </w:p>
    <w:p w14:paraId="04E304FA"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sz w:val="24"/>
          <w:szCs w:val="24"/>
          <w:bdr w:val="none" w:sz="0" w:space="0" w:color="auto" w:frame="1"/>
          <w:lang w:eastAsia="en-US"/>
        </w:rPr>
      </w:pPr>
    </w:p>
    <w:p w14:paraId="1442A9D7"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sz w:val="24"/>
          <w:szCs w:val="24"/>
          <w:bdr w:val="none" w:sz="0" w:space="0" w:color="auto" w:frame="1"/>
          <w:lang w:eastAsia="en-US"/>
        </w:rPr>
      </w:pPr>
      <w:r w:rsidRPr="001028A0">
        <w:rPr>
          <w:rFonts w:asciiTheme="minorHAnsi" w:eastAsiaTheme="minorHAnsi" w:hAnsiTheme="minorHAnsi" w:cstheme="minorHAnsi"/>
          <w:sz w:val="24"/>
          <w:szCs w:val="24"/>
          <w:bdr w:val="none" w:sz="0" w:space="0" w:color="auto" w:frame="1"/>
          <w:lang w:eastAsia="en-US"/>
        </w:rPr>
        <w:t xml:space="preserve">I asked the subject if they had harmed themselves and they said they had not, I asked them what had happened to make them feel as if they wanted to harm themselves. The subject </w:t>
      </w:r>
      <w:r w:rsidRPr="001028A0">
        <w:rPr>
          <w:rFonts w:asciiTheme="minorHAnsi" w:eastAsiaTheme="minorHAnsi" w:hAnsiTheme="minorHAnsi" w:cstheme="minorHAnsi"/>
          <w:sz w:val="24"/>
          <w:szCs w:val="24"/>
          <w:bdr w:val="none" w:sz="0" w:space="0" w:color="auto" w:frame="1"/>
          <w:lang w:eastAsia="en-US"/>
        </w:rPr>
        <w:lastRenderedPageBreak/>
        <w:t>said that he was struggling with his relationship breakdown with his partner with whom he was with for a short period of time. I asked them if they would like to be taken to the local hospital to be assessed by the mental health team who would hopefully be able to assist. They agreed to attend the hospital on a voluntary basis with a family member. I escorted them with their friend to the care of the mental health team with my colleague, where they were assessed and appropriately dealt with. As a result of this incident, on return to the station I have completed a Public Protection Notice form, commonly referred to by the police as a PPN.</w:t>
      </w:r>
    </w:p>
    <w:p w14:paraId="5C7A475D"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sz w:val="24"/>
          <w:szCs w:val="24"/>
          <w:bdr w:val="none" w:sz="0" w:space="0" w:color="auto" w:frame="1"/>
          <w:lang w:eastAsia="en-US"/>
        </w:rPr>
      </w:pPr>
    </w:p>
    <w:p w14:paraId="5A10A5B5"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43434"/>
          <w:sz w:val="24"/>
          <w:szCs w:val="24"/>
          <w:lang w:eastAsia="en-US"/>
        </w:rPr>
      </w:pPr>
      <w:r w:rsidRPr="001028A0">
        <w:rPr>
          <w:rFonts w:asciiTheme="minorHAnsi" w:eastAsiaTheme="minorHAnsi" w:hAnsiTheme="minorHAnsi" w:cstheme="minorHAnsi"/>
          <w:sz w:val="24"/>
          <w:szCs w:val="24"/>
          <w:bdr w:val="none" w:sz="0" w:space="0" w:color="auto" w:frame="1"/>
          <w:lang w:eastAsia="en-US"/>
        </w:rPr>
        <w:t>The PPN highlighted that I had attended a call where a vulnerable adult was at risk, this form is then sent to the protecting people unit within our organisation. It is then sent off to other agencies, such as the Social Services and health boards if it necessary.</w:t>
      </w:r>
    </w:p>
    <w:p w14:paraId="4BB1F24F"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p>
    <w:p w14:paraId="04A9AD93"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Evaluation</w:t>
      </w:r>
    </w:p>
    <w:p w14:paraId="7C7490F4"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Looking back at this incident it was good that my experience of working with adults with mental health before becoming a Police Officer was of use. It was good that I was able to adapt my communication from talking someone who was deaf to someone who was feeling suicidal and wanted to harm themselves.</w:t>
      </w:r>
    </w:p>
    <w:p w14:paraId="1EE9D575"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auto"/>
          <w:sz w:val="24"/>
          <w:szCs w:val="24"/>
          <w:lang w:eastAsia="en-US"/>
        </w:rPr>
        <w:t>However, the bad thing about this incident was that as a Police Officer I must consider the options I have in line with the national decision-making model, commonly referred to as the NDM. The NDM is a decision-making process used by Police Officers with the Code of Ethics being at the core. The College of Policing say “</w:t>
      </w:r>
      <w:r w:rsidRPr="001028A0">
        <w:rPr>
          <w:rFonts w:asciiTheme="minorHAnsi" w:eastAsiaTheme="minorHAnsi" w:hAnsiTheme="minorHAnsi" w:cstheme="minorHAnsi"/>
          <w:color w:val="333333"/>
          <w:sz w:val="24"/>
          <w:szCs w:val="24"/>
          <w:shd w:val="clear" w:color="auto" w:fill="FFFFFF"/>
          <w:lang w:eastAsia="en-US"/>
        </w:rPr>
        <w:t xml:space="preserve">The model has at its centre the </w:t>
      </w:r>
      <w:hyperlink r:id="rId14" w:tgtFrame="_blank" w:tooltip="Code of Ethics" w:history="1">
        <w:r w:rsidRPr="001028A0">
          <w:rPr>
            <w:rFonts w:asciiTheme="minorHAnsi" w:eastAsiaTheme="minorHAnsi" w:hAnsiTheme="minorHAnsi" w:cstheme="minorHAnsi"/>
            <w:color w:val="065E80"/>
            <w:sz w:val="24"/>
            <w:szCs w:val="24"/>
            <w:u w:val="single"/>
            <w:lang w:eastAsia="en-US"/>
          </w:rPr>
          <w:t>Code of Ethics</w:t>
        </w:r>
      </w:hyperlink>
      <w:r w:rsidRPr="001028A0">
        <w:rPr>
          <w:rFonts w:asciiTheme="minorHAnsi" w:eastAsiaTheme="minorHAnsi" w:hAnsiTheme="minorHAnsi" w:cstheme="minorHAnsi"/>
          <w:color w:val="333333"/>
          <w:sz w:val="24"/>
          <w:szCs w:val="24"/>
          <w:shd w:val="clear" w:color="auto" w:fill="FFFFFF"/>
          <w:lang w:eastAsia="en-US"/>
        </w:rPr>
        <w:t xml:space="preserve">, as the touchstone for all decision making. Using the model encourages officers and staff to act in accordance with the Code and use their discretion where appropriate. It also reduces risk aversion and weighs the balance of resourcing against demand, threat and risk.” </w:t>
      </w:r>
      <w:sdt>
        <w:sdtPr>
          <w:rPr>
            <w:rFonts w:asciiTheme="minorHAnsi" w:eastAsiaTheme="minorHAnsi" w:hAnsiTheme="minorHAnsi" w:cstheme="minorHAnsi"/>
            <w:color w:val="333333"/>
            <w:sz w:val="24"/>
            <w:szCs w:val="24"/>
            <w:shd w:val="clear" w:color="auto" w:fill="FFFFFF"/>
            <w:lang w:eastAsia="en-US"/>
          </w:rPr>
          <w:id w:val="1852296905"/>
          <w:citation/>
        </w:sdtPr>
        <w:sdtEndPr/>
        <w:sdtContent>
          <w:r w:rsidRPr="001028A0">
            <w:rPr>
              <w:rFonts w:asciiTheme="minorHAnsi" w:eastAsiaTheme="minorHAnsi" w:hAnsiTheme="minorHAnsi" w:cstheme="minorHAnsi"/>
              <w:color w:val="333333"/>
              <w:sz w:val="24"/>
              <w:szCs w:val="24"/>
              <w:shd w:val="clear" w:color="auto" w:fill="FFFFFF"/>
              <w:lang w:eastAsia="en-US"/>
            </w:rPr>
            <w:fldChar w:fldCharType="begin"/>
          </w:r>
          <w:r w:rsidRPr="001028A0">
            <w:rPr>
              <w:rFonts w:asciiTheme="minorHAnsi" w:eastAsiaTheme="minorHAnsi" w:hAnsiTheme="minorHAnsi" w:cstheme="minorHAnsi"/>
              <w:color w:val="333333"/>
              <w:sz w:val="24"/>
              <w:szCs w:val="24"/>
              <w:shd w:val="clear" w:color="auto" w:fill="FFFFFF"/>
              <w:lang w:eastAsia="en-US"/>
            </w:rPr>
            <w:instrText xml:space="preserve"> CITATION Col13 \l 2057 </w:instrText>
          </w:r>
          <w:r w:rsidRPr="001028A0">
            <w:rPr>
              <w:rFonts w:asciiTheme="minorHAnsi" w:eastAsiaTheme="minorHAnsi" w:hAnsiTheme="minorHAnsi" w:cstheme="minorHAnsi"/>
              <w:color w:val="333333"/>
              <w:sz w:val="24"/>
              <w:szCs w:val="24"/>
              <w:shd w:val="clear" w:color="auto" w:fill="FFFFFF"/>
              <w:lang w:eastAsia="en-US"/>
            </w:rPr>
            <w:fldChar w:fldCharType="separate"/>
          </w:r>
          <w:r w:rsidRPr="001028A0">
            <w:rPr>
              <w:rFonts w:asciiTheme="minorHAnsi" w:eastAsiaTheme="minorHAnsi" w:hAnsiTheme="minorHAnsi" w:cstheme="minorHAnsi"/>
              <w:noProof/>
              <w:color w:val="333333"/>
              <w:sz w:val="24"/>
              <w:szCs w:val="24"/>
              <w:shd w:val="clear" w:color="auto" w:fill="FFFFFF"/>
              <w:lang w:eastAsia="en-US"/>
            </w:rPr>
            <w:t>(Policing, 2013)</w:t>
          </w:r>
          <w:r w:rsidRPr="001028A0">
            <w:rPr>
              <w:rFonts w:asciiTheme="minorHAnsi" w:eastAsiaTheme="minorHAnsi" w:hAnsiTheme="minorHAnsi" w:cstheme="minorHAnsi"/>
              <w:color w:val="333333"/>
              <w:sz w:val="24"/>
              <w:szCs w:val="24"/>
              <w:shd w:val="clear" w:color="auto" w:fill="FFFFFF"/>
              <w:lang w:eastAsia="en-US"/>
            </w:rPr>
            <w:fldChar w:fldCharType="end"/>
          </w:r>
        </w:sdtContent>
      </w:sdt>
      <w:r w:rsidRPr="001028A0">
        <w:rPr>
          <w:rFonts w:asciiTheme="minorHAnsi" w:eastAsiaTheme="minorHAnsi" w:hAnsiTheme="minorHAnsi" w:cstheme="minorHAnsi"/>
          <w:color w:val="333333"/>
          <w:sz w:val="24"/>
          <w:szCs w:val="24"/>
          <w:shd w:val="clear" w:color="auto" w:fill="FFFFFF"/>
          <w:lang w:eastAsia="en-US"/>
        </w:rPr>
        <w:t xml:space="preserve">. </w:t>
      </w:r>
    </w:p>
    <w:p w14:paraId="0BAEA3E0"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333333"/>
          <w:sz w:val="24"/>
          <w:szCs w:val="24"/>
          <w:shd w:val="clear" w:color="auto" w:fill="FFFFFF"/>
          <w:lang w:eastAsia="en-US"/>
        </w:rPr>
        <w:t xml:space="preserve">One of the options I considered was the power I had to deal with the situation, I had identified that there were no criminal offences, but I did have the power under Section 136 of the Mental Health Act 1983. </w:t>
      </w:r>
      <w:sdt>
        <w:sdtPr>
          <w:rPr>
            <w:rFonts w:asciiTheme="minorHAnsi" w:eastAsiaTheme="minorHAnsi" w:hAnsiTheme="minorHAnsi" w:cstheme="minorHAnsi"/>
            <w:color w:val="333333"/>
            <w:sz w:val="24"/>
            <w:szCs w:val="24"/>
            <w:shd w:val="clear" w:color="auto" w:fill="FFFFFF"/>
            <w:lang w:eastAsia="en-US"/>
          </w:rPr>
          <w:id w:val="-1439837831"/>
          <w:citation/>
        </w:sdtPr>
        <w:sdtEndPr/>
        <w:sdtContent>
          <w:r w:rsidRPr="001028A0">
            <w:rPr>
              <w:rFonts w:asciiTheme="minorHAnsi" w:eastAsiaTheme="minorHAnsi" w:hAnsiTheme="minorHAnsi" w:cstheme="minorHAnsi"/>
              <w:color w:val="333333"/>
              <w:sz w:val="24"/>
              <w:szCs w:val="24"/>
              <w:shd w:val="clear" w:color="auto" w:fill="FFFFFF"/>
              <w:lang w:eastAsia="en-US"/>
            </w:rPr>
            <w:fldChar w:fldCharType="begin"/>
          </w:r>
          <w:r w:rsidRPr="001028A0">
            <w:rPr>
              <w:rFonts w:asciiTheme="minorHAnsi" w:eastAsiaTheme="minorHAnsi" w:hAnsiTheme="minorHAnsi" w:cstheme="minorHAnsi"/>
              <w:color w:val="333333"/>
              <w:sz w:val="24"/>
              <w:szCs w:val="24"/>
              <w:shd w:val="clear" w:color="auto" w:fill="FFFFFF"/>
              <w:lang w:eastAsia="en-US"/>
            </w:rPr>
            <w:instrText xml:space="preserve"> CITATION Leg83 \l 2057 </w:instrText>
          </w:r>
          <w:r w:rsidRPr="001028A0">
            <w:rPr>
              <w:rFonts w:asciiTheme="minorHAnsi" w:eastAsiaTheme="minorHAnsi" w:hAnsiTheme="minorHAnsi" w:cstheme="minorHAnsi"/>
              <w:color w:val="333333"/>
              <w:sz w:val="24"/>
              <w:szCs w:val="24"/>
              <w:shd w:val="clear" w:color="auto" w:fill="FFFFFF"/>
              <w:lang w:eastAsia="en-US"/>
            </w:rPr>
            <w:fldChar w:fldCharType="separate"/>
          </w:r>
          <w:r w:rsidRPr="001028A0">
            <w:rPr>
              <w:rFonts w:asciiTheme="minorHAnsi" w:eastAsiaTheme="minorHAnsi" w:hAnsiTheme="minorHAnsi" w:cstheme="minorHAnsi"/>
              <w:noProof/>
              <w:color w:val="333333"/>
              <w:sz w:val="24"/>
              <w:szCs w:val="24"/>
              <w:shd w:val="clear" w:color="auto" w:fill="FFFFFF"/>
              <w:lang w:eastAsia="en-US"/>
            </w:rPr>
            <w:t>(Legislation.gov.uk, 1983)</w:t>
          </w:r>
          <w:r w:rsidRPr="001028A0">
            <w:rPr>
              <w:rFonts w:asciiTheme="minorHAnsi" w:eastAsiaTheme="minorHAnsi" w:hAnsiTheme="minorHAnsi" w:cstheme="minorHAnsi"/>
              <w:color w:val="333333"/>
              <w:sz w:val="24"/>
              <w:szCs w:val="24"/>
              <w:shd w:val="clear" w:color="auto" w:fill="FFFFFF"/>
              <w:lang w:eastAsia="en-US"/>
            </w:rPr>
            <w:fldChar w:fldCharType="end"/>
          </w:r>
        </w:sdtContent>
      </w:sdt>
      <w:r w:rsidRPr="001028A0">
        <w:rPr>
          <w:rFonts w:asciiTheme="minorHAnsi" w:eastAsiaTheme="minorHAnsi" w:hAnsiTheme="minorHAnsi" w:cstheme="minorHAnsi"/>
          <w:color w:val="333333"/>
          <w:sz w:val="24"/>
          <w:szCs w:val="24"/>
          <w:shd w:val="clear" w:color="auto" w:fill="FFFFFF"/>
          <w:lang w:eastAsia="en-US"/>
        </w:rPr>
        <w:t xml:space="preserve"> says that a person can be removed to a place of safety if they are at a place other than their home address or the surrounding grounds to their home address, so with the subject returning to the address I was unable to use this power.</w:t>
      </w:r>
    </w:p>
    <w:p w14:paraId="45D18EF5"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333333"/>
          <w:sz w:val="24"/>
          <w:szCs w:val="24"/>
          <w:shd w:val="clear" w:color="auto" w:fill="FFFFFF"/>
          <w:lang w:eastAsia="en-US"/>
        </w:rPr>
        <w:t>It was good that by using my communication skills and my discretion I was able to reassure the subject that I would be able to take them to the hospital to be assessed by a medical professional as a voluntary attendee.</w:t>
      </w:r>
    </w:p>
    <w:p w14:paraId="13662AE4"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Analysis</w:t>
      </w:r>
    </w:p>
    <w:p w14:paraId="51883728"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 xml:space="preserve">This call was a concern for the safety of an individual. As a Police Officer it is my duty to respond to such calls to preserve and safe life, it is also my role as a Police Officer to uphold the law in line with the appropriate legislation and Human Rights Act 1998. The Human </w:t>
      </w:r>
      <w:r w:rsidRPr="001028A0">
        <w:rPr>
          <w:rFonts w:asciiTheme="minorHAnsi" w:eastAsiaTheme="minorHAnsi" w:hAnsiTheme="minorHAnsi" w:cstheme="minorHAnsi"/>
          <w:color w:val="auto"/>
          <w:sz w:val="24"/>
          <w:szCs w:val="24"/>
          <w:lang w:eastAsia="en-US"/>
        </w:rPr>
        <w:lastRenderedPageBreak/>
        <w:t xml:space="preserve">Rights Act 1998, Article 9 says that an individual has the right to the freedom of thought, conscience and religion </w:t>
      </w:r>
      <w:sdt>
        <w:sdtPr>
          <w:rPr>
            <w:rFonts w:asciiTheme="minorHAnsi" w:eastAsiaTheme="minorHAnsi" w:hAnsiTheme="minorHAnsi" w:cstheme="minorHAnsi"/>
            <w:color w:val="auto"/>
            <w:sz w:val="24"/>
            <w:szCs w:val="24"/>
            <w:lang w:eastAsia="en-US"/>
          </w:rPr>
          <w:id w:val="-879710508"/>
          <w:citation/>
        </w:sdtPr>
        <w:sdtEndPr/>
        <w:sdtContent>
          <w:r w:rsidRPr="001028A0">
            <w:rPr>
              <w:rFonts w:asciiTheme="minorHAnsi" w:eastAsiaTheme="minorHAnsi" w:hAnsiTheme="minorHAnsi" w:cstheme="minorHAnsi"/>
              <w:color w:val="auto"/>
              <w:sz w:val="24"/>
              <w:szCs w:val="24"/>
              <w:lang w:eastAsia="en-US"/>
            </w:rPr>
            <w:fldChar w:fldCharType="begin"/>
          </w:r>
          <w:r w:rsidRPr="001028A0">
            <w:rPr>
              <w:rFonts w:asciiTheme="minorHAnsi" w:eastAsiaTheme="minorHAnsi" w:hAnsiTheme="minorHAnsi" w:cstheme="minorHAnsi"/>
              <w:color w:val="auto"/>
              <w:sz w:val="24"/>
              <w:szCs w:val="24"/>
              <w:lang w:eastAsia="en-US"/>
            </w:rPr>
            <w:instrText xml:space="preserve"> CITATION Leg98 \l 2057 </w:instrText>
          </w:r>
          <w:r w:rsidRPr="001028A0">
            <w:rPr>
              <w:rFonts w:asciiTheme="minorHAnsi" w:eastAsiaTheme="minorHAnsi" w:hAnsiTheme="minorHAnsi" w:cstheme="minorHAnsi"/>
              <w:color w:val="auto"/>
              <w:sz w:val="24"/>
              <w:szCs w:val="24"/>
              <w:lang w:eastAsia="en-US"/>
            </w:rPr>
            <w:fldChar w:fldCharType="separate"/>
          </w:r>
          <w:r w:rsidRPr="001028A0">
            <w:rPr>
              <w:rFonts w:asciiTheme="minorHAnsi" w:eastAsiaTheme="minorHAnsi" w:hAnsiTheme="minorHAnsi" w:cstheme="minorHAnsi"/>
              <w:noProof/>
              <w:color w:val="auto"/>
              <w:sz w:val="24"/>
              <w:szCs w:val="24"/>
              <w:lang w:eastAsia="en-US"/>
            </w:rPr>
            <w:t>(Legislation.gov.uk, 1998)</w:t>
          </w:r>
          <w:r w:rsidRPr="001028A0">
            <w:rPr>
              <w:rFonts w:asciiTheme="minorHAnsi" w:eastAsiaTheme="minorHAnsi" w:hAnsiTheme="minorHAnsi" w:cstheme="minorHAnsi"/>
              <w:color w:val="auto"/>
              <w:sz w:val="24"/>
              <w:szCs w:val="24"/>
              <w:lang w:eastAsia="en-US"/>
            </w:rPr>
            <w:fldChar w:fldCharType="end"/>
          </w:r>
        </w:sdtContent>
      </w:sdt>
      <w:r w:rsidRPr="001028A0">
        <w:rPr>
          <w:rFonts w:asciiTheme="minorHAnsi" w:eastAsiaTheme="minorHAnsi" w:hAnsiTheme="minorHAnsi" w:cstheme="minorHAnsi"/>
          <w:color w:val="auto"/>
          <w:sz w:val="24"/>
          <w:szCs w:val="24"/>
          <w:lang w:eastAsia="en-US"/>
        </w:rPr>
        <w:t>. This meant that the individual had the choice to attend the hospital of their own free will to be assessed. It also means that as a Police Officer my authority and powers were limited in this situation.</w:t>
      </w:r>
    </w:p>
    <w:p w14:paraId="71B8DA90"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Conclusions</w:t>
      </w:r>
    </w:p>
    <w:p w14:paraId="5BA5A8C4"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212121"/>
          <w:sz w:val="24"/>
          <w:szCs w:val="24"/>
          <w:shd w:val="clear" w:color="auto" w:fill="FFFFFF"/>
          <w:lang w:eastAsia="en-US"/>
        </w:rPr>
      </w:pPr>
      <w:r w:rsidRPr="001028A0">
        <w:rPr>
          <w:rFonts w:asciiTheme="minorHAnsi" w:eastAsiaTheme="minorHAnsi" w:hAnsiTheme="minorHAnsi" w:cstheme="minorHAnsi"/>
          <w:color w:val="212121"/>
          <w:sz w:val="24"/>
          <w:szCs w:val="24"/>
          <w:shd w:val="clear" w:color="auto" w:fill="FFFFFF"/>
          <w:lang w:eastAsia="en-US"/>
        </w:rPr>
        <w:t xml:space="preserve">Reflecting on the situation and the incident, I could have contacted the Ambulance Service to come and assist. This was more of a call that was suitable for them. The subject did not harm themselves and displayed no signs that they were going to. The subject told me that he just needed some help. As a Police Officer I have many options on how to deal with situations, whilst also considering all the known contingencies, this is known as using my discretion. According to </w:t>
      </w:r>
      <w:sdt>
        <w:sdtPr>
          <w:rPr>
            <w:rFonts w:asciiTheme="minorHAnsi" w:eastAsiaTheme="minorHAnsi" w:hAnsiTheme="minorHAnsi" w:cstheme="minorHAnsi"/>
            <w:color w:val="212121"/>
            <w:sz w:val="24"/>
            <w:szCs w:val="24"/>
            <w:shd w:val="clear" w:color="auto" w:fill="FFFFFF"/>
            <w:lang w:eastAsia="en-US"/>
          </w:rPr>
          <w:id w:val="-1072895508"/>
          <w:citation/>
        </w:sdtPr>
        <w:sdtEndPr/>
        <w:sdtContent>
          <w:r w:rsidRPr="001028A0">
            <w:rPr>
              <w:rFonts w:asciiTheme="minorHAnsi" w:eastAsiaTheme="minorHAnsi" w:hAnsiTheme="minorHAnsi" w:cstheme="minorHAnsi"/>
              <w:color w:val="212121"/>
              <w:sz w:val="24"/>
              <w:szCs w:val="24"/>
              <w:shd w:val="clear" w:color="auto" w:fill="FFFFFF"/>
              <w:lang w:eastAsia="en-US"/>
            </w:rPr>
            <w:fldChar w:fldCharType="begin"/>
          </w:r>
          <w:r w:rsidRPr="001028A0">
            <w:rPr>
              <w:rFonts w:asciiTheme="minorHAnsi" w:eastAsiaTheme="minorHAnsi" w:hAnsiTheme="minorHAnsi" w:cstheme="minorHAnsi"/>
              <w:color w:val="212121"/>
              <w:sz w:val="24"/>
              <w:szCs w:val="24"/>
              <w:shd w:val="clear" w:color="auto" w:fill="FFFFFF"/>
              <w:lang w:eastAsia="en-US"/>
            </w:rPr>
            <w:instrText xml:space="preserve">CITATION Edi19 \l 2057 </w:instrText>
          </w:r>
          <w:r w:rsidRPr="001028A0">
            <w:rPr>
              <w:rFonts w:asciiTheme="minorHAnsi" w:eastAsiaTheme="minorHAnsi" w:hAnsiTheme="minorHAnsi" w:cstheme="minorHAnsi"/>
              <w:color w:val="212121"/>
              <w:sz w:val="24"/>
              <w:szCs w:val="24"/>
              <w:shd w:val="clear" w:color="auto" w:fill="FFFFFF"/>
              <w:lang w:eastAsia="en-US"/>
            </w:rPr>
            <w:fldChar w:fldCharType="separate"/>
          </w:r>
          <w:r w:rsidRPr="001028A0">
            <w:rPr>
              <w:rFonts w:asciiTheme="minorHAnsi" w:eastAsiaTheme="minorHAnsi" w:hAnsiTheme="minorHAnsi" w:cstheme="minorHAnsi"/>
              <w:noProof/>
              <w:color w:val="212121"/>
              <w:sz w:val="24"/>
              <w:szCs w:val="24"/>
              <w:shd w:val="clear" w:color="auto" w:fill="FFFFFF"/>
              <w:lang w:eastAsia="en-US"/>
            </w:rPr>
            <w:t>(Barry Blackburn, 2019)</w:t>
          </w:r>
          <w:r w:rsidRPr="001028A0">
            <w:rPr>
              <w:rFonts w:asciiTheme="minorHAnsi" w:eastAsiaTheme="minorHAnsi" w:hAnsiTheme="minorHAnsi" w:cstheme="minorHAnsi"/>
              <w:color w:val="212121"/>
              <w:sz w:val="24"/>
              <w:szCs w:val="24"/>
              <w:shd w:val="clear" w:color="auto" w:fill="FFFFFF"/>
              <w:lang w:eastAsia="en-US"/>
            </w:rPr>
            <w:fldChar w:fldCharType="end"/>
          </w:r>
        </w:sdtContent>
      </w:sdt>
      <w:r w:rsidRPr="001028A0">
        <w:rPr>
          <w:rFonts w:asciiTheme="minorHAnsi" w:eastAsiaTheme="minorHAnsi" w:hAnsiTheme="minorHAnsi" w:cstheme="minorHAnsi"/>
          <w:color w:val="212121"/>
          <w:sz w:val="24"/>
          <w:szCs w:val="24"/>
          <w:shd w:val="clear" w:color="auto" w:fill="FFFFFF"/>
          <w:lang w:eastAsia="en-US"/>
        </w:rPr>
        <w:t xml:space="preserve"> discretion is the freedom to make decisions as an individual Police Officer and that it is at the heart of policing, it is also closely used with common sense.</w:t>
      </w:r>
    </w:p>
    <w:p w14:paraId="7D485B1D"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212121"/>
          <w:sz w:val="24"/>
          <w:szCs w:val="24"/>
          <w:shd w:val="clear" w:color="auto" w:fill="FFFFFF"/>
          <w:lang w:eastAsia="en-US"/>
        </w:rPr>
      </w:pPr>
      <w:r w:rsidRPr="001028A0">
        <w:rPr>
          <w:rFonts w:asciiTheme="minorHAnsi" w:eastAsiaTheme="minorHAnsi" w:hAnsiTheme="minorHAnsi" w:cstheme="minorHAnsi"/>
          <w:color w:val="212121"/>
          <w:sz w:val="24"/>
          <w:szCs w:val="24"/>
          <w:shd w:val="clear" w:color="auto" w:fill="FFFFFF"/>
          <w:lang w:eastAsia="en-US"/>
        </w:rPr>
        <w:t xml:space="preserve">I used my discretion and common sense to take the subject to the hospital with my colleague. Although it is widely known that resources are at an all-time low for the Police Service, this is also the same for the Ambulance Service. As a Police Officer If I contacted the Ambulance Service, I would still have had to stay with the subject until they arrived to safeguard him and the other family members. It was quicker for me and my colleague to take the subject to the hospital with a family member. </w:t>
      </w:r>
    </w:p>
    <w:p w14:paraId="5BDC67A9"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212121"/>
          <w:sz w:val="24"/>
          <w:szCs w:val="24"/>
          <w:shd w:val="clear" w:color="auto" w:fill="FFFFFF"/>
          <w:lang w:eastAsia="en-US"/>
        </w:rPr>
      </w:pPr>
      <w:r w:rsidRPr="001028A0">
        <w:rPr>
          <w:rFonts w:asciiTheme="minorHAnsi" w:eastAsiaTheme="minorHAnsi" w:hAnsiTheme="minorHAnsi" w:cstheme="minorHAnsi"/>
          <w:b/>
          <w:bCs/>
          <w:color w:val="212121"/>
          <w:sz w:val="24"/>
          <w:szCs w:val="24"/>
          <w:shd w:val="clear" w:color="auto" w:fill="FFFFFF"/>
          <w:lang w:eastAsia="en-US"/>
        </w:rPr>
        <w:t>Action plan</w:t>
      </w:r>
    </w:p>
    <w:p w14:paraId="3181AF9D"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212121"/>
          <w:sz w:val="24"/>
          <w:szCs w:val="24"/>
          <w:shd w:val="clear" w:color="auto" w:fill="FFFFFF"/>
          <w:lang w:eastAsia="en-US"/>
        </w:rPr>
      </w:pPr>
      <w:r w:rsidRPr="001028A0">
        <w:rPr>
          <w:rFonts w:asciiTheme="minorHAnsi" w:eastAsiaTheme="minorHAnsi" w:hAnsiTheme="minorHAnsi" w:cstheme="minorHAnsi"/>
          <w:color w:val="212121"/>
          <w:sz w:val="24"/>
          <w:szCs w:val="24"/>
          <w:shd w:val="clear" w:color="auto" w:fill="FFFFFF"/>
          <w:lang w:eastAsia="en-US"/>
        </w:rPr>
        <w:t>As each situation is different, if next time the subject did not wish to attend the hospital voluntarily, I would contact the Ambulance Service. I would also contact the reporting person by phone to establish the direction of the subject as this type of incident is time critical.</w:t>
      </w:r>
    </w:p>
    <w:p w14:paraId="573ADF1E"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 xml:space="preserve"> (1,584 words)</w:t>
      </w:r>
    </w:p>
    <w:p w14:paraId="22F8F5A1" w14:textId="77777777" w:rsidR="001028A0" w:rsidRPr="00270EEB" w:rsidRDefault="001028A0"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35D1AC0"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Description</w:t>
      </w:r>
    </w:p>
    <w:p w14:paraId="65D818A1"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I attended an incident with my colleague that was reported as a Criminal Damage. On arrival there has been a male subject who had damaged a window to the block of flats he was living in. The male was subsequently arrested and interviewed. The restorative justice process was used as the outcome.</w:t>
      </w:r>
    </w:p>
    <w:p w14:paraId="2E35D35F"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Feelings</w:t>
      </w:r>
    </w:p>
    <w:p w14:paraId="61FAB927"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auto"/>
          <w:sz w:val="24"/>
          <w:szCs w:val="24"/>
          <w:lang w:eastAsia="en-US"/>
        </w:rPr>
        <w:t xml:space="preserve">When I attended this call my initial considerations were of the options I had once all the facts were determined at the scene, the actions could be arresting the subject and formally interviewing them or inviting them for a voluntary interview, but because of the location of the criminal damage being a communal area and residents telling me that they were annoyed I decided that it was necessary to arrest the subject. I applied the necessity test. I was thinking whether this was a domestic related incident or an incident that was not related to the relationship the subject was in. My thoughts and feelings were that if the incident was as a result of a domestic then I would have to arrest the subject, this is because the College of Policing state “ </w:t>
      </w:r>
      <w:r w:rsidRPr="001028A0">
        <w:rPr>
          <w:rFonts w:asciiTheme="minorHAnsi" w:eastAsiaTheme="minorHAnsi" w:hAnsiTheme="minorHAnsi" w:cstheme="minorHAnsi"/>
          <w:color w:val="333333"/>
          <w:sz w:val="24"/>
          <w:szCs w:val="24"/>
          <w:shd w:val="clear" w:color="auto" w:fill="FFFFFF"/>
          <w:lang w:eastAsia="en-US"/>
        </w:rPr>
        <w:t xml:space="preserve">Where an offence has been committed in a domestic abuse case, arrest will normally be ‘necessary’ within the terms of the </w:t>
      </w:r>
      <w:hyperlink r:id="rId15" w:tgtFrame="_blank" w:history="1">
        <w:r w:rsidRPr="001028A0">
          <w:rPr>
            <w:rFonts w:asciiTheme="minorHAnsi" w:eastAsiaTheme="minorHAnsi" w:hAnsiTheme="minorHAnsi" w:cstheme="minorHAnsi"/>
            <w:color w:val="065E80"/>
            <w:sz w:val="24"/>
            <w:szCs w:val="24"/>
            <w:u w:val="single"/>
            <w:lang w:eastAsia="en-US"/>
          </w:rPr>
          <w:t xml:space="preserve">Police and Criminal Evidence </w:t>
        </w:r>
        <w:r w:rsidRPr="001028A0">
          <w:rPr>
            <w:rFonts w:asciiTheme="minorHAnsi" w:eastAsiaTheme="minorHAnsi" w:hAnsiTheme="minorHAnsi" w:cstheme="minorHAnsi"/>
            <w:color w:val="065E80"/>
            <w:sz w:val="24"/>
            <w:szCs w:val="24"/>
            <w:u w:val="single"/>
            <w:lang w:eastAsia="en-US"/>
          </w:rPr>
          <w:lastRenderedPageBreak/>
          <w:t>Act 1984</w:t>
        </w:r>
      </w:hyperlink>
      <w:r w:rsidRPr="001028A0">
        <w:rPr>
          <w:rFonts w:asciiTheme="minorHAnsi" w:eastAsiaTheme="minorHAnsi" w:hAnsiTheme="minorHAnsi" w:cstheme="minorHAnsi"/>
          <w:color w:val="333333"/>
          <w:sz w:val="24"/>
          <w:szCs w:val="24"/>
          <w:shd w:val="clear" w:color="auto" w:fill="FFFFFF"/>
          <w:lang w:eastAsia="en-US"/>
        </w:rPr>
        <w:t xml:space="preserve"> (</w:t>
      </w:r>
      <w:r w:rsidRPr="001028A0">
        <w:rPr>
          <w:rFonts w:asciiTheme="minorHAnsi" w:eastAsiaTheme="minorHAnsi" w:hAnsiTheme="minorHAnsi" w:cstheme="minorHAnsi"/>
          <w:color w:val="auto"/>
          <w:sz w:val="24"/>
          <w:szCs w:val="24"/>
          <w:lang w:eastAsia="en-US"/>
        </w:rPr>
        <w:t>PACE</w:t>
      </w:r>
      <w:r w:rsidRPr="001028A0">
        <w:rPr>
          <w:rFonts w:asciiTheme="minorHAnsi" w:eastAsiaTheme="minorHAnsi" w:hAnsiTheme="minorHAnsi" w:cstheme="minorHAnsi"/>
          <w:color w:val="333333"/>
          <w:sz w:val="24"/>
          <w:szCs w:val="24"/>
          <w:shd w:val="clear" w:color="auto" w:fill="FFFFFF"/>
          <w:lang w:eastAsia="en-US"/>
        </w:rPr>
        <w:t xml:space="preserve">) to protect a child or vulnerable person, prevent the suspect causing injury or criminal damage and/or allow for the prompt and effective investigation of the offence.” </w:t>
      </w:r>
      <w:sdt>
        <w:sdtPr>
          <w:rPr>
            <w:rFonts w:asciiTheme="minorHAnsi" w:eastAsiaTheme="minorHAnsi" w:hAnsiTheme="minorHAnsi" w:cstheme="minorHAnsi"/>
            <w:color w:val="333333"/>
            <w:sz w:val="24"/>
            <w:szCs w:val="24"/>
            <w:shd w:val="clear" w:color="auto" w:fill="FFFFFF"/>
            <w:lang w:eastAsia="en-US"/>
          </w:rPr>
          <w:id w:val="-764300165"/>
          <w:citation/>
        </w:sdtPr>
        <w:sdtEndPr/>
        <w:sdtContent>
          <w:r w:rsidRPr="001028A0">
            <w:rPr>
              <w:rFonts w:asciiTheme="minorHAnsi" w:eastAsiaTheme="minorHAnsi" w:hAnsiTheme="minorHAnsi" w:cstheme="minorHAnsi"/>
              <w:color w:val="333333"/>
              <w:sz w:val="24"/>
              <w:szCs w:val="24"/>
              <w:shd w:val="clear" w:color="auto" w:fill="FFFFFF"/>
              <w:lang w:eastAsia="en-US"/>
            </w:rPr>
            <w:fldChar w:fldCharType="begin"/>
          </w:r>
          <w:r w:rsidRPr="001028A0">
            <w:rPr>
              <w:rFonts w:asciiTheme="minorHAnsi" w:eastAsiaTheme="minorHAnsi" w:hAnsiTheme="minorHAnsi" w:cstheme="minorHAnsi"/>
              <w:color w:val="333333"/>
              <w:sz w:val="24"/>
              <w:szCs w:val="24"/>
              <w:shd w:val="clear" w:color="auto" w:fill="FFFFFF"/>
              <w:lang w:eastAsia="en-US"/>
            </w:rPr>
            <w:instrText xml:space="preserve"> CITATION Col15 \l 2057 </w:instrText>
          </w:r>
          <w:r w:rsidRPr="001028A0">
            <w:rPr>
              <w:rFonts w:asciiTheme="minorHAnsi" w:eastAsiaTheme="minorHAnsi" w:hAnsiTheme="minorHAnsi" w:cstheme="minorHAnsi"/>
              <w:color w:val="333333"/>
              <w:sz w:val="24"/>
              <w:szCs w:val="24"/>
              <w:shd w:val="clear" w:color="auto" w:fill="FFFFFF"/>
              <w:lang w:eastAsia="en-US"/>
            </w:rPr>
            <w:fldChar w:fldCharType="separate"/>
          </w:r>
          <w:r w:rsidRPr="001028A0">
            <w:rPr>
              <w:rFonts w:asciiTheme="minorHAnsi" w:eastAsiaTheme="minorHAnsi" w:hAnsiTheme="minorHAnsi" w:cstheme="minorHAnsi"/>
              <w:noProof/>
              <w:color w:val="333333"/>
              <w:sz w:val="24"/>
              <w:szCs w:val="24"/>
              <w:shd w:val="clear" w:color="auto" w:fill="FFFFFF"/>
              <w:lang w:eastAsia="en-US"/>
            </w:rPr>
            <w:t>(Policing, 2015)</w:t>
          </w:r>
          <w:r w:rsidRPr="001028A0">
            <w:rPr>
              <w:rFonts w:asciiTheme="minorHAnsi" w:eastAsiaTheme="minorHAnsi" w:hAnsiTheme="minorHAnsi" w:cstheme="minorHAnsi"/>
              <w:color w:val="333333"/>
              <w:sz w:val="24"/>
              <w:szCs w:val="24"/>
              <w:shd w:val="clear" w:color="auto" w:fill="FFFFFF"/>
              <w:lang w:eastAsia="en-US"/>
            </w:rPr>
            <w:fldChar w:fldCharType="end"/>
          </w:r>
        </w:sdtContent>
      </w:sdt>
      <w:r w:rsidRPr="001028A0">
        <w:rPr>
          <w:rFonts w:asciiTheme="minorHAnsi" w:eastAsiaTheme="minorHAnsi" w:hAnsiTheme="minorHAnsi" w:cstheme="minorHAnsi"/>
          <w:color w:val="333333"/>
          <w:sz w:val="24"/>
          <w:szCs w:val="24"/>
          <w:shd w:val="clear" w:color="auto" w:fill="FFFFFF"/>
          <w:lang w:eastAsia="en-US"/>
        </w:rPr>
        <w:t xml:space="preserve"> although as a Police Officer I do have the discretion to decide, it is my organisations policy to arrest at any domestic related incident where a crime has taken place. I determined that this was not a domestic related incident.</w:t>
      </w:r>
    </w:p>
    <w:p w14:paraId="6A9DFE9B"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333333"/>
          <w:sz w:val="24"/>
          <w:szCs w:val="24"/>
          <w:shd w:val="clear" w:color="auto" w:fill="FFFFFF"/>
          <w:lang w:eastAsia="en-US"/>
        </w:rPr>
        <w:t>I considered the needs of the investigative process and the vulnerability of the victim. The victim was the housing association as the property belongs to them and is maintained by them. There was no immediate risk to the victim. I considered if the crime was committed because of an argument with nearby residents, however I determined this was not the case, but the residents had voiced their annoyance and I felt it was necessary to take prompt action to protect the subject.</w:t>
      </w:r>
    </w:p>
    <w:p w14:paraId="4A3D80A9"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333333"/>
          <w:sz w:val="24"/>
          <w:szCs w:val="24"/>
          <w:shd w:val="clear" w:color="auto" w:fill="FFFFFF"/>
          <w:lang w:eastAsia="en-US"/>
        </w:rPr>
        <w:t xml:space="preserve">I considered the rights and vulnerabilities of the subject regarding the investigation process, to do this I considered Code C of the Police and Criminal Evidence Act 1984 (PACE 1984). PACE code C says that all people in custody are to be dealt with quickly and detained for as long as the detention is necessary and that a person is entitled to legal advice and representation and that all questioning must be done in line with the code of practice. </w:t>
      </w:r>
      <w:sdt>
        <w:sdtPr>
          <w:rPr>
            <w:rFonts w:asciiTheme="minorHAnsi" w:eastAsiaTheme="minorHAnsi" w:hAnsiTheme="minorHAnsi" w:cstheme="minorHAnsi"/>
            <w:color w:val="333333"/>
            <w:sz w:val="24"/>
            <w:szCs w:val="24"/>
            <w:shd w:val="clear" w:color="auto" w:fill="FFFFFF"/>
            <w:lang w:eastAsia="en-US"/>
          </w:rPr>
          <w:id w:val="1350600323"/>
          <w:citation/>
        </w:sdtPr>
        <w:sdtEndPr/>
        <w:sdtContent>
          <w:r w:rsidRPr="001028A0">
            <w:rPr>
              <w:rFonts w:asciiTheme="minorHAnsi" w:eastAsiaTheme="minorHAnsi" w:hAnsiTheme="minorHAnsi" w:cstheme="minorHAnsi"/>
              <w:color w:val="333333"/>
              <w:sz w:val="24"/>
              <w:szCs w:val="24"/>
              <w:shd w:val="clear" w:color="auto" w:fill="FFFFFF"/>
              <w:lang w:eastAsia="en-US"/>
            </w:rPr>
            <w:fldChar w:fldCharType="begin"/>
          </w:r>
          <w:r w:rsidRPr="001028A0">
            <w:rPr>
              <w:rFonts w:asciiTheme="minorHAnsi" w:eastAsiaTheme="minorHAnsi" w:hAnsiTheme="minorHAnsi" w:cstheme="minorHAnsi"/>
              <w:color w:val="333333"/>
              <w:sz w:val="24"/>
              <w:szCs w:val="24"/>
              <w:shd w:val="clear" w:color="auto" w:fill="FFFFFF"/>
              <w:lang w:eastAsia="en-US"/>
            </w:rPr>
            <w:instrText xml:space="preserve"> CITATION Hom17 \l 2057 </w:instrText>
          </w:r>
          <w:r w:rsidRPr="001028A0">
            <w:rPr>
              <w:rFonts w:asciiTheme="minorHAnsi" w:eastAsiaTheme="minorHAnsi" w:hAnsiTheme="minorHAnsi" w:cstheme="minorHAnsi"/>
              <w:color w:val="333333"/>
              <w:sz w:val="24"/>
              <w:szCs w:val="24"/>
              <w:shd w:val="clear" w:color="auto" w:fill="FFFFFF"/>
              <w:lang w:eastAsia="en-US"/>
            </w:rPr>
            <w:fldChar w:fldCharType="separate"/>
          </w:r>
          <w:r w:rsidRPr="001028A0">
            <w:rPr>
              <w:rFonts w:asciiTheme="minorHAnsi" w:eastAsiaTheme="minorHAnsi" w:hAnsiTheme="minorHAnsi" w:cstheme="minorHAnsi"/>
              <w:noProof/>
              <w:color w:val="333333"/>
              <w:sz w:val="24"/>
              <w:szCs w:val="24"/>
              <w:shd w:val="clear" w:color="auto" w:fill="FFFFFF"/>
              <w:lang w:eastAsia="en-US"/>
            </w:rPr>
            <w:t>(Office, 2017)</w:t>
          </w:r>
          <w:r w:rsidRPr="001028A0">
            <w:rPr>
              <w:rFonts w:asciiTheme="minorHAnsi" w:eastAsiaTheme="minorHAnsi" w:hAnsiTheme="minorHAnsi" w:cstheme="minorHAnsi"/>
              <w:color w:val="333333"/>
              <w:sz w:val="24"/>
              <w:szCs w:val="24"/>
              <w:shd w:val="clear" w:color="auto" w:fill="FFFFFF"/>
              <w:lang w:eastAsia="en-US"/>
            </w:rPr>
            <w:fldChar w:fldCharType="end"/>
          </w:r>
        </w:sdtContent>
      </w:sdt>
      <w:r w:rsidRPr="001028A0">
        <w:rPr>
          <w:rFonts w:asciiTheme="minorHAnsi" w:eastAsiaTheme="minorHAnsi" w:hAnsiTheme="minorHAnsi" w:cstheme="minorHAnsi"/>
          <w:color w:val="333333"/>
          <w:sz w:val="24"/>
          <w:szCs w:val="24"/>
          <w:shd w:val="clear" w:color="auto" w:fill="FFFFFF"/>
          <w:lang w:eastAsia="en-US"/>
        </w:rPr>
        <w:t>.</w:t>
      </w:r>
    </w:p>
    <w:p w14:paraId="347DB301"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333333"/>
          <w:sz w:val="24"/>
          <w:szCs w:val="24"/>
          <w:shd w:val="clear" w:color="auto" w:fill="FFFFFF"/>
          <w:lang w:eastAsia="en-US"/>
        </w:rPr>
        <w:t>I explained to the subject that they will need to be formally interviewed in relation to the matter. The subject admitted what they had done and said that they want to do the interview process as soon as possible. I advised the subject that they were entitled to free and independent legal advice, but they declined this option.</w:t>
      </w:r>
    </w:p>
    <w:p w14:paraId="5548FE82"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333333"/>
          <w:sz w:val="24"/>
          <w:szCs w:val="24"/>
          <w:shd w:val="clear" w:color="auto" w:fill="FFFFFF"/>
          <w:lang w:eastAsia="en-US"/>
        </w:rPr>
        <w:t xml:space="preserve">I have followed the PEACE model when conducting the investigation and subsequent interview. The College of Policing say that there are five phrases to the PEACE framework, Planning and preparation, engage and explain, account clarification and challenge, closure and evaluation. </w:t>
      </w:r>
      <w:sdt>
        <w:sdtPr>
          <w:rPr>
            <w:rFonts w:asciiTheme="minorHAnsi" w:eastAsiaTheme="minorHAnsi" w:hAnsiTheme="minorHAnsi" w:cstheme="minorHAnsi"/>
            <w:color w:val="333333"/>
            <w:sz w:val="24"/>
            <w:szCs w:val="24"/>
            <w:shd w:val="clear" w:color="auto" w:fill="FFFFFF"/>
            <w:lang w:eastAsia="en-US"/>
          </w:rPr>
          <w:id w:val="-1790197587"/>
          <w:citation/>
        </w:sdtPr>
        <w:sdtEndPr/>
        <w:sdtContent>
          <w:r w:rsidRPr="001028A0">
            <w:rPr>
              <w:rFonts w:asciiTheme="minorHAnsi" w:eastAsiaTheme="minorHAnsi" w:hAnsiTheme="minorHAnsi" w:cstheme="minorHAnsi"/>
              <w:color w:val="333333"/>
              <w:sz w:val="24"/>
              <w:szCs w:val="24"/>
              <w:shd w:val="clear" w:color="auto" w:fill="FFFFFF"/>
              <w:lang w:eastAsia="en-US"/>
            </w:rPr>
            <w:fldChar w:fldCharType="begin"/>
          </w:r>
          <w:r w:rsidRPr="001028A0">
            <w:rPr>
              <w:rFonts w:asciiTheme="minorHAnsi" w:eastAsiaTheme="minorHAnsi" w:hAnsiTheme="minorHAnsi" w:cstheme="minorHAnsi"/>
              <w:color w:val="333333"/>
              <w:sz w:val="24"/>
              <w:szCs w:val="24"/>
              <w:shd w:val="clear" w:color="auto" w:fill="FFFFFF"/>
              <w:lang w:eastAsia="en-US"/>
            </w:rPr>
            <w:instrText xml:space="preserve"> CITATION Col131 \l 2057 </w:instrText>
          </w:r>
          <w:r w:rsidRPr="001028A0">
            <w:rPr>
              <w:rFonts w:asciiTheme="minorHAnsi" w:eastAsiaTheme="minorHAnsi" w:hAnsiTheme="minorHAnsi" w:cstheme="minorHAnsi"/>
              <w:color w:val="333333"/>
              <w:sz w:val="24"/>
              <w:szCs w:val="24"/>
              <w:shd w:val="clear" w:color="auto" w:fill="FFFFFF"/>
              <w:lang w:eastAsia="en-US"/>
            </w:rPr>
            <w:fldChar w:fldCharType="separate"/>
          </w:r>
          <w:r w:rsidRPr="001028A0">
            <w:rPr>
              <w:rFonts w:asciiTheme="minorHAnsi" w:eastAsiaTheme="minorHAnsi" w:hAnsiTheme="minorHAnsi" w:cstheme="minorHAnsi"/>
              <w:noProof/>
              <w:color w:val="333333"/>
              <w:sz w:val="24"/>
              <w:szCs w:val="24"/>
              <w:shd w:val="clear" w:color="auto" w:fill="FFFFFF"/>
              <w:lang w:eastAsia="en-US"/>
            </w:rPr>
            <w:t>(Policing, 2013)</w:t>
          </w:r>
          <w:r w:rsidRPr="001028A0">
            <w:rPr>
              <w:rFonts w:asciiTheme="minorHAnsi" w:eastAsiaTheme="minorHAnsi" w:hAnsiTheme="minorHAnsi" w:cstheme="minorHAnsi"/>
              <w:color w:val="333333"/>
              <w:sz w:val="24"/>
              <w:szCs w:val="24"/>
              <w:shd w:val="clear" w:color="auto" w:fill="FFFFFF"/>
              <w:lang w:eastAsia="en-US"/>
            </w:rPr>
            <w:fldChar w:fldCharType="end"/>
          </w:r>
        </w:sdtContent>
      </w:sdt>
      <w:r w:rsidRPr="001028A0">
        <w:rPr>
          <w:rFonts w:asciiTheme="minorHAnsi" w:eastAsiaTheme="minorHAnsi" w:hAnsiTheme="minorHAnsi" w:cstheme="minorHAnsi"/>
          <w:color w:val="333333"/>
          <w:sz w:val="24"/>
          <w:szCs w:val="24"/>
          <w:shd w:val="clear" w:color="auto" w:fill="FFFFFF"/>
          <w:lang w:eastAsia="en-US"/>
        </w:rPr>
        <w:t>. I have followed this guidance when preparing and conducting the interview with the subject.</w:t>
      </w:r>
    </w:p>
    <w:p w14:paraId="6C58B690"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333333"/>
          <w:sz w:val="24"/>
          <w:szCs w:val="24"/>
          <w:shd w:val="clear" w:color="auto" w:fill="FFFFFF"/>
          <w:lang w:eastAsia="en-US"/>
        </w:rPr>
        <w:t>I considered what evidence I would need to gather before the interview and from who. I took a statement from the victim, I took photographs of the damage caused to the window, I conducted house to house enquiries and checked for CCTV opportunities. I determined that there were no witnesses to the incident.</w:t>
      </w:r>
    </w:p>
    <w:p w14:paraId="22609D63"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333333"/>
          <w:sz w:val="24"/>
          <w:szCs w:val="24"/>
          <w:shd w:val="clear" w:color="auto" w:fill="FFFFFF"/>
          <w:lang w:eastAsia="en-US"/>
        </w:rPr>
        <w:t xml:space="preserve">I considered if the subject had any vulnerabilities and if they would need to be assisted by an appropriate adult. When writing out my interview plan, I considered the points to prove for the offence I had arrested for. </w:t>
      </w:r>
      <w:sdt>
        <w:sdtPr>
          <w:rPr>
            <w:rFonts w:asciiTheme="minorHAnsi" w:eastAsiaTheme="minorHAnsi" w:hAnsiTheme="minorHAnsi" w:cstheme="minorHAnsi"/>
            <w:color w:val="333333"/>
            <w:sz w:val="24"/>
            <w:szCs w:val="24"/>
            <w:shd w:val="clear" w:color="auto" w:fill="FFFFFF"/>
            <w:lang w:eastAsia="en-US"/>
          </w:rPr>
          <w:id w:val="1508641940"/>
          <w:citation/>
        </w:sdtPr>
        <w:sdtEndPr/>
        <w:sdtContent>
          <w:r w:rsidRPr="001028A0">
            <w:rPr>
              <w:rFonts w:asciiTheme="minorHAnsi" w:eastAsiaTheme="minorHAnsi" w:hAnsiTheme="minorHAnsi" w:cstheme="minorHAnsi"/>
              <w:color w:val="333333"/>
              <w:sz w:val="24"/>
              <w:szCs w:val="24"/>
              <w:shd w:val="clear" w:color="auto" w:fill="FFFFFF"/>
              <w:lang w:eastAsia="en-US"/>
            </w:rPr>
            <w:fldChar w:fldCharType="begin"/>
          </w:r>
          <w:r w:rsidRPr="001028A0">
            <w:rPr>
              <w:rFonts w:asciiTheme="minorHAnsi" w:eastAsiaTheme="minorHAnsi" w:hAnsiTheme="minorHAnsi" w:cstheme="minorHAnsi"/>
              <w:color w:val="333333"/>
              <w:sz w:val="24"/>
              <w:szCs w:val="24"/>
              <w:shd w:val="clear" w:color="auto" w:fill="FFFFFF"/>
              <w:lang w:eastAsia="en-US"/>
            </w:rPr>
            <w:instrText xml:space="preserve">CITATION Pro19 \l 2057 </w:instrText>
          </w:r>
          <w:r w:rsidRPr="001028A0">
            <w:rPr>
              <w:rFonts w:asciiTheme="minorHAnsi" w:eastAsiaTheme="minorHAnsi" w:hAnsiTheme="minorHAnsi" w:cstheme="minorHAnsi"/>
              <w:color w:val="333333"/>
              <w:sz w:val="24"/>
              <w:szCs w:val="24"/>
              <w:shd w:val="clear" w:color="auto" w:fill="FFFFFF"/>
              <w:lang w:eastAsia="en-US"/>
            </w:rPr>
            <w:fldChar w:fldCharType="separate"/>
          </w:r>
          <w:r w:rsidRPr="001028A0">
            <w:rPr>
              <w:rFonts w:asciiTheme="minorHAnsi" w:eastAsiaTheme="minorHAnsi" w:hAnsiTheme="minorHAnsi" w:cstheme="minorHAnsi"/>
              <w:noProof/>
              <w:color w:val="333333"/>
              <w:sz w:val="24"/>
              <w:szCs w:val="24"/>
              <w:shd w:val="clear" w:color="auto" w:fill="FFFFFF"/>
              <w:lang w:eastAsia="en-US"/>
            </w:rPr>
            <w:t>(Barry Blackburn, 2019)</w:t>
          </w:r>
          <w:r w:rsidRPr="001028A0">
            <w:rPr>
              <w:rFonts w:asciiTheme="minorHAnsi" w:eastAsiaTheme="minorHAnsi" w:hAnsiTheme="minorHAnsi" w:cstheme="minorHAnsi"/>
              <w:color w:val="333333"/>
              <w:sz w:val="24"/>
              <w:szCs w:val="24"/>
              <w:shd w:val="clear" w:color="auto" w:fill="FFFFFF"/>
              <w:lang w:eastAsia="en-US"/>
            </w:rPr>
            <w:fldChar w:fldCharType="end"/>
          </w:r>
        </w:sdtContent>
      </w:sdt>
      <w:r w:rsidRPr="001028A0">
        <w:rPr>
          <w:rFonts w:asciiTheme="minorHAnsi" w:eastAsiaTheme="minorHAnsi" w:hAnsiTheme="minorHAnsi" w:cstheme="minorHAnsi"/>
          <w:color w:val="333333"/>
          <w:sz w:val="24"/>
          <w:szCs w:val="24"/>
          <w:shd w:val="clear" w:color="auto" w:fill="FFFFFF"/>
          <w:lang w:eastAsia="en-US"/>
        </w:rPr>
        <w:t xml:space="preserve"> says that the offence of criminal damage is when a person without a lawful reason destroys or damages someone else’s property with the intention to do so or the act they commit is reckless enough to destroy or damage the property.</w:t>
      </w:r>
    </w:p>
    <w:p w14:paraId="6F82A82B"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333333"/>
          <w:sz w:val="24"/>
          <w:szCs w:val="24"/>
          <w:shd w:val="clear" w:color="auto" w:fill="FFFFFF"/>
          <w:lang w:eastAsia="en-US"/>
        </w:rPr>
        <w:t>I devised my questions I posed to the subject with the thoughts of what defences they may use, such as that they didn’t do it deliberately so I would need to ask the question of whether they thought their actions were reckless and that it was likely damage would be caused.</w:t>
      </w:r>
    </w:p>
    <w:p w14:paraId="027A6539"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333333"/>
          <w:sz w:val="24"/>
          <w:szCs w:val="24"/>
          <w:shd w:val="clear" w:color="auto" w:fill="FFFFFF"/>
          <w:lang w:eastAsia="en-US"/>
        </w:rPr>
        <w:lastRenderedPageBreak/>
        <w:t xml:space="preserve">When starting the interview process, I explained that the interview would be recorded and that the individual is entitled to free and independent legal advice, to which they refused. I reminded them that they are entitled to it at any point and can stop the interview if they want to obtain advice. This meant that I was ensuring the subjects human rights were protected. The Human Rights Act Article 6 states that everyone has the right to a fair trial and as such they have the right to adequate time to prepare a defence. </w:t>
      </w:r>
      <w:sdt>
        <w:sdtPr>
          <w:rPr>
            <w:rFonts w:asciiTheme="minorHAnsi" w:eastAsiaTheme="minorHAnsi" w:hAnsiTheme="minorHAnsi" w:cstheme="minorHAnsi"/>
            <w:color w:val="333333"/>
            <w:sz w:val="24"/>
            <w:szCs w:val="24"/>
            <w:shd w:val="clear" w:color="auto" w:fill="FFFFFF"/>
            <w:lang w:eastAsia="en-US"/>
          </w:rPr>
          <w:id w:val="1002238572"/>
          <w:citation/>
        </w:sdtPr>
        <w:sdtEndPr/>
        <w:sdtContent>
          <w:r w:rsidRPr="001028A0">
            <w:rPr>
              <w:rFonts w:asciiTheme="minorHAnsi" w:eastAsiaTheme="minorHAnsi" w:hAnsiTheme="minorHAnsi" w:cstheme="minorHAnsi"/>
              <w:color w:val="333333"/>
              <w:sz w:val="24"/>
              <w:szCs w:val="24"/>
              <w:shd w:val="clear" w:color="auto" w:fill="FFFFFF"/>
              <w:lang w:eastAsia="en-US"/>
            </w:rPr>
            <w:fldChar w:fldCharType="begin"/>
          </w:r>
          <w:r w:rsidRPr="001028A0">
            <w:rPr>
              <w:rFonts w:asciiTheme="minorHAnsi" w:eastAsiaTheme="minorHAnsi" w:hAnsiTheme="minorHAnsi" w:cstheme="minorHAnsi"/>
              <w:color w:val="333333"/>
              <w:sz w:val="24"/>
              <w:szCs w:val="24"/>
              <w:shd w:val="clear" w:color="auto" w:fill="FFFFFF"/>
              <w:lang w:eastAsia="en-US"/>
            </w:rPr>
            <w:instrText xml:space="preserve"> CITATION Leg981 \l 2057 </w:instrText>
          </w:r>
          <w:r w:rsidRPr="001028A0">
            <w:rPr>
              <w:rFonts w:asciiTheme="minorHAnsi" w:eastAsiaTheme="minorHAnsi" w:hAnsiTheme="minorHAnsi" w:cstheme="minorHAnsi"/>
              <w:color w:val="333333"/>
              <w:sz w:val="24"/>
              <w:szCs w:val="24"/>
              <w:shd w:val="clear" w:color="auto" w:fill="FFFFFF"/>
              <w:lang w:eastAsia="en-US"/>
            </w:rPr>
            <w:fldChar w:fldCharType="separate"/>
          </w:r>
          <w:r w:rsidRPr="001028A0">
            <w:rPr>
              <w:rFonts w:asciiTheme="minorHAnsi" w:eastAsiaTheme="minorHAnsi" w:hAnsiTheme="minorHAnsi" w:cstheme="minorHAnsi"/>
              <w:noProof/>
              <w:color w:val="333333"/>
              <w:sz w:val="24"/>
              <w:szCs w:val="24"/>
              <w:shd w:val="clear" w:color="auto" w:fill="FFFFFF"/>
              <w:lang w:eastAsia="en-US"/>
            </w:rPr>
            <w:t>(Legislation.gov.uk, 1998)</w:t>
          </w:r>
          <w:r w:rsidRPr="001028A0">
            <w:rPr>
              <w:rFonts w:asciiTheme="minorHAnsi" w:eastAsiaTheme="minorHAnsi" w:hAnsiTheme="minorHAnsi" w:cstheme="minorHAnsi"/>
              <w:color w:val="333333"/>
              <w:sz w:val="24"/>
              <w:szCs w:val="24"/>
              <w:shd w:val="clear" w:color="auto" w:fill="FFFFFF"/>
              <w:lang w:eastAsia="en-US"/>
            </w:rPr>
            <w:fldChar w:fldCharType="end"/>
          </w:r>
        </w:sdtContent>
      </w:sdt>
    </w:p>
    <w:p w14:paraId="2C89E8E4"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333333"/>
          <w:sz w:val="24"/>
          <w:szCs w:val="24"/>
          <w:shd w:val="clear" w:color="auto" w:fill="FFFFFF"/>
          <w:lang w:eastAsia="en-US"/>
        </w:rPr>
        <w:t>I have broken down the caution and confirmed that they understand it. I have explained that the interview is their chance to give their version of events. I have explained that I would be discussing the offence of Criminal Damage and that I would ask about other things that I feel they may be relevant to the offence or circumstances.</w:t>
      </w:r>
    </w:p>
    <w:p w14:paraId="41B83A9D"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333333"/>
          <w:sz w:val="24"/>
          <w:szCs w:val="24"/>
          <w:shd w:val="clear" w:color="auto" w:fill="FFFFFF"/>
          <w:lang w:eastAsia="en-US"/>
        </w:rPr>
        <w:t>It was important for me to explain the subject’s rights and clarify with them that they do not have to answer any my questions.</w:t>
      </w:r>
    </w:p>
    <w:p w14:paraId="53AD63F6"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333333"/>
          <w:sz w:val="24"/>
          <w:szCs w:val="24"/>
          <w:shd w:val="clear" w:color="auto" w:fill="FFFFFF"/>
          <w:lang w:eastAsia="en-US"/>
        </w:rPr>
        <w:t>During the interview process I was conscious of the way I asked the questions and that although I had prepared my questions, I needed to change some of them due to the responses given. I needed to show the subject that I was actively listening and to ask questions to clarify their versions of events. Therefore, the way I communicated was important.</w:t>
      </w:r>
    </w:p>
    <w:p w14:paraId="3DE0C6C8"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333333"/>
          <w:sz w:val="24"/>
          <w:szCs w:val="24"/>
          <w:shd w:val="clear" w:color="auto" w:fill="FFFFFF"/>
          <w:lang w:eastAsia="en-US"/>
        </w:rPr>
        <w:t>At the end of the interview I gave the subject a piece of paper which had information on about what will happen with the interview discs and explained that I will review the evidence and the account he has given and decide with the sergeant what action, if any will be taken.</w:t>
      </w:r>
    </w:p>
    <w:p w14:paraId="7336CE81"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333333"/>
          <w:sz w:val="24"/>
          <w:szCs w:val="24"/>
          <w:shd w:val="clear" w:color="auto" w:fill="FFFFFF"/>
          <w:lang w:eastAsia="en-US"/>
        </w:rPr>
        <w:t>After reviewing the information, it was decided that the restorative approach would be used. The victim agreed to this and the subject made a full and frank admission saying they will pay for the damage.</w:t>
      </w:r>
    </w:p>
    <w:p w14:paraId="189D21A1"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shd w:val="clear" w:color="auto" w:fill="FFFFFF"/>
          <w:lang w:eastAsia="en-US"/>
        </w:rPr>
      </w:pPr>
      <w:r w:rsidRPr="001028A0">
        <w:rPr>
          <w:rFonts w:asciiTheme="minorHAnsi" w:eastAsiaTheme="minorHAnsi" w:hAnsiTheme="minorHAnsi" w:cstheme="minorHAnsi"/>
          <w:b/>
          <w:bCs/>
          <w:color w:val="auto"/>
          <w:sz w:val="24"/>
          <w:szCs w:val="24"/>
          <w:shd w:val="clear" w:color="auto" w:fill="FFFFFF"/>
          <w:lang w:eastAsia="en-US"/>
        </w:rPr>
        <w:t>Evaluation</w:t>
      </w:r>
    </w:p>
    <w:p w14:paraId="5F1FCD37"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shd w:val="clear" w:color="auto" w:fill="FFFFFF"/>
          <w:lang w:eastAsia="en-US"/>
        </w:rPr>
      </w:pPr>
      <w:r w:rsidRPr="001028A0">
        <w:rPr>
          <w:rFonts w:asciiTheme="minorHAnsi" w:eastAsiaTheme="minorHAnsi" w:hAnsiTheme="minorHAnsi" w:cstheme="minorHAnsi"/>
          <w:color w:val="auto"/>
          <w:sz w:val="24"/>
          <w:szCs w:val="24"/>
          <w:shd w:val="clear" w:color="auto" w:fill="FFFFFF"/>
          <w:lang w:eastAsia="en-US"/>
        </w:rPr>
        <w:t>The good thing about this experience was that I was able to apply discretion when it come to my recommendations to the custody sergeant</w:t>
      </w:r>
      <w:r w:rsidRPr="001028A0">
        <w:rPr>
          <w:rFonts w:asciiTheme="minorHAnsi" w:eastAsiaTheme="minorHAnsi" w:hAnsiTheme="minorHAnsi" w:cstheme="minorHAnsi"/>
          <w:b/>
          <w:bCs/>
          <w:color w:val="auto"/>
          <w:sz w:val="24"/>
          <w:szCs w:val="24"/>
          <w:shd w:val="clear" w:color="auto" w:fill="FFFFFF"/>
          <w:lang w:eastAsia="en-US"/>
        </w:rPr>
        <w:t xml:space="preserve">. </w:t>
      </w:r>
      <w:r w:rsidRPr="001028A0">
        <w:rPr>
          <w:rFonts w:asciiTheme="minorHAnsi" w:eastAsiaTheme="minorHAnsi" w:hAnsiTheme="minorHAnsi" w:cstheme="minorHAnsi"/>
          <w:color w:val="auto"/>
          <w:sz w:val="24"/>
          <w:szCs w:val="24"/>
          <w:shd w:val="clear" w:color="auto" w:fill="FFFFFF"/>
          <w:lang w:eastAsia="en-US"/>
        </w:rPr>
        <w:t xml:space="preserve">I was able to assess the information given to me at the time, I considered the powers and policies I had in relation to the incident and I was able to follow the guidelines of using the least impactive disposal method because of the level of damage and harm caused was not significant and both parties agreed. The Crown Prosecution Service say that the restorative justice process is process that forms a victim and offender mediation and that its use helps engage with the subject so they are aware of their actions and the potential consequences and that it gives the offender the opportunity to restore their place in the community </w:t>
      </w:r>
      <w:sdt>
        <w:sdtPr>
          <w:rPr>
            <w:rFonts w:asciiTheme="minorHAnsi" w:eastAsiaTheme="minorHAnsi" w:hAnsiTheme="minorHAnsi" w:cstheme="minorHAnsi"/>
            <w:color w:val="auto"/>
            <w:sz w:val="24"/>
            <w:szCs w:val="24"/>
            <w:shd w:val="clear" w:color="auto" w:fill="FFFFFF"/>
            <w:lang w:eastAsia="en-US"/>
          </w:rPr>
          <w:id w:val="1712458956"/>
          <w:citation/>
        </w:sdtPr>
        <w:sdtEndPr/>
        <w:sdtContent>
          <w:r w:rsidRPr="001028A0">
            <w:rPr>
              <w:rFonts w:asciiTheme="minorHAnsi" w:eastAsiaTheme="minorHAnsi" w:hAnsiTheme="minorHAnsi" w:cstheme="minorHAnsi"/>
              <w:color w:val="auto"/>
              <w:sz w:val="24"/>
              <w:szCs w:val="24"/>
              <w:shd w:val="clear" w:color="auto" w:fill="FFFFFF"/>
              <w:lang w:eastAsia="en-US"/>
            </w:rPr>
            <w:fldChar w:fldCharType="begin"/>
          </w:r>
          <w:r w:rsidRPr="001028A0">
            <w:rPr>
              <w:rFonts w:asciiTheme="minorHAnsi" w:eastAsiaTheme="minorHAnsi" w:hAnsiTheme="minorHAnsi" w:cstheme="minorHAnsi"/>
              <w:color w:val="auto"/>
              <w:sz w:val="24"/>
              <w:szCs w:val="24"/>
              <w:shd w:val="clear" w:color="auto" w:fill="FFFFFF"/>
              <w:lang w:eastAsia="en-US"/>
            </w:rPr>
            <w:instrText xml:space="preserve"> CITATION Cro19 \l 2057 </w:instrText>
          </w:r>
          <w:r w:rsidRPr="001028A0">
            <w:rPr>
              <w:rFonts w:asciiTheme="minorHAnsi" w:eastAsiaTheme="minorHAnsi" w:hAnsiTheme="minorHAnsi" w:cstheme="minorHAnsi"/>
              <w:color w:val="auto"/>
              <w:sz w:val="24"/>
              <w:szCs w:val="24"/>
              <w:shd w:val="clear" w:color="auto" w:fill="FFFFFF"/>
              <w:lang w:eastAsia="en-US"/>
            </w:rPr>
            <w:fldChar w:fldCharType="separate"/>
          </w:r>
          <w:r w:rsidRPr="001028A0">
            <w:rPr>
              <w:rFonts w:asciiTheme="minorHAnsi" w:eastAsiaTheme="minorHAnsi" w:hAnsiTheme="minorHAnsi" w:cstheme="minorHAnsi"/>
              <w:noProof/>
              <w:color w:val="auto"/>
              <w:sz w:val="24"/>
              <w:szCs w:val="24"/>
              <w:shd w:val="clear" w:color="auto" w:fill="FFFFFF"/>
              <w:lang w:eastAsia="en-US"/>
            </w:rPr>
            <w:t>(Service, 2019)</w:t>
          </w:r>
          <w:r w:rsidRPr="001028A0">
            <w:rPr>
              <w:rFonts w:asciiTheme="minorHAnsi" w:eastAsiaTheme="minorHAnsi" w:hAnsiTheme="minorHAnsi" w:cstheme="minorHAnsi"/>
              <w:color w:val="auto"/>
              <w:sz w:val="24"/>
              <w:szCs w:val="24"/>
              <w:shd w:val="clear" w:color="auto" w:fill="FFFFFF"/>
              <w:lang w:eastAsia="en-US"/>
            </w:rPr>
            <w:fldChar w:fldCharType="end"/>
          </w:r>
        </w:sdtContent>
      </w:sdt>
      <w:r w:rsidRPr="001028A0">
        <w:rPr>
          <w:rFonts w:asciiTheme="minorHAnsi" w:eastAsiaTheme="minorHAnsi" w:hAnsiTheme="minorHAnsi" w:cstheme="minorHAnsi"/>
          <w:color w:val="auto"/>
          <w:sz w:val="24"/>
          <w:szCs w:val="24"/>
          <w:shd w:val="clear" w:color="auto" w:fill="FFFFFF"/>
          <w:lang w:eastAsia="en-US"/>
        </w:rPr>
        <w:t>.</w:t>
      </w:r>
    </w:p>
    <w:p w14:paraId="6210ABDE"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shd w:val="clear" w:color="auto" w:fill="FFFFFF"/>
          <w:lang w:eastAsia="en-US"/>
        </w:rPr>
      </w:pPr>
      <w:r w:rsidRPr="001028A0">
        <w:rPr>
          <w:rFonts w:asciiTheme="minorHAnsi" w:eastAsiaTheme="minorHAnsi" w:hAnsiTheme="minorHAnsi" w:cstheme="minorHAnsi"/>
          <w:color w:val="auto"/>
          <w:sz w:val="24"/>
          <w:szCs w:val="24"/>
          <w:shd w:val="clear" w:color="auto" w:fill="FFFFFF"/>
          <w:lang w:eastAsia="en-US"/>
        </w:rPr>
        <w:t>The bad thing about this experience is that there was not a lot evidence of against the subject for the offence, this would have meant that if the subject did not make a full admission then I would not of had much for the challenging phase of the interview.</w:t>
      </w:r>
    </w:p>
    <w:p w14:paraId="349E4B46"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shd w:val="clear" w:color="auto" w:fill="FFFFFF"/>
          <w:lang w:eastAsia="en-US"/>
        </w:rPr>
      </w:pPr>
      <w:r w:rsidRPr="001028A0">
        <w:rPr>
          <w:rFonts w:asciiTheme="minorHAnsi" w:eastAsiaTheme="minorHAnsi" w:hAnsiTheme="minorHAnsi" w:cstheme="minorHAnsi"/>
          <w:b/>
          <w:bCs/>
          <w:color w:val="auto"/>
          <w:sz w:val="24"/>
          <w:szCs w:val="24"/>
          <w:shd w:val="clear" w:color="auto" w:fill="FFFFFF"/>
          <w:lang w:eastAsia="en-US"/>
        </w:rPr>
        <w:t>Analysis</w:t>
      </w:r>
    </w:p>
    <w:p w14:paraId="37BA9E49"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shd w:val="clear" w:color="auto" w:fill="FFFFFF"/>
          <w:lang w:eastAsia="en-US"/>
        </w:rPr>
      </w:pPr>
      <w:r w:rsidRPr="001028A0">
        <w:rPr>
          <w:rFonts w:asciiTheme="minorHAnsi" w:eastAsiaTheme="minorHAnsi" w:hAnsiTheme="minorHAnsi" w:cstheme="minorHAnsi"/>
          <w:color w:val="auto"/>
          <w:sz w:val="24"/>
          <w:szCs w:val="24"/>
          <w:shd w:val="clear" w:color="auto" w:fill="FFFFFF"/>
          <w:lang w:eastAsia="en-US"/>
        </w:rPr>
        <w:lastRenderedPageBreak/>
        <w:t>My understanding of what happened is that the subject has committed a crime and has accepted full responsibility for his actions. I realise that the process of interviewing is completed by using the PEACE model because it is a national way of ensuring that all subjects are treated fairly and given the opportunity to explain their version of events to ensure a fair and consistent approach to the investigation process. It is also my understanding that the codes of practice are there to support and inform subjects of their rights.</w:t>
      </w:r>
    </w:p>
    <w:p w14:paraId="0D5738E7"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shd w:val="clear" w:color="auto" w:fill="FFFFFF"/>
          <w:lang w:eastAsia="en-US"/>
        </w:rPr>
      </w:pPr>
      <w:r w:rsidRPr="001028A0">
        <w:rPr>
          <w:rFonts w:asciiTheme="minorHAnsi" w:eastAsiaTheme="minorHAnsi" w:hAnsiTheme="minorHAnsi" w:cstheme="minorHAnsi"/>
          <w:b/>
          <w:bCs/>
          <w:color w:val="auto"/>
          <w:sz w:val="24"/>
          <w:szCs w:val="24"/>
          <w:shd w:val="clear" w:color="auto" w:fill="FFFFFF"/>
          <w:lang w:eastAsia="en-US"/>
        </w:rPr>
        <w:t>Conclusions</w:t>
      </w:r>
    </w:p>
    <w:p w14:paraId="662EBC59"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shd w:val="clear" w:color="auto" w:fill="FFFFFF"/>
          <w:lang w:eastAsia="en-US"/>
        </w:rPr>
      </w:pPr>
      <w:r w:rsidRPr="001028A0">
        <w:rPr>
          <w:rFonts w:asciiTheme="minorHAnsi" w:eastAsiaTheme="minorHAnsi" w:hAnsiTheme="minorHAnsi" w:cstheme="minorHAnsi"/>
          <w:color w:val="auto"/>
          <w:sz w:val="24"/>
          <w:szCs w:val="24"/>
          <w:shd w:val="clear" w:color="auto" w:fill="FFFFFF"/>
          <w:lang w:eastAsia="en-US"/>
        </w:rPr>
        <w:t>Reflecting on this incident I could have given the subject the opportunity to attend a voluntary interview instead of arresting them.  A voluntary interview is an alternative to arresting the subject and asking them to attend a police station for a formal interview at a mutually agreed time, if I would have done this then it would have given me more time to plan my interview and also would have meant I was still out on the street ready to respond to emergency calls. I also think that it’s important for me to have an open mind when interviewing because I had planned my interview questions, I found it difficult to adapt the questions to the answers the subject gave me.</w:t>
      </w:r>
    </w:p>
    <w:p w14:paraId="29FC98A5"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Action Plan</w:t>
      </w:r>
    </w:p>
    <w:p w14:paraId="5A78C483"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Moving forward I will be more open minded in terms of the planning and preparation stage and when deciding what course of action to take and the best way to deal with the situation as arresting is not always the best option.</w:t>
      </w:r>
    </w:p>
    <w:p w14:paraId="6617B5DF"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 xml:space="preserve"> (words 1,523)</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w:t>
            </w:r>
            <w:proofErr w:type="gramStart"/>
            <w:r>
              <w:rPr>
                <w:sz w:val="24"/>
                <w:szCs w:val="24"/>
              </w:rPr>
              <w:t>evidence based</w:t>
            </w:r>
            <w:proofErr w:type="gramEnd"/>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6780BC2"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Description</w:t>
      </w:r>
    </w:p>
    <w:p w14:paraId="4667D0A4"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I attended a call with my colleague about reports of youths that had been throwing objects, which the reporting person believed to be stones at passing cars. However, no damage was caused to their vehicle. On route to the area where the youths were last seen another call come in with a similar modus operandi. A modus operandi is commonly called an MO. Collins dictionary states “</w:t>
      </w:r>
      <w:r w:rsidRPr="001028A0">
        <w:rPr>
          <w:rFonts w:asciiTheme="minorHAnsi" w:eastAsiaTheme="minorHAnsi" w:hAnsiTheme="minorHAnsi" w:cstheme="minorHAnsi"/>
          <w:sz w:val="24"/>
          <w:szCs w:val="24"/>
          <w:shd w:val="clear" w:color="auto" w:fill="FFFFFF"/>
          <w:lang w:eastAsia="en-US"/>
        </w:rPr>
        <w:t xml:space="preserve">A </w:t>
      </w:r>
      <w:r w:rsidRPr="001028A0">
        <w:rPr>
          <w:rFonts w:asciiTheme="minorHAnsi" w:eastAsiaTheme="minorHAnsi" w:hAnsiTheme="minorHAnsi" w:cstheme="minorHAnsi"/>
          <w:b/>
          <w:bCs/>
          <w:color w:val="C12D30"/>
          <w:sz w:val="24"/>
          <w:szCs w:val="24"/>
          <w:bdr w:val="none" w:sz="0" w:space="0" w:color="auto" w:frame="1"/>
          <w:lang w:eastAsia="en-US"/>
        </w:rPr>
        <w:t>modus operandi</w:t>
      </w:r>
      <w:r w:rsidRPr="001028A0">
        <w:rPr>
          <w:rFonts w:asciiTheme="minorHAnsi" w:eastAsiaTheme="minorHAnsi" w:hAnsiTheme="minorHAnsi" w:cstheme="minorHAnsi"/>
          <w:sz w:val="24"/>
          <w:szCs w:val="24"/>
          <w:shd w:val="clear" w:color="auto" w:fill="FFFFFF"/>
          <w:lang w:eastAsia="en-US"/>
        </w:rPr>
        <w:t xml:space="preserve"> is a particular way of doing something.” </w:t>
      </w:r>
      <w:sdt>
        <w:sdtPr>
          <w:rPr>
            <w:rFonts w:asciiTheme="minorHAnsi" w:eastAsiaTheme="minorHAnsi" w:hAnsiTheme="minorHAnsi" w:cstheme="minorHAnsi"/>
            <w:sz w:val="24"/>
            <w:szCs w:val="24"/>
            <w:shd w:val="clear" w:color="auto" w:fill="FFFFFF"/>
            <w:lang w:eastAsia="en-US"/>
          </w:rPr>
          <w:id w:val="-1233842252"/>
          <w:citation/>
        </w:sdtPr>
        <w:sdtEndPr/>
        <w:sdtContent>
          <w:r w:rsidRPr="001028A0">
            <w:rPr>
              <w:rFonts w:asciiTheme="minorHAnsi" w:eastAsiaTheme="minorHAnsi" w:hAnsiTheme="minorHAnsi" w:cstheme="minorHAnsi"/>
              <w:sz w:val="24"/>
              <w:szCs w:val="24"/>
              <w:shd w:val="clear" w:color="auto" w:fill="FFFFFF"/>
              <w:lang w:eastAsia="en-US"/>
            </w:rPr>
            <w:fldChar w:fldCharType="begin"/>
          </w:r>
          <w:r w:rsidRPr="001028A0">
            <w:rPr>
              <w:rFonts w:asciiTheme="minorHAnsi" w:eastAsiaTheme="minorHAnsi" w:hAnsiTheme="minorHAnsi" w:cstheme="minorHAnsi"/>
              <w:sz w:val="24"/>
              <w:szCs w:val="24"/>
              <w:shd w:val="clear" w:color="auto" w:fill="FFFFFF"/>
              <w:lang w:eastAsia="en-US"/>
            </w:rPr>
            <w:instrText xml:space="preserve"> CITATION Har20 \l 2057 </w:instrText>
          </w:r>
          <w:r w:rsidRPr="001028A0">
            <w:rPr>
              <w:rFonts w:asciiTheme="minorHAnsi" w:eastAsiaTheme="minorHAnsi" w:hAnsiTheme="minorHAnsi" w:cstheme="minorHAnsi"/>
              <w:sz w:val="24"/>
              <w:szCs w:val="24"/>
              <w:shd w:val="clear" w:color="auto" w:fill="FFFFFF"/>
              <w:lang w:eastAsia="en-US"/>
            </w:rPr>
            <w:fldChar w:fldCharType="separate"/>
          </w:r>
          <w:r w:rsidRPr="001028A0">
            <w:rPr>
              <w:rFonts w:asciiTheme="minorHAnsi" w:eastAsiaTheme="minorHAnsi" w:hAnsiTheme="minorHAnsi" w:cstheme="minorHAnsi"/>
              <w:noProof/>
              <w:sz w:val="24"/>
              <w:szCs w:val="24"/>
              <w:shd w:val="clear" w:color="auto" w:fill="FFFFFF"/>
              <w:lang w:eastAsia="en-US"/>
            </w:rPr>
            <w:t>(HarperCollins Publishers, 2020)</w:t>
          </w:r>
          <w:r w:rsidRPr="001028A0">
            <w:rPr>
              <w:rFonts w:asciiTheme="minorHAnsi" w:eastAsiaTheme="minorHAnsi" w:hAnsiTheme="minorHAnsi" w:cstheme="minorHAnsi"/>
              <w:sz w:val="24"/>
              <w:szCs w:val="24"/>
              <w:shd w:val="clear" w:color="auto" w:fill="FFFFFF"/>
              <w:lang w:eastAsia="en-US"/>
            </w:rPr>
            <w:fldChar w:fldCharType="end"/>
          </w:r>
        </w:sdtContent>
      </w:sdt>
      <w:r w:rsidRPr="001028A0">
        <w:rPr>
          <w:rFonts w:asciiTheme="minorHAnsi" w:eastAsiaTheme="minorHAnsi" w:hAnsiTheme="minorHAnsi" w:cstheme="minorHAnsi"/>
          <w:sz w:val="24"/>
          <w:szCs w:val="24"/>
          <w:shd w:val="clear" w:color="auto" w:fill="FFFFFF"/>
          <w:lang w:eastAsia="en-US"/>
        </w:rPr>
        <w:t xml:space="preserve">. The description of the subjects was also the same as the </w:t>
      </w:r>
      <w:r w:rsidRPr="001028A0">
        <w:rPr>
          <w:rFonts w:asciiTheme="minorHAnsi" w:eastAsiaTheme="minorHAnsi" w:hAnsiTheme="minorHAnsi" w:cstheme="minorHAnsi"/>
          <w:sz w:val="24"/>
          <w:szCs w:val="24"/>
          <w:shd w:val="clear" w:color="auto" w:fill="FFFFFF"/>
          <w:lang w:eastAsia="en-US"/>
        </w:rPr>
        <w:lastRenderedPageBreak/>
        <w:t>one given by the first reporting person. On arrival we have located a group of youths who have run away when seeing us. I have given chase and caught one of the youths, I have conducted a search of the youth and returned them to their parents.</w:t>
      </w:r>
    </w:p>
    <w:p w14:paraId="17BC0224"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Feelings</w:t>
      </w:r>
    </w:p>
    <w:p w14:paraId="22AADB66"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 xml:space="preserve">My thoughts about this call were initially what offences have been committed and what police powers I must had to deal with this type of incident. I determined that this incident would fall under two types of category. My feelings were that it was an attempt at causing criminal damage and an Anti-social behaviour incident. I contacted the reported person on my way to the area where the alleged incident had taken place and they confirmed that there was no damage to their vehicle and suspected it was a stone that hit the vehicle. They were able to provide an accurate description of all the youths involved, in this case it was four youths aged approximately between twelve to fourteen years old, wearing black tracksuit bottoms and hooded tops. By ringing the reporting person I was able to get what their wishes were in relation to the matter and all they wanted was for the youths to be spoken to and advised about their behaviour because the reporting person was aware of a lot of different incidents happening in the area and the local community suspect it is youths causing the issues. It was my thoughts at this point that as a Police Officer I have a duty to fully investigate and take action that is appropriate to the situation. When I caught the youth, my initial thoughts were what actions can I take. The youth admitted being with his friends and said that one of them had thrown biscuits at passing cars and they gave the names and addresses of all the other people involved. I decided because the youth had been found in the area, matched the description and admitted to being involved that I would conduct a search of them under section 1 of the Police and Criminal Evidence Act 1984. Section one of PACE says that a constable may search any person, vehicle or anything on or in a vehicle for stolen or prohibited articles, fireworks or anything that may be used in connection with any burglary, theft, fraud or offences under section 1 of the Criminal Damage Act 1971 and that the officer must state what the grounds are for the search, the object they are looking for, identify themselves as being warranted, the officers name and station they are based at and that the person being searched is entitled to a record of the search, the legislative powers being used and that the person is detained for the purpose of the search. </w:t>
      </w:r>
      <w:sdt>
        <w:sdtPr>
          <w:rPr>
            <w:rFonts w:asciiTheme="minorHAnsi" w:eastAsiaTheme="minorHAnsi" w:hAnsiTheme="minorHAnsi" w:cstheme="minorHAnsi"/>
            <w:color w:val="auto"/>
            <w:sz w:val="24"/>
            <w:szCs w:val="24"/>
            <w:lang w:eastAsia="en-US"/>
          </w:rPr>
          <w:id w:val="1665358819"/>
          <w:citation/>
        </w:sdtPr>
        <w:sdtEndPr/>
        <w:sdtContent>
          <w:r w:rsidRPr="001028A0">
            <w:rPr>
              <w:rFonts w:asciiTheme="minorHAnsi" w:eastAsiaTheme="minorHAnsi" w:hAnsiTheme="minorHAnsi" w:cstheme="minorHAnsi"/>
              <w:color w:val="auto"/>
              <w:sz w:val="24"/>
              <w:szCs w:val="24"/>
              <w:lang w:eastAsia="en-US"/>
            </w:rPr>
            <w:fldChar w:fldCharType="begin"/>
          </w:r>
          <w:r w:rsidRPr="001028A0">
            <w:rPr>
              <w:rFonts w:asciiTheme="minorHAnsi" w:eastAsiaTheme="minorHAnsi" w:hAnsiTheme="minorHAnsi" w:cstheme="minorHAnsi"/>
              <w:color w:val="auto"/>
              <w:sz w:val="24"/>
              <w:szCs w:val="24"/>
              <w:lang w:eastAsia="en-US"/>
            </w:rPr>
            <w:instrText xml:space="preserve"> CITATION Leg84 \l 2057 </w:instrText>
          </w:r>
          <w:r w:rsidRPr="001028A0">
            <w:rPr>
              <w:rFonts w:asciiTheme="minorHAnsi" w:eastAsiaTheme="minorHAnsi" w:hAnsiTheme="minorHAnsi" w:cstheme="minorHAnsi"/>
              <w:color w:val="auto"/>
              <w:sz w:val="24"/>
              <w:szCs w:val="24"/>
              <w:lang w:eastAsia="en-US"/>
            </w:rPr>
            <w:fldChar w:fldCharType="separate"/>
          </w:r>
          <w:r w:rsidRPr="001028A0">
            <w:rPr>
              <w:rFonts w:asciiTheme="minorHAnsi" w:eastAsiaTheme="minorHAnsi" w:hAnsiTheme="minorHAnsi" w:cstheme="minorHAnsi"/>
              <w:noProof/>
              <w:color w:val="auto"/>
              <w:sz w:val="24"/>
              <w:szCs w:val="24"/>
              <w:lang w:eastAsia="en-US"/>
            </w:rPr>
            <w:t>(Legislation.gov.uk, 1984)</w:t>
          </w:r>
          <w:r w:rsidRPr="001028A0">
            <w:rPr>
              <w:rFonts w:asciiTheme="minorHAnsi" w:eastAsiaTheme="minorHAnsi" w:hAnsiTheme="minorHAnsi" w:cstheme="minorHAnsi"/>
              <w:color w:val="auto"/>
              <w:sz w:val="24"/>
              <w:szCs w:val="24"/>
              <w:lang w:eastAsia="en-US"/>
            </w:rPr>
            <w:fldChar w:fldCharType="end"/>
          </w:r>
        </w:sdtContent>
      </w:sdt>
      <w:r w:rsidRPr="001028A0">
        <w:rPr>
          <w:rFonts w:asciiTheme="minorHAnsi" w:eastAsiaTheme="minorHAnsi" w:hAnsiTheme="minorHAnsi" w:cstheme="minorHAnsi"/>
          <w:color w:val="auto"/>
          <w:sz w:val="24"/>
          <w:szCs w:val="24"/>
          <w:lang w:eastAsia="en-US"/>
        </w:rPr>
        <w:t xml:space="preserve">. </w:t>
      </w:r>
    </w:p>
    <w:p w14:paraId="0FAF9400"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333333"/>
          <w:sz w:val="24"/>
          <w:szCs w:val="24"/>
          <w:shd w:val="clear" w:color="auto" w:fill="FFFFFF"/>
          <w:lang w:eastAsia="en-US"/>
        </w:rPr>
      </w:pPr>
      <w:r w:rsidRPr="001028A0">
        <w:rPr>
          <w:rFonts w:asciiTheme="minorHAnsi" w:eastAsiaTheme="minorHAnsi" w:hAnsiTheme="minorHAnsi" w:cstheme="minorHAnsi"/>
          <w:color w:val="auto"/>
          <w:sz w:val="24"/>
          <w:szCs w:val="24"/>
          <w:lang w:eastAsia="en-US"/>
        </w:rPr>
        <w:t>The purpose of the search was to see if they had anything on them that could have been used to cause criminal damage, however the search was negative. I also considered the offence of attempt criminal damage, however because no damage was caused and the reporting person did not want to make an official complaint and because of the age of the subjects, I used my police discretion to treat this as an Anti-social Behaviour incident. To come to this decision, I used the National Decision-Making model (NDM) to map my thoughts and to make a reasonable and justified decision. “</w:t>
      </w:r>
      <w:r w:rsidRPr="001028A0">
        <w:rPr>
          <w:rFonts w:asciiTheme="minorHAnsi" w:eastAsiaTheme="minorHAnsi" w:hAnsiTheme="minorHAnsi" w:cstheme="minorHAnsi"/>
          <w:color w:val="333333"/>
          <w:sz w:val="24"/>
          <w:szCs w:val="24"/>
          <w:shd w:val="clear" w:color="auto" w:fill="FFFFFF"/>
          <w:lang w:eastAsia="en-US"/>
        </w:rPr>
        <w:t xml:space="preserve">The National Decision Model is a nationwide framework that is used by police forces to help them ensure that they make the most appropriate decision. There are various stages to the process, but all should be taken while considering the mission statement and core values.” </w:t>
      </w:r>
      <w:sdt>
        <w:sdtPr>
          <w:rPr>
            <w:rFonts w:asciiTheme="minorHAnsi" w:eastAsiaTheme="minorHAnsi" w:hAnsiTheme="minorHAnsi" w:cstheme="minorHAnsi"/>
            <w:color w:val="333333"/>
            <w:sz w:val="24"/>
            <w:szCs w:val="24"/>
            <w:shd w:val="clear" w:color="auto" w:fill="FFFFFF"/>
            <w:lang w:eastAsia="en-US"/>
          </w:rPr>
          <w:id w:val="-1845170264"/>
          <w:citation/>
        </w:sdtPr>
        <w:sdtEndPr/>
        <w:sdtContent>
          <w:r w:rsidRPr="001028A0">
            <w:rPr>
              <w:rFonts w:asciiTheme="minorHAnsi" w:eastAsiaTheme="minorHAnsi" w:hAnsiTheme="minorHAnsi" w:cstheme="minorHAnsi"/>
              <w:color w:val="333333"/>
              <w:sz w:val="24"/>
              <w:szCs w:val="24"/>
              <w:shd w:val="clear" w:color="auto" w:fill="FFFFFF"/>
              <w:lang w:eastAsia="en-US"/>
            </w:rPr>
            <w:fldChar w:fldCharType="begin"/>
          </w:r>
          <w:r w:rsidRPr="001028A0">
            <w:rPr>
              <w:rFonts w:asciiTheme="minorHAnsi" w:eastAsiaTheme="minorHAnsi" w:hAnsiTheme="minorHAnsi" w:cstheme="minorHAnsi"/>
              <w:color w:val="333333"/>
              <w:sz w:val="24"/>
              <w:szCs w:val="24"/>
              <w:shd w:val="clear" w:color="auto" w:fill="FFFFFF"/>
              <w:lang w:eastAsia="en-US"/>
            </w:rPr>
            <w:instrText xml:space="preserve"> CITATION Wor20 \l 2057 </w:instrText>
          </w:r>
          <w:r w:rsidRPr="001028A0">
            <w:rPr>
              <w:rFonts w:asciiTheme="minorHAnsi" w:eastAsiaTheme="minorHAnsi" w:hAnsiTheme="minorHAnsi" w:cstheme="minorHAnsi"/>
              <w:color w:val="333333"/>
              <w:sz w:val="24"/>
              <w:szCs w:val="24"/>
              <w:shd w:val="clear" w:color="auto" w:fill="FFFFFF"/>
              <w:lang w:eastAsia="en-US"/>
            </w:rPr>
            <w:fldChar w:fldCharType="separate"/>
          </w:r>
          <w:r w:rsidRPr="001028A0">
            <w:rPr>
              <w:rFonts w:asciiTheme="minorHAnsi" w:eastAsiaTheme="minorHAnsi" w:hAnsiTheme="minorHAnsi" w:cstheme="minorHAnsi"/>
              <w:noProof/>
              <w:color w:val="333333"/>
              <w:sz w:val="24"/>
              <w:szCs w:val="24"/>
              <w:shd w:val="clear" w:color="auto" w:fill="FFFFFF"/>
              <w:lang w:eastAsia="en-US"/>
            </w:rPr>
            <w:t>(Wordpress, n.d.)</w:t>
          </w:r>
          <w:r w:rsidRPr="001028A0">
            <w:rPr>
              <w:rFonts w:asciiTheme="minorHAnsi" w:eastAsiaTheme="minorHAnsi" w:hAnsiTheme="minorHAnsi" w:cstheme="minorHAnsi"/>
              <w:color w:val="333333"/>
              <w:sz w:val="24"/>
              <w:szCs w:val="24"/>
              <w:shd w:val="clear" w:color="auto" w:fill="FFFFFF"/>
              <w:lang w:eastAsia="en-US"/>
            </w:rPr>
            <w:fldChar w:fldCharType="end"/>
          </w:r>
        </w:sdtContent>
      </w:sdt>
    </w:p>
    <w:p w14:paraId="5DCD8376" w14:textId="77777777" w:rsidR="001028A0" w:rsidRPr="001028A0" w:rsidRDefault="00252B92"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sdt>
        <w:sdtPr>
          <w:rPr>
            <w:rFonts w:asciiTheme="minorHAnsi" w:eastAsiaTheme="minorHAnsi" w:hAnsiTheme="minorHAnsi" w:cstheme="minorHAnsi"/>
            <w:color w:val="auto"/>
            <w:sz w:val="24"/>
            <w:szCs w:val="24"/>
            <w:lang w:eastAsia="en-US"/>
          </w:rPr>
          <w:id w:val="1787155382"/>
          <w:citation/>
        </w:sdtPr>
        <w:sdtEndPr/>
        <w:sdtContent>
          <w:r w:rsidR="001028A0" w:rsidRPr="001028A0">
            <w:rPr>
              <w:rFonts w:asciiTheme="minorHAnsi" w:eastAsiaTheme="minorHAnsi" w:hAnsiTheme="minorHAnsi" w:cstheme="minorHAnsi"/>
              <w:color w:val="auto"/>
              <w:sz w:val="24"/>
              <w:szCs w:val="24"/>
              <w:lang w:eastAsia="en-US"/>
            </w:rPr>
            <w:fldChar w:fldCharType="begin"/>
          </w:r>
          <w:r w:rsidR="001028A0" w:rsidRPr="001028A0">
            <w:rPr>
              <w:rFonts w:asciiTheme="minorHAnsi" w:eastAsiaTheme="minorHAnsi" w:hAnsiTheme="minorHAnsi" w:cstheme="minorHAnsi"/>
              <w:color w:val="333333"/>
              <w:sz w:val="24"/>
              <w:szCs w:val="24"/>
              <w:shd w:val="clear" w:color="auto" w:fill="FFFFFF"/>
              <w:lang w:eastAsia="en-US"/>
            </w:rPr>
            <w:instrText xml:space="preserve"> CITATION Bar19 \l 2057 </w:instrText>
          </w:r>
          <w:r w:rsidR="001028A0" w:rsidRPr="001028A0">
            <w:rPr>
              <w:rFonts w:asciiTheme="minorHAnsi" w:eastAsiaTheme="minorHAnsi" w:hAnsiTheme="minorHAnsi" w:cstheme="minorHAnsi"/>
              <w:color w:val="auto"/>
              <w:sz w:val="24"/>
              <w:szCs w:val="24"/>
              <w:lang w:eastAsia="en-US"/>
            </w:rPr>
            <w:fldChar w:fldCharType="separate"/>
          </w:r>
          <w:r w:rsidR="001028A0" w:rsidRPr="001028A0">
            <w:rPr>
              <w:rFonts w:asciiTheme="minorHAnsi" w:eastAsiaTheme="minorHAnsi" w:hAnsiTheme="minorHAnsi" w:cstheme="minorHAnsi"/>
              <w:noProof/>
              <w:color w:val="333333"/>
              <w:sz w:val="24"/>
              <w:szCs w:val="24"/>
              <w:shd w:val="clear" w:color="auto" w:fill="FFFFFF"/>
              <w:lang w:eastAsia="en-US"/>
            </w:rPr>
            <w:t>(Barry Blackburn, 2019)</w:t>
          </w:r>
          <w:r w:rsidR="001028A0" w:rsidRPr="001028A0">
            <w:rPr>
              <w:rFonts w:asciiTheme="minorHAnsi" w:eastAsiaTheme="minorHAnsi" w:hAnsiTheme="minorHAnsi" w:cstheme="minorHAnsi"/>
              <w:color w:val="auto"/>
              <w:sz w:val="24"/>
              <w:szCs w:val="24"/>
              <w:lang w:eastAsia="en-US"/>
            </w:rPr>
            <w:fldChar w:fldCharType="end"/>
          </w:r>
        </w:sdtContent>
      </w:sdt>
      <w:r w:rsidR="001028A0" w:rsidRPr="001028A0">
        <w:rPr>
          <w:rFonts w:asciiTheme="minorHAnsi" w:eastAsiaTheme="minorHAnsi" w:hAnsiTheme="minorHAnsi" w:cstheme="minorHAnsi"/>
          <w:color w:val="auto"/>
          <w:sz w:val="24"/>
          <w:szCs w:val="24"/>
          <w:lang w:eastAsia="en-US"/>
        </w:rPr>
        <w:t xml:space="preserve"> describes Anti-social behaviour as not necessarily a crime but behaviour that covers disruptive activities which could lead to crime and behaviour which could cause harassment, alarm or distress to any other person.</w:t>
      </w:r>
    </w:p>
    <w:p w14:paraId="3039404D"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My consideration was that of how the behaviour displayed by the youths would have an impact on the wider community. In the local area where this incident took place there has been an increase in calls relating to Anti-social Behaviour. During my time in training and whilst being a response officer I have learnt that most types of Anti- social Behaviour can lead to criminal offences and known as signal crimes.</w:t>
      </w:r>
    </w:p>
    <w:p w14:paraId="1F649C2C" w14:textId="77777777" w:rsidR="001028A0" w:rsidRPr="001028A0" w:rsidRDefault="00252B92" w:rsidP="001028A0">
      <w:pPr>
        <w:overflowPunct/>
        <w:autoSpaceDE/>
        <w:autoSpaceDN/>
        <w:adjustRightInd/>
        <w:spacing w:after="160" w:line="256" w:lineRule="auto"/>
        <w:textAlignment w:val="auto"/>
        <w:rPr>
          <w:rFonts w:asciiTheme="minorHAnsi" w:eastAsiaTheme="minorHAnsi" w:hAnsiTheme="minorHAnsi" w:cstheme="minorHAnsi"/>
          <w:color w:val="2A2A2A"/>
          <w:sz w:val="24"/>
          <w:szCs w:val="24"/>
          <w:shd w:val="clear" w:color="auto" w:fill="FFFFFF"/>
          <w:lang w:eastAsia="en-US"/>
        </w:rPr>
      </w:pPr>
      <w:sdt>
        <w:sdtPr>
          <w:rPr>
            <w:rFonts w:asciiTheme="minorHAnsi" w:eastAsiaTheme="minorHAnsi" w:hAnsiTheme="minorHAnsi" w:cstheme="minorHAnsi"/>
            <w:color w:val="auto"/>
            <w:sz w:val="24"/>
            <w:szCs w:val="24"/>
            <w:lang w:eastAsia="en-US"/>
          </w:rPr>
          <w:id w:val="-1094773179"/>
          <w:citation/>
        </w:sdtPr>
        <w:sdtEndPr/>
        <w:sdtContent>
          <w:r w:rsidR="001028A0" w:rsidRPr="001028A0">
            <w:rPr>
              <w:rFonts w:asciiTheme="minorHAnsi" w:eastAsiaTheme="minorHAnsi" w:hAnsiTheme="minorHAnsi" w:cstheme="minorHAnsi"/>
              <w:color w:val="auto"/>
              <w:sz w:val="24"/>
              <w:szCs w:val="24"/>
              <w:lang w:eastAsia="en-US"/>
            </w:rPr>
            <w:fldChar w:fldCharType="begin"/>
          </w:r>
          <w:r w:rsidR="001028A0" w:rsidRPr="001028A0">
            <w:rPr>
              <w:rFonts w:asciiTheme="minorHAnsi" w:eastAsiaTheme="minorHAnsi" w:hAnsiTheme="minorHAnsi" w:cstheme="minorHAnsi"/>
              <w:color w:val="auto"/>
              <w:sz w:val="24"/>
              <w:szCs w:val="24"/>
              <w:lang w:eastAsia="en-US"/>
            </w:rPr>
            <w:instrText xml:space="preserve"> CITATION Bry15 \l 2057 </w:instrText>
          </w:r>
          <w:r w:rsidR="001028A0" w:rsidRPr="001028A0">
            <w:rPr>
              <w:rFonts w:asciiTheme="minorHAnsi" w:eastAsiaTheme="minorHAnsi" w:hAnsiTheme="minorHAnsi" w:cstheme="minorHAnsi"/>
              <w:color w:val="auto"/>
              <w:sz w:val="24"/>
              <w:szCs w:val="24"/>
              <w:lang w:eastAsia="en-US"/>
            </w:rPr>
            <w:fldChar w:fldCharType="separate"/>
          </w:r>
          <w:r w:rsidR="001028A0" w:rsidRPr="001028A0">
            <w:rPr>
              <w:rFonts w:asciiTheme="minorHAnsi" w:eastAsiaTheme="minorHAnsi" w:hAnsiTheme="minorHAnsi" w:cstheme="minorHAnsi"/>
              <w:noProof/>
              <w:color w:val="auto"/>
              <w:sz w:val="24"/>
              <w:szCs w:val="24"/>
              <w:lang w:eastAsia="en-US"/>
            </w:rPr>
            <w:t>(Bryn Caless, 2015)</w:t>
          </w:r>
          <w:r w:rsidR="001028A0" w:rsidRPr="001028A0">
            <w:rPr>
              <w:rFonts w:asciiTheme="minorHAnsi" w:eastAsiaTheme="minorHAnsi" w:hAnsiTheme="minorHAnsi" w:cstheme="minorHAnsi"/>
              <w:color w:val="auto"/>
              <w:sz w:val="24"/>
              <w:szCs w:val="24"/>
              <w:lang w:eastAsia="en-US"/>
            </w:rPr>
            <w:fldChar w:fldCharType="end"/>
          </w:r>
        </w:sdtContent>
      </w:sdt>
      <w:r w:rsidR="001028A0" w:rsidRPr="001028A0">
        <w:rPr>
          <w:rFonts w:asciiTheme="minorHAnsi" w:eastAsiaTheme="minorHAnsi" w:hAnsiTheme="minorHAnsi" w:cstheme="minorHAnsi"/>
          <w:color w:val="auto"/>
          <w:sz w:val="24"/>
          <w:szCs w:val="24"/>
          <w:lang w:eastAsia="en-US"/>
        </w:rPr>
        <w:t xml:space="preserve"> says “</w:t>
      </w:r>
      <w:r w:rsidR="001028A0" w:rsidRPr="001028A0">
        <w:rPr>
          <w:rFonts w:asciiTheme="minorHAnsi" w:eastAsiaTheme="minorHAnsi" w:hAnsiTheme="minorHAnsi" w:cstheme="minorHAnsi"/>
          <w:color w:val="2A2A2A"/>
          <w:sz w:val="24"/>
          <w:szCs w:val="24"/>
          <w:shd w:val="clear" w:color="auto" w:fill="FFFFFF"/>
          <w:lang w:eastAsia="en-US"/>
        </w:rPr>
        <w:t xml:space="preserve">A ‘signal crime’, first suggested by Martin Innes in 2004, is one that sends a message to the public that all is not well in its locality. The </w:t>
      </w:r>
      <w:r w:rsidR="001028A0" w:rsidRPr="001028A0">
        <w:rPr>
          <w:rFonts w:asciiTheme="minorHAnsi" w:eastAsiaTheme="minorHAnsi" w:hAnsiTheme="minorHAnsi" w:cstheme="minorHAnsi"/>
          <w:i/>
          <w:iCs/>
          <w:color w:val="2A2A2A"/>
          <w:sz w:val="24"/>
          <w:szCs w:val="24"/>
          <w:bdr w:val="none" w:sz="0" w:space="0" w:color="auto" w:frame="1"/>
          <w:lang w:eastAsia="en-US"/>
        </w:rPr>
        <w:t>fact</w:t>
      </w:r>
      <w:r w:rsidR="001028A0" w:rsidRPr="001028A0">
        <w:rPr>
          <w:rFonts w:asciiTheme="minorHAnsi" w:eastAsiaTheme="minorHAnsi" w:hAnsiTheme="minorHAnsi" w:cstheme="minorHAnsi"/>
          <w:color w:val="2A2A2A"/>
          <w:sz w:val="24"/>
          <w:szCs w:val="24"/>
          <w:shd w:val="clear" w:color="auto" w:fill="FFFFFF"/>
          <w:lang w:eastAsia="en-US"/>
        </w:rPr>
        <w:t xml:space="preserve"> of the crime, which might be </w:t>
      </w:r>
      <w:proofErr w:type="gramStart"/>
      <w:r w:rsidR="001028A0" w:rsidRPr="001028A0">
        <w:rPr>
          <w:rFonts w:asciiTheme="minorHAnsi" w:eastAsiaTheme="minorHAnsi" w:hAnsiTheme="minorHAnsi" w:cstheme="minorHAnsi"/>
          <w:color w:val="2A2A2A"/>
          <w:sz w:val="24"/>
          <w:szCs w:val="24"/>
          <w:shd w:val="clear" w:color="auto" w:fill="FFFFFF"/>
          <w:lang w:eastAsia="en-US"/>
        </w:rPr>
        <w:t>minor in itself, flags</w:t>
      </w:r>
      <w:proofErr w:type="gramEnd"/>
      <w:r w:rsidR="001028A0" w:rsidRPr="001028A0">
        <w:rPr>
          <w:rFonts w:asciiTheme="minorHAnsi" w:eastAsiaTheme="minorHAnsi" w:hAnsiTheme="minorHAnsi" w:cstheme="minorHAnsi"/>
          <w:color w:val="2A2A2A"/>
          <w:sz w:val="24"/>
          <w:szCs w:val="24"/>
          <w:shd w:val="clear" w:color="auto" w:fill="FFFFFF"/>
          <w:lang w:eastAsia="en-US"/>
        </w:rPr>
        <w:t xml:space="preserve"> up to people that things might get worse. Recognizing, and doing something about, such signal crimes resonated with Neighbourhood Policing and forces intent on a local engagement from about 2005.”</w:t>
      </w:r>
    </w:p>
    <w:p w14:paraId="71C8016C"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2A2A2A"/>
          <w:sz w:val="24"/>
          <w:szCs w:val="24"/>
          <w:shd w:val="clear" w:color="auto" w:fill="FFFFFF"/>
          <w:lang w:eastAsia="en-US"/>
        </w:rPr>
      </w:pPr>
      <w:r w:rsidRPr="001028A0">
        <w:rPr>
          <w:rFonts w:asciiTheme="minorHAnsi" w:eastAsiaTheme="minorHAnsi" w:hAnsiTheme="minorHAnsi" w:cstheme="minorHAnsi"/>
          <w:color w:val="2A2A2A"/>
          <w:sz w:val="24"/>
          <w:szCs w:val="24"/>
          <w:shd w:val="clear" w:color="auto" w:fill="FFFFFF"/>
          <w:lang w:eastAsia="en-US"/>
        </w:rPr>
        <w:t>My thoughts were that this behaviour could be a signal crime and that I needed to act.</w:t>
      </w:r>
    </w:p>
    <w:p w14:paraId="20EB8A57"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2A2A2A"/>
          <w:sz w:val="24"/>
          <w:szCs w:val="24"/>
          <w:shd w:val="clear" w:color="auto" w:fill="FFFFFF"/>
          <w:lang w:eastAsia="en-US"/>
        </w:rPr>
      </w:pPr>
      <w:r w:rsidRPr="001028A0">
        <w:rPr>
          <w:rFonts w:asciiTheme="minorHAnsi" w:eastAsiaTheme="minorHAnsi" w:hAnsiTheme="minorHAnsi" w:cstheme="minorHAnsi"/>
          <w:color w:val="2A2A2A"/>
          <w:sz w:val="24"/>
          <w:szCs w:val="24"/>
          <w:shd w:val="clear" w:color="auto" w:fill="FFFFFF"/>
          <w:lang w:eastAsia="en-US"/>
        </w:rPr>
        <w:t>My responsibilities as a response officer are to protect and to serve the community, whilst also treating everyone, including subjects of incidents with decency, respect and fairness.</w:t>
      </w:r>
    </w:p>
    <w:p w14:paraId="0726FA0F"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2A2A2A"/>
          <w:sz w:val="24"/>
          <w:szCs w:val="24"/>
          <w:shd w:val="clear" w:color="auto" w:fill="FFFFFF"/>
          <w:lang w:eastAsia="en-US"/>
        </w:rPr>
        <w:t>This behaviour could affect the community by them fearing crime, as a Police Officer I can refer Anti-Social Behaviour incidents to other agencies, such as the local council so the issue can be dealt with together as a multi-agency issue. After I escorted the youth home and spoke to their parents I made a referral to the Neighbourhood Policing Team who specialise in Anti- Social Behaviour and liaise with other agencies, they would discuss the issue with the local school and council as well as going to speak to the other youths involved.</w:t>
      </w:r>
    </w:p>
    <w:p w14:paraId="7D53CBBD"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Evaluation</w:t>
      </w:r>
    </w:p>
    <w:p w14:paraId="12BC1E01"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The good thing about how I dealt with this incident was that because of the age of the subject and the low level risk I was able to deal with the incident in a less impactive way, although I do agree that Anti-Social Behaviour is a major problem and it can effect local communities, I also believe that people make mistakes and should be given a chance and proper education. It was good that I have the option to refer people to the Neighbourhood Policing Team because it reassures the members of the public that as a Police Service, we are taking things seriously and attempting to put preventative measures in place. The subject that I dealt with was apologetic and I assessed him as being remorseful, although he denied he threw anything he accepted that by being with the others the local community would see him as being involved.</w:t>
      </w:r>
    </w:p>
    <w:p w14:paraId="55D7C815"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It is good because I was able solve the problem quickly by being there and acting quickly and swiftly, however looking back it may not have been enough to solve the problem completely. It was good that I was able to contact the reporting persons and assure them that the police were taking action and explaining that the details of the incident will be referred to our partner agencies with the view of assessing the prevention measures which would be suitable for the circumstances.</w:t>
      </w:r>
    </w:p>
    <w:p w14:paraId="52239E8D"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lastRenderedPageBreak/>
        <w:t>The bad thing about this experience is that although I dealt with the immediate issue, it will most likely not solve the problem completely or expeditiously because that one issue will be one of many.</w:t>
      </w:r>
    </w:p>
    <w:p w14:paraId="3B8667A8"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p>
    <w:p w14:paraId="2E43691B"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Analysis</w:t>
      </w:r>
    </w:p>
    <w:p w14:paraId="6B23F8D0"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2B3641"/>
          <w:sz w:val="24"/>
          <w:szCs w:val="24"/>
          <w:lang w:eastAsia="en-US"/>
        </w:rPr>
      </w:pPr>
      <w:r w:rsidRPr="001028A0">
        <w:rPr>
          <w:rFonts w:asciiTheme="minorHAnsi" w:eastAsiaTheme="minorHAnsi" w:hAnsiTheme="minorHAnsi" w:cstheme="minorHAnsi"/>
          <w:color w:val="auto"/>
          <w:sz w:val="24"/>
          <w:szCs w:val="24"/>
          <w:lang w:eastAsia="en-US"/>
        </w:rPr>
        <w:t xml:space="preserve">This incident and since working as a response officer </w:t>
      </w:r>
      <w:proofErr w:type="gramStart"/>
      <w:r w:rsidRPr="001028A0">
        <w:rPr>
          <w:rFonts w:asciiTheme="minorHAnsi" w:eastAsiaTheme="minorHAnsi" w:hAnsiTheme="minorHAnsi" w:cstheme="minorHAnsi"/>
          <w:color w:val="auto"/>
          <w:sz w:val="24"/>
          <w:szCs w:val="24"/>
          <w:lang w:eastAsia="en-US"/>
        </w:rPr>
        <w:t>ha</w:t>
      </w:r>
      <w:bookmarkStart w:id="0" w:name="_GoBack"/>
      <w:bookmarkEnd w:id="0"/>
      <w:r w:rsidRPr="001028A0">
        <w:rPr>
          <w:rFonts w:asciiTheme="minorHAnsi" w:eastAsiaTheme="minorHAnsi" w:hAnsiTheme="minorHAnsi" w:cstheme="minorHAnsi"/>
          <w:color w:val="auto"/>
          <w:sz w:val="24"/>
          <w:szCs w:val="24"/>
          <w:lang w:eastAsia="en-US"/>
        </w:rPr>
        <w:t>s</w:t>
      </w:r>
      <w:proofErr w:type="gramEnd"/>
      <w:r w:rsidRPr="001028A0">
        <w:rPr>
          <w:rFonts w:asciiTheme="minorHAnsi" w:eastAsiaTheme="minorHAnsi" w:hAnsiTheme="minorHAnsi" w:cstheme="minorHAnsi"/>
          <w:color w:val="auto"/>
          <w:sz w:val="24"/>
          <w:szCs w:val="24"/>
          <w:lang w:eastAsia="en-US"/>
        </w:rPr>
        <w:t xml:space="preserve"> made me realise how much of an issues Anti-Social behaviour is. It’s easy enough for me and others to say that Anti-Social behaviour is only caused by young people, however that is not the case. I would say that I was one of those people and it’s reasonable to see how my unconscious bias would affect my decision making. </w:t>
      </w:r>
      <w:sdt>
        <w:sdtPr>
          <w:rPr>
            <w:rFonts w:asciiTheme="minorHAnsi" w:eastAsiaTheme="minorHAnsi" w:hAnsiTheme="minorHAnsi" w:cstheme="minorHAnsi"/>
            <w:color w:val="auto"/>
            <w:sz w:val="24"/>
            <w:szCs w:val="24"/>
            <w:lang w:eastAsia="en-US"/>
          </w:rPr>
          <w:id w:val="156438256"/>
          <w:citation/>
        </w:sdtPr>
        <w:sdtEndPr/>
        <w:sdtContent>
          <w:r w:rsidRPr="001028A0">
            <w:rPr>
              <w:rFonts w:asciiTheme="minorHAnsi" w:eastAsiaTheme="minorHAnsi" w:hAnsiTheme="minorHAnsi" w:cstheme="minorHAnsi"/>
              <w:color w:val="auto"/>
              <w:sz w:val="24"/>
              <w:szCs w:val="24"/>
              <w:lang w:eastAsia="en-US"/>
            </w:rPr>
            <w:fldChar w:fldCharType="begin"/>
          </w:r>
          <w:r w:rsidRPr="001028A0">
            <w:rPr>
              <w:rFonts w:asciiTheme="minorHAnsi" w:eastAsiaTheme="minorHAnsi" w:hAnsiTheme="minorHAnsi" w:cstheme="minorHAnsi"/>
              <w:color w:val="auto"/>
              <w:sz w:val="24"/>
              <w:szCs w:val="24"/>
              <w:lang w:eastAsia="en-US"/>
            </w:rPr>
            <w:instrText xml:space="preserve"> CITATION Mel18 \l 2057 </w:instrText>
          </w:r>
          <w:r w:rsidRPr="001028A0">
            <w:rPr>
              <w:rFonts w:asciiTheme="minorHAnsi" w:eastAsiaTheme="minorHAnsi" w:hAnsiTheme="minorHAnsi" w:cstheme="minorHAnsi"/>
              <w:color w:val="auto"/>
              <w:sz w:val="24"/>
              <w:szCs w:val="24"/>
              <w:lang w:eastAsia="en-US"/>
            </w:rPr>
            <w:fldChar w:fldCharType="separate"/>
          </w:r>
          <w:r w:rsidRPr="001028A0">
            <w:rPr>
              <w:rFonts w:asciiTheme="minorHAnsi" w:eastAsiaTheme="minorHAnsi" w:hAnsiTheme="minorHAnsi" w:cstheme="minorHAnsi"/>
              <w:noProof/>
              <w:color w:val="auto"/>
              <w:sz w:val="24"/>
              <w:szCs w:val="24"/>
              <w:lang w:eastAsia="en-US"/>
            </w:rPr>
            <w:t>(Jones, 2018)</w:t>
          </w:r>
          <w:r w:rsidRPr="001028A0">
            <w:rPr>
              <w:rFonts w:asciiTheme="minorHAnsi" w:eastAsiaTheme="minorHAnsi" w:hAnsiTheme="minorHAnsi" w:cstheme="minorHAnsi"/>
              <w:color w:val="auto"/>
              <w:sz w:val="24"/>
              <w:szCs w:val="24"/>
              <w:lang w:eastAsia="en-US"/>
            </w:rPr>
            <w:fldChar w:fldCharType="end"/>
          </w:r>
        </w:sdtContent>
      </w:sdt>
      <w:r w:rsidRPr="001028A0">
        <w:rPr>
          <w:rFonts w:asciiTheme="minorHAnsi" w:eastAsiaTheme="minorHAnsi" w:hAnsiTheme="minorHAnsi" w:cstheme="minorHAnsi"/>
          <w:color w:val="auto"/>
          <w:sz w:val="24"/>
          <w:szCs w:val="24"/>
          <w:lang w:eastAsia="en-US"/>
        </w:rPr>
        <w:t xml:space="preserve"> says that “You</w:t>
      </w:r>
      <w:r w:rsidRPr="001028A0">
        <w:rPr>
          <w:rFonts w:asciiTheme="minorHAnsi" w:eastAsiaTheme="minorHAnsi" w:hAnsiTheme="minorHAnsi" w:cstheme="minorHAnsi"/>
          <w:color w:val="2B3641"/>
          <w:sz w:val="24"/>
          <w:szCs w:val="24"/>
          <w:lang w:eastAsia="en-US"/>
        </w:rPr>
        <w:t xml:space="preserve"> may think your decisions are objective and fair but with the best will in the world they will be skewed by unconscious bias. Put simply, unconscious bias is an inclination or prejudice against a single person or group of people brought on by your experiences, cultural context and societal stereotypes.</w:t>
      </w:r>
    </w:p>
    <w:p w14:paraId="5E0D32C1"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2B3641"/>
          <w:sz w:val="24"/>
          <w:szCs w:val="24"/>
          <w:lang w:eastAsia="en-US"/>
        </w:rPr>
      </w:pPr>
      <w:r w:rsidRPr="001028A0">
        <w:rPr>
          <w:rFonts w:asciiTheme="minorHAnsi" w:eastAsiaTheme="minorHAnsi" w:hAnsiTheme="minorHAnsi" w:cstheme="minorHAnsi"/>
          <w:color w:val="2B3641"/>
          <w:sz w:val="24"/>
          <w:szCs w:val="24"/>
          <w:lang w:eastAsia="en-US"/>
        </w:rPr>
        <w:t xml:space="preserve">Whether you like it or not, it will be affecting your decisions and actions without you even realising. The brain is a complicated organ, constantly working and making choices. It’s also constantly looking at ways to speed up those processes and a by-product of that is unconscious bias.” </w:t>
      </w:r>
    </w:p>
    <w:p w14:paraId="3B61053C"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2B3641"/>
          <w:sz w:val="24"/>
          <w:szCs w:val="24"/>
          <w:lang w:eastAsia="en-US"/>
        </w:rPr>
      </w:pPr>
      <w:r w:rsidRPr="001028A0">
        <w:rPr>
          <w:rFonts w:asciiTheme="minorHAnsi" w:eastAsiaTheme="minorHAnsi" w:hAnsiTheme="minorHAnsi" w:cstheme="minorHAnsi"/>
          <w:color w:val="2B3641"/>
          <w:sz w:val="24"/>
          <w:szCs w:val="24"/>
          <w:lang w:eastAsia="en-US"/>
        </w:rPr>
        <w:t xml:space="preserve">I agree that the unconscious bias could influence decisions, but as a Police Officer every decision I make I need to justify it. Since becoming a response officer I am more aware of my unconscious bias and </w:t>
      </w:r>
      <w:sdt>
        <w:sdtPr>
          <w:rPr>
            <w:rFonts w:asciiTheme="minorHAnsi" w:eastAsiaTheme="minorHAnsi" w:hAnsiTheme="minorHAnsi" w:cstheme="minorHAnsi"/>
            <w:color w:val="2B3641"/>
            <w:sz w:val="24"/>
            <w:szCs w:val="24"/>
            <w:lang w:eastAsia="en-US"/>
          </w:rPr>
          <w:id w:val="-406391187"/>
          <w:citation/>
        </w:sdtPr>
        <w:sdtEndPr/>
        <w:sdtContent>
          <w:r w:rsidRPr="001028A0">
            <w:rPr>
              <w:rFonts w:asciiTheme="minorHAnsi" w:eastAsiaTheme="minorHAnsi" w:hAnsiTheme="minorHAnsi" w:cstheme="minorHAnsi"/>
              <w:color w:val="2B3641"/>
              <w:sz w:val="24"/>
              <w:szCs w:val="24"/>
              <w:lang w:eastAsia="en-US"/>
            </w:rPr>
            <w:fldChar w:fldCharType="begin"/>
          </w:r>
          <w:r w:rsidRPr="001028A0">
            <w:rPr>
              <w:rFonts w:asciiTheme="minorHAnsi" w:eastAsiaTheme="minorHAnsi" w:hAnsiTheme="minorHAnsi" w:cstheme="minorHAnsi"/>
              <w:color w:val="2B3641"/>
              <w:sz w:val="24"/>
              <w:szCs w:val="24"/>
              <w:lang w:eastAsia="en-US"/>
            </w:rPr>
            <w:instrText xml:space="preserve"> CITATION The20 \l 2057 </w:instrText>
          </w:r>
          <w:r w:rsidRPr="001028A0">
            <w:rPr>
              <w:rFonts w:asciiTheme="minorHAnsi" w:eastAsiaTheme="minorHAnsi" w:hAnsiTheme="minorHAnsi" w:cstheme="minorHAnsi"/>
              <w:color w:val="2B3641"/>
              <w:sz w:val="24"/>
              <w:szCs w:val="24"/>
              <w:lang w:eastAsia="en-US"/>
            </w:rPr>
            <w:fldChar w:fldCharType="separate"/>
          </w:r>
          <w:r w:rsidRPr="001028A0">
            <w:rPr>
              <w:rFonts w:asciiTheme="minorHAnsi" w:eastAsiaTheme="minorHAnsi" w:hAnsiTheme="minorHAnsi" w:cstheme="minorHAnsi"/>
              <w:noProof/>
              <w:color w:val="2B3641"/>
              <w:sz w:val="24"/>
              <w:szCs w:val="24"/>
              <w:lang w:eastAsia="en-US"/>
            </w:rPr>
            <w:t>(The Mind Tools Content Team, n.d.)</w:t>
          </w:r>
          <w:r w:rsidRPr="001028A0">
            <w:rPr>
              <w:rFonts w:asciiTheme="minorHAnsi" w:eastAsiaTheme="minorHAnsi" w:hAnsiTheme="minorHAnsi" w:cstheme="minorHAnsi"/>
              <w:color w:val="2B3641"/>
              <w:sz w:val="24"/>
              <w:szCs w:val="24"/>
              <w:lang w:eastAsia="en-US"/>
            </w:rPr>
            <w:fldChar w:fldCharType="end"/>
          </w:r>
        </w:sdtContent>
      </w:sdt>
      <w:r w:rsidRPr="001028A0">
        <w:rPr>
          <w:rFonts w:asciiTheme="minorHAnsi" w:eastAsiaTheme="minorHAnsi" w:hAnsiTheme="minorHAnsi" w:cstheme="minorHAnsi"/>
          <w:color w:val="2B3641"/>
          <w:sz w:val="24"/>
          <w:szCs w:val="24"/>
          <w:lang w:eastAsia="en-US"/>
        </w:rPr>
        <w:t xml:space="preserve"> says that the more we think about ideas and words and the more we challenge stereotypes the less likely we are to discriminate. </w:t>
      </w:r>
    </w:p>
    <w:p w14:paraId="14129096"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2B3641"/>
          <w:sz w:val="24"/>
          <w:szCs w:val="24"/>
          <w:lang w:eastAsia="en-US"/>
        </w:rPr>
      </w:pPr>
      <w:r w:rsidRPr="001028A0">
        <w:rPr>
          <w:rFonts w:asciiTheme="minorHAnsi" w:eastAsiaTheme="minorHAnsi" w:hAnsiTheme="minorHAnsi" w:cstheme="minorHAnsi"/>
          <w:color w:val="2B3641"/>
          <w:sz w:val="24"/>
          <w:szCs w:val="24"/>
          <w:lang w:eastAsia="en-US"/>
        </w:rPr>
        <w:t>Reflecting on the way I dealt with this incident and thinking of the long-term impact on the youth if I took a different course of action, I think that I made a fair and consistent decision.</w:t>
      </w:r>
    </w:p>
    <w:p w14:paraId="27419067"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121212"/>
          <w:sz w:val="24"/>
          <w:szCs w:val="24"/>
          <w:lang w:eastAsia="en-US"/>
        </w:rPr>
      </w:pPr>
      <w:r w:rsidRPr="001028A0">
        <w:rPr>
          <w:rFonts w:asciiTheme="minorHAnsi" w:eastAsiaTheme="minorHAnsi" w:hAnsiTheme="minorHAnsi" w:cstheme="minorHAnsi"/>
          <w:color w:val="2B3641"/>
          <w:sz w:val="24"/>
          <w:szCs w:val="24"/>
          <w:lang w:eastAsia="en-US"/>
        </w:rPr>
        <w:t>It is important for me as a response officer to respond appropriately to Anti-Social Behaviour and ensure that I have safeguarded the victim from further incidents. Anti-Social behaviour has become a major issue for police forces across the UK. This is since the IPCC ruled that a police force failed to respond appropriately to the concerns of a mother and her disabled child which resulted in their death. The Guardian newspaper reported “</w:t>
      </w:r>
      <w:r w:rsidRPr="001028A0">
        <w:rPr>
          <w:rFonts w:asciiTheme="minorHAnsi" w:eastAsiaTheme="minorHAnsi" w:hAnsiTheme="minorHAnsi" w:cstheme="minorHAnsi"/>
          <w:color w:val="121212"/>
          <w:sz w:val="24"/>
          <w:szCs w:val="24"/>
          <w:lang w:eastAsia="en-US"/>
        </w:rPr>
        <w:t>Fiona, her mother, her neighbours and MP had all contacted the police to inform them that she had repeated and justifiable concerns about her family's predicament," she said. "Yet, no one person gripped these reports and took charge to strategically manage and oversee what should have been a targeted police response.</w:t>
      </w:r>
    </w:p>
    <w:p w14:paraId="194D84F4" w14:textId="77777777" w:rsidR="001028A0" w:rsidRPr="001028A0" w:rsidRDefault="001028A0" w:rsidP="001028A0">
      <w:pPr>
        <w:overflowPunct/>
        <w:autoSpaceDE/>
        <w:autoSpaceDN/>
        <w:adjustRightInd/>
        <w:spacing w:after="160" w:line="256" w:lineRule="auto"/>
        <w:textAlignment w:val="auto"/>
        <w:rPr>
          <w:rFonts w:asciiTheme="minorHAnsi" w:hAnsiTheme="minorHAnsi" w:cstheme="minorHAnsi"/>
          <w:color w:val="121212"/>
          <w:sz w:val="24"/>
          <w:szCs w:val="24"/>
        </w:rPr>
      </w:pPr>
      <w:r w:rsidRPr="001028A0">
        <w:rPr>
          <w:rFonts w:asciiTheme="minorHAnsi" w:hAnsiTheme="minorHAnsi" w:cstheme="minorHAnsi"/>
          <w:color w:val="121212"/>
          <w:sz w:val="24"/>
          <w:szCs w:val="24"/>
        </w:rPr>
        <w:t xml:space="preserve">"There was nothing in place to ensure the Pilkington family were considered by police as vulnerable or repeat victims, contrary to the force's own strategy. Systems were in place for officers to have linked the catalogue of incidents, but these were not well utilised. </w:t>
      </w:r>
      <w:hyperlink r:id="rId16" w:history="1">
        <w:r w:rsidRPr="001028A0">
          <w:rPr>
            <w:rFonts w:asciiTheme="minorHAnsi" w:hAnsiTheme="minorHAnsi" w:cstheme="minorHAnsi"/>
            <w:color w:val="AB0613"/>
            <w:sz w:val="24"/>
            <w:szCs w:val="24"/>
            <w:u w:val="single"/>
          </w:rPr>
          <w:t>Police</w:t>
        </w:r>
      </w:hyperlink>
      <w:r w:rsidRPr="001028A0">
        <w:rPr>
          <w:rFonts w:asciiTheme="minorHAnsi" w:hAnsiTheme="minorHAnsi" w:cstheme="minorHAnsi"/>
          <w:color w:val="121212"/>
          <w:sz w:val="24"/>
          <w:szCs w:val="24"/>
        </w:rPr>
        <w:t xml:space="preserve"> missed several opportunities to take robust action, inadequately investigated criminal allegations on some occasions and failed to record information on their own intelligence system." </w:t>
      </w:r>
      <w:sdt>
        <w:sdtPr>
          <w:rPr>
            <w:rFonts w:asciiTheme="minorHAnsi" w:hAnsiTheme="minorHAnsi" w:cstheme="minorHAnsi"/>
            <w:color w:val="121212"/>
            <w:sz w:val="24"/>
            <w:szCs w:val="24"/>
          </w:rPr>
          <w:id w:val="-727461511"/>
          <w:citation/>
        </w:sdtPr>
        <w:sdtEndPr/>
        <w:sdtContent>
          <w:r w:rsidRPr="001028A0">
            <w:rPr>
              <w:rFonts w:asciiTheme="minorHAnsi" w:hAnsiTheme="minorHAnsi" w:cstheme="minorHAnsi"/>
              <w:color w:val="121212"/>
              <w:sz w:val="24"/>
              <w:szCs w:val="24"/>
            </w:rPr>
            <w:fldChar w:fldCharType="begin"/>
          </w:r>
          <w:r w:rsidRPr="001028A0">
            <w:rPr>
              <w:rFonts w:asciiTheme="minorHAnsi" w:hAnsiTheme="minorHAnsi" w:cstheme="minorHAnsi"/>
              <w:color w:val="121212"/>
              <w:sz w:val="24"/>
              <w:szCs w:val="24"/>
            </w:rPr>
            <w:instrText xml:space="preserve"> CITATION Pet11 \l 2057 </w:instrText>
          </w:r>
          <w:r w:rsidRPr="001028A0">
            <w:rPr>
              <w:rFonts w:asciiTheme="minorHAnsi" w:hAnsiTheme="minorHAnsi" w:cstheme="minorHAnsi"/>
              <w:color w:val="121212"/>
              <w:sz w:val="24"/>
              <w:szCs w:val="24"/>
            </w:rPr>
            <w:fldChar w:fldCharType="separate"/>
          </w:r>
          <w:r w:rsidRPr="001028A0">
            <w:rPr>
              <w:rFonts w:asciiTheme="minorHAnsi" w:hAnsiTheme="minorHAnsi" w:cstheme="minorHAnsi"/>
              <w:noProof/>
              <w:color w:val="121212"/>
              <w:sz w:val="24"/>
              <w:szCs w:val="24"/>
            </w:rPr>
            <w:t>(Walker, 2011)</w:t>
          </w:r>
          <w:r w:rsidRPr="001028A0">
            <w:rPr>
              <w:rFonts w:asciiTheme="minorHAnsi" w:hAnsiTheme="minorHAnsi" w:cstheme="minorHAnsi"/>
              <w:color w:val="121212"/>
              <w:sz w:val="24"/>
              <w:szCs w:val="24"/>
            </w:rPr>
            <w:fldChar w:fldCharType="end"/>
          </w:r>
        </w:sdtContent>
      </w:sdt>
      <w:r w:rsidRPr="001028A0">
        <w:rPr>
          <w:rFonts w:asciiTheme="minorHAnsi" w:hAnsiTheme="minorHAnsi" w:cstheme="minorHAnsi"/>
          <w:color w:val="121212"/>
          <w:sz w:val="24"/>
          <w:szCs w:val="24"/>
        </w:rPr>
        <w:t>.</w:t>
      </w:r>
    </w:p>
    <w:p w14:paraId="4DF24DB2" w14:textId="77777777" w:rsidR="001028A0" w:rsidRPr="001028A0" w:rsidRDefault="001028A0" w:rsidP="001028A0">
      <w:pPr>
        <w:overflowPunct/>
        <w:autoSpaceDE/>
        <w:autoSpaceDN/>
        <w:adjustRightInd/>
        <w:spacing w:after="160" w:line="256" w:lineRule="auto"/>
        <w:textAlignment w:val="auto"/>
        <w:rPr>
          <w:rFonts w:asciiTheme="minorHAnsi" w:hAnsiTheme="minorHAnsi" w:cstheme="minorHAnsi"/>
          <w:color w:val="121212"/>
          <w:sz w:val="24"/>
          <w:szCs w:val="24"/>
        </w:rPr>
      </w:pPr>
      <w:r w:rsidRPr="001028A0">
        <w:rPr>
          <w:rFonts w:asciiTheme="minorHAnsi" w:hAnsiTheme="minorHAnsi" w:cstheme="minorHAnsi"/>
          <w:color w:val="121212"/>
          <w:sz w:val="24"/>
          <w:szCs w:val="24"/>
        </w:rPr>
        <w:lastRenderedPageBreak/>
        <w:t>This is why it is imperative that positive action is taken, although this incident I dealt with is not believed to be a targeted one, if safeguards and action is not taken to educate the offenders then it is a known risk that the behaviour may escalate.</w:t>
      </w:r>
    </w:p>
    <w:p w14:paraId="639B8353"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p>
    <w:p w14:paraId="6009E2F0"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Conclusions</w:t>
      </w:r>
    </w:p>
    <w:p w14:paraId="7653FE94" w14:textId="1EB98368"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sz w:val="24"/>
          <w:szCs w:val="24"/>
          <w:shd w:val="clear" w:color="auto" w:fill="FFFFFF"/>
          <w:lang w:eastAsia="en-US"/>
        </w:rPr>
      </w:pPr>
      <w:r w:rsidRPr="001028A0">
        <w:rPr>
          <w:rFonts w:asciiTheme="minorHAnsi" w:eastAsiaTheme="minorHAnsi" w:hAnsiTheme="minorHAnsi" w:cstheme="minorHAnsi"/>
          <w:color w:val="auto"/>
          <w:sz w:val="24"/>
          <w:szCs w:val="24"/>
          <w:lang w:eastAsia="en-US"/>
        </w:rPr>
        <w:t>In conclusion looking back at the situation I could have taken the route of criminal proceedings, although the reporting person did not wish to take it further, I could have looked at the offences of attempt criminal damage. “If</w:t>
      </w:r>
      <w:r w:rsidRPr="001028A0">
        <w:rPr>
          <w:rFonts w:asciiTheme="minorHAnsi" w:eastAsiaTheme="minorHAnsi" w:hAnsiTheme="minorHAnsi" w:cstheme="minorHAnsi"/>
          <w:sz w:val="24"/>
          <w:szCs w:val="24"/>
          <w:shd w:val="clear" w:color="auto" w:fill="FFFFFF"/>
          <w:lang w:eastAsia="en-US"/>
        </w:rPr>
        <w:t xml:space="preserve">, with intent to commit an offence to which this section applies, a person does an act which is more than merely preparatory to the commission of the offence, he is guilty of attempting to commit the offence.” </w:t>
      </w:r>
      <w:sdt>
        <w:sdtPr>
          <w:rPr>
            <w:rFonts w:asciiTheme="minorHAnsi" w:eastAsiaTheme="minorHAnsi" w:hAnsiTheme="minorHAnsi" w:cstheme="minorHAnsi"/>
            <w:sz w:val="24"/>
            <w:szCs w:val="24"/>
            <w:shd w:val="clear" w:color="auto" w:fill="FFFFFF"/>
            <w:lang w:eastAsia="en-US"/>
          </w:rPr>
          <w:id w:val="-918952553"/>
          <w:citation/>
        </w:sdtPr>
        <w:sdtEndPr/>
        <w:sdtContent>
          <w:r w:rsidRPr="001028A0">
            <w:rPr>
              <w:rFonts w:asciiTheme="minorHAnsi" w:eastAsiaTheme="minorHAnsi" w:hAnsiTheme="minorHAnsi" w:cstheme="minorHAnsi"/>
              <w:sz w:val="24"/>
              <w:szCs w:val="24"/>
              <w:shd w:val="clear" w:color="auto" w:fill="FFFFFF"/>
              <w:lang w:eastAsia="en-US"/>
            </w:rPr>
            <w:fldChar w:fldCharType="begin"/>
          </w:r>
          <w:r w:rsidRPr="001028A0">
            <w:rPr>
              <w:rFonts w:asciiTheme="minorHAnsi" w:eastAsiaTheme="minorHAnsi" w:hAnsiTheme="minorHAnsi" w:cstheme="minorHAnsi"/>
              <w:sz w:val="24"/>
              <w:szCs w:val="24"/>
              <w:shd w:val="clear" w:color="auto" w:fill="FFFFFF"/>
              <w:lang w:eastAsia="en-US"/>
            </w:rPr>
            <w:instrText xml:space="preserve"> CITATION Leg81 \l 2057 </w:instrText>
          </w:r>
          <w:r w:rsidRPr="001028A0">
            <w:rPr>
              <w:rFonts w:asciiTheme="minorHAnsi" w:eastAsiaTheme="minorHAnsi" w:hAnsiTheme="minorHAnsi" w:cstheme="minorHAnsi"/>
              <w:sz w:val="24"/>
              <w:szCs w:val="24"/>
              <w:shd w:val="clear" w:color="auto" w:fill="FFFFFF"/>
              <w:lang w:eastAsia="en-US"/>
            </w:rPr>
            <w:fldChar w:fldCharType="separate"/>
          </w:r>
          <w:r w:rsidRPr="001028A0">
            <w:rPr>
              <w:rFonts w:asciiTheme="minorHAnsi" w:eastAsiaTheme="minorHAnsi" w:hAnsiTheme="minorHAnsi" w:cstheme="minorHAnsi"/>
              <w:noProof/>
              <w:sz w:val="24"/>
              <w:szCs w:val="24"/>
              <w:shd w:val="clear" w:color="auto" w:fill="FFFFFF"/>
              <w:lang w:eastAsia="en-US"/>
            </w:rPr>
            <w:t>(Legislation.gov.uk, 1981)</w:t>
          </w:r>
          <w:r w:rsidRPr="001028A0">
            <w:rPr>
              <w:rFonts w:asciiTheme="minorHAnsi" w:eastAsiaTheme="minorHAnsi" w:hAnsiTheme="minorHAnsi" w:cstheme="minorHAnsi"/>
              <w:sz w:val="24"/>
              <w:szCs w:val="24"/>
              <w:shd w:val="clear" w:color="auto" w:fill="FFFFFF"/>
              <w:lang w:eastAsia="en-US"/>
            </w:rPr>
            <w:fldChar w:fldCharType="end"/>
          </w:r>
        </w:sdtContent>
      </w:sdt>
      <w:r w:rsidRPr="001028A0">
        <w:rPr>
          <w:rFonts w:asciiTheme="minorHAnsi" w:eastAsiaTheme="minorHAnsi" w:hAnsiTheme="minorHAnsi" w:cstheme="minorHAnsi"/>
          <w:sz w:val="24"/>
          <w:szCs w:val="24"/>
          <w:shd w:val="clear" w:color="auto" w:fill="FFFFFF"/>
          <w:lang w:eastAsia="en-US"/>
        </w:rPr>
        <w:t xml:space="preserve">. As the original offence would have constituted Criminal damage if damage was done, I could have looked at the Criminal attempts, but for this to be effective the damage would have needed to exceed £5000. This is because although criminal damage is an either way offence, if the damage is below £5000 it will be classed as a summary only offence, which under the Criminal Attempts Act 1981, you </w:t>
      </w:r>
      <w:r w:rsidR="00252B92" w:rsidRPr="001028A0">
        <w:rPr>
          <w:rFonts w:asciiTheme="minorHAnsi" w:eastAsiaTheme="minorHAnsi" w:hAnsiTheme="minorHAnsi" w:cstheme="minorHAnsi"/>
          <w:sz w:val="24"/>
          <w:szCs w:val="24"/>
          <w:shd w:val="clear" w:color="auto" w:fill="FFFFFF"/>
          <w:lang w:eastAsia="en-US"/>
        </w:rPr>
        <w:t>cannot</w:t>
      </w:r>
      <w:r w:rsidRPr="001028A0">
        <w:rPr>
          <w:rFonts w:asciiTheme="minorHAnsi" w:eastAsiaTheme="minorHAnsi" w:hAnsiTheme="minorHAnsi" w:cstheme="minorHAnsi"/>
          <w:sz w:val="24"/>
          <w:szCs w:val="24"/>
          <w:shd w:val="clear" w:color="auto" w:fill="FFFFFF"/>
          <w:lang w:eastAsia="en-US"/>
        </w:rPr>
        <w:t xml:space="preserve"> attempt a summary only offence. However, if you could prove the </w:t>
      </w:r>
      <w:proofErr w:type="spellStart"/>
      <w:r w:rsidRPr="001028A0">
        <w:rPr>
          <w:rFonts w:asciiTheme="minorHAnsi" w:eastAsiaTheme="minorHAnsi" w:hAnsiTheme="minorHAnsi" w:cstheme="minorHAnsi"/>
          <w:sz w:val="24"/>
          <w:szCs w:val="24"/>
          <w:shd w:val="clear" w:color="auto" w:fill="FFFFFF"/>
          <w:lang w:eastAsia="en-US"/>
        </w:rPr>
        <w:t>mens</w:t>
      </w:r>
      <w:proofErr w:type="spellEnd"/>
      <w:r w:rsidRPr="001028A0">
        <w:rPr>
          <w:rFonts w:asciiTheme="minorHAnsi" w:eastAsiaTheme="minorHAnsi" w:hAnsiTheme="minorHAnsi" w:cstheme="minorHAnsi"/>
          <w:sz w:val="24"/>
          <w:szCs w:val="24"/>
          <w:shd w:val="clear" w:color="auto" w:fill="FFFFFF"/>
          <w:lang w:eastAsia="en-US"/>
        </w:rPr>
        <w:t xml:space="preserve"> rea then it would be possible to charge under The Criminal Attempts act.  The Crown Prosecution Service say, “Although</w:t>
      </w:r>
      <w:r w:rsidRPr="001028A0">
        <w:rPr>
          <w:rFonts w:asciiTheme="minorHAnsi" w:eastAsiaTheme="minorHAnsi" w:hAnsiTheme="minorHAnsi" w:cstheme="minorHAnsi"/>
          <w:color w:val="444444"/>
          <w:sz w:val="24"/>
          <w:szCs w:val="24"/>
          <w:shd w:val="clear" w:color="auto" w:fill="FFFFFF"/>
          <w:lang w:eastAsia="en-US"/>
        </w:rPr>
        <w:t xml:space="preserve"> summary offences cannot be the object of a criminal attempt under Section 1 of the CAA 1981, provisions creating summary offences sometimes create matching offences of attempt.” </w:t>
      </w:r>
      <w:sdt>
        <w:sdtPr>
          <w:rPr>
            <w:rFonts w:asciiTheme="minorHAnsi" w:eastAsiaTheme="minorHAnsi" w:hAnsiTheme="minorHAnsi" w:cstheme="minorHAnsi"/>
            <w:color w:val="444444"/>
            <w:sz w:val="24"/>
            <w:szCs w:val="24"/>
            <w:shd w:val="clear" w:color="auto" w:fill="FFFFFF"/>
            <w:lang w:eastAsia="en-US"/>
          </w:rPr>
          <w:id w:val="1678846078"/>
          <w:citation/>
        </w:sdtPr>
        <w:sdtEndPr/>
        <w:sdtContent>
          <w:r w:rsidRPr="001028A0">
            <w:rPr>
              <w:rFonts w:asciiTheme="minorHAnsi" w:eastAsiaTheme="minorHAnsi" w:hAnsiTheme="minorHAnsi" w:cstheme="minorHAnsi"/>
              <w:color w:val="444444"/>
              <w:sz w:val="24"/>
              <w:szCs w:val="24"/>
              <w:shd w:val="clear" w:color="auto" w:fill="FFFFFF"/>
              <w:lang w:eastAsia="en-US"/>
            </w:rPr>
            <w:fldChar w:fldCharType="begin"/>
          </w:r>
          <w:r w:rsidRPr="001028A0">
            <w:rPr>
              <w:rFonts w:asciiTheme="minorHAnsi" w:eastAsiaTheme="minorHAnsi" w:hAnsiTheme="minorHAnsi" w:cstheme="minorHAnsi"/>
              <w:color w:val="444444"/>
              <w:sz w:val="24"/>
              <w:szCs w:val="24"/>
              <w:shd w:val="clear" w:color="auto" w:fill="FFFFFF"/>
              <w:lang w:eastAsia="en-US"/>
            </w:rPr>
            <w:instrText xml:space="preserve"> CITATION Cro18 \l 2057 </w:instrText>
          </w:r>
          <w:r w:rsidRPr="001028A0">
            <w:rPr>
              <w:rFonts w:asciiTheme="minorHAnsi" w:eastAsiaTheme="minorHAnsi" w:hAnsiTheme="minorHAnsi" w:cstheme="minorHAnsi"/>
              <w:color w:val="444444"/>
              <w:sz w:val="24"/>
              <w:szCs w:val="24"/>
              <w:shd w:val="clear" w:color="auto" w:fill="FFFFFF"/>
              <w:lang w:eastAsia="en-US"/>
            </w:rPr>
            <w:fldChar w:fldCharType="separate"/>
          </w:r>
          <w:r w:rsidRPr="001028A0">
            <w:rPr>
              <w:rFonts w:asciiTheme="minorHAnsi" w:eastAsiaTheme="minorHAnsi" w:hAnsiTheme="minorHAnsi" w:cstheme="minorHAnsi"/>
              <w:noProof/>
              <w:color w:val="444444"/>
              <w:sz w:val="24"/>
              <w:szCs w:val="24"/>
              <w:shd w:val="clear" w:color="auto" w:fill="FFFFFF"/>
              <w:lang w:eastAsia="en-US"/>
            </w:rPr>
            <w:t>(Service, 2018)</w:t>
          </w:r>
          <w:r w:rsidRPr="001028A0">
            <w:rPr>
              <w:rFonts w:asciiTheme="minorHAnsi" w:eastAsiaTheme="minorHAnsi" w:hAnsiTheme="minorHAnsi" w:cstheme="minorHAnsi"/>
              <w:color w:val="444444"/>
              <w:sz w:val="24"/>
              <w:szCs w:val="24"/>
              <w:shd w:val="clear" w:color="auto" w:fill="FFFFFF"/>
              <w:lang w:eastAsia="en-US"/>
            </w:rPr>
            <w:fldChar w:fldCharType="end"/>
          </w:r>
        </w:sdtContent>
      </w:sdt>
      <w:r w:rsidRPr="001028A0">
        <w:rPr>
          <w:rFonts w:asciiTheme="minorHAnsi" w:eastAsiaTheme="minorHAnsi" w:hAnsiTheme="minorHAnsi" w:cstheme="minorHAnsi"/>
          <w:color w:val="444444"/>
          <w:sz w:val="24"/>
          <w:szCs w:val="24"/>
          <w:shd w:val="clear" w:color="auto" w:fill="FFFFFF"/>
          <w:lang w:eastAsia="en-US"/>
        </w:rPr>
        <w:t>.</w:t>
      </w:r>
    </w:p>
    <w:p w14:paraId="0F5A7B77"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sz w:val="24"/>
          <w:szCs w:val="24"/>
          <w:shd w:val="clear" w:color="auto" w:fill="FFFFFF"/>
          <w:lang w:eastAsia="en-US"/>
        </w:rPr>
      </w:pPr>
      <w:r w:rsidRPr="001028A0">
        <w:rPr>
          <w:rFonts w:asciiTheme="minorHAnsi" w:eastAsiaTheme="minorHAnsi" w:hAnsiTheme="minorHAnsi" w:cstheme="minorHAnsi"/>
          <w:sz w:val="24"/>
          <w:szCs w:val="24"/>
          <w:shd w:val="clear" w:color="auto" w:fill="FFFFFF"/>
          <w:lang w:eastAsia="en-US"/>
        </w:rPr>
        <w:t>If I decided to arrest the subject, then I could have referred the matter to the youth offending team who would have pursued the matter further.</w:t>
      </w:r>
    </w:p>
    <w:p w14:paraId="1D3F35E9"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sz w:val="24"/>
          <w:szCs w:val="24"/>
          <w:shd w:val="clear" w:color="auto" w:fill="FFFFFF"/>
          <w:lang w:eastAsia="en-US"/>
        </w:rPr>
      </w:pPr>
      <w:r w:rsidRPr="001028A0">
        <w:rPr>
          <w:rFonts w:asciiTheme="minorHAnsi" w:eastAsiaTheme="minorHAnsi" w:hAnsiTheme="minorHAnsi" w:cstheme="minorHAnsi"/>
          <w:sz w:val="24"/>
          <w:szCs w:val="24"/>
          <w:shd w:val="clear" w:color="auto" w:fill="FFFFFF"/>
          <w:lang w:eastAsia="en-US"/>
        </w:rPr>
        <w:t>When taking the youth back to their home address and speaking to the parents, they were supportive of the action taken and of the police response, however on reflection if they had not have been supportive and dismissive, another option I could have considered was submitting a public protection notice which would have notified the social services and highlighted that there may be an issue with the parenting of the youth.</w:t>
      </w:r>
    </w:p>
    <w:p w14:paraId="1D03EF88" w14:textId="77777777" w:rsidR="001028A0" w:rsidRPr="001028A0" w:rsidRDefault="00252B92" w:rsidP="001028A0">
      <w:pPr>
        <w:overflowPunct/>
        <w:autoSpaceDE/>
        <w:autoSpaceDN/>
        <w:adjustRightInd/>
        <w:spacing w:after="160" w:line="256" w:lineRule="auto"/>
        <w:textAlignment w:val="auto"/>
        <w:rPr>
          <w:rFonts w:asciiTheme="minorHAnsi" w:eastAsiaTheme="minorHAnsi" w:hAnsiTheme="minorHAnsi" w:cstheme="minorHAnsi"/>
          <w:sz w:val="24"/>
          <w:szCs w:val="24"/>
          <w:shd w:val="clear" w:color="auto" w:fill="FFFFFF"/>
          <w:lang w:eastAsia="en-US"/>
        </w:rPr>
      </w:pPr>
      <w:sdt>
        <w:sdtPr>
          <w:rPr>
            <w:rFonts w:asciiTheme="minorHAnsi" w:eastAsiaTheme="minorHAnsi" w:hAnsiTheme="minorHAnsi" w:cstheme="minorHAnsi"/>
            <w:sz w:val="24"/>
            <w:szCs w:val="24"/>
            <w:shd w:val="clear" w:color="auto" w:fill="FFFFFF"/>
            <w:lang w:eastAsia="en-US"/>
          </w:rPr>
          <w:id w:val="1263106282"/>
          <w:citation/>
        </w:sdtPr>
        <w:sdtEndPr/>
        <w:sdtContent>
          <w:r w:rsidR="001028A0" w:rsidRPr="001028A0">
            <w:rPr>
              <w:rFonts w:asciiTheme="minorHAnsi" w:eastAsiaTheme="minorHAnsi" w:hAnsiTheme="minorHAnsi" w:cstheme="minorHAnsi"/>
              <w:sz w:val="24"/>
              <w:szCs w:val="24"/>
              <w:shd w:val="clear" w:color="auto" w:fill="FFFFFF"/>
              <w:lang w:eastAsia="en-US"/>
            </w:rPr>
            <w:fldChar w:fldCharType="begin"/>
          </w:r>
          <w:r w:rsidR="001028A0" w:rsidRPr="001028A0">
            <w:rPr>
              <w:rFonts w:asciiTheme="minorHAnsi" w:eastAsiaTheme="minorHAnsi" w:hAnsiTheme="minorHAnsi" w:cstheme="minorHAnsi"/>
              <w:sz w:val="24"/>
              <w:szCs w:val="24"/>
              <w:shd w:val="clear" w:color="auto" w:fill="FFFFFF"/>
              <w:lang w:eastAsia="en-US"/>
            </w:rPr>
            <w:instrText xml:space="preserve"> CITATION Bar191 \l 2057 </w:instrText>
          </w:r>
          <w:r w:rsidR="001028A0" w:rsidRPr="001028A0">
            <w:rPr>
              <w:rFonts w:asciiTheme="minorHAnsi" w:eastAsiaTheme="minorHAnsi" w:hAnsiTheme="minorHAnsi" w:cstheme="minorHAnsi"/>
              <w:sz w:val="24"/>
              <w:szCs w:val="24"/>
              <w:shd w:val="clear" w:color="auto" w:fill="FFFFFF"/>
              <w:lang w:eastAsia="en-US"/>
            </w:rPr>
            <w:fldChar w:fldCharType="separate"/>
          </w:r>
          <w:r w:rsidR="001028A0" w:rsidRPr="001028A0">
            <w:rPr>
              <w:rFonts w:asciiTheme="minorHAnsi" w:eastAsiaTheme="minorHAnsi" w:hAnsiTheme="minorHAnsi" w:cstheme="minorHAnsi"/>
              <w:noProof/>
              <w:sz w:val="24"/>
              <w:szCs w:val="24"/>
              <w:shd w:val="clear" w:color="auto" w:fill="FFFFFF"/>
              <w:lang w:eastAsia="en-US"/>
            </w:rPr>
            <w:t>(Barry Blackburn, 2019)</w:t>
          </w:r>
          <w:r w:rsidR="001028A0" w:rsidRPr="001028A0">
            <w:rPr>
              <w:rFonts w:asciiTheme="minorHAnsi" w:eastAsiaTheme="minorHAnsi" w:hAnsiTheme="minorHAnsi" w:cstheme="minorHAnsi"/>
              <w:sz w:val="24"/>
              <w:szCs w:val="24"/>
              <w:shd w:val="clear" w:color="auto" w:fill="FFFFFF"/>
              <w:lang w:eastAsia="en-US"/>
            </w:rPr>
            <w:fldChar w:fldCharType="end"/>
          </w:r>
        </w:sdtContent>
      </w:sdt>
      <w:r w:rsidR="001028A0" w:rsidRPr="001028A0">
        <w:rPr>
          <w:rFonts w:asciiTheme="minorHAnsi" w:eastAsiaTheme="minorHAnsi" w:hAnsiTheme="minorHAnsi" w:cstheme="minorHAnsi"/>
          <w:sz w:val="24"/>
          <w:szCs w:val="24"/>
          <w:shd w:val="clear" w:color="auto" w:fill="FFFFFF"/>
          <w:lang w:eastAsia="en-US"/>
        </w:rPr>
        <w:t xml:space="preserve"> says that there are other disposal methods of dealing with Anti-Social behaviour. Applying for a Criminal Behaviour Order, but for young people this would need to be done by the youth offending team. They write about the out of court disposals for young people, such as an Acceptable Behaviour Contract which is a written agreement between the local agency and the offender, they also talk about community resolutions, mediation, verbal warnings, written warnings, a parenting contract which can be considered if it appears the parent or person responsible for the child are a bad influence or the option to support and counselling, it also says that a dispersal order can be given. </w:t>
      </w:r>
    </w:p>
    <w:p w14:paraId="3B08FD9D"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sz w:val="24"/>
          <w:szCs w:val="24"/>
          <w:shd w:val="clear" w:color="auto" w:fill="FFFFFF"/>
          <w:lang w:eastAsia="en-US"/>
        </w:rPr>
      </w:pPr>
      <w:r w:rsidRPr="001028A0">
        <w:rPr>
          <w:rFonts w:asciiTheme="minorHAnsi" w:eastAsiaTheme="minorHAnsi" w:hAnsiTheme="minorHAnsi" w:cstheme="minorHAnsi"/>
          <w:sz w:val="24"/>
          <w:szCs w:val="24"/>
          <w:shd w:val="clear" w:color="auto" w:fill="FFFFFF"/>
          <w:lang w:eastAsia="en-US"/>
        </w:rPr>
        <w:t>These are all good ways to tackle and respond to Anti-Social Behaviour and options and could help solve local problems.</w:t>
      </w:r>
    </w:p>
    <w:p w14:paraId="62F63544"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p>
    <w:p w14:paraId="1A666B9D"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b/>
          <w:bCs/>
          <w:color w:val="auto"/>
          <w:sz w:val="24"/>
          <w:szCs w:val="24"/>
          <w:lang w:eastAsia="en-US"/>
        </w:rPr>
      </w:pPr>
      <w:r w:rsidRPr="001028A0">
        <w:rPr>
          <w:rFonts w:asciiTheme="minorHAnsi" w:eastAsiaTheme="minorHAnsi" w:hAnsiTheme="minorHAnsi" w:cstheme="minorHAnsi"/>
          <w:b/>
          <w:bCs/>
          <w:color w:val="auto"/>
          <w:sz w:val="24"/>
          <w:szCs w:val="24"/>
          <w:lang w:eastAsia="en-US"/>
        </w:rPr>
        <w:t>Action plan</w:t>
      </w:r>
    </w:p>
    <w:p w14:paraId="663B2DD1"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lastRenderedPageBreak/>
        <w:t xml:space="preserve">Next time I deal with a similar situation I will conduct further checks to establish if the offender has been involved with incidents of Anti-Social Behaviour before, this would then influence the decision I will most likely make. I am a believer in giving people a second chance but if the behaviour continues then using the other disposal options above would assist in tackling the issue. As we had a received a couple of calls regarding the behaviour of the youths then I would look at working with the Neighbourhood Policing Team and Anti-Social Behaviour officer at applying for a dispersal order. </w:t>
      </w:r>
    </w:p>
    <w:p w14:paraId="07598538" w14:textId="77777777" w:rsidR="001028A0" w:rsidRPr="001028A0" w:rsidRDefault="00252B92"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sdt>
        <w:sdtPr>
          <w:rPr>
            <w:rFonts w:asciiTheme="minorHAnsi" w:eastAsiaTheme="minorHAnsi" w:hAnsiTheme="minorHAnsi" w:cstheme="minorHAnsi"/>
            <w:color w:val="auto"/>
            <w:sz w:val="24"/>
            <w:szCs w:val="24"/>
            <w:lang w:eastAsia="en-US"/>
          </w:rPr>
          <w:id w:val="-878163284"/>
          <w:citation/>
        </w:sdtPr>
        <w:sdtEndPr/>
        <w:sdtContent>
          <w:r w:rsidR="001028A0" w:rsidRPr="001028A0">
            <w:rPr>
              <w:rFonts w:asciiTheme="minorHAnsi" w:eastAsiaTheme="minorHAnsi" w:hAnsiTheme="minorHAnsi" w:cstheme="minorHAnsi"/>
              <w:color w:val="auto"/>
              <w:sz w:val="24"/>
              <w:szCs w:val="24"/>
              <w:lang w:eastAsia="en-US"/>
            </w:rPr>
            <w:fldChar w:fldCharType="begin"/>
          </w:r>
          <w:r w:rsidR="001028A0" w:rsidRPr="001028A0">
            <w:rPr>
              <w:rFonts w:asciiTheme="minorHAnsi" w:eastAsiaTheme="minorHAnsi" w:hAnsiTheme="minorHAnsi" w:cstheme="minorHAnsi"/>
              <w:color w:val="auto"/>
              <w:sz w:val="24"/>
              <w:szCs w:val="24"/>
              <w:lang w:eastAsia="en-US"/>
            </w:rPr>
            <w:instrText xml:space="preserve"> CITATION Leg14 \l 2057 </w:instrText>
          </w:r>
          <w:r w:rsidR="001028A0" w:rsidRPr="001028A0">
            <w:rPr>
              <w:rFonts w:asciiTheme="minorHAnsi" w:eastAsiaTheme="minorHAnsi" w:hAnsiTheme="minorHAnsi" w:cstheme="minorHAnsi"/>
              <w:color w:val="auto"/>
              <w:sz w:val="24"/>
              <w:szCs w:val="24"/>
              <w:lang w:eastAsia="en-US"/>
            </w:rPr>
            <w:fldChar w:fldCharType="separate"/>
          </w:r>
          <w:r w:rsidR="001028A0" w:rsidRPr="001028A0">
            <w:rPr>
              <w:rFonts w:asciiTheme="minorHAnsi" w:eastAsiaTheme="minorHAnsi" w:hAnsiTheme="minorHAnsi" w:cstheme="minorHAnsi"/>
              <w:noProof/>
              <w:color w:val="auto"/>
              <w:sz w:val="24"/>
              <w:szCs w:val="24"/>
              <w:lang w:eastAsia="en-US"/>
            </w:rPr>
            <w:t>(Legislation.gov.uk, 2014)</w:t>
          </w:r>
          <w:r w:rsidR="001028A0" w:rsidRPr="001028A0">
            <w:rPr>
              <w:rFonts w:asciiTheme="minorHAnsi" w:eastAsiaTheme="minorHAnsi" w:hAnsiTheme="minorHAnsi" w:cstheme="minorHAnsi"/>
              <w:color w:val="auto"/>
              <w:sz w:val="24"/>
              <w:szCs w:val="24"/>
              <w:lang w:eastAsia="en-US"/>
            </w:rPr>
            <w:fldChar w:fldCharType="end"/>
          </w:r>
        </w:sdtContent>
      </w:sdt>
      <w:r w:rsidR="001028A0" w:rsidRPr="001028A0">
        <w:rPr>
          <w:rFonts w:asciiTheme="minorHAnsi" w:eastAsiaTheme="minorHAnsi" w:hAnsiTheme="minorHAnsi" w:cstheme="minorHAnsi"/>
          <w:color w:val="auto"/>
          <w:sz w:val="24"/>
          <w:szCs w:val="24"/>
          <w:lang w:eastAsia="en-US"/>
        </w:rPr>
        <w:t xml:space="preserve"> says that under Section 35 of the Anti-social Behaviour, Crime and Police Act 2014 a police inspector may authorise that officers have the power to direct people to leave a specified area for a period of up to 48 hours.</w:t>
      </w:r>
    </w:p>
    <w:p w14:paraId="1058641A"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These are generally used in areas where Anti-social Behaviour Is a constant problem for residents and the local community, but it is an option I would consider if I kept responding to the same area.</w:t>
      </w:r>
    </w:p>
    <w:p w14:paraId="2A04FA1C" w14:textId="77777777" w:rsidR="001028A0" w:rsidRPr="001028A0" w:rsidRDefault="001028A0" w:rsidP="001028A0">
      <w:pPr>
        <w:overflowPunct/>
        <w:autoSpaceDE/>
        <w:autoSpaceDN/>
        <w:adjustRightInd/>
        <w:spacing w:after="160" w:line="256" w:lineRule="auto"/>
        <w:textAlignment w:val="auto"/>
        <w:rPr>
          <w:rFonts w:asciiTheme="minorHAnsi" w:eastAsiaTheme="minorHAnsi" w:hAnsiTheme="minorHAnsi" w:cstheme="minorHAnsi"/>
          <w:color w:val="auto"/>
          <w:sz w:val="24"/>
          <w:szCs w:val="24"/>
          <w:lang w:eastAsia="en-US"/>
        </w:rPr>
      </w:pPr>
      <w:r w:rsidRPr="001028A0">
        <w:rPr>
          <w:rFonts w:asciiTheme="minorHAnsi" w:eastAsiaTheme="minorHAnsi" w:hAnsiTheme="minorHAnsi" w:cstheme="minorHAnsi"/>
          <w:color w:val="auto"/>
          <w:sz w:val="24"/>
          <w:szCs w:val="24"/>
          <w:lang w:eastAsia="en-US"/>
        </w:rPr>
        <w:t xml:space="preserve"> (words 2,431)</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sdt>
      <w:sdtPr>
        <w:rPr>
          <w:rFonts w:asciiTheme="majorHAnsi" w:eastAsiaTheme="majorEastAsia" w:hAnsiTheme="majorHAnsi" w:cstheme="majorBidi"/>
          <w:color w:val="2F5496" w:themeColor="accent1" w:themeShade="BF"/>
          <w:sz w:val="32"/>
          <w:szCs w:val="32"/>
          <w:lang w:val="en-US" w:eastAsia="en-US"/>
        </w:rPr>
        <w:id w:val="-150419678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7008462" w14:textId="77777777" w:rsidR="00AD2E3A" w:rsidRPr="00AD2E3A" w:rsidRDefault="00AD2E3A" w:rsidP="00AD2E3A">
          <w:pPr>
            <w:keepNext/>
            <w:keepLines/>
            <w:overflowPunct/>
            <w:autoSpaceDE/>
            <w:autoSpaceDN/>
            <w:adjustRightInd/>
            <w:spacing w:before="240" w:line="259" w:lineRule="auto"/>
            <w:textAlignment w:val="auto"/>
            <w:outlineLvl w:val="0"/>
            <w:rPr>
              <w:rFonts w:asciiTheme="majorHAnsi" w:eastAsiaTheme="majorEastAsia" w:hAnsiTheme="majorHAnsi" w:cstheme="majorBidi"/>
              <w:color w:val="2F5496" w:themeColor="accent1" w:themeShade="BF"/>
              <w:sz w:val="32"/>
              <w:szCs w:val="32"/>
              <w:lang w:val="en-US" w:eastAsia="en-US"/>
            </w:rPr>
          </w:pPr>
          <w:r w:rsidRPr="00AD2E3A">
            <w:rPr>
              <w:rFonts w:asciiTheme="majorHAnsi" w:eastAsiaTheme="majorEastAsia" w:hAnsiTheme="majorHAnsi" w:cstheme="majorBidi"/>
              <w:color w:val="2F5496" w:themeColor="accent1" w:themeShade="BF"/>
              <w:sz w:val="32"/>
              <w:szCs w:val="32"/>
              <w:lang w:val="en-US" w:eastAsia="en-US"/>
            </w:rPr>
            <w:t>References</w:t>
          </w:r>
        </w:p>
        <w:sdt>
          <w:sdtPr>
            <w:rPr>
              <w:rFonts w:asciiTheme="minorHAnsi" w:eastAsiaTheme="minorHAnsi" w:hAnsiTheme="minorHAnsi" w:cstheme="minorBidi"/>
              <w:color w:val="auto"/>
              <w:sz w:val="22"/>
              <w:szCs w:val="22"/>
              <w:lang w:eastAsia="en-US"/>
            </w:rPr>
            <w:id w:val="-573587230"/>
            <w:bibliography/>
          </w:sdtPr>
          <w:sdtEndPr/>
          <w:sdtContent>
            <w:p w14:paraId="59E37BA4"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4"/>
                  <w:szCs w:val="24"/>
                  <w:lang w:val="en-US" w:eastAsia="en-US"/>
                </w:rPr>
              </w:pPr>
              <w:r w:rsidRPr="00AD2E3A">
                <w:rPr>
                  <w:rFonts w:asciiTheme="minorHAnsi" w:eastAsiaTheme="minorHAnsi" w:hAnsiTheme="minorHAnsi" w:cstheme="minorBidi"/>
                  <w:color w:val="auto"/>
                  <w:sz w:val="22"/>
                  <w:szCs w:val="22"/>
                  <w:lang w:eastAsia="en-US"/>
                </w:rPr>
                <w:fldChar w:fldCharType="begin"/>
              </w:r>
              <w:r w:rsidRPr="00AD2E3A">
                <w:rPr>
                  <w:rFonts w:asciiTheme="minorHAnsi" w:eastAsiaTheme="minorHAnsi" w:hAnsiTheme="minorHAnsi" w:cstheme="minorBidi"/>
                  <w:color w:val="auto"/>
                  <w:sz w:val="22"/>
                  <w:szCs w:val="22"/>
                  <w:lang w:eastAsia="en-US"/>
                </w:rPr>
                <w:instrText xml:space="preserve"> BIBLIOGRAPHY </w:instrText>
              </w:r>
              <w:r w:rsidRPr="00AD2E3A">
                <w:rPr>
                  <w:rFonts w:asciiTheme="minorHAnsi" w:eastAsiaTheme="minorHAnsi" w:hAnsiTheme="minorHAnsi" w:cstheme="minorBidi"/>
                  <w:color w:val="auto"/>
                  <w:sz w:val="22"/>
                  <w:szCs w:val="22"/>
                  <w:lang w:eastAsia="en-US"/>
                </w:rPr>
                <w:fldChar w:fldCharType="separate"/>
              </w:r>
              <w:r w:rsidRPr="00AD2E3A">
                <w:rPr>
                  <w:rFonts w:asciiTheme="minorHAnsi" w:eastAsiaTheme="minorHAnsi" w:hAnsiTheme="minorHAnsi" w:cstheme="minorBidi"/>
                  <w:noProof/>
                  <w:color w:val="auto"/>
                  <w:sz w:val="22"/>
                  <w:szCs w:val="22"/>
                  <w:lang w:val="en-US" w:eastAsia="en-US"/>
                </w:rPr>
                <w:t xml:space="preserve">Barry Blackburn, D. P. G. D. S. G. R. H. G. H. N. J. K. L.-B. D. V. L. T. M. S. M. J. N. D. M. O. J. O. M. R. V. S.-F. R., 2019. Criminal Damage. In: P. R. B. a. S. Bryant, ed. </w:t>
              </w:r>
              <w:r w:rsidRPr="00AD2E3A">
                <w:rPr>
                  <w:rFonts w:asciiTheme="minorHAnsi" w:eastAsiaTheme="minorHAnsi" w:hAnsiTheme="minorHAnsi" w:cstheme="minorBidi"/>
                  <w:i/>
                  <w:iCs/>
                  <w:noProof/>
                  <w:color w:val="auto"/>
                  <w:sz w:val="22"/>
                  <w:szCs w:val="22"/>
                  <w:lang w:val="en-US" w:eastAsia="en-US"/>
                </w:rPr>
                <w:t xml:space="preserve">Blackstones Handbook for Policing Students. </w:t>
              </w:r>
              <w:r w:rsidRPr="00AD2E3A">
                <w:rPr>
                  <w:rFonts w:asciiTheme="minorHAnsi" w:eastAsiaTheme="minorHAnsi" w:hAnsiTheme="minorHAnsi" w:cstheme="minorBidi"/>
                  <w:noProof/>
                  <w:color w:val="auto"/>
                  <w:sz w:val="22"/>
                  <w:szCs w:val="22"/>
                  <w:lang w:val="en-US" w:eastAsia="en-US"/>
                </w:rPr>
                <w:t>s.l.:Oxford University Press, p. 485.</w:t>
              </w:r>
            </w:p>
            <w:p w14:paraId="070B2CD5"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Barry Blackburn, D. P. G. D. S. G. R. H. G. H. N. J. K. L.-B. D. V. L. T. M. S. M. J. N. D. M. O. J. O. M. R. V. S.-F. R., 2019. Police discretion. In: P. R. B. a. S. Bryant, ed. </w:t>
              </w:r>
              <w:r w:rsidRPr="00AD2E3A">
                <w:rPr>
                  <w:rFonts w:asciiTheme="minorHAnsi" w:eastAsiaTheme="minorHAnsi" w:hAnsiTheme="minorHAnsi" w:cstheme="minorBidi"/>
                  <w:i/>
                  <w:iCs/>
                  <w:noProof/>
                  <w:color w:val="auto"/>
                  <w:sz w:val="22"/>
                  <w:szCs w:val="22"/>
                  <w:lang w:val="en-US" w:eastAsia="en-US"/>
                </w:rPr>
                <w:t xml:space="preserve">Blackstone's Handbook for Policing Students 2019. </w:t>
              </w:r>
              <w:r w:rsidRPr="00AD2E3A">
                <w:rPr>
                  <w:rFonts w:asciiTheme="minorHAnsi" w:eastAsiaTheme="minorHAnsi" w:hAnsiTheme="minorHAnsi" w:cstheme="minorBidi"/>
                  <w:noProof/>
                  <w:color w:val="auto"/>
                  <w:sz w:val="22"/>
                  <w:szCs w:val="22"/>
                  <w:lang w:val="en-US" w:eastAsia="en-US"/>
                </w:rPr>
                <w:t>s.l.:Oxford University Press, pp. 43-47.</w:t>
              </w:r>
            </w:p>
            <w:p w14:paraId="52C38A38"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Barry Blackburn, D. P. G. D. S. G. R. H. G. H. N. J. K. L.-B. D. V. L. T. M. S. M. J. N. D. M. O. J. O. M. R. V. S.-F. R., 2019. Policing Public Order, Anti-social Behaviour, and harassment. In: P. R. B. a. S. Bryant, ed. </w:t>
              </w:r>
              <w:r w:rsidRPr="00AD2E3A">
                <w:rPr>
                  <w:rFonts w:asciiTheme="minorHAnsi" w:eastAsiaTheme="minorHAnsi" w:hAnsiTheme="minorHAnsi" w:cstheme="minorBidi"/>
                  <w:i/>
                  <w:iCs/>
                  <w:noProof/>
                  <w:color w:val="auto"/>
                  <w:sz w:val="22"/>
                  <w:szCs w:val="22"/>
                  <w:lang w:val="en-US" w:eastAsia="en-US"/>
                </w:rPr>
                <w:t xml:space="preserve">Blackstone's hanbook for policing students. </w:t>
              </w:r>
              <w:r w:rsidRPr="00AD2E3A">
                <w:rPr>
                  <w:rFonts w:asciiTheme="minorHAnsi" w:eastAsiaTheme="minorHAnsi" w:hAnsiTheme="minorHAnsi" w:cstheme="minorBidi"/>
                  <w:noProof/>
                  <w:color w:val="auto"/>
                  <w:sz w:val="22"/>
                  <w:szCs w:val="22"/>
                  <w:lang w:val="en-US" w:eastAsia="en-US"/>
                </w:rPr>
                <w:t>s.l.:Oxford university press, pp. 302-306.</w:t>
              </w:r>
            </w:p>
            <w:p w14:paraId="329A71F1"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Barry Blackburn, D. P. G. D. S. G. R. H. G. H. N. J. K. L.-B. D. V. L. T. M. S. M. J. N. D. M. O. J. O. M. R. V. S.-F. R., 2019. Policing Public Order, Anti-social Behaviour, and Harassment. In: P. R. B. a. S. Bryant, ed. </w:t>
              </w:r>
              <w:r w:rsidRPr="00AD2E3A">
                <w:rPr>
                  <w:rFonts w:asciiTheme="minorHAnsi" w:eastAsiaTheme="minorHAnsi" w:hAnsiTheme="minorHAnsi" w:cstheme="minorBidi"/>
                  <w:i/>
                  <w:iCs/>
                  <w:noProof/>
                  <w:color w:val="auto"/>
                  <w:sz w:val="22"/>
                  <w:szCs w:val="22"/>
                  <w:lang w:val="en-US" w:eastAsia="en-US"/>
                </w:rPr>
                <w:t xml:space="preserve">Blackstones Handbook for policing students. </w:t>
              </w:r>
              <w:r w:rsidRPr="00AD2E3A">
                <w:rPr>
                  <w:rFonts w:asciiTheme="minorHAnsi" w:eastAsiaTheme="minorHAnsi" w:hAnsiTheme="minorHAnsi" w:cstheme="minorBidi"/>
                  <w:noProof/>
                  <w:color w:val="auto"/>
                  <w:sz w:val="22"/>
                  <w:szCs w:val="22"/>
                  <w:lang w:val="en-US" w:eastAsia="en-US"/>
                </w:rPr>
                <w:t>s.l.:Oxford University Press, p. 301.</w:t>
              </w:r>
            </w:p>
            <w:p w14:paraId="6A11FE18"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Bryn Caless, M. I., 2015. Social Crimes: Social Reactions to Crime, disorder and Control. </w:t>
              </w:r>
              <w:r w:rsidRPr="00AD2E3A">
                <w:rPr>
                  <w:rFonts w:asciiTheme="minorHAnsi" w:eastAsiaTheme="minorHAnsi" w:hAnsiTheme="minorHAnsi" w:cstheme="minorBidi"/>
                  <w:i/>
                  <w:iCs/>
                  <w:noProof/>
                  <w:color w:val="auto"/>
                  <w:sz w:val="22"/>
                  <w:szCs w:val="22"/>
                  <w:lang w:val="en-US" w:eastAsia="en-US"/>
                </w:rPr>
                <w:t xml:space="preserve">Policing: A journal of policy and Practice, </w:t>
              </w:r>
              <w:r w:rsidRPr="00AD2E3A">
                <w:rPr>
                  <w:rFonts w:asciiTheme="minorHAnsi" w:eastAsiaTheme="minorHAnsi" w:hAnsiTheme="minorHAnsi" w:cstheme="minorBidi"/>
                  <w:noProof/>
                  <w:color w:val="auto"/>
                  <w:sz w:val="22"/>
                  <w:szCs w:val="22"/>
                  <w:lang w:val="en-US" w:eastAsia="en-US"/>
                </w:rPr>
                <w:t>9(3), pp. 296-297.</w:t>
              </w:r>
            </w:p>
            <w:p w14:paraId="4F4DCCDD"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excellence, S. c. i. f., 2017. </w:t>
              </w:r>
              <w:r w:rsidRPr="00AD2E3A">
                <w:rPr>
                  <w:rFonts w:asciiTheme="minorHAnsi" w:eastAsiaTheme="minorHAnsi" w:hAnsiTheme="minorHAnsi" w:cstheme="minorBidi"/>
                  <w:i/>
                  <w:iCs/>
                  <w:noProof/>
                  <w:color w:val="auto"/>
                  <w:sz w:val="22"/>
                  <w:szCs w:val="22"/>
                  <w:lang w:val="en-US" w:eastAsia="en-US"/>
                </w:rPr>
                <w:t xml:space="preserve">Safeguarding adults.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https://www.scie.org.uk/safeguarding/adults/introduction/highlights</w:t>
              </w:r>
              <w:r w:rsidRPr="00AD2E3A">
                <w:rPr>
                  <w:rFonts w:asciiTheme="minorHAnsi" w:eastAsiaTheme="minorHAnsi" w:hAnsiTheme="minorHAnsi" w:cstheme="minorBidi"/>
                  <w:noProof/>
                  <w:color w:val="auto"/>
                  <w:sz w:val="22"/>
                  <w:szCs w:val="22"/>
                  <w:lang w:val="en-US" w:eastAsia="en-US"/>
                </w:rPr>
                <w:br/>
                <w:t>[Accessed 15 January 2020].</w:t>
              </w:r>
            </w:p>
            <w:p w14:paraId="76B91492"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HarperCollins Publishers, 2020. </w:t>
              </w:r>
              <w:r w:rsidRPr="00AD2E3A">
                <w:rPr>
                  <w:rFonts w:asciiTheme="minorHAnsi" w:eastAsiaTheme="minorHAnsi" w:hAnsiTheme="minorHAnsi" w:cstheme="minorBidi"/>
                  <w:i/>
                  <w:iCs/>
                  <w:noProof/>
                  <w:color w:val="auto"/>
                  <w:sz w:val="22"/>
                  <w:szCs w:val="22"/>
                  <w:lang w:val="en-US" w:eastAsia="en-US"/>
                </w:rPr>
                <w:t xml:space="preserve">modus operandi.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https://www.collinsdictionary.com/dictionary/english/modus-operandi</w:t>
              </w:r>
              <w:r w:rsidRPr="00AD2E3A">
                <w:rPr>
                  <w:rFonts w:asciiTheme="minorHAnsi" w:eastAsiaTheme="minorHAnsi" w:hAnsiTheme="minorHAnsi" w:cstheme="minorBidi"/>
                  <w:noProof/>
                  <w:color w:val="auto"/>
                  <w:sz w:val="22"/>
                  <w:szCs w:val="22"/>
                  <w:lang w:val="en-US" w:eastAsia="en-US"/>
                </w:rPr>
                <w:br/>
                <w:t>[Accessed 16 January 2020].</w:t>
              </w:r>
            </w:p>
            <w:p w14:paraId="35572086"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Jones, M., 2018. </w:t>
              </w:r>
              <w:r w:rsidRPr="00AD2E3A">
                <w:rPr>
                  <w:rFonts w:asciiTheme="minorHAnsi" w:eastAsiaTheme="minorHAnsi" w:hAnsiTheme="minorHAnsi" w:cstheme="minorBidi"/>
                  <w:i/>
                  <w:iCs/>
                  <w:noProof/>
                  <w:color w:val="auto"/>
                  <w:sz w:val="22"/>
                  <w:szCs w:val="22"/>
                  <w:lang w:val="en-US" w:eastAsia="en-US"/>
                </w:rPr>
                <w:t xml:space="preserve">What is unconscious bias?.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https://www.breathehr.com/blog/what-is-unconscious-bias</w:t>
              </w:r>
              <w:r w:rsidRPr="00AD2E3A">
                <w:rPr>
                  <w:rFonts w:asciiTheme="minorHAnsi" w:eastAsiaTheme="minorHAnsi" w:hAnsiTheme="minorHAnsi" w:cstheme="minorBidi"/>
                  <w:noProof/>
                  <w:color w:val="auto"/>
                  <w:sz w:val="22"/>
                  <w:szCs w:val="22"/>
                  <w:lang w:val="en-US" w:eastAsia="en-US"/>
                </w:rPr>
                <w:br/>
                <w:t>[Accessed 16 January 2020].</w:t>
              </w:r>
            </w:p>
            <w:p w14:paraId="6A877557"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Legislation.gov.uk, 1981. </w:t>
              </w:r>
              <w:r w:rsidRPr="00AD2E3A">
                <w:rPr>
                  <w:rFonts w:asciiTheme="minorHAnsi" w:eastAsiaTheme="minorHAnsi" w:hAnsiTheme="minorHAnsi" w:cstheme="minorBidi"/>
                  <w:i/>
                  <w:iCs/>
                  <w:noProof/>
                  <w:color w:val="auto"/>
                  <w:sz w:val="22"/>
                  <w:szCs w:val="22"/>
                  <w:lang w:val="en-US" w:eastAsia="en-US"/>
                </w:rPr>
                <w:t xml:space="preserve">Criminal Attempts Act 1981.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http://www.legislation.gov.uk/ukpga/1981/47</w:t>
              </w:r>
              <w:r w:rsidRPr="00AD2E3A">
                <w:rPr>
                  <w:rFonts w:asciiTheme="minorHAnsi" w:eastAsiaTheme="minorHAnsi" w:hAnsiTheme="minorHAnsi" w:cstheme="minorBidi"/>
                  <w:noProof/>
                  <w:color w:val="auto"/>
                  <w:sz w:val="22"/>
                  <w:szCs w:val="22"/>
                  <w:lang w:val="en-US" w:eastAsia="en-US"/>
                </w:rPr>
                <w:br/>
                <w:t>[Accessed 15 January 2020].</w:t>
              </w:r>
            </w:p>
            <w:p w14:paraId="69AD8171"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Legislation.gov.uk, 1983. </w:t>
              </w:r>
              <w:r w:rsidRPr="00AD2E3A">
                <w:rPr>
                  <w:rFonts w:asciiTheme="minorHAnsi" w:eastAsiaTheme="minorHAnsi" w:hAnsiTheme="minorHAnsi" w:cstheme="minorBidi"/>
                  <w:i/>
                  <w:iCs/>
                  <w:noProof/>
                  <w:color w:val="auto"/>
                  <w:sz w:val="22"/>
                  <w:szCs w:val="22"/>
                  <w:lang w:val="en-US" w:eastAsia="en-US"/>
                </w:rPr>
                <w:t xml:space="preserve">Mental Health Act 1983.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http://www.legislation.gov.uk/ukpga/1983/20/section/136</w:t>
              </w:r>
              <w:r w:rsidRPr="00AD2E3A">
                <w:rPr>
                  <w:rFonts w:asciiTheme="minorHAnsi" w:eastAsiaTheme="minorHAnsi" w:hAnsiTheme="minorHAnsi" w:cstheme="minorBidi"/>
                  <w:noProof/>
                  <w:color w:val="auto"/>
                  <w:sz w:val="22"/>
                  <w:szCs w:val="22"/>
                  <w:lang w:val="en-US" w:eastAsia="en-US"/>
                </w:rPr>
                <w:br/>
                <w:t>[Accessed 15 January 2020].</w:t>
              </w:r>
            </w:p>
            <w:p w14:paraId="404BA909"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Legislation.gov.uk, 1984. </w:t>
              </w:r>
              <w:r w:rsidRPr="00AD2E3A">
                <w:rPr>
                  <w:rFonts w:asciiTheme="minorHAnsi" w:eastAsiaTheme="minorHAnsi" w:hAnsiTheme="minorHAnsi" w:cstheme="minorBidi"/>
                  <w:i/>
                  <w:iCs/>
                  <w:noProof/>
                  <w:color w:val="auto"/>
                  <w:sz w:val="22"/>
                  <w:szCs w:val="22"/>
                  <w:lang w:val="en-US" w:eastAsia="en-US"/>
                </w:rPr>
                <w:t xml:space="preserve">Powers of constable to stop and search persons, vehicles etc.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https://www.legislation.gov.uk/ukpga/1984/60/section/1</w:t>
              </w:r>
              <w:r w:rsidRPr="00AD2E3A">
                <w:rPr>
                  <w:rFonts w:asciiTheme="minorHAnsi" w:eastAsiaTheme="minorHAnsi" w:hAnsiTheme="minorHAnsi" w:cstheme="minorBidi"/>
                  <w:noProof/>
                  <w:color w:val="auto"/>
                  <w:sz w:val="22"/>
                  <w:szCs w:val="22"/>
                  <w:lang w:val="en-US" w:eastAsia="en-US"/>
                </w:rPr>
                <w:br/>
                <w:t>[Accessed 16 January 2020].</w:t>
              </w:r>
            </w:p>
            <w:p w14:paraId="31A0A812"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lastRenderedPageBreak/>
                <w:t xml:space="preserve">Legislation.gov.uk, 1998. </w:t>
              </w:r>
              <w:r w:rsidRPr="00AD2E3A">
                <w:rPr>
                  <w:rFonts w:asciiTheme="minorHAnsi" w:eastAsiaTheme="minorHAnsi" w:hAnsiTheme="minorHAnsi" w:cstheme="minorBidi"/>
                  <w:i/>
                  <w:iCs/>
                  <w:noProof/>
                  <w:color w:val="auto"/>
                  <w:sz w:val="22"/>
                  <w:szCs w:val="22"/>
                  <w:lang w:val="en-US" w:eastAsia="en-US"/>
                </w:rPr>
                <w:t xml:space="preserve">Human Rights Act 1998 Schedule 1.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http://www.legislation.gov.uk/ukpga/1998/42/schedule/1</w:t>
              </w:r>
              <w:r w:rsidRPr="00AD2E3A">
                <w:rPr>
                  <w:rFonts w:asciiTheme="minorHAnsi" w:eastAsiaTheme="minorHAnsi" w:hAnsiTheme="minorHAnsi" w:cstheme="minorBidi"/>
                  <w:noProof/>
                  <w:color w:val="auto"/>
                  <w:sz w:val="22"/>
                  <w:szCs w:val="22"/>
                  <w:lang w:val="en-US" w:eastAsia="en-US"/>
                </w:rPr>
                <w:br/>
                <w:t>[Accessed 11 Decemeber 2020].</w:t>
              </w:r>
            </w:p>
            <w:p w14:paraId="7B5C804B"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Legislation.gov.uk, 1998. </w:t>
              </w:r>
              <w:r w:rsidRPr="00AD2E3A">
                <w:rPr>
                  <w:rFonts w:asciiTheme="minorHAnsi" w:eastAsiaTheme="minorHAnsi" w:hAnsiTheme="minorHAnsi" w:cstheme="minorBidi"/>
                  <w:i/>
                  <w:iCs/>
                  <w:noProof/>
                  <w:color w:val="auto"/>
                  <w:sz w:val="22"/>
                  <w:szCs w:val="22"/>
                  <w:lang w:val="en-US" w:eastAsia="en-US"/>
                </w:rPr>
                <w:t xml:space="preserve">Human Rights Act 1998- Schedule 1.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http://www.legislation.gov.uk/ukpga/1998/42/schedule/1</w:t>
              </w:r>
              <w:r w:rsidRPr="00AD2E3A">
                <w:rPr>
                  <w:rFonts w:asciiTheme="minorHAnsi" w:eastAsiaTheme="minorHAnsi" w:hAnsiTheme="minorHAnsi" w:cstheme="minorBidi"/>
                  <w:noProof/>
                  <w:color w:val="auto"/>
                  <w:sz w:val="22"/>
                  <w:szCs w:val="22"/>
                  <w:lang w:val="en-US" w:eastAsia="en-US"/>
                </w:rPr>
                <w:br/>
                <w:t>[Accessed 15 January 2020].</w:t>
              </w:r>
            </w:p>
            <w:p w14:paraId="26B2C192"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Legislation.gov.uk, 2014. </w:t>
              </w:r>
              <w:r w:rsidRPr="00AD2E3A">
                <w:rPr>
                  <w:rFonts w:asciiTheme="minorHAnsi" w:eastAsiaTheme="minorHAnsi" w:hAnsiTheme="minorHAnsi" w:cstheme="minorBidi"/>
                  <w:i/>
                  <w:iCs/>
                  <w:noProof/>
                  <w:color w:val="auto"/>
                  <w:sz w:val="22"/>
                  <w:szCs w:val="22"/>
                  <w:lang w:val="en-US" w:eastAsia="en-US"/>
                </w:rPr>
                <w:t xml:space="preserve">Anti-social Behaviour, Crime and Policing Act 2014.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https://www.legislation.gov.uk/ukpga/2014/12/part/3/enacted?view=plain</w:t>
              </w:r>
              <w:r w:rsidRPr="00AD2E3A">
                <w:rPr>
                  <w:rFonts w:asciiTheme="minorHAnsi" w:eastAsiaTheme="minorHAnsi" w:hAnsiTheme="minorHAnsi" w:cstheme="minorBidi"/>
                  <w:noProof/>
                  <w:color w:val="auto"/>
                  <w:sz w:val="22"/>
                  <w:szCs w:val="22"/>
                  <w:lang w:val="en-US" w:eastAsia="en-US"/>
                </w:rPr>
                <w:br/>
                <w:t>[Accessed 16 Janauary 2020].</w:t>
              </w:r>
            </w:p>
            <w:p w14:paraId="32B8CF7D"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Office, H., 2017. </w:t>
              </w:r>
              <w:r w:rsidRPr="00AD2E3A">
                <w:rPr>
                  <w:rFonts w:asciiTheme="minorHAnsi" w:eastAsiaTheme="minorHAnsi" w:hAnsiTheme="minorHAnsi" w:cstheme="minorBidi"/>
                  <w:i/>
                  <w:iCs/>
                  <w:noProof/>
                  <w:color w:val="auto"/>
                  <w:sz w:val="22"/>
                  <w:szCs w:val="22"/>
                  <w:lang w:val="en-US" w:eastAsia="en-US"/>
                </w:rPr>
                <w:t xml:space="preserve">Police and Criminal Evidence Act 1984 Code C Revised.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https://assets.publishing.service.gov.uk/government/uploads/system/uploads/attachment_data/file/592547/pace-code-c-2017.pdf</w:t>
              </w:r>
              <w:r w:rsidRPr="00AD2E3A">
                <w:rPr>
                  <w:rFonts w:asciiTheme="minorHAnsi" w:eastAsiaTheme="minorHAnsi" w:hAnsiTheme="minorHAnsi" w:cstheme="minorBidi"/>
                  <w:noProof/>
                  <w:color w:val="auto"/>
                  <w:sz w:val="22"/>
                  <w:szCs w:val="22"/>
                  <w:lang w:val="en-US" w:eastAsia="en-US"/>
                </w:rPr>
                <w:br/>
                <w:t>[Accessed 4 Janaury 2020].</w:t>
              </w:r>
            </w:p>
            <w:p w14:paraId="76FCB2E4"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Policing, C. o., 2013. </w:t>
              </w:r>
              <w:r w:rsidRPr="00AD2E3A">
                <w:rPr>
                  <w:rFonts w:asciiTheme="minorHAnsi" w:eastAsiaTheme="minorHAnsi" w:hAnsiTheme="minorHAnsi" w:cstheme="minorBidi"/>
                  <w:i/>
                  <w:iCs/>
                  <w:noProof/>
                  <w:color w:val="auto"/>
                  <w:sz w:val="22"/>
                  <w:szCs w:val="22"/>
                  <w:lang w:val="en-US" w:eastAsia="en-US"/>
                </w:rPr>
                <w:t xml:space="preserve">Investigation.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https://www.app.college.police.uk/app-content/investigations/investigative-interviewing/?highlight=peace</w:t>
              </w:r>
              <w:r w:rsidRPr="00AD2E3A">
                <w:rPr>
                  <w:rFonts w:asciiTheme="minorHAnsi" w:eastAsiaTheme="minorHAnsi" w:hAnsiTheme="minorHAnsi" w:cstheme="minorBidi"/>
                  <w:noProof/>
                  <w:color w:val="auto"/>
                  <w:sz w:val="22"/>
                  <w:szCs w:val="22"/>
                  <w:lang w:val="en-US" w:eastAsia="en-US"/>
                </w:rPr>
                <w:br/>
                <w:t>[Accessed 9 Janaury 2020].</w:t>
              </w:r>
            </w:p>
            <w:p w14:paraId="5767D5C7"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Policing, C. o., 2013. </w:t>
              </w:r>
              <w:r w:rsidRPr="00AD2E3A">
                <w:rPr>
                  <w:rFonts w:asciiTheme="minorHAnsi" w:eastAsiaTheme="minorHAnsi" w:hAnsiTheme="minorHAnsi" w:cstheme="minorBidi"/>
                  <w:i/>
                  <w:iCs/>
                  <w:noProof/>
                  <w:color w:val="auto"/>
                  <w:sz w:val="22"/>
                  <w:szCs w:val="22"/>
                  <w:lang w:val="en-US" w:eastAsia="en-US"/>
                </w:rPr>
                <w:t xml:space="preserve">National Decision Model.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https://www.app.college.police.uk/app-content/national-decision-model/</w:t>
              </w:r>
              <w:r w:rsidRPr="00AD2E3A">
                <w:rPr>
                  <w:rFonts w:asciiTheme="minorHAnsi" w:eastAsiaTheme="minorHAnsi" w:hAnsiTheme="minorHAnsi" w:cstheme="minorBidi"/>
                  <w:noProof/>
                  <w:color w:val="auto"/>
                  <w:sz w:val="22"/>
                  <w:szCs w:val="22"/>
                  <w:lang w:val="en-US" w:eastAsia="en-US"/>
                </w:rPr>
                <w:br/>
                <w:t>[Accessed 15 January 2020].</w:t>
              </w:r>
            </w:p>
            <w:p w14:paraId="4581245C"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Policing, C. o., 2015. </w:t>
              </w:r>
              <w:r w:rsidRPr="00AD2E3A">
                <w:rPr>
                  <w:rFonts w:asciiTheme="minorHAnsi" w:eastAsiaTheme="minorHAnsi" w:hAnsiTheme="minorHAnsi" w:cstheme="minorBidi"/>
                  <w:i/>
                  <w:iCs/>
                  <w:noProof/>
                  <w:color w:val="auto"/>
                  <w:sz w:val="22"/>
                  <w:szCs w:val="22"/>
                  <w:lang w:val="en-US" w:eastAsia="en-US"/>
                </w:rPr>
                <w:t xml:space="preserve">Major investigation and public protection.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https://www.app.college.police.uk/app-content/major-investigation-and-public-protection/domestic-abuse/arrest-and-other-positive-approaches/</w:t>
              </w:r>
              <w:r w:rsidRPr="00AD2E3A">
                <w:rPr>
                  <w:rFonts w:asciiTheme="minorHAnsi" w:eastAsiaTheme="minorHAnsi" w:hAnsiTheme="minorHAnsi" w:cstheme="minorBidi"/>
                  <w:noProof/>
                  <w:color w:val="auto"/>
                  <w:sz w:val="22"/>
                  <w:szCs w:val="22"/>
                  <w:lang w:val="en-US" w:eastAsia="en-US"/>
                </w:rPr>
                <w:br/>
                <w:t>[Accessed 15 January 2020].</w:t>
              </w:r>
            </w:p>
            <w:p w14:paraId="065CBAF0"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Service, C. P., 2018. </w:t>
              </w:r>
              <w:r w:rsidRPr="00AD2E3A">
                <w:rPr>
                  <w:rFonts w:asciiTheme="minorHAnsi" w:eastAsiaTheme="minorHAnsi" w:hAnsiTheme="minorHAnsi" w:cstheme="minorBidi"/>
                  <w:i/>
                  <w:iCs/>
                  <w:noProof/>
                  <w:color w:val="auto"/>
                  <w:sz w:val="22"/>
                  <w:szCs w:val="22"/>
                  <w:lang w:val="en-US" w:eastAsia="en-US"/>
                </w:rPr>
                <w:t xml:space="preserve">Inchoate offences.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https://www.cps.gov.uk/legal-guidance/inchoate-offences</w:t>
              </w:r>
              <w:r w:rsidRPr="00AD2E3A">
                <w:rPr>
                  <w:rFonts w:asciiTheme="minorHAnsi" w:eastAsiaTheme="minorHAnsi" w:hAnsiTheme="minorHAnsi" w:cstheme="minorBidi"/>
                  <w:noProof/>
                  <w:color w:val="auto"/>
                  <w:sz w:val="22"/>
                  <w:szCs w:val="22"/>
                  <w:lang w:val="en-US" w:eastAsia="en-US"/>
                </w:rPr>
                <w:br/>
                <w:t>[Accessed 16 Janaury 2020].</w:t>
              </w:r>
            </w:p>
            <w:p w14:paraId="2E7C30AD"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Service, C. P., 2019. </w:t>
              </w:r>
              <w:r w:rsidRPr="00AD2E3A">
                <w:rPr>
                  <w:rFonts w:asciiTheme="minorHAnsi" w:eastAsiaTheme="minorHAnsi" w:hAnsiTheme="minorHAnsi" w:cstheme="minorBidi"/>
                  <w:i/>
                  <w:iCs/>
                  <w:noProof/>
                  <w:color w:val="auto"/>
                  <w:sz w:val="22"/>
                  <w:szCs w:val="22"/>
                  <w:lang w:val="en-US" w:eastAsia="en-US"/>
                </w:rPr>
                <w:t xml:space="preserve">Restorative Justice.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https://www.cps.gov.uk/legal-guidance/restorative-justice</w:t>
              </w:r>
              <w:r w:rsidRPr="00AD2E3A">
                <w:rPr>
                  <w:rFonts w:asciiTheme="minorHAnsi" w:eastAsiaTheme="minorHAnsi" w:hAnsiTheme="minorHAnsi" w:cstheme="minorBidi"/>
                  <w:noProof/>
                  <w:color w:val="auto"/>
                  <w:sz w:val="22"/>
                  <w:szCs w:val="22"/>
                  <w:lang w:val="en-US" w:eastAsia="en-US"/>
                </w:rPr>
                <w:br/>
                <w:t>[Accessed 13 Janaury 2020].</w:t>
              </w:r>
            </w:p>
            <w:p w14:paraId="6D642C1F"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Tang, S., 2016. </w:t>
              </w:r>
              <w:r w:rsidRPr="00AD2E3A">
                <w:rPr>
                  <w:rFonts w:asciiTheme="minorHAnsi" w:eastAsiaTheme="minorHAnsi" w:hAnsiTheme="minorHAnsi" w:cstheme="minorBidi"/>
                  <w:i/>
                  <w:iCs/>
                  <w:noProof/>
                  <w:color w:val="auto"/>
                  <w:sz w:val="22"/>
                  <w:szCs w:val="22"/>
                  <w:lang w:val="en-US" w:eastAsia="en-US"/>
                </w:rPr>
                <w:t xml:space="preserve">odyssey.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https://www.theodysseyonline.com/benefits-hand-gestures</w:t>
              </w:r>
              <w:r w:rsidRPr="00AD2E3A">
                <w:rPr>
                  <w:rFonts w:asciiTheme="minorHAnsi" w:eastAsiaTheme="minorHAnsi" w:hAnsiTheme="minorHAnsi" w:cstheme="minorBidi"/>
                  <w:noProof/>
                  <w:color w:val="auto"/>
                  <w:sz w:val="22"/>
                  <w:szCs w:val="22"/>
                  <w:lang w:val="en-US" w:eastAsia="en-US"/>
                </w:rPr>
                <w:br/>
                <w:t>[Accessed 14 January 2020].</w:t>
              </w:r>
            </w:p>
            <w:p w14:paraId="36FD81D8"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The Mind Tools Content Team, n.d. </w:t>
              </w:r>
              <w:r w:rsidRPr="00AD2E3A">
                <w:rPr>
                  <w:rFonts w:asciiTheme="minorHAnsi" w:eastAsiaTheme="minorHAnsi" w:hAnsiTheme="minorHAnsi" w:cstheme="minorBidi"/>
                  <w:i/>
                  <w:iCs/>
                  <w:noProof/>
                  <w:color w:val="auto"/>
                  <w:sz w:val="22"/>
                  <w:szCs w:val="22"/>
                  <w:lang w:val="en-US" w:eastAsia="en-US"/>
                </w:rPr>
                <w:t xml:space="preserve">Avoiding unconscious Bias at Work.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https://www.mindtools.com/pages/article/avoiding-unconscious-bias.htm</w:t>
              </w:r>
              <w:r w:rsidRPr="00AD2E3A">
                <w:rPr>
                  <w:rFonts w:asciiTheme="minorHAnsi" w:eastAsiaTheme="minorHAnsi" w:hAnsiTheme="minorHAnsi" w:cstheme="minorBidi"/>
                  <w:noProof/>
                  <w:color w:val="auto"/>
                  <w:sz w:val="22"/>
                  <w:szCs w:val="22"/>
                  <w:lang w:val="en-US" w:eastAsia="en-US"/>
                </w:rPr>
                <w:br/>
                <w:t>[Accessed 16 January 2020].</w:t>
              </w:r>
            </w:p>
            <w:p w14:paraId="366B1A8E"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Walker, P., 2011. </w:t>
              </w:r>
              <w:r w:rsidRPr="00AD2E3A">
                <w:rPr>
                  <w:rFonts w:asciiTheme="minorHAnsi" w:eastAsiaTheme="minorHAnsi" w:hAnsiTheme="minorHAnsi" w:cstheme="minorBidi"/>
                  <w:i/>
                  <w:iCs/>
                  <w:noProof/>
                  <w:color w:val="auto"/>
                  <w:sz w:val="22"/>
                  <w:szCs w:val="22"/>
                  <w:lang w:val="en-US" w:eastAsia="en-US"/>
                </w:rPr>
                <w:t xml:space="preserve">Fiona Pilkington case: police face misconduct proceedings.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https://www.theguardian.com/uk/2011/may/24/fiona-pilkington-police-misconduct-proceedings</w:t>
              </w:r>
              <w:r w:rsidRPr="00AD2E3A">
                <w:rPr>
                  <w:rFonts w:asciiTheme="minorHAnsi" w:eastAsiaTheme="minorHAnsi" w:hAnsiTheme="minorHAnsi" w:cstheme="minorBidi"/>
                  <w:noProof/>
                  <w:color w:val="auto"/>
                  <w:sz w:val="22"/>
                  <w:szCs w:val="22"/>
                  <w:lang w:val="en-US" w:eastAsia="en-US"/>
                </w:rPr>
                <w:br/>
                <w:t>[Accessed 16 Janaury 2020].</w:t>
              </w:r>
            </w:p>
            <w:p w14:paraId="45E68051"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lastRenderedPageBreak/>
                <w:t xml:space="preserve">Wordpress, n.d. </w:t>
              </w:r>
              <w:r w:rsidRPr="00AD2E3A">
                <w:rPr>
                  <w:rFonts w:asciiTheme="minorHAnsi" w:eastAsiaTheme="minorHAnsi" w:hAnsiTheme="minorHAnsi" w:cstheme="minorBidi"/>
                  <w:i/>
                  <w:iCs/>
                  <w:noProof/>
                  <w:color w:val="auto"/>
                  <w:sz w:val="22"/>
                  <w:szCs w:val="22"/>
                  <w:lang w:val="en-US" w:eastAsia="en-US"/>
                </w:rPr>
                <w:t xml:space="preserve">The National Decision Model.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https://www.nationaldecisionmodel.co.uk/</w:t>
              </w:r>
              <w:r w:rsidRPr="00AD2E3A">
                <w:rPr>
                  <w:rFonts w:asciiTheme="minorHAnsi" w:eastAsiaTheme="minorHAnsi" w:hAnsiTheme="minorHAnsi" w:cstheme="minorBidi"/>
                  <w:noProof/>
                  <w:color w:val="auto"/>
                  <w:sz w:val="22"/>
                  <w:szCs w:val="22"/>
                  <w:lang w:val="en-US" w:eastAsia="en-US"/>
                </w:rPr>
                <w:br/>
                <w:t>[Accessed 11 January 2020].</w:t>
              </w:r>
            </w:p>
            <w:p w14:paraId="36D58F40"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writer, C., 2014. </w:t>
              </w:r>
              <w:r w:rsidRPr="00AD2E3A">
                <w:rPr>
                  <w:rFonts w:asciiTheme="minorHAnsi" w:eastAsiaTheme="minorHAnsi" w:hAnsiTheme="minorHAnsi" w:cstheme="minorBidi"/>
                  <w:i/>
                  <w:iCs/>
                  <w:noProof/>
                  <w:color w:val="auto"/>
                  <w:sz w:val="22"/>
                  <w:szCs w:val="22"/>
                  <w:lang w:val="en-US" w:eastAsia="en-US"/>
                </w:rPr>
                <w:t xml:space="preserve">Dr Prem carve your life.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https://drprem.com/life/how-change-can-help-you-grow</w:t>
              </w:r>
              <w:r w:rsidRPr="00AD2E3A">
                <w:rPr>
                  <w:rFonts w:asciiTheme="minorHAnsi" w:eastAsiaTheme="minorHAnsi" w:hAnsiTheme="minorHAnsi" w:cstheme="minorBidi"/>
                  <w:noProof/>
                  <w:color w:val="auto"/>
                  <w:sz w:val="22"/>
                  <w:szCs w:val="22"/>
                  <w:lang w:val="en-US" w:eastAsia="en-US"/>
                </w:rPr>
                <w:br/>
                <w:t>[Accessed 15 January 2020].</w:t>
              </w:r>
            </w:p>
            <w:p w14:paraId="39E54C56"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noProof/>
                  <w:color w:val="auto"/>
                  <w:sz w:val="22"/>
                  <w:szCs w:val="22"/>
                  <w:lang w:val="en-US" w:eastAsia="en-US"/>
                </w:rPr>
              </w:pPr>
              <w:r w:rsidRPr="00AD2E3A">
                <w:rPr>
                  <w:rFonts w:asciiTheme="minorHAnsi" w:eastAsiaTheme="minorHAnsi" w:hAnsiTheme="minorHAnsi" w:cstheme="minorBidi"/>
                  <w:noProof/>
                  <w:color w:val="auto"/>
                  <w:sz w:val="22"/>
                  <w:szCs w:val="22"/>
                  <w:lang w:val="en-US" w:eastAsia="en-US"/>
                </w:rPr>
                <w:t xml:space="preserve">Young, C., 2016. </w:t>
              </w:r>
              <w:r w:rsidRPr="00AD2E3A">
                <w:rPr>
                  <w:rFonts w:asciiTheme="minorHAnsi" w:eastAsiaTheme="minorHAnsi" w:hAnsiTheme="minorHAnsi" w:cstheme="minorBidi"/>
                  <w:i/>
                  <w:iCs/>
                  <w:noProof/>
                  <w:color w:val="auto"/>
                  <w:sz w:val="22"/>
                  <w:szCs w:val="22"/>
                  <w:lang w:val="en-US" w:eastAsia="en-US"/>
                </w:rPr>
                <w:t xml:space="preserve">Spark it network. </w:t>
              </w:r>
              <w:r w:rsidRPr="00AD2E3A">
                <w:rPr>
                  <w:rFonts w:asciiTheme="minorHAnsi" w:eastAsiaTheme="minorHAnsi" w:hAnsiTheme="minorHAnsi" w:cstheme="minorBidi"/>
                  <w:noProof/>
                  <w:color w:val="auto"/>
                  <w:sz w:val="22"/>
                  <w:szCs w:val="22"/>
                  <w:lang w:val="en-US" w:eastAsia="en-US"/>
                </w:rPr>
                <w:t xml:space="preserve">[Online] </w:t>
              </w:r>
              <w:r w:rsidRPr="00AD2E3A">
                <w:rPr>
                  <w:rFonts w:asciiTheme="minorHAnsi" w:eastAsiaTheme="minorHAnsi" w:hAnsiTheme="minorHAnsi" w:cstheme="minorBidi"/>
                  <w:noProof/>
                  <w:color w:val="auto"/>
                  <w:sz w:val="22"/>
                  <w:szCs w:val="22"/>
                  <w:lang w:val="en-US" w:eastAsia="en-US"/>
                </w:rPr>
                <w:br/>
                <w:t xml:space="preserve">Available at: </w:t>
              </w:r>
              <w:r w:rsidRPr="00AD2E3A">
                <w:rPr>
                  <w:rFonts w:asciiTheme="minorHAnsi" w:eastAsiaTheme="minorHAnsi" w:hAnsiTheme="minorHAnsi" w:cstheme="minorBidi"/>
                  <w:noProof/>
                  <w:color w:val="auto"/>
                  <w:sz w:val="22"/>
                  <w:szCs w:val="22"/>
                  <w:u w:val="single"/>
                  <w:lang w:val="en-US" w:eastAsia="en-US"/>
                </w:rPr>
                <w:t>http://sparkitnetwork.com/lifestyle/what-is-body-language-and-how-does-it-affect-communication/</w:t>
              </w:r>
              <w:r w:rsidRPr="00AD2E3A">
                <w:rPr>
                  <w:rFonts w:asciiTheme="minorHAnsi" w:eastAsiaTheme="minorHAnsi" w:hAnsiTheme="minorHAnsi" w:cstheme="minorBidi"/>
                  <w:noProof/>
                  <w:color w:val="auto"/>
                  <w:sz w:val="22"/>
                  <w:szCs w:val="22"/>
                  <w:lang w:val="en-US" w:eastAsia="en-US"/>
                </w:rPr>
                <w:br/>
                <w:t>[Accessed 15 January 2020].</w:t>
              </w:r>
            </w:p>
            <w:p w14:paraId="2CAE6106" w14:textId="77777777" w:rsidR="00AD2E3A" w:rsidRPr="00AD2E3A" w:rsidRDefault="00AD2E3A" w:rsidP="00AD2E3A">
              <w:pPr>
                <w:overflowPunct/>
                <w:autoSpaceDE/>
                <w:autoSpaceDN/>
                <w:adjustRightInd/>
                <w:spacing w:after="160" w:line="256" w:lineRule="auto"/>
                <w:textAlignment w:val="auto"/>
                <w:rPr>
                  <w:rFonts w:asciiTheme="minorHAnsi" w:eastAsiaTheme="minorHAnsi" w:hAnsiTheme="minorHAnsi" w:cstheme="minorBidi"/>
                  <w:color w:val="auto"/>
                  <w:sz w:val="22"/>
                  <w:szCs w:val="22"/>
                  <w:lang w:eastAsia="en-US"/>
                </w:rPr>
              </w:pPr>
              <w:r w:rsidRPr="00AD2E3A">
                <w:rPr>
                  <w:rFonts w:asciiTheme="minorHAnsi" w:eastAsiaTheme="minorHAnsi" w:hAnsiTheme="minorHAnsi" w:cstheme="minorBidi"/>
                  <w:b/>
                  <w:bCs/>
                  <w:noProof/>
                  <w:color w:val="auto"/>
                  <w:sz w:val="22"/>
                  <w:szCs w:val="22"/>
                  <w:lang w:eastAsia="en-US"/>
                </w:rPr>
                <w:fldChar w:fldCharType="end"/>
              </w:r>
            </w:p>
          </w:sdtContent>
        </w:sdt>
      </w:sdtContent>
    </w:sdt>
    <w:p w14:paraId="6ED77802" w14:textId="77777777" w:rsidR="0093018C" w:rsidRPr="00294868" w:rsidRDefault="00BC5725" w:rsidP="00AD2E3A">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4B4FFF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AD2E3A">
        <w:rPr>
          <w:rFonts w:eastAsia="Arial"/>
          <w:color w:val="000000" w:themeColor="text1"/>
          <w:sz w:val="24"/>
          <w:szCs w:val="24"/>
        </w:rPr>
        <w:t>Kieron McCaffrey</w:t>
      </w:r>
      <w:r w:rsidRPr="5848403C">
        <w:rPr>
          <w:rFonts w:eastAsia="Arial"/>
          <w:color w:val="000000" w:themeColor="text1"/>
          <w:sz w:val="24"/>
          <w:szCs w:val="24"/>
        </w:rPr>
        <w:t xml:space="preserve"> (Learner</w:t>
      </w:r>
    </w:p>
    <w:p w14:paraId="5473B39D" w14:textId="25489F28" w:rsidR="5848403C" w:rsidRDefault="5848403C" w:rsidP="5848403C">
      <w:pPr>
        <w:jc w:val="both"/>
        <w:rPr>
          <w:rFonts w:eastAsia="Arial"/>
          <w:color w:val="000000" w:themeColor="text1"/>
          <w:sz w:val="24"/>
          <w:szCs w:val="24"/>
        </w:rPr>
      </w:pPr>
    </w:p>
    <w:p w14:paraId="4EC5D203" w14:textId="4085F8F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AD2E3A">
        <w:rPr>
          <w:rFonts w:eastAsia="Arial"/>
          <w:color w:val="000000" w:themeColor="text1"/>
          <w:sz w:val="24"/>
          <w:szCs w:val="24"/>
        </w:rPr>
        <w:t>16</w:t>
      </w:r>
      <w:r w:rsidR="00AD2E3A" w:rsidRPr="00AD2E3A">
        <w:rPr>
          <w:rFonts w:eastAsia="Arial"/>
          <w:color w:val="000000" w:themeColor="text1"/>
          <w:sz w:val="24"/>
          <w:szCs w:val="24"/>
          <w:vertAlign w:val="superscript"/>
        </w:rPr>
        <w:t>th</w:t>
      </w:r>
      <w:r w:rsidR="00AD2E3A">
        <w:rPr>
          <w:rFonts w:eastAsia="Arial"/>
          <w:color w:val="000000" w:themeColor="text1"/>
          <w:sz w:val="24"/>
          <w:szCs w:val="24"/>
        </w:rPr>
        <w:t xml:space="preserve"> January 2020</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B7CF9" w14:textId="77777777" w:rsidR="001F6939" w:rsidRDefault="001F6939">
      <w:r>
        <w:separator/>
      </w:r>
    </w:p>
  </w:endnote>
  <w:endnote w:type="continuationSeparator" w:id="0">
    <w:p w14:paraId="2FD44551" w14:textId="77777777" w:rsidR="001F6939" w:rsidRDefault="001F6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ECF1D" w14:textId="77777777" w:rsidR="001F6939" w:rsidRDefault="001F6939">
      <w:r>
        <w:separator/>
      </w:r>
    </w:p>
  </w:footnote>
  <w:footnote w:type="continuationSeparator" w:id="0">
    <w:p w14:paraId="458DDD75" w14:textId="77777777" w:rsidR="001F6939" w:rsidRDefault="001F69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8A0"/>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2B92"/>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2E3A"/>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831"/>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cienceofpeople.com/2015/08/20-hand-gestures-using/?utm_expid=40598772-14.WOG0NyNsTDO_D8Y2heCNfQ.1&amp;utm_referrer=https%3A%2F%2Fwww.google.com%2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guardian.com/uk/pol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egislation.gov.uk/ukpga/1984/60/content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lege.police.uk/What-we-do/Ethics/Documents/Code_of_Ethic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Com14</b:Tag>
    <b:SourceType>InternetSite</b:SourceType>
    <b:Guid>{CDACB5D4-824E-493E-95DD-8B7A2CEF6791}</b:Guid>
    <b:Author>
      <b:Author>
        <b:NameList>
          <b:Person>
            <b:Last>writer</b:Last>
            <b:First>Community</b:First>
          </b:Person>
        </b:NameList>
      </b:Author>
    </b:Author>
    <b:Title>Dr Prem carve your life</b:Title>
    <b:Year>2014</b:Year>
    <b:YearAccessed>2020</b:YearAccessed>
    <b:MonthAccessed>January</b:MonthAccessed>
    <b:DayAccessed>15</b:DayAccessed>
    <b:URL>https://drprem.com/life/how-change-can-help-you-grow</b:URL>
    <b:RefOrder>1</b:RefOrder>
  </b:Source>
  <b:Source>
    <b:Tag>Syl16</b:Tag>
    <b:SourceType>InternetSite</b:SourceType>
    <b:Guid>{CECC02FF-66BB-4A02-BA2B-32D1AC24DCD7}</b:Guid>
    <b:Author>
      <b:Author>
        <b:NameList>
          <b:Person>
            <b:Last>Tang</b:Last>
            <b:First>Sylvia</b:First>
          </b:Person>
        </b:NameList>
      </b:Author>
    </b:Author>
    <b:Title>odyssey</b:Title>
    <b:Year>2016</b:Year>
    <b:YearAccessed>2020</b:YearAccessed>
    <b:MonthAccessed>January</b:MonthAccessed>
    <b:DayAccessed>14</b:DayAccessed>
    <b:URL>https://www.theodysseyonline.com/benefits-hand-gestures</b:URL>
    <b:RefOrder>2</b:RefOrder>
  </b:Source>
  <b:Source>
    <b:Tag>Soc17</b:Tag>
    <b:SourceType>InternetSite</b:SourceType>
    <b:Guid>{E01AF5B5-36EC-46C1-8492-BABD0113D718}</b:Guid>
    <b:Author>
      <b:Author>
        <b:NameList>
          <b:Person>
            <b:Last>excellence</b:Last>
            <b:First>Social</b:First>
            <b:Middle>care institute for</b:Middle>
          </b:Person>
        </b:NameList>
      </b:Author>
    </b:Author>
    <b:Title>Safeguarding adults</b:Title>
    <b:Year>2017</b:Year>
    <b:YearAccessed>2020</b:YearAccessed>
    <b:MonthAccessed>January</b:MonthAccessed>
    <b:DayAccessed>15</b:DayAccessed>
    <b:URL>https://www.scie.org.uk/safeguarding/adults/introduction/highlights</b:URL>
    <b:RefOrder>3</b:RefOrder>
  </b:Source>
  <b:Source>
    <b:Tag>Chr16</b:Tag>
    <b:SourceType>InternetSite</b:SourceType>
    <b:Guid>{5A7342C8-0FBC-4732-BD14-D28559B2C3D3}</b:Guid>
    <b:Author>
      <b:Author>
        <b:NameList>
          <b:Person>
            <b:Last>Young</b:Last>
            <b:First>Christina</b:First>
          </b:Person>
        </b:NameList>
      </b:Author>
    </b:Author>
    <b:Title>Spark it network</b:Title>
    <b:Year>2016</b:Year>
    <b:YearAccessed>2020</b:YearAccessed>
    <b:MonthAccessed>January</b:MonthAccessed>
    <b:DayAccessed>15</b:DayAccessed>
    <b:URL>http://sparkitnetwork.com/lifestyle/what-is-body-language-and-how-does-it-affect-communication/</b:URL>
    <b:RefOrder>4</b:RefOrder>
  </b:Source>
  <b:Source>
    <b:Tag>Col13</b:Tag>
    <b:SourceType>InternetSite</b:SourceType>
    <b:Guid>{AE5F2B31-7EEF-43E5-9388-C24F4343B4DA}</b:Guid>
    <b:Author>
      <b:Author>
        <b:NameList>
          <b:Person>
            <b:Last>Policing</b:Last>
            <b:First>College</b:First>
            <b:Middle>of</b:Middle>
          </b:Person>
        </b:NameList>
      </b:Author>
    </b:Author>
    <b:Title>National Decision Model</b:Title>
    <b:Year>2013</b:Year>
    <b:YearAccessed>2020</b:YearAccessed>
    <b:MonthAccessed>January</b:MonthAccessed>
    <b:DayAccessed>15</b:DayAccessed>
    <b:URL>https://www.app.college.police.uk/app-content/national-decision-model/</b:URL>
    <b:RefOrder>5</b:RefOrder>
  </b:Source>
  <b:Source>
    <b:Tag>Leg83</b:Tag>
    <b:SourceType>InternetSite</b:SourceType>
    <b:Guid>{B6340626-343B-4250-A5D0-A20AF57EE72A}</b:Guid>
    <b:Author>
      <b:Author>
        <b:NameList>
          <b:Person>
            <b:Last>Legislation.gov.uk</b:Last>
          </b:Person>
        </b:NameList>
      </b:Author>
    </b:Author>
    <b:Title>Mental Health Act 1983</b:Title>
    <b:Year>1983</b:Year>
    <b:YearAccessed>2020</b:YearAccessed>
    <b:MonthAccessed>January</b:MonthAccessed>
    <b:DayAccessed>15</b:DayAccessed>
    <b:URL>http://www.legislation.gov.uk/ukpga/1983/20/section/136</b:URL>
    <b:RefOrder>6</b:RefOrder>
  </b:Source>
  <b:Source>
    <b:Tag>Leg98</b:Tag>
    <b:SourceType>InternetSite</b:SourceType>
    <b:Guid>{5CAF3971-673F-4EFA-A97E-EAB2AE05DC8E}</b:Guid>
    <b:Author>
      <b:Author>
        <b:Corporate>Legislation.gov.uk</b:Corporate>
      </b:Author>
    </b:Author>
    <b:Title>Human Rights Act 1998- Schedule 1</b:Title>
    <b:Year>1998</b:Year>
    <b:YearAccessed>2020</b:YearAccessed>
    <b:MonthAccessed>January</b:MonthAccessed>
    <b:DayAccessed>15</b:DayAccessed>
    <b:URL>http://www.legislation.gov.uk/ukpga/1998/42/schedule/1</b:URL>
    <b:RefOrder>7</b:RefOrder>
  </b:Source>
  <b:Source>
    <b:Tag>Edi19</b:Tag>
    <b:SourceType>BookSection</b:SourceType>
    <b:Guid>{37463268-F2F9-4954-A77E-440E10C34498}</b:Guid>
    <b:Title>Police discretion</b:Title>
    <b:Year>2019</b:Year>
    <b:Author>
      <b:Author>
        <b:NameList>
          <b:Person>
            <b:Last>Barry Blackburn</b:Last>
            <b:First>Dr</b:First>
            <b:Middle>Paul Gilbert, Dr Sofia Gracia, Rich Honess, Graham Hooper, Nigel Jones, Kevin Lawton-Barrett, Dr Vincent Leonard, Trish McCormack, Susanna Mitchell, James Nunn, Dr Martin O'Neill, Jane Owens, Mark Robinson, Vince Straine-Francis, Rober</b:Middle>
          </b:Person>
        </b:NameList>
      </b:Author>
      <b:Editor>
        <b:NameList>
          <b:Person>
            <b:Last>Bryant</b:Last>
            <b:First>Professor</b:First>
            <b:Middle>Robin Bryant and Sarah</b:Middle>
          </b:Person>
        </b:NameList>
      </b:Editor>
    </b:Author>
    <b:BookTitle>Blackstone's Handbook for Policing Students 2019</b:BookTitle>
    <b:Pages>43-47</b:Pages>
    <b:Publisher>Oxford University Press</b:Publisher>
    <b:RefOrder>8</b:RefOrder>
  </b:Source>
  <b:Source>
    <b:Tag>Col15</b:Tag>
    <b:SourceType>InternetSite</b:SourceType>
    <b:Guid>{84A32D88-B03D-4F10-AB73-BBBA2F558245}</b:Guid>
    <b:Title>Major investigation and public protection</b:Title>
    <b:Year>2015</b:Year>
    <b:Author>
      <b:Author>
        <b:NameList>
          <b:Person>
            <b:Last>Policing</b:Last>
            <b:First>College</b:First>
            <b:Middle>of</b:Middle>
          </b:Person>
        </b:NameList>
      </b:Author>
    </b:Author>
    <b:YearAccessed>2020</b:YearAccessed>
    <b:MonthAccessed>January</b:MonthAccessed>
    <b:DayAccessed>15</b:DayAccessed>
    <b:URL>https://www.app.college.police.uk/app-content/major-investigation-and-public-protection/domestic-abuse/arrest-and-other-positive-approaches/</b:URL>
    <b:RefOrder>9</b:RefOrder>
  </b:Source>
  <b:Source>
    <b:Tag>Hom17</b:Tag>
    <b:SourceType>DocumentFromInternetSite</b:SourceType>
    <b:Guid>{3202A61A-BC1E-4E53-BAFC-F78B3A637816}</b:Guid>
    <b:Title>Police and Criminal Evidence Act 1984 Code C Revised</b:Title>
    <b:Year>2017</b:Year>
    <b:YearAccessed>2020</b:YearAccessed>
    <b:MonthAccessed>Janaury</b:MonthAccessed>
    <b:DayAccessed>4</b:DayAccessed>
    <b:URL>https://assets.publishing.service.gov.uk/government/uploads/system/uploads/attachment_data/file/592547/pace-code-c-2017.pdf</b:URL>
    <b:Author>
      <b:Author>
        <b:NameList>
          <b:Person>
            <b:Last>Office</b:Last>
            <b:First>Home</b:First>
          </b:Person>
        </b:NameList>
      </b:Author>
    </b:Author>
    <b:Month>February</b:Month>
    <b:RefOrder>10</b:RefOrder>
  </b:Source>
  <b:Source>
    <b:Tag>Col131</b:Tag>
    <b:SourceType>InternetSite</b:SourceType>
    <b:Guid>{96612B17-14C1-444F-BCDB-86349D9935BC}</b:Guid>
    <b:Title>Investigation</b:Title>
    <b:Year>2013</b:Year>
    <b:YearAccessed>2020</b:YearAccessed>
    <b:MonthAccessed>Janaury</b:MonthAccessed>
    <b:DayAccessed>9</b:DayAccessed>
    <b:URL>https://www.app.college.police.uk/app-content/investigations/investigative-interviewing/?highlight=peace</b:URL>
    <b:Author>
      <b:Author>
        <b:NameList>
          <b:Person>
            <b:Last>Policing</b:Last>
            <b:First>College</b:First>
            <b:Middle>of</b:Middle>
          </b:Person>
        </b:NameList>
      </b:Author>
    </b:Author>
    <b:RefOrder>11</b:RefOrder>
  </b:Source>
  <b:Source>
    <b:Tag>Pro19</b:Tag>
    <b:SourceType>BookSection</b:SourceType>
    <b:Guid>{5AE5B253-2E38-4DD5-88E7-72ACFEC54540}</b:Guid>
    <b:Title>Criminal Damage</b:Title>
    <b:Year>2019</b:Year>
    <b:Publisher>Oxford University Press</b:Publisher>
    <b:Author>
      <b:Author>
        <b:NameList>
          <b:Person>
            <b:Last>Barry Blackburn</b:Last>
            <b:First>Dr</b:First>
            <b:Middle>Paul Gilbert, Dr Sofia Gracia, Rich Honess, Graham Hooper, Nigel Jones, Kevin Lawton-Barrett, Dr Vincent Leonard, Trish McCormack, Susanna Mitchell, James Nunn, Dr Martin O'Neill, Jane Owens, Mark Robinson, Vince Straine-Francis, Rober</b:Middle>
          </b:Person>
        </b:NameList>
      </b:Author>
      <b:Editor>
        <b:NameList>
          <b:Person>
            <b:Last>Bryant</b:Last>
            <b:First>Professor</b:First>
            <b:Middle>Robin Bryant and Sarah</b:Middle>
          </b:Person>
        </b:NameList>
      </b:Editor>
    </b:Author>
    <b:BookTitle>Blackstones Handbook for Policing Students</b:BookTitle>
    <b:Pages>485</b:Pages>
    <b:RefOrder>12</b:RefOrder>
  </b:Source>
  <b:Source>
    <b:Tag>Leg981</b:Tag>
    <b:SourceType>InternetSite</b:SourceType>
    <b:Guid>{2005822C-4198-42DE-A9C9-5E959653209D}</b:Guid>
    <b:Title>Human Rights Act 1998 Schedule 1</b:Title>
    <b:Year>1998</b:Year>
    <b:Author>
      <b:Author>
        <b:NameList>
          <b:Person>
            <b:Last>Legislation.gov.uk</b:Last>
          </b:Person>
        </b:NameList>
      </b:Author>
    </b:Author>
    <b:YearAccessed>2020</b:YearAccessed>
    <b:MonthAccessed>Decemeber</b:MonthAccessed>
    <b:DayAccessed>11</b:DayAccessed>
    <b:URL>http://www.legislation.gov.uk/ukpga/1998/42/schedule/1</b:URL>
    <b:RefOrder>13</b:RefOrder>
  </b:Source>
  <b:Source>
    <b:Tag>Cro19</b:Tag>
    <b:SourceType>InternetSite</b:SourceType>
    <b:Guid>{F103A0D5-2E13-42B0-8F17-A88A6B6F070D}</b:Guid>
    <b:Author>
      <b:Author>
        <b:NameList>
          <b:Person>
            <b:Last>Service</b:Last>
            <b:First>Crown</b:First>
            <b:Middle>Prosecution</b:Middle>
          </b:Person>
        </b:NameList>
      </b:Author>
    </b:Author>
    <b:Title>Restorative Justice</b:Title>
    <b:Year>2019</b:Year>
    <b:YearAccessed>2020</b:YearAccessed>
    <b:MonthAccessed>Janaury</b:MonthAccessed>
    <b:DayAccessed>13</b:DayAccessed>
    <b:URL>https://www.cps.gov.uk/legal-guidance/restorative-justice</b:URL>
    <b:RefOrder>14</b:RefOrder>
  </b:Source>
  <b:Source>
    <b:Tag>Har20</b:Tag>
    <b:SourceType>InternetSite</b:SourceType>
    <b:Guid>{E4B7728C-412C-498D-8950-F9121C1D9856}</b:Guid>
    <b:Author>
      <b:Author>
        <b:Corporate>HarperCollins Publishers</b:Corporate>
      </b:Author>
    </b:Author>
    <b:Title>modus operandi</b:Title>
    <b:Year>2020</b:Year>
    <b:YearAccessed>2020</b:YearAccessed>
    <b:MonthAccessed>January</b:MonthAccessed>
    <b:DayAccessed>16</b:DayAccessed>
    <b:URL>https://www.collinsdictionary.com/dictionary/english/modus-operandi</b:URL>
    <b:RefOrder>15</b:RefOrder>
  </b:Source>
  <b:Source>
    <b:Tag>Leg84</b:Tag>
    <b:SourceType>InternetSite</b:SourceType>
    <b:Guid>{33A9A501-234F-423B-8CFD-1BE22C640021}</b:Guid>
    <b:Author>
      <b:Author>
        <b:NameList>
          <b:Person>
            <b:Last>Legislation.gov.uk</b:Last>
          </b:Person>
        </b:NameList>
      </b:Author>
    </b:Author>
    <b:Title>Powers of constable to stop and search persons, vehicles etc</b:Title>
    <b:Year>1984</b:Year>
    <b:YearAccessed>2020</b:YearAccessed>
    <b:MonthAccessed>January</b:MonthAccessed>
    <b:DayAccessed>16</b:DayAccessed>
    <b:URL>https://www.legislation.gov.uk/ukpga/1984/60/section/1</b:URL>
    <b:RefOrder>16</b:RefOrder>
  </b:Source>
  <b:Source>
    <b:Tag>Wor20</b:Tag>
    <b:SourceType>InternetSite</b:SourceType>
    <b:Guid>{AE8A1D6D-16D6-4D55-83CA-704EB18918C3}</b:Guid>
    <b:Author>
      <b:Author>
        <b:NameList>
          <b:Person>
            <b:Last>Wordpress</b:Last>
          </b:Person>
        </b:NameList>
      </b:Author>
    </b:Author>
    <b:Title>The National Decision Model</b:Title>
    <b:YearAccessed>2020</b:YearAccessed>
    <b:MonthAccessed>January</b:MonthAccessed>
    <b:DayAccessed>11</b:DayAccessed>
    <b:URL>https://www.nationaldecisionmodel.co.uk/</b:URL>
    <b:RefOrder>17</b:RefOrder>
  </b:Source>
  <b:Source>
    <b:Tag>Bar19</b:Tag>
    <b:SourceType>BookSection</b:SourceType>
    <b:Guid>{CC247EA8-DF0D-4209-AC86-8B9770A40A4A}</b:Guid>
    <b:Title>Policing Public Order, Anti-social Behaviour, and Harassment</b:Title>
    <b:Year>2019</b:Year>
    <b:Author>
      <b:Author>
        <b:NameList>
          <b:Person>
            <b:Last>Barry Blackburn</b:Last>
            <b:First>Dr</b:First>
            <b:Middle>Paul Gilbert, Dr Sofia Gracia, Rich Honess, Graham Hooper, Nigel Jones, Kevin Lawton-Barrett, Dr Vincent Leonard, Trish McCormack, Susanna Mitchell, James Nunn, Dr Martin O'Neill, Jane Owens, Mark Robinson, Vince Straine-Francis, Rober</b:Middle>
          </b:Person>
        </b:NameList>
      </b:Author>
      <b:Editor>
        <b:NameList>
          <b:Person>
            <b:Last>Bryant</b:Last>
            <b:First>Professor</b:First>
            <b:Middle>Robin Bryant and Sarah</b:Middle>
          </b:Person>
        </b:NameList>
      </b:Editor>
    </b:Author>
    <b:BookTitle>Blackstones Handbook for policing students</b:BookTitle>
    <b:Pages>301</b:Pages>
    <b:Publisher>Oxford University Press</b:Publisher>
    <b:RefOrder>18</b:RefOrder>
  </b:Source>
  <b:Source>
    <b:Tag>Bry15</b:Tag>
    <b:SourceType>JournalArticle</b:SourceType>
    <b:Guid>{8302F15C-9D66-4F3C-9FD7-60571EF8AA5B}</b:Guid>
    <b:Title>Social Crimes: Social Reactions to Crime, disorder and Control</b:Title>
    <b:Year>2015</b:Year>
    <b:Pages>296-297</b:Pages>
    <b:Author>
      <b:Author>
        <b:NameList>
          <b:Person>
            <b:Last>Bryn Caless</b:Last>
            <b:First>Martin</b:First>
            <b:Middle>Innes</b:Middle>
          </b:Person>
        </b:NameList>
      </b:Author>
    </b:Author>
    <b:JournalName>Policing: A journal of policy and Practice</b:JournalName>
    <b:Volume>9</b:Volume>
    <b:Issue>3</b:Issue>
    <b:RefOrder>19</b:RefOrder>
  </b:Source>
  <b:Source>
    <b:Tag>Mel18</b:Tag>
    <b:SourceType>InternetSite</b:SourceType>
    <b:Guid>{5CBACDEF-FE9E-45EB-A28C-91F626CFFE2D}</b:Guid>
    <b:Title>What is unconscious bias?</b:Title>
    <b:Year>2018</b:Year>
    <b:Author>
      <b:Author>
        <b:NameList>
          <b:Person>
            <b:Last>Jones</b:Last>
            <b:First>Melissa</b:First>
          </b:Person>
        </b:NameList>
      </b:Author>
    </b:Author>
    <b:YearAccessed>2020</b:YearAccessed>
    <b:MonthAccessed>January</b:MonthAccessed>
    <b:DayAccessed>16</b:DayAccessed>
    <b:URL>https://www.breathehr.com/blog/what-is-unconscious-bias</b:URL>
    <b:RefOrder>20</b:RefOrder>
  </b:Source>
  <b:Source>
    <b:Tag>The20</b:Tag>
    <b:SourceType>InternetSite</b:SourceType>
    <b:Guid>{B3FC34C2-8BC5-496C-93AA-7B4AD0F3B0D7}</b:Guid>
    <b:Author>
      <b:Author>
        <b:Corporate>The Mind Tools Content Team</b:Corporate>
      </b:Author>
    </b:Author>
    <b:Title>Avoiding unconscious Bias at Work</b:Title>
    <b:YearAccessed>2020</b:YearAccessed>
    <b:MonthAccessed>January</b:MonthAccessed>
    <b:DayAccessed>16</b:DayAccessed>
    <b:URL>https://www.mindtools.com/pages/article/avoiding-unconscious-bias.htm</b:URL>
    <b:RefOrder>21</b:RefOrder>
  </b:Source>
  <b:Source>
    <b:Tag>Pet11</b:Tag>
    <b:SourceType>DocumentFromInternetSite</b:SourceType>
    <b:Guid>{00C66700-2F0F-4EB2-8CB3-B19506EC04A8}</b:Guid>
    <b:Title>Fiona Pilkington case: police face misconduct proceedings</b:Title>
    <b:Year>2011</b:Year>
    <b:YearAccessed>2020</b:YearAccessed>
    <b:MonthAccessed>Janaury</b:MonthAccessed>
    <b:DayAccessed>16</b:DayAccessed>
    <b:URL>https://www.theguardian.com/uk/2011/may/24/fiona-pilkington-police-misconduct-proceedings</b:URL>
    <b:Author>
      <b:Author>
        <b:NameList>
          <b:Person>
            <b:Last>Walker</b:Last>
            <b:First>Peter</b:First>
          </b:Person>
        </b:NameList>
      </b:Author>
    </b:Author>
    <b:Month>May</b:Month>
    <b:Day>24</b:Day>
    <b:RefOrder>22</b:RefOrder>
  </b:Source>
  <b:Source>
    <b:Tag>Leg81</b:Tag>
    <b:SourceType>InternetSite</b:SourceType>
    <b:Guid>{5D1BC4D6-4C46-499A-8A20-E7B754C81606}</b:Guid>
    <b:Author>
      <b:Author>
        <b:NameList>
          <b:Person>
            <b:Last>Legislation.gov.uk</b:Last>
          </b:Person>
        </b:NameList>
      </b:Author>
    </b:Author>
    <b:Title>Criminal Attempts Act 1981</b:Title>
    <b:Year>1981</b:Year>
    <b:YearAccessed>2020</b:YearAccessed>
    <b:MonthAccessed>January</b:MonthAccessed>
    <b:DayAccessed>15</b:DayAccessed>
    <b:URL>http://www.legislation.gov.uk/ukpga/1981/47</b:URL>
    <b:RefOrder>23</b:RefOrder>
  </b:Source>
  <b:Source>
    <b:Tag>Cro18</b:Tag>
    <b:SourceType>InternetSite</b:SourceType>
    <b:Guid>{74A920C8-3DBE-4A5D-A66F-CA0977A1244D}</b:Guid>
    <b:Author>
      <b:Author>
        <b:NameList>
          <b:Person>
            <b:Last>Service</b:Last>
            <b:First>Crown</b:First>
            <b:Middle>Prosecution</b:Middle>
          </b:Person>
        </b:NameList>
      </b:Author>
    </b:Author>
    <b:Title>Inchoate offences</b:Title>
    <b:Year>2018</b:Year>
    <b:YearAccessed>2020</b:YearAccessed>
    <b:MonthAccessed>Janaury</b:MonthAccessed>
    <b:DayAccessed>16</b:DayAccessed>
    <b:URL>https://www.cps.gov.uk/legal-guidance/inchoate-offences</b:URL>
    <b:RefOrder>24</b:RefOrder>
  </b:Source>
  <b:Source>
    <b:Tag>Bar191</b:Tag>
    <b:SourceType>BookSection</b:SourceType>
    <b:Guid>{C8270034-0916-4E88-9D87-BAFEFC8C5CAF}</b:Guid>
    <b:Title>Policing Public Order, Anti-social Behaviour, and harassment</b:Title>
    <b:Year>2019</b:Year>
    <b:Author>
      <b:Author>
        <b:NameList>
          <b:Person>
            <b:Last>Barry Blackburn</b:Last>
            <b:First>Dr</b:First>
            <b:Middle>Paul Gilbert, Dr Sofia Gracia, Rich Honess, Graham Hooper, Nigel Jones, Kevin Lawton-Barrett, Dr Vincent Leonard, Trish McCormack, Susanna Mitchell, James Nunn, Dr Martin O'Neill, Jane Owens, Mark Robinson, Vince Straine-Francis, Rober</b:Middle>
          </b:Person>
        </b:NameList>
      </b:Author>
      <b:Editor>
        <b:NameList>
          <b:Person>
            <b:Last>Bryant</b:Last>
            <b:First>Professor</b:First>
            <b:Middle>Robyn Bryant and Sarah</b:Middle>
          </b:Person>
        </b:NameList>
      </b:Editor>
    </b:Author>
    <b:BookTitle>Blackstone's hanbook for policing students</b:BookTitle>
    <b:Pages>302-306</b:Pages>
    <b:Publisher>Oxford university press</b:Publisher>
    <b:RefOrder>25</b:RefOrder>
  </b:Source>
  <b:Source>
    <b:Tag>Leg14</b:Tag>
    <b:SourceType>InternetSite</b:SourceType>
    <b:Guid>{297E6B75-2CF8-41F8-917D-380A8D3D1F99}</b:Guid>
    <b:Title>Anti-social Behaviour, Crime and Policing Act 2014</b:Title>
    <b:Year>2014</b:Year>
    <b:Author>
      <b:Author>
        <b:NameList>
          <b:Person>
            <b:Last>Legislation.gov.uk</b:Last>
          </b:Person>
        </b:NameList>
      </b:Author>
    </b:Author>
    <b:YearAccessed>2020</b:YearAccessed>
    <b:MonthAccessed>Janauary</b:MonthAccessed>
    <b:DayAccessed>16</b:DayAccessed>
    <b:URL>https://www.legislation.gov.uk/ukpga/2014/12/part/3/enacted?view=plain</b:URL>
    <b:RefOrder>26</b:RefOrder>
  </b:Source>
</b:Sources>
</file>

<file path=customXml/itemProps1.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473397F-C8A4-475E-A355-A68D1B42C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8410</Words>
  <Characters>44443</Characters>
  <Application>Microsoft Office Word</Application>
  <DocSecurity>0</DocSecurity>
  <Lines>370</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kieron mccaffrey</cp:lastModifiedBy>
  <cp:revision>5</cp:revision>
  <cp:lastPrinted>2019-09-26T14:40:00Z</cp:lastPrinted>
  <dcterms:created xsi:type="dcterms:W3CDTF">2020-01-16T17:06:00Z</dcterms:created>
  <dcterms:modified xsi:type="dcterms:W3CDTF">2020-01-18T13:20:00Z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