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36A4B00">
      <w:pPr>
        <w:spacing w:line="480" w:lineRule="auto"/>
        <w:jc w:val="right"/>
        <w:rPr>
          <w:rFonts w:ascii="Arial" w:hAnsi="Arial" w:cs="Arial"/>
          <w:b/>
          <w:sz w:val="44"/>
          <w:szCs w:val="44"/>
        </w:rPr>
      </w:pPr>
    </w:p>
    <w:p w14:paraId="0FCBFE78">
      <w:pPr>
        <w:jc w:val="right"/>
        <w:rPr>
          <w:rFonts w:ascii="Arial" w:hAnsi="Arial" w:cs="Arial"/>
          <w:b/>
          <w:sz w:val="52"/>
          <w:szCs w:val="48"/>
        </w:rPr>
      </w:pPr>
      <w:r>
        <w:rPr>
          <w:rFonts w:ascii="Arial" w:hAnsi="Arial" w:cs="Arial"/>
          <w:b/>
          <w:sz w:val="52"/>
          <w:szCs w:val="48"/>
        </w:rPr>
        <w:t>A Literature Based Study of Modern Sishu Education in China</w:t>
      </w:r>
    </w:p>
    <w:p w14:paraId="1FEDEF4D">
      <w:pPr>
        <w:spacing w:line="480" w:lineRule="auto"/>
        <w:jc w:val="right"/>
        <w:rPr>
          <w:rFonts w:ascii="Arial" w:hAnsi="Arial" w:cs="Arial"/>
          <w:i/>
        </w:rPr>
      </w:pPr>
    </w:p>
    <w:p w14:paraId="06022F2C">
      <w:pPr>
        <w:spacing w:line="480" w:lineRule="auto"/>
        <w:jc w:val="right"/>
        <w:rPr>
          <w:rFonts w:ascii="Arial" w:hAnsi="Arial" w:cs="Arial"/>
          <w:i/>
        </w:rPr>
      </w:pPr>
    </w:p>
    <w:p w14:paraId="1CD8686E">
      <w:pPr>
        <w:spacing w:line="480" w:lineRule="auto"/>
        <w:jc w:val="right"/>
        <w:rPr>
          <w:rFonts w:ascii="Arial" w:hAnsi="Arial" w:cs="Arial"/>
          <w:i/>
        </w:rPr>
      </w:pPr>
    </w:p>
    <w:p w14:paraId="352AF557">
      <w:pPr>
        <w:spacing w:line="480" w:lineRule="auto"/>
        <w:jc w:val="right"/>
        <w:rPr>
          <w:rFonts w:ascii="Arial" w:hAnsi="Arial" w:cs="Arial"/>
          <w:i/>
        </w:rPr>
      </w:pPr>
    </w:p>
    <w:p w14:paraId="4C12D8FB">
      <w:pPr>
        <w:spacing w:line="480" w:lineRule="auto"/>
        <w:jc w:val="right"/>
        <w:rPr>
          <w:rFonts w:ascii="Arial" w:hAnsi="Arial" w:cs="Arial"/>
          <w:i/>
        </w:rPr>
      </w:pPr>
    </w:p>
    <w:p w14:paraId="0A1AEEE0">
      <w:pPr>
        <w:spacing w:line="480" w:lineRule="auto"/>
        <w:jc w:val="right"/>
        <w:rPr>
          <w:rFonts w:ascii="Arial" w:hAnsi="Arial" w:cs="Arial"/>
          <w:i/>
        </w:rPr>
      </w:pPr>
    </w:p>
    <w:p w14:paraId="464ACB1C">
      <w:pPr>
        <w:spacing w:line="480" w:lineRule="auto"/>
        <w:jc w:val="right"/>
        <w:rPr>
          <w:rFonts w:ascii="Arial" w:hAnsi="Arial" w:cs="Arial"/>
          <w:i/>
        </w:rPr>
      </w:pPr>
    </w:p>
    <w:p w14:paraId="3E5ED2CE">
      <w:pPr>
        <w:spacing w:line="480" w:lineRule="auto"/>
        <w:jc w:val="right"/>
        <w:rPr>
          <w:rFonts w:ascii="Arial" w:hAnsi="Arial" w:cs="Arial"/>
          <w:i/>
        </w:rPr>
      </w:pPr>
    </w:p>
    <w:p w14:paraId="56C9F650">
      <w:pPr>
        <w:jc w:val="right"/>
        <w:rPr>
          <w:rFonts w:ascii="Arial" w:hAnsi="Arial" w:cs="Arial"/>
          <w:b/>
          <w:i/>
          <w:sz w:val="48"/>
          <w:szCs w:val="48"/>
        </w:rPr>
      </w:pPr>
    </w:p>
    <w:p w14:paraId="1CFB2DDC">
      <w:pPr>
        <w:wordWrap w:val="0"/>
        <w:jc w:val="right"/>
        <w:rPr>
          <w:rFonts w:ascii="Arial" w:hAnsi="Arial" w:cs="Arial"/>
          <w:i/>
          <w:sz w:val="48"/>
          <w:szCs w:val="48"/>
        </w:rPr>
      </w:pPr>
      <w:r>
        <w:rPr>
          <w:rFonts w:hint="eastAsia" w:ascii="Arial" w:hAnsi="Arial" w:cs="Arial"/>
          <w:i/>
          <w:sz w:val="48"/>
          <w:szCs w:val="48"/>
        </w:rPr>
        <w:t>Xinyu Wang</w:t>
      </w:r>
    </w:p>
    <w:p w14:paraId="6B1B1FBE">
      <w:pPr>
        <w:spacing w:line="480" w:lineRule="auto"/>
        <w:jc w:val="right"/>
        <w:rPr>
          <w:rFonts w:ascii="Arial" w:hAnsi="Arial" w:cs="Arial"/>
          <w:i/>
        </w:rPr>
      </w:pPr>
    </w:p>
    <w:p w14:paraId="0A9DBF87">
      <w:pPr>
        <w:spacing w:line="480" w:lineRule="auto"/>
        <w:jc w:val="right"/>
        <w:rPr>
          <w:rFonts w:ascii="Arial" w:hAnsi="Arial" w:cs="Arial"/>
          <w:b/>
          <w:i/>
          <w:sz w:val="48"/>
          <w:szCs w:val="48"/>
        </w:rPr>
      </w:pPr>
      <w:r>
        <w:rPr>
          <w:rFonts w:ascii="Arial" w:hAnsi="Arial" w:cs="Arial"/>
          <w:b/>
          <w:i/>
          <w:sz w:val="48"/>
          <w:szCs w:val="48"/>
        </w:rPr>
        <w:t>ECGE7006P</w:t>
      </w:r>
    </w:p>
    <w:p w14:paraId="60C94920">
      <w:pPr>
        <w:spacing w:line="360" w:lineRule="auto"/>
        <w:jc w:val="right"/>
        <w:rPr>
          <w:rFonts w:ascii="Arial" w:hAnsi="Arial" w:cs="Arial"/>
          <w:i/>
        </w:rPr>
      </w:pPr>
    </w:p>
    <w:p w14:paraId="25073B7A">
      <w:pPr>
        <w:spacing w:line="360" w:lineRule="auto"/>
        <w:jc w:val="right"/>
        <w:rPr>
          <w:rFonts w:ascii="Arial" w:hAnsi="Arial" w:cs="Arial"/>
          <w:i/>
          <w:sz w:val="40"/>
          <w:szCs w:val="40"/>
        </w:rPr>
      </w:pPr>
      <w:r>
        <w:rPr>
          <w:rFonts w:ascii="Arial" w:hAnsi="Arial" w:cs="Arial"/>
          <w:i/>
          <w:sz w:val="40"/>
          <w:szCs w:val="40"/>
        </w:rPr>
        <w:t>Yr Athrofa: Education and Humanities</w:t>
      </w:r>
    </w:p>
    <w:p w14:paraId="21816B8C">
      <w:pPr>
        <w:spacing w:line="360" w:lineRule="auto"/>
        <w:jc w:val="right"/>
        <w:rPr>
          <w:rFonts w:ascii="Arial" w:hAnsi="Arial" w:cs="Arial"/>
          <w:i/>
          <w:sz w:val="40"/>
          <w:szCs w:val="40"/>
        </w:rPr>
      </w:pPr>
      <w:r>
        <w:rPr>
          <w:rFonts w:ascii="Arial" w:hAnsi="Arial" w:cs="Arial"/>
          <w:i/>
          <w:sz w:val="40"/>
          <w:szCs w:val="40"/>
        </w:rPr>
        <w:t xml:space="preserve"> </w:t>
      </w:r>
    </w:p>
    <w:p w14:paraId="3D358CDA">
      <w:pPr>
        <w:spacing w:line="360" w:lineRule="auto"/>
        <w:outlineLvl w:val="0"/>
        <w:rPr>
          <w:rFonts w:ascii="Arial" w:hAnsi="Arial" w:cs="Arial"/>
          <w:sz w:val="40"/>
          <w:szCs w:val="40"/>
        </w:rPr>
        <w:sectPr>
          <w:footerReference r:id="rId3" w:type="default"/>
          <w:footerReference r:id="rId4" w:type="even"/>
          <w:pgSz w:w="11906" w:h="16838"/>
          <w:pgMar w:top="1440" w:right="1134" w:bottom="1440" w:left="1701" w:header="709" w:footer="709" w:gutter="0"/>
          <w:cols w:space="720" w:num="1"/>
          <w:docGrid w:linePitch="360" w:charSpace="0"/>
        </w:sectPr>
      </w:pPr>
    </w:p>
    <w:p w14:paraId="293E25F4">
      <w:pPr>
        <w:pStyle w:val="2"/>
      </w:pPr>
      <w:bookmarkStart w:id="0" w:name="_Toc115759254"/>
      <w:bookmarkStart w:id="1" w:name="_Toc25655"/>
      <w:r>
        <w:t>DECLARATION FORM</w:t>
      </w:r>
      <w:bookmarkEnd w:id="0"/>
      <w:bookmarkEnd w:id="1"/>
    </w:p>
    <w:p w14:paraId="5042D3B0">
      <w:pPr>
        <w:ind w:left="3600" w:firstLine="720"/>
        <w:rPr>
          <w:rFonts w:ascii="Arial" w:hAnsi="Arial" w:cs="Arial"/>
          <w:b/>
          <w:bCs/>
          <w:sz w:val="28"/>
          <w:szCs w:val="28"/>
          <w:u w:val="single"/>
        </w:rPr>
      </w:pPr>
    </w:p>
    <w:p w14:paraId="2EBFDCCF">
      <w:pPr>
        <w:rPr>
          <w:rFonts w:ascii="Arial" w:hAnsi="Arial" w:cs="Arial"/>
        </w:rPr>
      </w:pPr>
      <w:r>
        <w:rPr>
          <w:rFonts w:ascii="Arial" w:hAnsi="Arial" w:cs="Arial"/>
        </w:rPr>
        <w:drawing>
          <wp:inline distT="0" distB="0" distL="0" distR="0">
            <wp:extent cx="2857500" cy="1181100"/>
            <wp:effectExtent l="0" t="0" r="0" b="0"/>
            <wp:docPr id="14283107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10742" name="图片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57500" cy="1181100"/>
                    </a:xfrm>
                    <a:prstGeom prst="rect">
                      <a:avLst/>
                    </a:prstGeom>
                    <a:noFill/>
                    <a:ln>
                      <a:noFill/>
                    </a:ln>
                  </pic:spPr>
                </pic:pic>
              </a:graphicData>
            </a:graphic>
          </wp:inline>
        </w:drawing>
      </w:r>
    </w:p>
    <w:p w14:paraId="1186AAD2">
      <w:pPr>
        <w:rPr>
          <w:rFonts w:ascii="Arial" w:hAnsi="Arial" w:cs="Arial"/>
          <w:b/>
          <w:bCs/>
        </w:rPr>
      </w:pPr>
    </w:p>
    <w:p w14:paraId="765407E9">
      <w:pPr>
        <w:rPr>
          <w:rFonts w:ascii="Arial" w:hAnsi="Arial" w:cs="Arial"/>
          <w:b/>
          <w:bCs/>
        </w:rPr>
      </w:pPr>
      <w:r>
        <w:rPr>
          <w:rFonts w:ascii="Arial" w:hAnsi="Arial" w:cs="Arial"/>
          <w:b/>
          <w:bCs/>
        </w:rPr>
        <w:t>Name of the Programme of Study:</w:t>
      </w:r>
      <w:r>
        <w:rPr>
          <w:rFonts w:hint="eastAsia" w:ascii="Arial" w:hAnsi="Arial" w:cs="Arial"/>
          <w:b/>
          <w:bCs/>
        </w:rPr>
        <w:t xml:space="preserve"> </w:t>
      </w:r>
      <w:r>
        <w:rPr>
          <w:rFonts w:ascii="Arial" w:hAnsi="Arial" w:cs="Arial"/>
          <w:b/>
          <w:bCs/>
        </w:rPr>
        <w:t>Master of Arts: Education Studies</w:t>
      </w:r>
    </w:p>
    <w:p w14:paraId="10C07CBE">
      <w:pPr>
        <w:rPr>
          <w:rFonts w:ascii="Arial" w:hAnsi="Arial" w:cs="Arial"/>
          <w:b/>
          <w:bCs/>
        </w:rPr>
      </w:pPr>
    </w:p>
    <w:p w14:paraId="437E4BAE">
      <w:pPr>
        <w:rPr>
          <w:rFonts w:ascii="Arial" w:hAnsi="Arial" w:cs="Arial"/>
          <w:b/>
          <w:bCs/>
        </w:rPr>
      </w:pPr>
      <w:r>
        <w:rPr>
          <w:rFonts w:ascii="Arial" w:hAnsi="Arial" w:cs="Arial"/>
          <w:b/>
          <w:bCs/>
        </w:rPr>
        <w:t xml:space="preserve">Name of Student (Capital Letters): </w:t>
      </w:r>
      <w:r>
        <w:rPr>
          <w:rFonts w:hint="eastAsia" w:ascii="Arial" w:hAnsi="Arial" w:cs="Arial"/>
          <w:b/>
          <w:bCs/>
        </w:rPr>
        <w:t>XINYU WANG</w:t>
      </w:r>
    </w:p>
    <w:p w14:paraId="5F2A3710">
      <w:pPr>
        <w:rPr>
          <w:rFonts w:ascii="Arial" w:hAnsi="Arial" w:cs="Arial"/>
        </w:rPr>
      </w:pPr>
      <w:r>
        <w:rPr>
          <w:rFonts w:ascii="Arial" w:hAnsi="Arial" w:cs="Arial"/>
        </w:rPr>
        <w:t>Master’s Degrees by Examination and Dissertation</w:t>
      </w:r>
    </w:p>
    <w:p w14:paraId="718F4D62">
      <w:pPr>
        <w:rPr>
          <w:rFonts w:ascii="Arial" w:hAnsi="Arial" w:cs="Arial"/>
        </w:rPr>
      </w:pPr>
      <w:r>
        <w:rPr>
          <w:rFonts w:ascii="Arial" w:hAnsi="Arial" w:cs="Arial"/>
        </w:rPr>
        <w:t>Declaration Form.</w:t>
      </w:r>
    </w:p>
    <w:p w14:paraId="21988A03">
      <w:pPr>
        <w:rPr>
          <w:rFonts w:ascii="Arial" w:hAnsi="Arial" w:cs="Arial"/>
        </w:rPr>
      </w:pPr>
    </w:p>
    <w:p w14:paraId="73F34DA8">
      <w:pPr>
        <w:widowControl/>
        <w:numPr>
          <w:ilvl w:val="0"/>
          <w:numId w:val="1"/>
        </w:numPr>
        <w:jc w:val="left"/>
        <w:rPr>
          <w:rFonts w:ascii="Arial" w:hAnsi="Arial" w:cs="Arial"/>
        </w:rPr>
      </w:pPr>
      <w:r>
        <w:rPr>
          <w:rFonts w:ascii="Arial" w:hAnsi="Arial" w:cs="Arial"/>
        </w:rPr>
        <w:t>This work has not previously been accepted in substance for any degree and is not being concurrently submitted in candidature for any degree.</w:t>
      </w:r>
    </w:p>
    <w:p w14:paraId="57F72B8D">
      <w:pPr>
        <w:widowControl/>
        <w:numPr>
          <w:ilvl w:val="1"/>
          <w:numId w:val="1"/>
        </w:numPr>
        <w:jc w:val="left"/>
        <w:rPr>
          <w:rFonts w:ascii="Arial" w:hAnsi="Arial" w:cs="Arial"/>
          <w:lang w:eastAsia="en-GB"/>
        </w:rPr>
      </w:pPr>
      <w:r>
        <w:rPr>
          <w:rFonts w:ascii="Arial" w:hAnsi="Arial" w:cs="Arial"/>
        </w:rPr>
        <w:t>Signed…….…………</w:t>
      </w:r>
      <w:bookmarkStart w:id="2" w:name="_Hlk191954201"/>
      <w:r>
        <w:rPr>
          <w:rFonts w:hint="eastAsia" w:ascii="Arial" w:hAnsi="Arial" w:cs="Arial"/>
        </w:rPr>
        <w:t>Xinyu Wang</w:t>
      </w:r>
      <w:bookmarkEnd w:id="2"/>
      <w:r>
        <w:rPr>
          <w:rFonts w:ascii="Arial" w:hAnsi="Arial" w:cs="Arial"/>
        </w:rPr>
        <w:t>……………………</w:t>
      </w:r>
    </w:p>
    <w:p w14:paraId="404EB470">
      <w:pPr>
        <w:widowControl/>
        <w:numPr>
          <w:ilvl w:val="1"/>
          <w:numId w:val="1"/>
        </w:numPr>
        <w:jc w:val="left"/>
        <w:rPr>
          <w:rFonts w:ascii="Arial" w:hAnsi="Arial" w:cs="Arial"/>
        </w:rPr>
      </w:pPr>
      <w:r>
        <w:rPr>
          <w:rFonts w:ascii="Arial" w:hAnsi="Arial" w:cs="Arial"/>
        </w:rPr>
        <w:t>Date……………………03/03/2025………………………………</w:t>
      </w:r>
    </w:p>
    <w:p w14:paraId="266CFBF7">
      <w:pPr>
        <w:widowControl/>
        <w:numPr>
          <w:ilvl w:val="0"/>
          <w:numId w:val="1"/>
        </w:numPr>
        <w:jc w:val="left"/>
        <w:rPr>
          <w:rFonts w:ascii="Arial" w:hAnsi="Arial" w:cs="Arial"/>
        </w:rPr>
      </w:pPr>
      <w:r>
        <w:rPr>
          <w:rFonts w:ascii="Arial" w:hAnsi="Arial" w:cs="Arial"/>
        </w:rPr>
        <w:t>This dissertation is being submitted in partial fulfilment of the requirements for the degree of …………Master of Arts……….................</w:t>
      </w:r>
    </w:p>
    <w:p w14:paraId="3E0AECF3">
      <w:pPr>
        <w:widowControl/>
        <w:numPr>
          <w:ilvl w:val="1"/>
          <w:numId w:val="1"/>
        </w:numPr>
        <w:jc w:val="left"/>
        <w:rPr>
          <w:rFonts w:ascii="Arial" w:hAnsi="Arial" w:cs="Arial"/>
        </w:rPr>
      </w:pPr>
      <w:r>
        <w:rPr>
          <w:rFonts w:ascii="Arial" w:hAnsi="Arial" w:cs="Arial"/>
        </w:rPr>
        <w:t>Signed ……………</w:t>
      </w:r>
      <w:bookmarkStart w:id="3" w:name="_Hlk191954288"/>
      <w:r>
        <w:rPr>
          <w:rFonts w:ascii="Arial" w:hAnsi="Arial" w:cs="Arial"/>
        </w:rPr>
        <w:t>Xinyu Wang</w:t>
      </w:r>
      <w:bookmarkEnd w:id="3"/>
      <w:r>
        <w:rPr>
          <w:rFonts w:ascii="Arial" w:hAnsi="Arial" w:cs="Arial"/>
        </w:rPr>
        <w:t>…………………………………</w:t>
      </w:r>
    </w:p>
    <w:p w14:paraId="44310549">
      <w:pPr>
        <w:widowControl/>
        <w:numPr>
          <w:ilvl w:val="1"/>
          <w:numId w:val="1"/>
        </w:numPr>
        <w:jc w:val="left"/>
        <w:rPr>
          <w:rFonts w:ascii="Arial" w:hAnsi="Arial" w:cs="Arial"/>
        </w:rPr>
      </w:pPr>
      <w:r>
        <w:rPr>
          <w:rFonts w:ascii="Arial" w:hAnsi="Arial" w:cs="Arial"/>
        </w:rPr>
        <w:t>Date …………………03/03/2025…………………………………...………</w:t>
      </w:r>
    </w:p>
    <w:p w14:paraId="27A4A7A6">
      <w:pPr>
        <w:widowControl/>
        <w:numPr>
          <w:ilvl w:val="0"/>
          <w:numId w:val="1"/>
        </w:numPr>
        <w:jc w:val="left"/>
        <w:rPr>
          <w:rFonts w:ascii="Arial" w:hAnsi="Arial" w:cs="Arial"/>
        </w:rPr>
      </w:pPr>
      <w:r>
        <w:rPr>
          <w:rFonts w:ascii="Arial" w:hAnsi="Arial" w:cs="Arial"/>
        </w:rPr>
        <w:t>This dissertation is the result of my own independent work/investigation, except where otherwise stated. Other sources are acknowledged by footnotes giving explicit references. A reference list is appended.</w:t>
      </w:r>
    </w:p>
    <w:p w14:paraId="72C054E2">
      <w:pPr>
        <w:widowControl/>
        <w:numPr>
          <w:ilvl w:val="1"/>
          <w:numId w:val="1"/>
        </w:numPr>
        <w:jc w:val="left"/>
        <w:rPr>
          <w:rFonts w:ascii="Arial" w:hAnsi="Arial" w:cs="Arial"/>
        </w:rPr>
      </w:pPr>
      <w:r>
        <w:rPr>
          <w:rFonts w:ascii="Arial" w:hAnsi="Arial" w:cs="Arial"/>
        </w:rPr>
        <w:t>Signed candidate: …………Xinyu Wang…………………………</w:t>
      </w:r>
    </w:p>
    <w:p w14:paraId="57854A2D">
      <w:pPr>
        <w:widowControl/>
        <w:numPr>
          <w:ilvl w:val="1"/>
          <w:numId w:val="1"/>
        </w:numPr>
        <w:jc w:val="left"/>
        <w:rPr>
          <w:rFonts w:ascii="Arial" w:hAnsi="Arial" w:cs="Arial"/>
        </w:rPr>
      </w:pPr>
      <w:r>
        <w:rPr>
          <w:rFonts w:ascii="Arial" w:hAnsi="Arial" w:cs="Arial"/>
        </w:rPr>
        <w:t>Date: ……………………03/03/2025……………………………………</w:t>
      </w:r>
    </w:p>
    <w:p w14:paraId="2F7B85BA">
      <w:pPr>
        <w:widowControl/>
        <w:numPr>
          <w:ilvl w:val="0"/>
          <w:numId w:val="1"/>
        </w:numPr>
        <w:jc w:val="left"/>
        <w:rPr>
          <w:rFonts w:ascii="Arial" w:hAnsi="Arial" w:cs="Arial"/>
        </w:rPr>
      </w:pPr>
      <w:r>
        <w:rPr>
          <w:rFonts w:ascii="Arial" w:hAnsi="Arial" w:cs="Arial"/>
        </w:rPr>
        <w:t xml:space="preserve">I hereby give consent for my dissertation, if accepted, to be available for photocopying, inter- library loan, and for deposit in the University’s digital repository </w:t>
      </w:r>
    </w:p>
    <w:p w14:paraId="30C60132">
      <w:pPr>
        <w:widowControl/>
        <w:numPr>
          <w:ilvl w:val="1"/>
          <w:numId w:val="1"/>
        </w:numPr>
        <w:jc w:val="left"/>
        <w:rPr>
          <w:rFonts w:ascii="Arial" w:hAnsi="Arial" w:cs="Arial"/>
        </w:rPr>
      </w:pPr>
      <w:r>
        <w:rPr>
          <w:rFonts w:ascii="Arial" w:hAnsi="Arial" w:cs="Arial"/>
        </w:rPr>
        <w:t>Signed (candidate)…………Xinyu Wang……….………….………</w:t>
      </w:r>
    </w:p>
    <w:p w14:paraId="37289FB9">
      <w:pPr>
        <w:widowControl/>
        <w:numPr>
          <w:ilvl w:val="1"/>
          <w:numId w:val="1"/>
        </w:numPr>
        <w:jc w:val="left"/>
        <w:rPr>
          <w:rFonts w:ascii="Arial" w:hAnsi="Arial" w:cs="Arial"/>
        </w:rPr>
      </w:pPr>
      <w:r>
        <w:rPr>
          <w:rFonts w:ascii="Arial" w:hAnsi="Arial" w:cs="Arial"/>
        </w:rPr>
        <w:t>Date……………03/03/2025……………………….…………….</w:t>
      </w:r>
    </w:p>
    <w:p w14:paraId="2C845DC4">
      <w:pPr>
        <w:ind w:left="426"/>
        <w:rPr>
          <w:rFonts w:ascii="Arial" w:hAnsi="Arial" w:cs="Arial"/>
        </w:rPr>
      </w:pPr>
      <w:r>
        <w:rPr>
          <w:rFonts w:ascii="Arial" w:hAnsi="Arial" w:cs="Arial"/>
        </w:rPr>
        <w:t>5. Supervisor’s Declaration.</w:t>
      </w:r>
    </w:p>
    <w:p w14:paraId="6D0DEEB5">
      <w:pPr>
        <w:ind w:left="1080"/>
        <w:rPr>
          <w:rFonts w:ascii="Arial" w:hAnsi="Arial" w:cs="Arial"/>
        </w:rPr>
      </w:pPr>
      <w:r>
        <w:rPr>
          <w:rFonts w:ascii="Arial" w:hAnsi="Arial" w:cs="Arial"/>
        </w:rPr>
        <w:t>I am satisfied that this work is the result of the student’s own efforts.</w:t>
      </w:r>
    </w:p>
    <w:p w14:paraId="4A8B9309">
      <w:pPr>
        <w:widowControl/>
        <w:numPr>
          <w:ilvl w:val="1"/>
          <w:numId w:val="2"/>
        </w:numPr>
        <w:jc w:val="left"/>
        <w:rPr>
          <w:rFonts w:ascii="Arial" w:hAnsi="Arial" w:cs="Arial"/>
        </w:rPr>
      </w:pPr>
      <w:r>
        <w:rPr>
          <w:rFonts w:ascii="Arial" w:hAnsi="Arial" w:cs="Arial"/>
        </w:rPr>
        <w:t>Signed:</w:t>
      </w:r>
      <w:r>
        <w:rPr>
          <w:rFonts w:hint="eastAsia" w:ascii="Arial" w:hAnsi="Arial" w:cs="Arial"/>
        </w:rPr>
        <w:t xml:space="preserve"> Yiying Jiao</w:t>
      </w:r>
    </w:p>
    <w:p w14:paraId="67948EB8">
      <w:pPr>
        <w:widowControl/>
        <w:numPr>
          <w:ilvl w:val="1"/>
          <w:numId w:val="2"/>
        </w:numPr>
        <w:jc w:val="left"/>
        <w:rPr>
          <w:rFonts w:ascii="Arial" w:hAnsi="Arial" w:cs="Arial"/>
        </w:rPr>
      </w:pPr>
      <w:r>
        <w:rPr>
          <w:rFonts w:ascii="Arial" w:hAnsi="Arial" w:cs="Arial"/>
        </w:rPr>
        <w:t>Date:</w:t>
      </w:r>
      <w:r>
        <w:rPr>
          <w:rFonts w:hint="eastAsia" w:ascii="Arial" w:hAnsi="Arial" w:cs="Arial"/>
        </w:rPr>
        <w:t xml:space="preserve"> </w:t>
      </w:r>
      <w:bookmarkStart w:id="4" w:name="_Hlk191954364"/>
      <w:r>
        <w:rPr>
          <w:rFonts w:hint="eastAsia" w:ascii="Arial" w:hAnsi="Arial" w:cs="Arial"/>
        </w:rPr>
        <w:t>03/03/2025</w:t>
      </w:r>
      <w:bookmarkEnd w:id="4"/>
    </w:p>
    <w:p w14:paraId="49340980">
      <w:pPr>
        <w:rPr>
          <w:rFonts w:ascii="Arial" w:hAnsi="Arial" w:cs="Arial"/>
        </w:rPr>
      </w:pPr>
    </w:p>
    <w:p w14:paraId="6C5D597A">
      <w:pPr>
        <w:spacing w:line="360" w:lineRule="auto"/>
        <w:rPr>
          <w:rFonts w:ascii="Times New Roman" w:hAnsi="Times New Roman"/>
          <w:b/>
          <w:bCs/>
          <w:color w:val="000000" w:themeColor="text1"/>
          <w:sz w:val="32"/>
          <w:szCs w:val="32"/>
          <w14:textFill>
            <w14:solidFill>
              <w14:schemeClr w14:val="tx1"/>
            </w14:solidFill>
          </w14:textFill>
        </w:rPr>
      </w:pPr>
    </w:p>
    <w:p w14:paraId="543E7F53">
      <w:pPr>
        <w:spacing w:line="360" w:lineRule="auto"/>
        <w:rPr>
          <w:rFonts w:ascii="Times New Roman" w:hAnsi="Times New Roman"/>
          <w:b/>
          <w:bCs/>
          <w:color w:val="000000" w:themeColor="text1"/>
          <w:sz w:val="32"/>
          <w:szCs w:val="32"/>
          <w14:textFill>
            <w14:solidFill>
              <w14:schemeClr w14:val="tx1"/>
            </w14:solidFill>
          </w14:textFill>
        </w:rPr>
      </w:pPr>
    </w:p>
    <w:sdt>
      <w:sdtPr>
        <w:rPr>
          <w:rFonts w:ascii="Calibri" w:hAnsi="Calibri"/>
          <w:b w:val="0"/>
          <w:kern w:val="2"/>
          <w:sz w:val="21"/>
        </w:rPr>
        <w:id w:val="147474091"/>
        <w15:color w:val="DBDBDB"/>
        <w:docPartObj>
          <w:docPartGallery w:val="Table of Contents"/>
          <w:docPartUnique/>
        </w:docPartObj>
      </w:sdtPr>
      <w:sdtEndPr>
        <w:rPr>
          <w:rFonts w:ascii="Times New Roman" w:hAnsi="Times New Roman"/>
          <w:b w:val="0"/>
          <w:kern w:val="2"/>
          <w:sz w:val="32"/>
          <w:szCs w:val="32"/>
        </w:rPr>
      </w:sdtEndPr>
      <w:sdtContent>
        <w:p w14:paraId="7CA78377">
          <w:pPr>
            <w:pStyle w:val="2"/>
          </w:pPr>
          <w:bookmarkStart w:id="5" w:name="_Toc11067"/>
          <w:r>
            <w:t>CONTENTS</w:t>
          </w:r>
          <w:bookmarkEnd w:id="5"/>
        </w:p>
        <w:p w14:paraId="416B7726">
          <w:pPr>
            <w:jc w:val="left"/>
            <w:rPr>
              <w:rFonts w:ascii="Times New Roman" w:hAnsi="Times New Roman"/>
              <w:sz w:val="24"/>
              <w:szCs w:val="24"/>
            </w:rPr>
          </w:pPr>
        </w:p>
        <w:p w14:paraId="52C6BDA7">
          <w:pPr>
            <w:pStyle w:val="9"/>
            <w:tabs>
              <w:tab w:val="right" w:leader="dot" w:pos="9026"/>
            </w:tabs>
            <w:rPr>
              <w:rFonts w:ascii="Times New Roman" w:hAnsi="Times New Roman"/>
              <w:sz w:val="24"/>
              <w:szCs w:val="24"/>
            </w:rPr>
          </w:pPr>
          <w:r>
            <w:rPr>
              <w:rFonts w:ascii="Times New Roman" w:hAnsi="Times New Roman"/>
              <w:sz w:val="24"/>
              <w:szCs w:val="24"/>
            </w:rPr>
            <w:fldChar w:fldCharType="begin"/>
          </w:r>
          <w:r>
            <w:rPr>
              <w:rFonts w:ascii="Times New Roman" w:hAnsi="Times New Roman"/>
              <w:sz w:val="24"/>
              <w:szCs w:val="24"/>
            </w:rPr>
            <w:instrText xml:space="preserve">TOC \o "1-3" \h \u </w:instrText>
          </w:r>
          <w:r>
            <w:rPr>
              <w:rFonts w:ascii="Times New Roman" w:hAnsi="Times New Roman"/>
              <w:sz w:val="24"/>
              <w:szCs w:val="24"/>
            </w:rPr>
            <w:fldChar w:fldCharType="separate"/>
          </w:r>
          <w:r>
            <w:fldChar w:fldCharType="begin"/>
          </w:r>
          <w:r>
            <w:instrText xml:space="preserve"> HYPERLINK \l "_Toc25655" </w:instrText>
          </w:r>
          <w:r>
            <w:fldChar w:fldCharType="separate"/>
          </w:r>
          <w:r>
            <w:rPr>
              <w:rFonts w:ascii="Times New Roman" w:hAnsi="Times New Roman"/>
              <w:sz w:val="24"/>
              <w:szCs w:val="24"/>
            </w:rPr>
            <w:t>DECLARATION FORM</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_Toc25655 \h </w:instrText>
          </w:r>
          <w:r>
            <w:rPr>
              <w:rFonts w:ascii="Times New Roman" w:hAnsi="Times New Roman"/>
              <w:sz w:val="24"/>
              <w:szCs w:val="24"/>
            </w:rPr>
            <w:fldChar w:fldCharType="separate"/>
          </w:r>
          <w:r>
            <w:rPr>
              <w:rFonts w:ascii="Times New Roman" w:hAnsi="Times New Roman"/>
              <w:sz w:val="24"/>
              <w:szCs w:val="24"/>
            </w:rPr>
            <w:t>2</w:t>
          </w:r>
          <w:r>
            <w:rPr>
              <w:rFonts w:ascii="Times New Roman" w:hAnsi="Times New Roman"/>
              <w:sz w:val="24"/>
              <w:szCs w:val="24"/>
            </w:rPr>
            <w:fldChar w:fldCharType="end"/>
          </w:r>
          <w:r>
            <w:rPr>
              <w:rFonts w:ascii="Times New Roman" w:hAnsi="Times New Roman"/>
              <w:sz w:val="24"/>
              <w:szCs w:val="24"/>
            </w:rPr>
            <w:fldChar w:fldCharType="end"/>
          </w:r>
        </w:p>
        <w:p w14:paraId="2D668922">
          <w:pPr>
            <w:pStyle w:val="9"/>
            <w:tabs>
              <w:tab w:val="right" w:leader="dot" w:pos="9026"/>
            </w:tabs>
            <w:rPr>
              <w:rFonts w:ascii="Times New Roman" w:hAnsi="Times New Roman"/>
              <w:sz w:val="24"/>
              <w:szCs w:val="24"/>
            </w:rPr>
          </w:pPr>
          <w:r>
            <w:fldChar w:fldCharType="begin"/>
          </w:r>
          <w:r>
            <w:instrText xml:space="preserve"> HYPERLINK \l "_Toc11067" </w:instrText>
          </w:r>
          <w:r>
            <w:fldChar w:fldCharType="separate"/>
          </w:r>
          <w:r>
            <w:rPr>
              <w:rFonts w:ascii="Times New Roman" w:hAnsi="Times New Roman"/>
              <w:sz w:val="24"/>
              <w:szCs w:val="24"/>
            </w:rPr>
            <w:t>CONTENTS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_Toc11067 \h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r>
            <w:rPr>
              <w:rFonts w:ascii="Times New Roman" w:hAnsi="Times New Roman"/>
              <w:sz w:val="24"/>
              <w:szCs w:val="24"/>
            </w:rPr>
            <w:fldChar w:fldCharType="end"/>
          </w:r>
        </w:p>
        <w:p w14:paraId="51A7B28B">
          <w:pPr>
            <w:pStyle w:val="9"/>
            <w:tabs>
              <w:tab w:val="right" w:leader="dot" w:pos="9026"/>
            </w:tabs>
            <w:rPr>
              <w:rFonts w:ascii="Times New Roman" w:hAnsi="Times New Roman"/>
              <w:sz w:val="24"/>
              <w:szCs w:val="24"/>
            </w:rPr>
          </w:pPr>
          <w:r>
            <w:fldChar w:fldCharType="begin"/>
          </w:r>
          <w:r>
            <w:instrText xml:space="preserve"> HYPERLINK \l "_Toc24157" </w:instrText>
          </w:r>
          <w:r>
            <w:fldChar w:fldCharType="separate"/>
          </w:r>
          <w:r>
            <w:rPr>
              <w:rFonts w:ascii="Times New Roman" w:hAnsi="Times New Roman"/>
              <w:sz w:val="24"/>
              <w:szCs w:val="24"/>
            </w:rPr>
            <w:t>ACKNOWLEDGEMENTS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_Toc24157 \h </w:instrText>
          </w:r>
          <w:r>
            <w:rPr>
              <w:rFonts w:ascii="Times New Roman" w:hAnsi="Times New Roman"/>
              <w:sz w:val="24"/>
              <w:szCs w:val="24"/>
            </w:rPr>
            <w:fldChar w:fldCharType="separate"/>
          </w:r>
          <w:r>
            <w:rPr>
              <w:rFonts w:ascii="Times New Roman" w:hAnsi="Times New Roman"/>
              <w:sz w:val="24"/>
              <w:szCs w:val="24"/>
            </w:rPr>
            <w:t>4</w:t>
          </w:r>
          <w:r>
            <w:rPr>
              <w:rFonts w:ascii="Times New Roman" w:hAnsi="Times New Roman"/>
              <w:sz w:val="24"/>
              <w:szCs w:val="24"/>
            </w:rPr>
            <w:fldChar w:fldCharType="end"/>
          </w:r>
          <w:r>
            <w:rPr>
              <w:rFonts w:ascii="Times New Roman" w:hAnsi="Times New Roman"/>
              <w:sz w:val="24"/>
              <w:szCs w:val="24"/>
            </w:rPr>
            <w:fldChar w:fldCharType="end"/>
          </w:r>
        </w:p>
        <w:p w14:paraId="29796C7E">
          <w:pPr>
            <w:pStyle w:val="9"/>
            <w:tabs>
              <w:tab w:val="right" w:leader="dot" w:pos="9026"/>
            </w:tabs>
            <w:rPr>
              <w:rFonts w:ascii="Times New Roman" w:hAnsi="Times New Roman"/>
              <w:sz w:val="24"/>
              <w:szCs w:val="24"/>
            </w:rPr>
          </w:pPr>
          <w:r>
            <w:fldChar w:fldCharType="begin"/>
          </w:r>
          <w:r>
            <w:instrText xml:space="preserve"> HYPERLINK \l "_Toc29724" </w:instrText>
          </w:r>
          <w:r>
            <w:fldChar w:fldCharType="separate"/>
          </w:r>
          <w:r>
            <w:rPr>
              <w:rFonts w:ascii="Times New Roman" w:hAnsi="Times New Roman"/>
              <w:sz w:val="24"/>
              <w:szCs w:val="24"/>
            </w:rPr>
            <w:t>ABSTRACT</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_Toc29724 \h </w:instrText>
          </w:r>
          <w:r>
            <w:rPr>
              <w:rFonts w:ascii="Times New Roman" w:hAnsi="Times New Roman"/>
              <w:sz w:val="24"/>
              <w:szCs w:val="24"/>
            </w:rPr>
            <w:fldChar w:fldCharType="separate"/>
          </w:r>
          <w:r>
            <w:rPr>
              <w:rFonts w:ascii="Times New Roman" w:hAnsi="Times New Roman"/>
              <w:sz w:val="24"/>
              <w:szCs w:val="24"/>
            </w:rPr>
            <w:t>5</w:t>
          </w:r>
          <w:r>
            <w:rPr>
              <w:rFonts w:ascii="Times New Roman" w:hAnsi="Times New Roman"/>
              <w:sz w:val="24"/>
              <w:szCs w:val="24"/>
            </w:rPr>
            <w:fldChar w:fldCharType="end"/>
          </w:r>
          <w:r>
            <w:rPr>
              <w:rFonts w:ascii="Times New Roman" w:hAnsi="Times New Roman"/>
              <w:sz w:val="24"/>
              <w:szCs w:val="24"/>
            </w:rPr>
            <w:fldChar w:fldCharType="end"/>
          </w:r>
        </w:p>
        <w:p w14:paraId="3243EA20">
          <w:pPr>
            <w:pStyle w:val="9"/>
            <w:tabs>
              <w:tab w:val="right" w:leader="dot" w:pos="9026"/>
            </w:tabs>
            <w:rPr>
              <w:rFonts w:ascii="Times New Roman" w:hAnsi="Times New Roman"/>
              <w:sz w:val="24"/>
              <w:szCs w:val="24"/>
            </w:rPr>
          </w:pPr>
          <w:r>
            <w:fldChar w:fldCharType="begin"/>
          </w:r>
          <w:r>
            <w:instrText xml:space="preserve"> HYPERLINK \l "_Toc3679" </w:instrText>
          </w:r>
          <w:r>
            <w:fldChar w:fldCharType="separate"/>
          </w:r>
          <w:r>
            <w:rPr>
              <w:rFonts w:ascii="Times New Roman" w:hAnsi="Times New Roman"/>
              <w:sz w:val="24"/>
              <w:szCs w:val="24"/>
            </w:rPr>
            <w:t>1. INTRODUCTION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_Toc3679 \h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r>
            <w:rPr>
              <w:rFonts w:ascii="Times New Roman" w:hAnsi="Times New Roman"/>
              <w:sz w:val="24"/>
              <w:szCs w:val="24"/>
            </w:rPr>
            <w:fldChar w:fldCharType="end"/>
          </w:r>
        </w:p>
        <w:p w14:paraId="7279AAFC">
          <w:pPr>
            <w:pStyle w:val="9"/>
            <w:tabs>
              <w:tab w:val="right" w:leader="dot" w:pos="9026"/>
            </w:tabs>
            <w:rPr>
              <w:rFonts w:ascii="Times New Roman" w:hAnsi="Times New Roman"/>
              <w:sz w:val="24"/>
              <w:szCs w:val="24"/>
            </w:rPr>
          </w:pPr>
          <w:r>
            <w:fldChar w:fldCharType="begin"/>
          </w:r>
          <w:r>
            <w:instrText xml:space="preserve"> HYPERLINK \l "_Toc12871" </w:instrText>
          </w:r>
          <w:r>
            <w:fldChar w:fldCharType="separate"/>
          </w:r>
          <w:r>
            <w:rPr>
              <w:rFonts w:ascii="Times New Roman" w:hAnsi="Times New Roman"/>
              <w:sz w:val="24"/>
              <w:szCs w:val="24"/>
            </w:rPr>
            <w:t>2. METHODOLOGY</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_Toc12871 \h </w:instrText>
          </w:r>
          <w:r>
            <w:rPr>
              <w:rFonts w:ascii="Times New Roman" w:hAnsi="Times New Roman"/>
              <w:sz w:val="24"/>
              <w:szCs w:val="24"/>
            </w:rPr>
            <w:fldChar w:fldCharType="separate"/>
          </w:r>
          <w:r>
            <w:rPr>
              <w:rFonts w:ascii="Times New Roman" w:hAnsi="Times New Roman"/>
              <w:sz w:val="24"/>
              <w:szCs w:val="24"/>
            </w:rPr>
            <w:t>9</w:t>
          </w:r>
          <w:r>
            <w:rPr>
              <w:rFonts w:ascii="Times New Roman" w:hAnsi="Times New Roman"/>
              <w:sz w:val="24"/>
              <w:szCs w:val="24"/>
            </w:rPr>
            <w:fldChar w:fldCharType="end"/>
          </w:r>
          <w:r>
            <w:rPr>
              <w:rFonts w:ascii="Times New Roman" w:hAnsi="Times New Roman"/>
              <w:sz w:val="24"/>
              <w:szCs w:val="24"/>
            </w:rPr>
            <w:fldChar w:fldCharType="end"/>
          </w:r>
        </w:p>
        <w:p w14:paraId="40A16BD3">
          <w:pPr>
            <w:pStyle w:val="10"/>
            <w:tabs>
              <w:tab w:val="right" w:leader="dot" w:pos="9026"/>
            </w:tabs>
            <w:rPr>
              <w:rFonts w:ascii="Times New Roman" w:hAnsi="Times New Roman"/>
              <w:sz w:val="24"/>
              <w:szCs w:val="24"/>
            </w:rPr>
          </w:pPr>
          <w:r>
            <w:fldChar w:fldCharType="begin"/>
          </w:r>
          <w:r>
            <w:instrText xml:space="preserve"> HYPERLINK \l "_Toc7913" </w:instrText>
          </w:r>
          <w:r>
            <w:fldChar w:fldCharType="separate"/>
          </w:r>
          <w:r>
            <w:rPr>
              <w:rFonts w:ascii="Times New Roman" w:hAnsi="Times New Roman"/>
              <w:sz w:val="24"/>
              <w:szCs w:val="24"/>
            </w:rPr>
            <w:t>2.1. Database</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_Toc7913 \h </w:instrText>
          </w:r>
          <w:r>
            <w:rPr>
              <w:rFonts w:ascii="Times New Roman" w:hAnsi="Times New Roman"/>
              <w:sz w:val="24"/>
              <w:szCs w:val="24"/>
            </w:rPr>
            <w:fldChar w:fldCharType="separate"/>
          </w:r>
          <w:r>
            <w:rPr>
              <w:rFonts w:ascii="Times New Roman" w:hAnsi="Times New Roman"/>
              <w:sz w:val="24"/>
              <w:szCs w:val="24"/>
            </w:rPr>
            <w:t>10</w:t>
          </w:r>
          <w:r>
            <w:rPr>
              <w:rFonts w:ascii="Times New Roman" w:hAnsi="Times New Roman"/>
              <w:sz w:val="24"/>
              <w:szCs w:val="24"/>
            </w:rPr>
            <w:fldChar w:fldCharType="end"/>
          </w:r>
          <w:r>
            <w:rPr>
              <w:rFonts w:ascii="Times New Roman" w:hAnsi="Times New Roman"/>
              <w:sz w:val="24"/>
              <w:szCs w:val="24"/>
            </w:rPr>
            <w:fldChar w:fldCharType="end"/>
          </w:r>
        </w:p>
        <w:p w14:paraId="0BB2553F">
          <w:pPr>
            <w:pStyle w:val="10"/>
            <w:tabs>
              <w:tab w:val="right" w:leader="dot" w:pos="9026"/>
            </w:tabs>
            <w:rPr>
              <w:rFonts w:ascii="Times New Roman" w:hAnsi="Times New Roman"/>
              <w:sz w:val="24"/>
              <w:szCs w:val="24"/>
            </w:rPr>
          </w:pPr>
          <w:r>
            <w:fldChar w:fldCharType="begin"/>
          </w:r>
          <w:r>
            <w:instrText xml:space="preserve"> HYPERLINK \l "_Toc32416" </w:instrText>
          </w:r>
          <w:r>
            <w:fldChar w:fldCharType="separate"/>
          </w:r>
          <w:r>
            <w:rPr>
              <w:rFonts w:ascii="Times New Roman" w:hAnsi="Times New Roman"/>
              <w:sz w:val="24"/>
              <w:szCs w:val="24"/>
            </w:rPr>
            <w:t>2.2. Inclusion and Exclusion Criteria</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_Toc32416 \h </w:instrText>
          </w:r>
          <w:r>
            <w:rPr>
              <w:rFonts w:ascii="Times New Roman" w:hAnsi="Times New Roman"/>
              <w:sz w:val="24"/>
              <w:szCs w:val="24"/>
            </w:rPr>
            <w:fldChar w:fldCharType="separate"/>
          </w:r>
          <w:r>
            <w:rPr>
              <w:rFonts w:ascii="Times New Roman" w:hAnsi="Times New Roman"/>
              <w:sz w:val="24"/>
              <w:szCs w:val="24"/>
            </w:rPr>
            <w:t>12</w:t>
          </w:r>
          <w:r>
            <w:rPr>
              <w:rFonts w:ascii="Times New Roman" w:hAnsi="Times New Roman"/>
              <w:sz w:val="24"/>
              <w:szCs w:val="24"/>
            </w:rPr>
            <w:fldChar w:fldCharType="end"/>
          </w:r>
          <w:r>
            <w:rPr>
              <w:rFonts w:ascii="Times New Roman" w:hAnsi="Times New Roman"/>
              <w:sz w:val="24"/>
              <w:szCs w:val="24"/>
            </w:rPr>
            <w:fldChar w:fldCharType="end"/>
          </w:r>
        </w:p>
        <w:p w14:paraId="537D1253">
          <w:pPr>
            <w:pStyle w:val="10"/>
            <w:tabs>
              <w:tab w:val="right" w:leader="dot" w:pos="9026"/>
            </w:tabs>
            <w:rPr>
              <w:rFonts w:ascii="Times New Roman" w:hAnsi="Times New Roman"/>
              <w:sz w:val="24"/>
              <w:szCs w:val="24"/>
            </w:rPr>
          </w:pPr>
          <w:r>
            <w:fldChar w:fldCharType="begin"/>
          </w:r>
          <w:r>
            <w:instrText xml:space="preserve"> HYPERLINK \l "_Toc8855" </w:instrText>
          </w:r>
          <w:r>
            <w:fldChar w:fldCharType="separate"/>
          </w:r>
          <w:r>
            <w:rPr>
              <w:rFonts w:ascii="Times New Roman" w:hAnsi="Times New Roman"/>
              <w:sz w:val="24"/>
              <w:szCs w:val="24"/>
            </w:rPr>
            <w:t>2.3. Inclusion Criteria</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_Toc8855 \h </w:instrText>
          </w:r>
          <w:r>
            <w:rPr>
              <w:rFonts w:ascii="Times New Roman" w:hAnsi="Times New Roman"/>
              <w:sz w:val="24"/>
              <w:szCs w:val="24"/>
            </w:rPr>
            <w:fldChar w:fldCharType="separate"/>
          </w:r>
          <w:r>
            <w:rPr>
              <w:rFonts w:ascii="Times New Roman" w:hAnsi="Times New Roman"/>
              <w:sz w:val="24"/>
              <w:szCs w:val="24"/>
            </w:rPr>
            <w:t>13</w:t>
          </w:r>
          <w:r>
            <w:rPr>
              <w:rFonts w:ascii="Times New Roman" w:hAnsi="Times New Roman"/>
              <w:sz w:val="24"/>
              <w:szCs w:val="24"/>
            </w:rPr>
            <w:fldChar w:fldCharType="end"/>
          </w:r>
          <w:r>
            <w:rPr>
              <w:rFonts w:ascii="Times New Roman" w:hAnsi="Times New Roman"/>
              <w:sz w:val="24"/>
              <w:szCs w:val="24"/>
            </w:rPr>
            <w:fldChar w:fldCharType="end"/>
          </w:r>
        </w:p>
        <w:p w14:paraId="0034DC16">
          <w:pPr>
            <w:pStyle w:val="10"/>
            <w:tabs>
              <w:tab w:val="right" w:leader="dot" w:pos="9026"/>
            </w:tabs>
            <w:rPr>
              <w:rFonts w:ascii="Times New Roman" w:hAnsi="Times New Roman"/>
              <w:sz w:val="24"/>
              <w:szCs w:val="24"/>
            </w:rPr>
          </w:pPr>
          <w:r>
            <w:fldChar w:fldCharType="begin"/>
          </w:r>
          <w:r>
            <w:instrText xml:space="preserve"> HYPERLINK \l "_Toc4495" </w:instrText>
          </w:r>
          <w:r>
            <w:fldChar w:fldCharType="separate"/>
          </w:r>
          <w:r>
            <w:rPr>
              <w:rFonts w:ascii="Times New Roman" w:hAnsi="Times New Roman"/>
              <w:sz w:val="24"/>
              <w:szCs w:val="24"/>
            </w:rPr>
            <w:t>2.4. Exclusion Criteria</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_Toc4495 \h </w:instrText>
          </w:r>
          <w:r>
            <w:rPr>
              <w:rFonts w:ascii="Times New Roman" w:hAnsi="Times New Roman"/>
              <w:sz w:val="24"/>
              <w:szCs w:val="24"/>
            </w:rPr>
            <w:fldChar w:fldCharType="separate"/>
          </w:r>
          <w:r>
            <w:rPr>
              <w:rFonts w:ascii="Times New Roman" w:hAnsi="Times New Roman"/>
              <w:sz w:val="24"/>
              <w:szCs w:val="24"/>
            </w:rPr>
            <w:t>15</w:t>
          </w:r>
          <w:r>
            <w:rPr>
              <w:rFonts w:ascii="Times New Roman" w:hAnsi="Times New Roman"/>
              <w:sz w:val="24"/>
              <w:szCs w:val="24"/>
            </w:rPr>
            <w:fldChar w:fldCharType="end"/>
          </w:r>
          <w:r>
            <w:rPr>
              <w:rFonts w:ascii="Times New Roman" w:hAnsi="Times New Roman"/>
              <w:sz w:val="24"/>
              <w:szCs w:val="24"/>
            </w:rPr>
            <w:fldChar w:fldCharType="end"/>
          </w:r>
        </w:p>
        <w:p w14:paraId="06EBFAFB">
          <w:pPr>
            <w:pStyle w:val="10"/>
            <w:tabs>
              <w:tab w:val="right" w:leader="dot" w:pos="9026"/>
            </w:tabs>
            <w:rPr>
              <w:rFonts w:ascii="Times New Roman" w:hAnsi="Times New Roman"/>
              <w:sz w:val="24"/>
              <w:szCs w:val="24"/>
            </w:rPr>
          </w:pPr>
          <w:r>
            <w:fldChar w:fldCharType="begin"/>
          </w:r>
          <w:r>
            <w:instrText xml:space="preserve"> HYPERLINK \l "_Toc1918" </w:instrText>
          </w:r>
          <w:r>
            <w:fldChar w:fldCharType="separate"/>
          </w:r>
          <w:r>
            <w:rPr>
              <w:rFonts w:ascii="Times New Roman" w:hAnsi="Times New Roman"/>
              <w:sz w:val="24"/>
              <w:szCs w:val="24"/>
            </w:rPr>
            <w:t>2.5. Procedures to Analyse Sources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_Toc1918 \h </w:instrText>
          </w:r>
          <w:r>
            <w:rPr>
              <w:rFonts w:ascii="Times New Roman" w:hAnsi="Times New Roman"/>
              <w:sz w:val="24"/>
              <w:szCs w:val="24"/>
            </w:rPr>
            <w:fldChar w:fldCharType="separate"/>
          </w:r>
          <w:r>
            <w:rPr>
              <w:rFonts w:ascii="Times New Roman" w:hAnsi="Times New Roman"/>
              <w:sz w:val="24"/>
              <w:szCs w:val="24"/>
            </w:rPr>
            <w:t>16</w:t>
          </w:r>
          <w:r>
            <w:rPr>
              <w:rFonts w:ascii="Times New Roman" w:hAnsi="Times New Roman"/>
              <w:sz w:val="24"/>
              <w:szCs w:val="24"/>
            </w:rPr>
            <w:fldChar w:fldCharType="end"/>
          </w:r>
          <w:r>
            <w:rPr>
              <w:rFonts w:ascii="Times New Roman" w:hAnsi="Times New Roman"/>
              <w:sz w:val="24"/>
              <w:szCs w:val="24"/>
            </w:rPr>
            <w:fldChar w:fldCharType="end"/>
          </w:r>
        </w:p>
        <w:p w14:paraId="26083180">
          <w:pPr>
            <w:pStyle w:val="9"/>
            <w:tabs>
              <w:tab w:val="right" w:leader="dot" w:pos="9026"/>
            </w:tabs>
            <w:rPr>
              <w:rFonts w:ascii="Times New Roman" w:hAnsi="Times New Roman"/>
              <w:sz w:val="24"/>
              <w:szCs w:val="24"/>
            </w:rPr>
          </w:pPr>
          <w:r>
            <w:fldChar w:fldCharType="begin"/>
          </w:r>
          <w:r>
            <w:instrText xml:space="preserve"> HYPERLINK \l "_Toc8927" </w:instrText>
          </w:r>
          <w:r>
            <w:fldChar w:fldCharType="separate"/>
          </w:r>
          <w:r>
            <w:rPr>
              <w:rFonts w:ascii="Times New Roman" w:hAnsi="Times New Roman"/>
              <w:sz w:val="24"/>
              <w:szCs w:val="24"/>
            </w:rPr>
            <w:t>3. LITERATURE REVIEW</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_Toc8927 \h </w:instrText>
          </w:r>
          <w:r>
            <w:rPr>
              <w:rFonts w:ascii="Times New Roman" w:hAnsi="Times New Roman"/>
              <w:sz w:val="24"/>
              <w:szCs w:val="24"/>
            </w:rPr>
            <w:fldChar w:fldCharType="separate"/>
          </w:r>
          <w:r>
            <w:rPr>
              <w:rFonts w:ascii="Times New Roman" w:hAnsi="Times New Roman"/>
              <w:sz w:val="24"/>
              <w:szCs w:val="24"/>
            </w:rPr>
            <w:t>17</w:t>
          </w:r>
          <w:r>
            <w:rPr>
              <w:rFonts w:ascii="Times New Roman" w:hAnsi="Times New Roman"/>
              <w:sz w:val="24"/>
              <w:szCs w:val="24"/>
            </w:rPr>
            <w:fldChar w:fldCharType="end"/>
          </w:r>
          <w:r>
            <w:rPr>
              <w:rFonts w:ascii="Times New Roman" w:hAnsi="Times New Roman"/>
              <w:sz w:val="24"/>
              <w:szCs w:val="24"/>
            </w:rPr>
            <w:fldChar w:fldCharType="end"/>
          </w:r>
        </w:p>
        <w:p w14:paraId="235FB3D7">
          <w:pPr>
            <w:pStyle w:val="10"/>
            <w:tabs>
              <w:tab w:val="right" w:leader="dot" w:pos="9026"/>
            </w:tabs>
            <w:rPr>
              <w:rFonts w:ascii="Times New Roman" w:hAnsi="Times New Roman"/>
              <w:sz w:val="24"/>
              <w:szCs w:val="24"/>
            </w:rPr>
          </w:pPr>
          <w:r>
            <w:fldChar w:fldCharType="begin"/>
          </w:r>
          <w:r>
            <w:instrText xml:space="preserve"> HYPERLINK \l "_Toc18462" </w:instrText>
          </w:r>
          <w:r>
            <w:fldChar w:fldCharType="separate"/>
          </w:r>
          <w:r>
            <w:rPr>
              <w:rFonts w:ascii="Times New Roman" w:hAnsi="Times New Roman"/>
              <w:sz w:val="24"/>
              <w:szCs w:val="24"/>
              <w:lang w:val="en-US"/>
            </w:rPr>
            <w:t xml:space="preserve">3.1 </w:t>
          </w:r>
          <w:r>
            <w:rPr>
              <w:rFonts w:ascii="Times New Roman" w:hAnsi="Times New Roman"/>
              <w:sz w:val="24"/>
              <w:szCs w:val="24"/>
            </w:rPr>
            <w:t xml:space="preserve">Theme </w:t>
          </w:r>
          <w:r>
            <w:rPr>
              <w:rFonts w:ascii="Times New Roman" w:hAnsi="Times New Roman"/>
              <w:sz w:val="24"/>
              <w:szCs w:val="24"/>
              <w:lang w:val="en-US"/>
            </w:rPr>
            <w:t>one</w:t>
          </w:r>
          <w:r>
            <w:rPr>
              <w:rFonts w:ascii="Times New Roman" w:hAnsi="Times New Roman"/>
              <w:sz w:val="24"/>
              <w:szCs w:val="24"/>
            </w:rPr>
            <w:t>: Introduction to Sishu Education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_Toc18462 \h </w:instrText>
          </w:r>
          <w:r>
            <w:rPr>
              <w:rFonts w:ascii="Times New Roman" w:hAnsi="Times New Roman"/>
              <w:sz w:val="24"/>
              <w:szCs w:val="24"/>
            </w:rPr>
            <w:fldChar w:fldCharType="separate"/>
          </w:r>
          <w:r>
            <w:rPr>
              <w:rFonts w:ascii="Times New Roman" w:hAnsi="Times New Roman"/>
              <w:sz w:val="24"/>
              <w:szCs w:val="24"/>
            </w:rPr>
            <w:t>17</w:t>
          </w:r>
          <w:r>
            <w:rPr>
              <w:rFonts w:ascii="Times New Roman" w:hAnsi="Times New Roman"/>
              <w:sz w:val="24"/>
              <w:szCs w:val="24"/>
            </w:rPr>
            <w:fldChar w:fldCharType="end"/>
          </w:r>
          <w:r>
            <w:rPr>
              <w:rFonts w:ascii="Times New Roman" w:hAnsi="Times New Roman"/>
              <w:sz w:val="24"/>
              <w:szCs w:val="24"/>
            </w:rPr>
            <w:fldChar w:fldCharType="end"/>
          </w:r>
        </w:p>
        <w:p w14:paraId="2982FA1D">
          <w:pPr>
            <w:pStyle w:val="6"/>
            <w:tabs>
              <w:tab w:val="right" w:leader="dot" w:pos="9026"/>
            </w:tabs>
            <w:rPr>
              <w:rFonts w:ascii="Times New Roman" w:hAnsi="Times New Roman"/>
              <w:sz w:val="24"/>
              <w:szCs w:val="24"/>
            </w:rPr>
          </w:pPr>
          <w:r>
            <w:fldChar w:fldCharType="begin"/>
          </w:r>
          <w:r>
            <w:instrText xml:space="preserve"> HYPERLINK \l "_Toc25961" </w:instrText>
          </w:r>
          <w:r>
            <w:fldChar w:fldCharType="separate"/>
          </w:r>
          <w:r>
            <w:rPr>
              <w:rFonts w:ascii="Times New Roman" w:hAnsi="Times New Roman"/>
              <w:sz w:val="24"/>
              <w:szCs w:val="24"/>
            </w:rPr>
            <w:t>3.1.1. Background of Traditional Sishu</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_Toc25961 \h </w:instrText>
          </w:r>
          <w:r>
            <w:rPr>
              <w:rFonts w:ascii="Times New Roman" w:hAnsi="Times New Roman"/>
              <w:sz w:val="24"/>
              <w:szCs w:val="24"/>
            </w:rPr>
            <w:fldChar w:fldCharType="separate"/>
          </w:r>
          <w:r>
            <w:rPr>
              <w:rFonts w:ascii="Times New Roman" w:hAnsi="Times New Roman"/>
              <w:sz w:val="24"/>
              <w:szCs w:val="24"/>
            </w:rPr>
            <w:t>17</w:t>
          </w:r>
          <w:r>
            <w:rPr>
              <w:rFonts w:ascii="Times New Roman" w:hAnsi="Times New Roman"/>
              <w:sz w:val="24"/>
              <w:szCs w:val="24"/>
            </w:rPr>
            <w:fldChar w:fldCharType="end"/>
          </w:r>
          <w:r>
            <w:rPr>
              <w:rFonts w:ascii="Times New Roman" w:hAnsi="Times New Roman"/>
              <w:sz w:val="24"/>
              <w:szCs w:val="24"/>
            </w:rPr>
            <w:fldChar w:fldCharType="end"/>
          </w:r>
        </w:p>
        <w:p w14:paraId="20C1F2CE">
          <w:pPr>
            <w:pStyle w:val="6"/>
            <w:tabs>
              <w:tab w:val="right" w:leader="dot" w:pos="9026"/>
            </w:tabs>
            <w:rPr>
              <w:rFonts w:ascii="Times New Roman" w:hAnsi="Times New Roman"/>
              <w:sz w:val="24"/>
              <w:szCs w:val="24"/>
            </w:rPr>
          </w:pPr>
          <w:r>
            <w:fldChar w:fldCharType="begin"/>
          </w:r>
          <w:r>
            <w:instrText xml:space="preserve"> HYPERLINK \l "_Toc19682" </w:instrText>
          </w:r>
          <w:r>
            <w:fldChar w:fldCharType="separate"/>
          </w:r>
          <w:r>
            <w:rPr>
              <w:rFonts w:ascii="Times New Roman" w:hAnsi="Times New Roman"/>
              <w:sz w:val="24"/>
              <w:szCs w:val="24"/>
            </w:rPr>
            <w:t>3.1.2. Modern Sishu in China</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_Toc19682 \h </w:instrText>
          </w:r>
          <w:r>
            <w:rPr>
              <w:rFonts w:ascii="Times New Roman" w:hAnsi="Times New Roman"/>
              <w:sz w:val="24"/>
              <w:szCs w:val="24"/>
            </w:rPr>
            <w:fldChar w:fldCharType="separate"/>
          </w:r>
          <w:r>
            <w:rPr>
              <w:rFonts w:ascii="Times New Roman" w:hAnsi="Times New Roman"/>
              <w:sz w:val="24"/>
              <w:szCs w:val="24"/>
            </w:rPr>
            <w:t>19</w:t>
          </w:r>
          <w:r>
            <w:rPr>
              <w:rFonts w:ascii="Times New Roman" w:hAnsi="Times New Roman"/>
              <w:sz w:val="24"/>
              <w:szCs w:val="24"/>
            </w:rPr>
            <w:fldChar w:fldCharType="end"/>
          </w:r>
          <w:r>
            <w:rPr>
              <w:rFonts w:ascii="Times New Roman" w:hAnsi="Times New Roman"/>
              <w:sz w:val="24"/>
              <w:szCs w:val="24"/>
            </w:rPr>
            <w:fldChar w:fldCharType="end"/>
          </w:r>
        </w:p>
        <w:p w14:paraId="4B8C96E0">
          <w:pPr>
            <w:pStyle w:val="6"/>
            <w:tabs>
              <w:tab w:val="right" w:leader="dot" w:pos="9026"/>
            </w:tabs>
            <w:rPr>
              <w:rFonts w:ascii="Times New Roman" w:hAnsi="Times New Roman"/>
              <w:sz w:val="24"/>
              <w:szCs w:val="24"/>
            </w:rPr>
          </w:pPr>
          <w:r>
            <w:fldChar w:fldCharType="begin"/>
          </w:r>
          <w:r>
            <w:instrText xml:space="preserve"> HYPERLINK \l "_Toc25877" </w:instrText>
          </w:r>
          <w:r>
            <w:fldChar w:fldCharType="separate"/>
          </w:r>
          <w:r>
            <w:rPr>
              <w:rFonts w:ascii="Times New Roman" w:hAnsi="Times New Roman"/>
              <w:sz w:val="24"/>
              <w:szCs w:val="24"/>
            </w:rPr>
            <w:t>3.1.3. Research status of modern Sishu education in China</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_Toc25877 \h </w:instrText>
          </w:r>
          <w:r>
            <w:rPr>
              <w:rFonts w:ascii="Times New Roman" w:hAnsi="Times New Roman"/>
              <w:sz w:val="24"/>
              <w:szCs w:val="24"/>
            </w:rPr>
            <w:fldChar w:fldCharType="separate"/>
          </w:r>
          <w:r>
            <w:rPr>
              <w:rFonts w:ascii="Times New Roman" w:hAnsi="Times New Roman"/>
              <w:sz w:val="24"/>
              <w:szCs w:val="24"/>
            </w:rPr>
            <w:t>23</w:t>
          </w:r>
          <w:r>
            <w:rPr>
              <w:rFonts w:ascii="Times New Roman" w:hAnsi="Times New Roman"/>
              <w:sz w:val="24"/>
              <w:szCs w:val="24"/>
            </w:rPr>
            <w:fldChar w:fldCharType="end"/>
          </w:r>
          <w:r>
            <w:rPr>
              <w:rFonts w:ascii="Times New Roman" w:hAnsi="Times New Roman"/>
              <w:sz w:val="24"/>
              <w:szCs w:val="24"/>
            </w:rPr>
            <w:fldChar w:fldCharType="end"/>
          </w:r>
        </w:p>
        <w:p w14:paraId="6B84DCE3">
          <w:pPr>
            <w:pStyle w:val="10"/>
            <w:tabs>
              <w:tab w:val="right" w:leader="dot" w:pos="9026"/>
            </w:tabs>
            <w:rPr>
              <w:rFonts w:ascii="Times New Roman" w:hAnsi="Times New Roman"/>
              <w:sz w:val="24"/>
              <w:szCs w:val="24"/>
            </w:rPr>
          </w:pPr>
          <w:r>
            <w:fldChar w:fldCharType="begin"/>
          </w:r>
          <w:r>
            <w:instrText xml:space="preserve"> HYPERLINK \l "_Toc19093" </w:instrText>
          </w:r>
          <w:r>
            <w:fldChar w:fldCharType="separate"/>
          </w:r>
          <w:r>
            <w:rPr>
              <w:rFonts w:ascii="Times New Roman" w:hAnsi="Times New Roman"/>
              <w:sz w:val="24"/>
              <w:szCs w:val="24"/>
            </w:rPr>
            <w:t>3.2. Theme two: Educational Aims and Curriculum</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_Toc19093 \h </w:instrText>
          </w:r>
          <w:r>
            <w:rPr>
              <w:rFonts w:ascii="Times New Roman" w:hAnsi="Times New Roman"/>
              <w:sz w:val="24"/>
              <w:szCs w:val="24"/>
            </w:rPr>
            <w:fldChar w:fldCharType="separate"/>
          </w:r>
          <w:r>
            <w:rPr>
              <w:rFonts w:ascii="Times New Roman" w:hAnsi="Times New Roman"/>
              <w:sz w:val="24"/>
              <w:szCs w:val="24"/>
            </w:rPr>
            <w:t>26</w:t>
          </w:r>
          <w:r>
            <w:rPr>
              <w:rFonts w:ascii="Times New Roman" w:hAnsi="Times New Roman"/>
              <w:sz w:val="24"/>
              <w:szCs w:val="24"/>
            </w:rPr>
            <w:fldChar w:fldCharType="end"/>
          </w:r>
          <w:r>
            <w:rPr>
              <w:rFonts w:ascii="Times New Roman" w:hAnsi="Times New Roman"/>
              <w:sz w:val="24"/>
              <w:szCs w:val="24"/>
            </w:rPr>
            <w:fldChar w:fldCharType="end"/>
          </w:r>
        </w:p>
        <w:p w14:paraId="631AD9F6">
          <w:pPr>
            <w:pStyle w:val="6"/>
            <w:tabs>
              <w:tab w:val="right" w:leader="dot" w:pos="9026"/>
            </w:tabs>
            <w:rPr>
              <w:rFonts w:ascii="Times New Roman" w:hAnsi="Times New Roman"/>
              <w:sz w:val="24"/>
              <w:szCs w:val="24"/>
            </w:rPr>
          </w:pPr>
          <w:r>
            <w:fldChar w:fldCharType="begin"/>
          </w:r>
          <w:r>
            <w:instrText xml:space="preserve"> HYPERLINK \l "_Toc511" </w:instrText>
          </w:r>
          <w:r>
            <w:fldChar w:fldCharType="separate"/>
          </w:r>
          <w:r>
            <w:rPr>
              <w:rFonts w:ascii="Times New Roman" w:hAnsi="Times New Roman"/>
              <w:sz w:val="24"/>
              <w:szCs w:val="24"/>
            </w:rPr>
            <w:t xml:space="preserve">3.2.1. </w:t>
          </w:r>
          <w:r>
            <w:rPr>
              <w:rFonts w:ascii="Times New Roman" w:hAnsi="Times New Roman"/>
              <w:sz w:val="24"/>
              <w:szCs w:val="24"/>
              <w:lang w:val="en-US"/>
            </w:rPr>
            <w:t>Different Types of Sishu</w:t>
          </w:r>
          <w:r>
            <w:rPr>
              <w:rFonts w:ascii="Times New Roman" w:hAnsi="Times New Roman"/>
              <w:sz w:val="24"/>
              <w:szCs w:val="24"/>
            </w:rPr>
            <w:t xml:space="preserve"> Practice</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_Toc511 \h </w:instrText>
          </w:r>
          <w:r>
            <w:rPr>
              <w:rFonts w:ascii="Times New Roman" w:hAnsi="Times New Roman"/>
              <w:sz w:val="24"/>
              <w:szCs w:val="24"/>
            </w:rPr>
            <w:fldChar w:fldCharType="separate"/>
          </w:r>
          <w:r>
            <w:rPr>
              <w:rFonts w:ascii="Times New Roman" w:hAnsi="Times New Roman"/>
              <w:sz w:val="24"/>
              <w:szCs w:val="24"/>
            </w:rPr>
            <w:t>26</w:t>
          </w:r>
          <w:r>
            <w:rPr>
              <w:rFonts w:ascii="Times New Roman" w:hAnsi="Times New Roman"/>
              <w:sz w:val="24"/>
              <w:szCs w:val="24"/>
            </w:rPr>
            <w:fldChar w:fldCharType="end"/>
          </w:r>
          <w:r>
            <w:rPr>
              <w:rFonts w:ascii="Times New Roman" w:hAnsi="Times New Roman"/>
              <w:sz w:val="24"/>
              <w:szCs w:val="24"/>
            </w:rPr>
            <w:fldChar w:fldCharType="end"/>
          </w:r>
        </w:p>
        <w:p w14:paraId="1828A8FB">
          <w:pPr>
            <w:pStyle w:val="6"/>
            <w:tabs>
              <w:tab w:val="right" w:leader="dot" w:pos="9026"/>
            </w:tabs>
            <w:rPr>
              <w:rFonts w:ascii="Times New Roman" w:hAnsi="Times New Roman"/>
              <w:sz w:val="24"/>
              <w:szCs w:val="24"/>
            </w:rPr>
          </w:pPr>
          <w:r>
            <w:fldChar w:fldCharType="begin"/>
          </w:r>
          <w:r>
            <w:instrText xml:space="preserve"> HYPERLINK \l "_Toc3438" </w:instrText>
          </w:r>
          <w:r>
            <w:fldChar w:fldCharType="separate"/>
          </w:r>
          <w:r>
            <w:rPr>
              <w:rFonts w:ascii="Times New Roman" w:hAnsi="Times New Roman"/>
              <w:sz w:val="24"/>
              <w:szCs w:val="24"/>
            </w:rPr>
            <w:t xml:space="preserve">3.2.2. </w:t>
          </w:r>
          <w:r>
            <w:rPr>
              <w:rFonts w:ascii="Times New Roman" w:hAnsi="Times New Roman"/>
              <w:sz w:val="24"/>
              <w:szCs w:val="24"/>
              <w:lang w:val="en-US"/>
            </w:rPr>
            <w:t xml:space="preserve">Sishu </w:t>
          </w:r>
          <w:r>
            <w:rPr>
              <w:rFonts w:ascii="Times New Roman" w:hAnsi="Times New Roman"/>
              <w:sz w:val="24"/>
              <w:szCs w:val="24"/>
            </w:rPr>
            <w:t>Teaching Content</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_Toc3438 \h </w:instrText>
          </w:r>
          <w:r>
            <w:rPr>
              <w:rFonts w:ascii="Times New Roman" w:hAnsi="Times New Roman"/>
              <w:sz w:val="24"/>
              <w:szCs w:val="24"/>
            </w:rPr>
            <w:fldChar w:fldCharType="separate"/>
          </w:r>
          <w:r>
            <w:rPr>
              <w:rFonts w:ascii="Times New Roman" w:hAnsi="Times New Roman"/>
              <w:sz w:val="24"/>
              <w:szCs w:val="24"/>
            </w:rPr>
            <w:t>30</w:t>
          </w:r>
          <w:r>
            <w:rPr>
              <w:rFonts w:ascii="Times New Roman" w:hAnsi="Times New Roman"/>
              <w:sz w:val="24"/>
              <w:szCs w:val="24"/>
            </w:rPr>
            <w:fldChar w:fldCharType="end"/>
          </w:r>
          <w:r>
            <w:rPr>
              <w:rFonts w:ascii="Times New Roman" w:hAnsi="Times New Roman"/>
              <w:sz w:val="24"/>
              <w:szCs w:val="24"/>
            </w:rPr>
            <w:fldChar w:fldCharType="end"/>
          </w:r>
        </w:p>
        <w:p w14:paraId="6AE76D43">
          <w:pPr>
            <w:pStyle w:val="10"/>
            <w:tabs>
              <w:tab w:val="right" w:leader="dot" w:pos="9026"/>
            </w:tabs>
            <w:rPr>
              <w:rFonts w:ascii="Times New Roman" w:hAnsi="Times New Roman"/>
              <w:sz w:val="24"/>
              <w:szCs w:val="24"/>
            </w:rPr>
          </w:pPr>
          <w:r>
            <w:fldChar w:fldCharType="begin"/>
          </w:r>
          <w:r>
            <w:instrText xml:space="preserve"> HYPERLINK \l "_Toc22987" </w:instrText>
          </w:r>
          <w:r>
            <w:fldChar w:fldCharType="separate"/>
          </w:r>
          <w:r>
            <w:rPr>
              <w:rFonts w:ascii="Times New Roman" w:hAnsi="Times New Roman"/>
              <w:sz w:val="24"/>
              <w:szCs w:val="24"/>
              <w:lang w:val="en-US"/>
            </w:rPr>
            <w:t>3.3. Theme three: Challenges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_Toc22987 \h </w:instrText>
          </w:r>
          <w:r>
            <w:rPr>
              <w:rFonts w:ascii="Times New Roman" w:hAnsi="Times New Roman"/>
              <w:sz w:val="24"/>
              <w:szCs w:val="24"/>
            </w:rPr>
            <w:fldChar w:fldCharType="separate"/>
          </w:r>
          <w:r>
            <w:rPr>
              <w:rFonts w:ascii="Times New Roman" w:hAnsi="Times New Roman"/>
              <w:sz w:val="24"/>
              <w:szCs w:val="24"/>
            </w:rPr>
            <w:t>33</w:t>
          </w:r>
          <w:r>
            <w:rPr>
              <w:rFonts w:ascii="Times New Roman" w:hAnsi="Times New Roman"/>
              <w:sz w:val="24"/>
              <w:szCs w:val="24"/>
            </w:rPr>
            <w:fldChar w:fldCharType="end"/>
          </w:r>
          <w:r>
            <w:rPr>
              <w:rFonts w:ascii="Times New Roman" w:hAnsi="Times New Roman"/>
              <w:sz w:val="24"/>
              <w:szCs w:val="24"/>
            </w:rPr>
            <w:fldChar w:fldCharType="end"/>
          </w:r>
        </w:p>
        <w:p w14:paraId="4B579980">
          <w:pPr>
            <w:pStyle w:val="6"/>
            <w:tabs>
              <w:tab w:val="right" w:leader="dot" w:pos="9026"/>
            </w:tabs>
            <w:rPr>
              <w:rFonts w:ascii="Times New Roman" w:hAnsi="Times New Roman"/>
              <w:sz w:val="24"/>
              <w:szCs w:val="24"/>
            </w:rPr>
          </w:pPr>
          <w:r>
            <w:fldChar w:fldCharType="begin"/>
          </w:r>
          <w:r>
            <w:instrText xml:space="preserve"> HYPERLINK \l "_Toc23976" </w:instrText>
          </w:r>
          <w:r>
            <w:fldChar w:fldCharType="separate"/>
          </w:r>
          <w:r>
            <w:rPr>
              <w:rFonts w:ascii="Times New Roman" w:hAnsi="Times New Roman"/>
              <w:sz w:val="24"/>
              <w:szCs w:val="24"/>
              <w:lang w:val="en-US"/>
            </w:rPr>
            <w:t>3.3.1. Challenges for Sishu from the perspective of existing education policy</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_Toc23976 \h </w:instrText>
          </w:r>
          <w:r>
            <w:rPr>
              <w:rFonts w:ascii="Times New Roman" w:hAnsi="Times New Roman"/>
              <w:sz w:val="24"/>
              <w:szCs w:val="24"/>
            </w:rPr>
            <w:fldChar w:fldCharType="separate"/>
          </w:r>
          <w:r>
            <w:rPr>
              <w:rFonts w:ascii="Times New Roman" w:hAnsi="Times New Roman"/>
              <w:sz w:val="24"/>
              <w:szCs w:val="24"/>
            </w:rPr>
            <w:t>33</w:t>
          </w:r>
          <w:r>
            <w:rPr>
              <w:rFonts w:ascii="Times New Roman" w:hAnsi="Times New Roman"/>
              <w:sz w:val="24"/>
              <w:szCs w:val="24"/>
            </w:rPr>
            <w:fldChar w:fldCharType="end"/>
          </w:r>
          <w:r>
            <w:rPr>
              <w:rFonts w:ascii="Times New Roman" w:hAnsi="Times New Roman"/>
              <w:sz w:val="24"/>
              <w:szCs w:val="24"/>
            </w:rPr>
            <w:fldChar w:fldCharType="end"/>
          </w:r>
        </w:p>
        <w:p w14:paraId="7AA8AE92">
          <w:pPr>
            <w:pStyle w:val="6"/>
            <w:tabs>
              <w:tab w:val="right" w:leader="dot" w:pos="9026"/>
            </w:tabs>
            <w:rPr>
              <w:rFonts w:ascii="Times New Roman" w:hAnsi="Times New Roman"/>
              <w:sz w:val="24"/>
              <w:szCs w:val="24"/>
            </w:rPr>
          </w:pPr>
          <w:r>
            <w:fldChar w:fldCharType="begin"/>
          </w:r>
          <w:r>
            <w:instrText xml:space="preserve"> HYPERLINK \l "_Toc14430" </w:instrText>
          </w:r>
          <w:r>
            <w:fldChar w:fldCharType="separate"/>
          </w:r>
          <w:r>
            <w:rPr>
              <w:rFonts w:ascii="Times New Roman" w:hAnsi="Times New Roman"/>
              <w:sz w:val="24"/>
              <w:szCs w:val="24"/>
              <w:lang w:val="en-US"/>
            </w:rPr>
            <w:t>3.3.2. Integration of Sishu students into mainstream education and society</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_Toc14430 \h </w:instrText>
          </w:r>
          <w:r>
            <w:rPr>
              <w:rFonts w:ascii="Times New Roman" w:hAnsi="Times New Roman"/>
              <w:sz w:val="24"/>
              <w:szCs w:val="24"/>
            </w:rPr>
            <w:fldChar w:fldCharType="separate"/>
          </w:r>
          <w:r>
            <w:rPr>
              <w:rFonts w:ascii="Times New Roman" w:hAnsi="Times New Roman"/>
              <w:sz w:val="24"/>
              <w:szCs w:val="24"/>
            </w:rPr>
            <w:t>37</w:t>
          </w:r>
          <w:r>
            <w:rPr>
              <w:rFonts w:ascii="Times New Roman" w:hAnsi="Times New Roman"/>
              <w:sz w:val="24"/>
              <w:szCs w:val="24"/>
            </w:rPr>
            <w:fldChar w:fldCharType="end"/>
          </w:r>
          <w:r>
            <w:rPr>
              <w:rFonts w:ascii="Times New Roman" w:hAnsi="Times New Roman"/>
              <w:sz w:val="24"/>
              <w:szCs w:val="24"/>
            </w:rPr>
            <w:fldChar w:fldCharType="end"/>
          </w:r>
        </w:p>
        <w:p w14:paraId="343E0689">
          <w:pPr>
            <w:pStyle w:val="9"/>
            <w:tabs>
              <w:tab w:val="right" w:leader="dot" w:pos="9026"/>
            </w:tabs>
            <w:rPr>
              <w:rFonts w:ascii="Times New Roman" w:hAnsi="Times New Roman"/>
              <w:sz w:val="24"/>
              <w:szCs w:val="24"/>
            </w:rPr>
          </w:pPr>
          <w:r>
            <w:fldChar w:fldCharType="begin"/>
          </w:r>
          <w:r>
            <w:instrText xml:space="preserve"> HYPERLINK \l "_Toc20937" </w:instrText>
          </w:r>
          <w:r>
            <w:fldChar w:fldCharType="separate"/>
          </w:r>
          <w:r>
            <w:rPr>
              <w:rFonts w:ascii="Times New Roman" w:hAnsi="Times New Roman"/>
              <w:sz w:val="24"/>
              <w:szCs w:val="24"/>
            </w:rPr>
            <w:t>4. DISCUSSION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_Toc20937 \h </w:instrText>
          </w:r>
          <w:r>
            <w:rPr>
              <w:rFonts w:ascii="Times New Roman" w:hAnsi="Times New Roman"/>
              <w:sz w:val="24"/>
              <w:szCs w:val="24"/>
            </w:rPr>
            <w:fldChar w:fldCharType="separate"/>
          </w:r>
          <w:r>
            <w:rPr>
              <w:rFonts w:ascii="Times New Roman" w:hAnsi="Times New Roman"/>
              <w:sz w:val="24"/>
              <w:szCs w:val="24"/>
            </w:rPr>
            <w:t>42</w:t>
          </w:r>
          <w:r>
            <w:rPr>
              <w:rFonts w:ascii="Times New Roman" w:hAnsi="Times New Roman"/>
              <w:sz w:val="24"/>
              <w:szCs w:val="24"/>
            </w:rPr>
            <w:fldChar w:fldCharType="end"/>
          </w:r>
          <w:r>
            <w:rPr>
              <w:rFonts w:ascii="Times New Roman" w:hAnsi="Times New Roman"/>
              <w:sz w:val="24"/>
              <w:szCs w:val="24"/>
            </w:rPr>
            <w:fldChar w:fldCharType="end"/>
          </w:r>
        </w:p>
        <w:p w14:paraId="4A8D7409">
          <w:pPr>
            <w:pStyle w:val="10"/>
            <w:tabs>
              <w:tab w:val="right" w:leader="dot" w:pos="9026"/>
            </w:tabs>
            <w:rPr>
              <w:rFonts w:ascii="Times New Roman" w:hAnsi="Times New Roman"/>
              <w:sz w:val="24"/>
              <w:szCs w:val="24"/>
            </w:rPr>
          </w:pPr>
          <w:r>
            <w:fldChar w:fldCharType="begin"/>
          </w:r>
          <w:r>
            <w:instrText xml:space="preserve"> HYPERLINK \l "_Toc13206" </w:instrText>
          </w:r>
          <w:r>
            <w:fldChar w:fldCharType="separate"/>
          </w:r>
          <w:r>
            <w:rPr>
              <w:rFonts w:ascii="Times New Roman" w:hAnsi="Times New Roman"/>
              <w:sz w:val="24"/>
              <w:szCs w:val="24"/>
            </w:rPr>
            <w:t>4.1. Possible reasons why the Chinese government does not support Sishu education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_Toc13206 \h </w:instrText>
          </w:r>
          <w:r>
            <w:rPr>
              <w:rFonts w:ascii="Times New Roman" w:hAnsi="Times New Roman"/>
              <w:sz w:val="24"/>
              <w:szCs w:val="24"/>
            </w:rPr>
            <w:fldChar w:fldCharType="separate"/>
          </w:r>
          <w:r>
            <w:rPr>
              <w:rFonts w:ascii="Times New Roman" w:hAnsi="Times New Roman"/>
              <w:sz w:val="24"/>
              <w:szCs w:val="24"/>
            </w:rPr>
            <w:t>42</w:t>
          </w:r>
          <w:r>
            <w:rPr>
              <w:rFonts w:ascii="Times New Roman" w:hAnsi="Times New Roman"/>
              <w:sz w:val="24"/>
              <w:szCs w:val="24"/>
            </w:rPr>
            <w:fldChar w:fldCharType="end"/>
          </w:r>
          <w:r>
            <w:rPr>
              <w:rFonts w:ascii="Times New Roman" w:hAnsi="Times New Roman"/>
              <w:sz w:val="24"/>
              <w:szCs w:val="24"/>
            </w:rPr>
            <w:fldChar w:fldCharType="end"/>
          </w:r>
        </w:p>
        <w:p w14:paraId="2FA954F0">
          <w:pPr>
            <w:pStyle w:val="10"/>
            <w:tabs>
              <w:tab w:val="right" w:leader="dot" w:pos="9026"/>
            </w:tabs>
            <w:rPr>
              <w:rFonts w:ascii="Times New Roman" w:hAnsi="Times New Roman"/>
              <w:sz w:val="24"/>
              <w:szCs w:val="24"/>
            </w:rPr>
          </w:pPr>
          <w:r>
            <w:fldChar w:fldCharType="begin"/>
          </w:r>
          <w:r>
            <w:instrText xml:space="preserve"> HYPERLINK \l "_Toc17393" </w:instrText>
          </w:r>
          <w:r>
            <w:fldChar w:fldCharType="separate"/>
          </w:r>
          <w:r>
            <w:rPr>
              <w:rFonts w:ascii="Times New Roman" w:hAnsi="Times New Roman"/>
              <w:sz w:val="24"/>
              <w:szCs w:val="24"/>
            </w:rPr>
            <w:t>4.2. The current state of Sishu as an industry</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_Toc17393 \h </w:instrText>
          </w:r>
          <w:r>
            <w:rPr>
              <w:rFonts w:ascii="Times New Roman" w:hAnsi="Times New Roman"/>
              <w:sz w:val="24"/>
              <w:szCs w:val="24"/>
            </w:rPr>
            <w:fldChar w:fldCharType="separate"/>
          </w:r>
          <w:r>
            <w:rPr>
              <w:rFonts w:ascii="Times New Roman" w:hAnsi="Times New Roman"/>
              <w:sz w:val="24"/>
              <w:szCs w:val="24"/>
            </w:rPr>
            <w:t>44</w:t>
          </w:r>
          <w:r>
            <w:rPr>
              <w:rFonts w:ascii="Times New Roman" w:hAnsi="Times New Roman"/>
              <w:sz w:val="24"/>
              <w:szCs w:val="24"/>
            </w:rPr>
            <w:fldChar w:fldCharType="end"/>
          </w:r>
          <w:r>
            <w:rPr>
              <w:rFonts w:ascii="Times New Roman" w:hAnsi="Times New Roman"/>
              <w:sz w:val="24"/>
              <w:szCs w:val="24"/>
            </w:rPr>
            <w:fldChar w:fldCharType="end"/>
          </w:r>
        </w:p>
        <w:p w14:paraId="0E2C4299">
          <w:pPr>
            <w:pStyle w:val="9"/>
            <w:tabs>
              <w:tab w:val="right" w:leader="dot" w:pos="9026"/>
            </w:tabs>
            <w:rPr>
              <w:rFonts w:ascii="Times New Roman" w:hAnsi="Times New Roman"/>
              <w:sz w:val="24"/>
              <w:szCs w:val="24"/>
            </w:rPr>
          </w:pPr>
          <w:r>
            <w:fldChar w:fldCharType="begin"/>
          </w:r>
          <w:r>
            <w:instrText xml:space="preserve"> HYPERLINK \l "_Toc29129" </w:instrText>
          </w:r>
          <w:r>
            <w:fldChar w:fldCharType="separate"/>
          </w:r>
          <w:r>
            <w:rPr>
              <w:rFonts w:ascii="Times New Roman" w:hAnsi="Times New Roman"/>
              <w:sz w:val="24"/>
              <w:szCs w:val="24"/>
            </w:rPr>
            <w:t>5. CONCLUSION AND RECOMMENDATIONS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_Toc29129 \h </w:instrText>
          </w:r>
          <w:r>
            <w:rPr>
              <w:rFonts w:ascii="Times New Roman" w:hAnsi="Times New Roman"/>
              <w:sz w:val="24"/>
              <w:szCs w:val="24"/>
            </w:rPr>
            <w:fldChar w:fldCharType="separate"/>
          </w:r>
          <w:r>
            <w:rPr>
              <w:rFonts w:ascii="Times New Roman" w:hAnsi="Times New Roman"/>
              <w:sz w:val="24"/>
              <w:szCs w:val="24"/>
            </w:rPr>
            <w:t>50</w:t>
          </w:r>
          <w:r>
            <w:rPr>
              <w:rFonts w:ascii="Times New Roman" w:hAnsi="Times New Roman"/>
              <w:sz w:val="24"/>
              <w:szCs w:val="24"/>
            </w:rPr>
            <w:fldChar w:fldCharType="end"/>
          </w:r>
          <w:r>
            <w:rPr>
              <w:rFonts w:ascii="Times New Roman" w:hAnsi="Times New Roman"/>
              <w:sz w:val="24"/>
              <w:szCs w:val="24"/>
            </w:rPr>
            <w:fldChar w:fldCharType="end"/>
          </w:r>
        </w:p>
        <w:p w14:paraId="53039F07">
          <w:pPr>
            <w:pStyle w:val="9"/>
            <w:tabs>
              <w:tab w:val="right" w:leader="dot" w:pos="9026"/>
            </w:tabs>
            <w:rPr>
              <w:rFonts w:ascii="Times New Roman" w:hAnsi="Times New Roman"/>
              <w:sz w:val="24"/>
              <w:szCs w:val="24"/>
            </w:rPr>
          </w:pPr>
          <w:r>
            <w:fldChar w:fldCharType="begin"/>
          </w:r>
          <w:r>
            <w:instrText xml:space="preserve"> HYPERLINK \l "_Toc2806" </w:instrText>
          </w:r>
          <w:r>
            <w:fldChar w:fldCharType="separate"/>
          </w:r>
          <w:r>
            <w:rPr>
              <w:rFonts w:ascii="Times New Roman" w:hAnsi="Times New Roman"/>
              <w:sz w:val="24"/>
              <w:szCs w:val="24"/>
            </w:rPr>
            <w:t xml:space="preserve">6. </w:t>
          </w:r>
          <w:r>
            <w:rPr>
              <w:rFonts w:ascii="Times New Roman" w:hAnsi="Times New Roman"/>
              <w:sz w:val="24"/>
              <w:szCs w:val="24"/>
              <w:lang w:val="en-US" w:eastAsia="en-US"/>
            </w:rPr>
            <w:t>REFERENCES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_Toc2806 \h </w:instrText>
          </w:r>
          <w:r>
            <w:rPr>
              <w:rFonts w:ascii="Times New Roman" w:hAnsi="Times New Roman"/>
              <w:sz w:val="24"/>
              <w:szCs w:val="24"/>
            </w:rPr>
            <w:fldChar w:fldCharType="separate"/>
          </w:r>
          <w:r>
            <w:rPr>
              <w:rFonts w:ascii="Times New Roman" w:hAnsi="Times New Roman"/>
              <w:sz w:val="24"/>
              <w:szCs w:val="24"/>
            </w:rPr>
            <w:t>52</w:t>
          </w:r>
          <w:r>
            <w:rPr>
              <w:rFonts w:ascii="Times New Roman" w:hAnsi="Times New Roman"/>
              <w:sz w:val="24"/>
              <w:szCs w:val="24"/>
            </w:rPr>
            <w:fldChar w:fldCharType="end"/>
          </w:r>
          <w:r>
            <w:rPr>
              <w:rFonts w:ascii="Times New Roman" w:hAnsi="Times New Roman"/>
              <w:sz w:val="24"/>
              <w:szCs w:val="24"/>
            </w:rPr>
            <w:fldChar w:fldCharType="end"/>
          </w:r>
        </w:p>
        <w:p w14:paraId="4CF8B944">
          <w:pPr>
            <w:rPr>
              <w:rFonts w:ascii="Times New Roman" w:hAnsi="Times New Roman"/>
              <w:szCs w:val="24"/>
            </w:rPr>
          </w:pPr>
          <w:r>
            <w:rPr>
              <w:rFonts w:ascii="Times New Roman" w:hAnsi="Times New Roman"/>
              <w:sz w:val="24"/>
              <w:szCs w:val="24"/>
            </w:rPr>
            <w:fldChar w:fldCharType="end"/>
          </w:r>
        </w:p>
        <w:p w14:paraId="7CE84ADA">
          <w:pPr>
            <w:rPr>
              <w:rFonts w:ascii="Times New Roman" w:hAnsi="Times New Roman"/>
              <w:szCs w:val="24"/>
            </w:rPr>
          </w:pPr>
        </w:p>
        <w:p w14:paraId="768C95A3">
          <w:pPr>
            <w:rPr>
              <w:rFonts w:ascii="Times New Roman" w:hAnsi="Times New Roman"/>
              <w:szCs w:val="24"/>
            </w:rPr>
          </w:pPr>
        </w:p>
        <w:p w14:paraId="0A558594">
          <w:pPr>
            <w:rPr>
              <w:rFonts w:ascii="Times New Roman" w:hAnsi="Times New Roman"/>
              <w:szCs w:val="24"/>
            </w:rPr>
          </w:pPr>
        </w:p>
        <w:p w14:paraId="0DF23FE2">
          <w:pPr>
            <w:rPr>
              <w:rFonts w:ascii="Times New Roman" w:hAnsi="Times New Roman"/>
              <w:szCs w:val="24"/>
            </w:rPr>
          </w:pPr>
        </w:p>
        <w:p w14:paraId="21896EA9">
          <w:pPr>
            <w:rPr>
              <w:rFonts w:ascii="Times New Roman" w:hAnsi="Times New Roman"/>
              <w:szCs w:val="24"/>
            </w:rPr>
          </w:pPr>
        </w:p>
        <w:p w14:paraId="30670DA8">
          <w:pPr>
            <w:rPr>
              <w:rFonts w:ascii="Times New Roman" w:hAnsi="Times New Roman"/>
              <w:szCs w:val="24"/>
            </w:rPr>
          </w:pPr>
        </w:p>
        <w:p w14:paraId="7C83ABB6">
          <w:pPr>
            <w:rPr>
              <w:rFonts w:ascii="Times New Roman" w:hAnsi="Times New Roman"/>
              <w:szCs w:val="24"/>
            </w:rPr>
          </w:pPr>
        </w:p>
        <w:p w14:paraId="625F6278">
          <w:pPr>
            <w:rPr>
              <w:rFonts w:ascii="Times New Roman" w:hAnsi="Times New Roman"/>
              <w:szCs w:val="24"/>
            </w:rPr>
          </w:pPr>
        </w:p>
        <w:p w14:paraId="00519174">
          <w:pPr>
            <w:rPr>
              <w:rFonts w:ascii="Times New Roman" w:hAnsi="Times New Roman"/>
              <w:szCs w:val="24"/>
            </w:rPr>
          </w:pPr>
        </w:p>
        <w:p w14:paraId="5445CC48"/>
      </w:sdtContent>
    </w:sdt>
    <w:p w14:paraId="14BAC864">
      <w:pPr>
        <w:pStyle w:val="2"/>
      </w:pPr>
      <w:bookmarkStart w:id="6" w:name="_Toc24157"/>
      <w:r>
        <w:t>ACKNOWLEDGEMENTS</w:t>
      </w:r>
      <w:bookmarkEnd w:id="6"/>
    </w:p>
    <w:p w14:paraId="5CA66B35">
      <w:pPr>
        <w:spacing w:line="360" w:lineRule="auto"/>
        <w:rPr>
          <w:rFonts w:ascii="Times New Roman" w:hAnsi="Times New Roman"/>
          <w:color w:val="000000" w:themeColor="text1"/>
          <w:sz w:val="24"/>
          <w14:textFill>
            <w14:solidFill>
              <w14:schemeClr w14:val="tx1"/>
            </w14:solidFill>
          </w14:textFill>
        </w:rPr>
      </w:pPr>
    </w:p>
    <w:p w14:paraId="776BCA02">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want to express my sincere gratitude to all those who have supported me during my MA studies. First and foremost, I would like to thank my esteemed supervisor, Ms Yiying Jiao, for her patient guidance, valuable feedback and constant encouragement. Her rigorous academic attitude and excellent professional knowledge have been a great source of inspiration for me. She was meticulous in every discussion, patiently answered my questions, and constantly encouraged me to refine my research ideas. I would like to express my sincere gratitude once again for her responsible and genuine guidance.</w:t>
      </w:r>
    </w:p>
    <w:p w14:paraId="7D31B54B">
      <w:pPr>
        <w:spacing w:line="360" w:lineRule="auto"/>
        <w:rPr>
          <w:rFonts w:ascii="Times New Roman" w:hAnsi="Times New Roman"/>
          <w:color w:val="000000" w:themeColor="text1"/>
          <w:sz w:val="24"/>
          <w:szCs w:val="24"/>
          <w14:textFill>
            <w14:solidFill>
              <w14:schemeClr w14:val="tx1"/>
            </w14:solidFill>
          </w14:textFill>
        </w:rPr>
      </w:pPr>
    </w:p>
    <w:p w14:paraId="77050723">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would also like to express my sincere appreciation to my dear teachers during my MA journey: Mrs Sue James, Dr Huw Griffiths and Dr Carolyne Obonyo. Their enthusiasm and dedication in the classroom provided me with a solid foundation of knowledge and critical thinking skills. They have unreservedly imparted their profound academic accumulation, from professional theoretical knowledge to research methodology, which has given me great inspiration and help.</w:t>
      </w:r>
    </w:p>
    <w:p w14:paraId="16EFC486">
      <w:pPr>
        <w:spacing w:line="360" w:lineRule="auto"/>
        <w:rPr>
          <w:rFonts w:ascii="Times New Roman" w:hAnsi="Times New Roman"/>
          <w:color w:val="000000" w:themeColor="text1"/>
          <w:sz w:val="24"/>
          <w:szCs w:val="24"/>
          <w14:textFill>
            <w14:solidFill>
              <w14:schemeClr w14:val="tx1"/>
            </w14:solidFill>
          </w14:textFill>
        </w:rPr>
      </w:pPr>
    </w:p>
    <w:p w14:paraId="0753176F">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would also like to sincerely thank my parents, whose unwavering emotional and practical support has enabled me to embark on this journey. Their belief in my aspirations has been a determining factor in my ability to persevere through the challenges of postgraduate study. Finally, I would like to thank my fiancée, whose constant encouragement and mental support provided the emotional balance I needed to complete this dissertation.</w:t>
      </w:r>
    </w:p>
    <w:p w14:paraId="19B6AD22">
      <w:pPr>
        <w:spacing w:line="360" w:lineRule="auto"/>
        <w:rPr>
          <w:rFonts w:ascii="Times New Roman" w:hAnsi="Times New Roman"/>
          <w:color w:val="000000" w:themeColor="text1"/>
          <w:sz w:val="24"/>
          <w:szCs w:val="24"/>
          <w14:textFill>
            <w14:solidFill>
              <w14:schemeClr w14:val="tx1"/>
            </w14:solidFill>
          </w14:textFill>
        </w:rPr>
      </w:pPr>
    </w:p>
    <w:p w14:paraId="101CA07C">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am deeply grateful to each of you</w:t>
      </w:r>
      <w:r>
        <w:rPr>
          <w:rFonts w:hint="eastAsia" w:ascii="Times New Roman" w:hAnsi="Times New Roman"/>
          <w:color w:val="000000" w:themeColor="text1"/>
          <w:sz w:val="24"/>
          <w14:textFill>
            <w14:solidFill>
              <w14:schemeClr w14:val="tx1"/>
            </w14:solidFill>
          </w14:textFill>
        </w:rPr>
        <w:t>!</w:t>
      </w:r>
    </w:p>
    <w:p w14:paraId="35457230">
      <w:pPr>
        <w:spacing w:line="360" w:lineRule="auto"/>
        <w:rPr>
          <w:rFonts w:ascii="Times New Roman" w:hAnsi="Times New Roman"/>
          <w:b/>
          <w:bCs/>
          <w:color w:val="000000" w:themeColor="text1"/>
          <w:sz w:val="32"/>
          <w:szCs w:val="32"/>
          <w14:textFill>
            <w14:solidFill>
              <w14:schemeClr w14:val="tx1"/>
            </w14:solidFill>
          </w14:textFill>
        </w:rPr>
      </w:pPr>
    </w:p>
    <w:p w14:paraId="443A7DAB">
      <w:pPr>
        <w:pStyle w:val="2"/>
      </w:pPr>
      <w:bookmarkStart w:id="7" w:name="_Toc29724"/>
      <w:r>
        <w:rPr>
          <w:rFonts w:hint="eastAsia"/>
        </w:rPr>
        <w:t>ABSTRACT</w:t>
      </w:r>
      <w:bookmarkEnd w:id="7"/>
    </w:p>
    <w:p w14:paraId="12F3E7FC">
      <w:pPr>
        <w:spacing w:line="360" w:lineRule="auto"/>
        <w:rPr>
          <w:rFonts w:ascii="Times New Roman" w:hAnsi="Times New Roman"/>
          <w:sz w:val="24"/>
          <w:szCs w:val="24"/>
          <w:lang w:val="en-US"/>
        </w:rPr>
      </w:pPr>
      <w:r>
        <w:rPr>
          <w:rFonts w:hint="eastAsia" w:ascii="Times New Roman" w:hAnsi="Times New Roman"/>
          <w:sz w:val="24"/>
          <w:szCs w:val="24"/>
          <w:lang w:val="en-US"/>
        </w:rPr>
        <w:t>By a</w:t>
      </w:r>
      <w:r>
        <w:rPr>
          <w:rFonts w:ascii="Times New Roman" w:hAnsi="Times New Roman"/>
          <w:sz w:val="24"/>
          <w:szCs w:val="24"/>
          <w:lang w:val="en-US"/>
        </w:rPr>
        <w:t>dopting the method of topical literature review and interpretation, this study systematically comprehends and explores the development history, practice patterns, and related policy environments of modern Sishu in contemporary China from a</w:t>
      </w:r>
      <w:r>
        <w:rPr>
          <w:rFonts w:hint="eastAsia" w:ascii="Times New Roman" w:hAnsi="Times New Roman"/>
          <w:sz w:val="24"/>
          <w:szCs w:val="24"/>
          <w:lang w:val="en-US"/>
        </w:rPr>
        <w:t xml:space="preserve"> interpretive</w:t>
      </w:r>
      <w:r>
        <w:rPr>
          <w:rFonts w:ascii="Times New Roman" w:hAnsi="Times New Roman"/>
          <w:sz w:val="24"/>
          <w:szCs w:val="24"/>
          <w:lang w:val="en-US"/>
        </w:rPr>
        <w:t xml:space="preserve"> perspective. Through searching and analysing academic journals, policy documents, and Chinese and English database literature, the study revolves around the following two major issues: first, the current situation of modern Sishu and their inheritance and innovation of traditional Confucian education concepts; and second, the attitudes and coping strategies of the state and local governments towards </w:t>
      </w:r>
      <w:r>
        <w:rPr>
          <w:rFonts w:hint="eastAsia" w:ascii="Times New Roman" w:hAnsi="Times New Roman"/>
          <w:sz w:val="24"/>
          <w:szCs w:val="24"/>
          <w:lang w:val="en-US"/>
        </w:rPr>
        <w:t>Sishu</w:t>
      </w:r>
      <w:r>
        <w:rPr>
          <w:rFonts w:ascii="Times New Roman" w:hAnsi="Times New Roman"/>
          <w:sz w:val="24"/>
          <w:szCs w:val="24"/>
          <w:lang w:val="en-US"/>
        </w:rPr>
        <w:t xml:space="preserve"> education. Overall, modern Sishu are of some significance in passing on excellent traditional Chinese culture and providing diversified educational choices, but their legitimacy, teaching quality and social acceptance are still controversial.</w:t>
      </w:r>
    </w:p>
    <w:p w14:paraId="32176060">
      <w:pPr>
        <w:spacing w:line="360" w:lineRule="auto"/>
        <w:rPr>
          <w:rFonts w:ascii="Times New Roman" w:hAnsi="Times New Roman"/>
          <w:b/>
          <w:bCs/>
          <w:color w:val="000000" w:themeColor="text1"/>
          <w:sz w:val="32"/>
          <w:szCs w:val="32"/>
          <w14:textFill>
            <w14:solidFill>
              <w14:schemeClr w14:val="tx1"/>
            </w14:solidFill>
          </w14:textFill>
        </w:rPr>
      </w:pPr>
    </w:p>
    <w:p w14:paraId="45D914B2">
      <w:pPr>
        <w:spacing w:line="360" w:lineRule="auto"/>
        <w:rPr>
          <w:rFonts w:ascii="Times New Roman" w:hAnsi="Times New Roman"/>
          <w:b/>
          <w:bCs/>
          <w:color w:val="000000" w:themeColor="text1"/>
          <w:sz w:val="32"/>
          <w:szCs w:val="32"/>
          <w14:textFill>
            <w14:solidFill>
              <w14:schemeClr w14:val="tx1"/>
            </w14:solidFill>
          </w14:textFill>
        </w:rPr>
      </w:pPr>
    </w:p>
    <w:p w14:paraId="33FBD7FE">
      <w:pPr>
        <w:spacing w:line="360" w:lineRule="auto"/>
        <w:rPr>
          <w:rFonts w:ascii="Times New Roman" w:hAnsi="Times New Roman"/>
          <w:b/>
          <w:bCs/>
          <w:color w:val="000000" w:themeColor="text1"/>
          <w:sz w:val="32"/>
          <w:szCs w:val="32"/>
          <w14:textFill>
            <w14:solidFill>
              <w14:schemeClr w14:val="tx1"/>
            </w14:solidFill>
          </w14:textFill>
        </w:rPr>
      </w:pPr>
    </w:p>
    <w:p w14:paraId="5F99F141">
      <w:pPr>
        <w:spacing w:line="360" w:lineRule="auto"/>
        <w:rPr>
          <w:rFonts w:ascii="Times New Roman" w:hAnsi="Times New Roman"/>
          <w:b/>
          <w:bCs/>
          <w:color w:val="000000" w:themeColor="text1"/>
          <w:sz w:val="32"/>
          <w:szCs w:val="32"/>
          <w14:textFill>
            <w14:solidFill>
              <w14:schemeClr w14:val="tx1"/>
            </w14:solidFill>
          </w14:textFill>
        </w:rPr>
      </w:pPr>
    </w:p>
    <w:p w14:paraId="2FC93D7B">
      <w:pPr>
        <w:spacing w:line="360" w:lineRule="auto"/>
        <w:rPr>
          <w:rFonts w:ascii="Times New Roman" w:hAnsi="Times New Roman"/>
          <w:b/>
          <w:bCs/>
          <w:color w:val="000000" w:themeColor="text1"/>
          <w:sz w:val="32"/>
          <w:szCs w:val="32"/>
          <w14:textFill>
            <w14:solidFill>
              <w14:schemeClr w14:val="tx1"/>
            </w14:solidFill>
          </w14:textFill>
        </w:rPr>
      </w:pPr>
    </w:p>
    <w:p w14:paraId="56485C9E">
      <w:pPr>
        <w:spacing w:line="360" w:lineRule="auto"/>
        <w:rPr>
          <w:rFonts w:ascii="Times New Roman" w:hAnsi="Times New Roman"/>
          <w:b/>
          <w:bCs/>
          <w:color w:val="000000" w:themeColor="text1"/>
          <w:sz w:val="32"/>
          <w:szCs w:val="32"/>
          <w14:textFill>
            <w14:solidFill>
              <w14:schemeClr w14:val="tx1"/>
            </w14:solidFill>
          </w14:textFill>
        </w:rPr>
      </w:pPr>
    </w:p>
    <w:p w14:paraId="3115F76F">
      <w:pPr>
        <w:spacing w:line="360" w:lineRule="auto"/>
        <w:rPr>
          <w:rFonts w:ascii="Times New Roman" w:hAnsi="Times New Roman"/>
          <w:b/>
          <w:bCs/>
          <w:color w:val="000000" w:themeColor="text1"/>
          <w:sz w:val="32"/>
          <w:szCs w:val="32"/>
          <w14:textFill>
            <w14:solidFill>
              <w14:schemeClr w14:val="tx1"/>
            </w14:solidFill>
          </w14:textFill>
        </w:rPr>
      </w:pPr>
    </w:p>
    <w:p w14:paraId="32C23597">
      <w:pPr>
        <w:spacing w:line="360" w:lineRule="auto"/>
        <w:rPr>
          <w:rFonts w:ascii="Times New Roman" w:hAnsi="Times New Roman"/>
          <w:b/>
          <w:bCs/>
          <w:color w:val="000000" w:themeColor="text1"/>
          <w:sz w:val="32"/>
          <w:szCs w:val="32"/>
          <w14:textFill>
            <w14:solidFill>
              <w14:schemeClr w14:val="tx1"/>
            </w14:solidFill>
          </w14:textFill>
        </w:rPr>
      </w:pPr>
    </w:p>
    <w:p w14:paraId="5F8EBAA5">
      <w:pPr>
        <w:spacing w:line="360" w:lineRule="auto"/>
        <w:rPr>
          <w:rFonts w:ascii="Times New Roman" w:hAnsi="Times New Roman"/>
          <w:b/>
          <w:bCs/>
          <w:color w:val="000000" w:themeColor="text1"/>
          <w:sz w:val="32"/>
          <w:szCs w:val="32"/>
          <w14:textFill>
            <w14:solidFill>
              <w14:schemeClr w14:val="tx1"/>
            </w14:solidFill>
          </w14:textFill>
        </w:rPr>
      </w:pPr>
    </w:p>
    <w:p w14:paraId="019B2F27">
      <w:pPr>
        <w:spacing w:line="360" w:lineRule="auto"/>
        <w:rPr>
          <w:rFonts w:ascii="Times New Roman" w:hAnsi="Times New Roman"/>
          <w:b/>
          <w:bCs/>
          <w:color w:val="000000" w:themeColor="text1"/>
          <w:sz w:val="32"/>
          <w:szCs w:val="32"/>
          <w14:textFill>
            <w14:solidFill>
              <w14:schemeClr w14:val="tx1"/>
            </w14:solidFill>
          </w14:textFill>
        </w:rPr>
      </w:pPr>
    </w:p>
    <w:p w14:paraId="396C8B2A">
      <w:pPr>
        <w:spacing w:line="360" w:lineRule="auto"/>
        <w:rPr>
          <w:rFonts w:ascii="Times New Roman" w:hAnsi="Times New Roman"/>
          <w:b/>
          <w:bCs/>
          <w:color w:val="000000" w:themeColor="text1"/>
          <w:sz w:val="32"/>
          <w:szCs w:val="32"/>
          <w14:textFill>
            <w14:solidFill>
              <w14:schemeClr w14:val="tx1"/>
            </w14:solidFill>
          </w14:textFill>
        </w:rPr>
      </w:pPr>
    </w:p>
    <w:p w14:paraId="1423933E">
      <w:pPr>
        <w:pStyle w:val="2"/>
        <w:numPr>
          <w:ilvl w:val="0"/>
          <w:numId w:val="3"/>
        </w:numPr>
      </w:pPr>
      <w:bookmarkStart w:id="8" w:name="_Toc3679"/>
      <w:r>
        <w:t>INTRODUCTION</w:t>
      </w:r>
      <w:bookmarkEnd w:id="8"/>
    </w:p>
    <w:p w14:paraId="33D46D51">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‘Sishu</w:t>
      </w:r>
      <w:r>
        <w:rPr>
          <w:rFonts w:hint="eastAsia" w:ascii="Times New Roman" w:hAnsi="Times New Roman"/>
          <w:color w:val="000000" w:themeColor="text1"/>
          <w:sz w:val="24"/>
          <w14:textFill>
            <w14:solidFill>
              <w14:schemeClr w14:val="tx1"/>
            </w14:solidFill>
          </w14:textFill>
        </w:rPr>
        <w:t>(私塾)</w:t>
      </w:r>
      <w:r>
        <w:rPr>
          <w:rFonts w:ascii="Times New Roman" w:hAnsi="Times New Roman"/>
          <w:color w:val="000000" w:themeColor="text1"/>
          <w:sz w:val="24"/>
          <w14:textFill>
            <w14:solidFill>
              <w14:schemeClr w14:val="tx1"/>
            </w14:solidFill>
          </w14:textFill>
        </w:rPr>
        <w:t>’ was a form of community education in ancient Chinese society, established within families, clans or villages</w:t>
      </w:r>
      <w:r>
        <w:rPr>
          <w:rFonts w:ascii="Times New Roman" w:hAnsi="Times New Roman"/>
          <w:color w:val="000000" w:themeColor="text1"/>
          <w:sz w:val="24"/>
          <w:szCs w:val="24"/>
          <w14:textFill>
            <w14:solidFill>
              <w14:schemeClr w14:val="tx1"/>
            </w14:solidFill>
          </w14:textFill>
        </w:rPr>
        <w:t xml:space="preserve">. Deeply rooted in the Confucian cultural tradition, </w:t>
      </w:r>
      <w:r>
        <w:rPr>
          <w:rFonts w:hint="eastAsia" w:ascii="Times New Roman" w:hAnsi="Times New Roman"/>
          <w:color w:val="000000" w:themeColor="text1"/>
          <w:sz w:val="24"/>
          <w14:textFill>
            <w14:solidFill>
              <w14:schemeClr w14:val="tx1"/>
            </w14:solidFill>
          </w14:textFill>
        </w:rPr>
        <w:t>S</w:t>
      </w:r>
      <w:r>
        <w:rPr>
          <w:rFonts w:ascii="Times New Roman" w:hAnsi="Times New Roman"/>
          <w:color w:val="000000" w:themeColor="text1"/>
          <w:sz w:val="24"/>
          <w:szCs w:val="24"/>
          <w14:textFill>
            <w14:solidFill>
              <w14:schemeClr w14:val="tx1"/>
            </w14:solidFill>
          </w14:textFill>
        </w:rPr>
        <w:t xml:space="preserve">ishu have played a central role in shaping Chinese education for centuries. Historically, </w:t>
      </w:r>
      <w:r>
        <w:rPr>
          <w:rFonts w:hint="eastAsia" w:ascii="Times New Roman" w:hAnsi="Times New Roman"/>
          <w:color w:val="000000" w:themeColor="text1"/>
          <w:sz w:val="24"/>
          <w14:textFill>
            <w14:solidFill>
              <w14:schemeClr w14:val="tx1"/>
            </w14:solidFill>
          </w14:textFill>
        </w:rPr>
        <w:t>S</w:t>
      </w:r>
      <w:r>
        <w:rPr>
          <w:rFonts w:ascii="Times New Roman" w:hAnsi="Times New Roman"/>
          <w:color w:val="000000" w:themeColor="text1"/>
          <w:sz w:val="24"/>
          <w:szCs w:val="24"/>
          <w14:textFill>
            <w14:solidFill>
              <w14:schemeClr w14:val="tx1"/>
            </w14:solidFill>
          </w14:textFill>
        </w:rPr>
        <w:t>ishu were informal educational institutions that provided moral and intellectual education based on Confucian classics such as the Four Books and the Five Classics</w:t>
      </w:r>
      <w:r>
        <w:rPr>
          <w:rFonts w:hint="eastAsia" w:ascii="Times New Roman" w:hAnsi="Times New Roman"/>
          <w:color w:val="000000" w:themeColor="text1"/>
          <w:sz w:val="24"/>
          <w14:textFill>
            <w14:solidFill>
              <w14:schemeClr w14:val="tx1"/>
            </w14:solidFill>
          </w14:textFill>
        </w:rPr>
        <w:t>(四书五经)</w:t>
      </w:r>
      <w:r>
        <w:rPr>
          <w:rFonts w:ascii="Times New Roman" w:hAnsi="Times New Roman"/>
          <w:color w:val="000000" w:themeColor="text1"/>
          <w:sz w:val="24"/>
          <w:szCs w:val="24"/>
          <w14:textFill>
            <w14:solidFill>
              <w14:schemeClr w14:val="tx1"/>
            </w14:solidFill>
          </w14:textFill>
        </w:rPr>
        <w:t>. These institutions played an important role in preparing students for the imperial civil service examinations (Jiang, 2017, p. 1). However, as China moderni</w:t>
      </w:r>
      <w:r>
        <w:rPr>
          <w:rFonts w:hint="eastAsia" w:ascii="Times New Roman" w:hAnsi="Times New Roman"/>
          <w:color w:val="000000" w:themeColor="text1"/>
          <w:sz w:val="24"/>
          <w14:textFill>
            <w14:solidFill>
              <w14:schemeClr w14:val="tx1"/>
            </w14:solidFill>
          </w14:textFill>
        </w:rPr>
        <w:t>s</w:t>
      </w:r>
      <w:r>
        <w:rPr>
          <w:rFonts w:ascii="Times New Roman" w:hAnsi="Times New Roman"/>
          <w:color w:val="000000" w:themeColor="text1"/>
          <w:sz w:val="24"/>
          <w:szCs w:val="24"/>
          <w14:textFill>
            <w14:solidFill>
              <w14:schemeClr w14:val="tx1"/>
            </w14:solidFill>
          </w14:textFill>
        </w:rPr>
        <w:t xml:space="preserve">ed in the early 20th century, the introduction of Western-style education and the collapse of the imperial examination system led to a decline in the role of the Sishu. Nonetheless, </w:t>
      </w:r>
      <w:r>
        <w:rPr>
          <w:rFonts w:hint="eastAsia" w:ascii="Times New Roman" w:hAnsi="Times New Roman"/>
          <w:color w:val="000000" w:themeColor="text1"/>
          <w:sz w:val="24"/>
          <w14:textFill>
            <w14:solidFill>
              <w14:schemeClr w14:val="tx1"/>
            </w14:solidFill>
          </w14:textFill>
        </w:rPr>
        <w:t>i</w:t>
      </w:r>
      <w:r>
        <w:rPr>
          <w:rFonts w:ascii="Times New Roman" w:hAnsi="Times New Roman"/>
          <w:color w:val="000000" w:themeColor="text1"/>
          <w:sz w:val="24"/>
          <w14:textFill>
            <w14:solidFill>
              <w14:schemeClr w14:val="tx1"/>
            </w14:solidFill>
          </w14:textFill>
        </w:rPr>
        <w:t xml:space="preserve">n the 21st century, there has been a revival of Sishu as a viable educational alternative to address the challenges and limitations of the </w:t>
      </w:r>
      <w:r>
        <w:rPr>
          <w:rFonts w:hint="eastAsia" w:ascii="Times New Roman" w:hAnsi="Times New Roman"/>
          <w:color w:val="000000" w:themeColor="text1"/>
          <w:sz w:val="24"/>
          <w14:textFill>
            <w14:solidFill>
              <w14:schemeClr w14:val="tx1"/>
            </w14:solidFill>
          </w14:textFill>
        </w:rPr>
        <w:t>mainstream</w:t>
      </w:r>
      <w:r>
        <w:rPr>
          <w:rFonts w:ascii="Times New Roman" w:hAnsi="Times New Roman"/>
          <w:color w:val="000000" w:themeColor="text1"/>
          <w:sz w:val="24"/>
          <w14:textFill>
            <w14:solidFill>
              <w14:schemeClr w14:val="tx1"/>
            </w14:solidFill>
          </w14:textFill>
        </w:rPr>
        <w:t xml:space="preserve"> education system</w:t>
      </w:r>
      <w:r>
        <w:rPr>
          <w:rFonts w:ascii="Times New Roman" w:hAnsi="Times New Roman"/>
          <w:color w:val="000000" w:themeColor="text1"/>
          <w:sz w:val="24"/>
          <w:szCs w:val="24"/>
          <w14:textFill>
            <w14:solidFill>
              <w14:schemeClr w14:val="tx1"/>
            </w14:solidFill>
          </w14:textFill>
        </w:rPr>
        <w:t xml:space="preserve">. This study examines the historical </w:t>
      </w:r>
      <w:r>
        <w:rPr>
          <w:rFonts w:ascii="Times New Roman" w:hAnsi="Times New Roman"/>
          <w:color w:val="000000" w:themeColor="text1"/>
          <w:sz w:val="24"/>
          <w14:textFill>
            <w14:solidFill>
              <w14:schemeClr w14:val="tx1"/>
            </w14:solidFill>
          </w14:textFill>
        </w:rPr>
        <w:t>development</w:t>
      </w:r>
      <w:r>
        <w:rPr>
          <w:rFonts w:ascii="Times New Roman" w:hAnsi="Times New Roman"/>
          <w:color w:val="000000" w:themeColor="text1"/>
          <w:sz w:val="24"/>
          <w:szCs w:val="24"/>
          <w14:textFill>
            <w14:solidFill>
              <w14:schemeClr w14:val="tx1"/>
            </w14:solidFill>
          </w14:textFill>
        </w:rPr>
        <w:t xml:space="preserve">, contemporary significance and challenges of modern Sishu, </w:t>
      </w:r>
      <w:r>
        <w:rPr>
          <w:rFonts w:ascii="Times New Roman" w:hAnsi="Times New Roman"/>
          <w:color w:val="000000" w:themeColor="text1"/>
          <w:sz w:val="24"/>
          <w14:textFill>
            <w14:solidFill>
              <w14:schemeClr w14:val="tx1"/>
            </w14:solidFill>
          </w14:textFill>
        </w:rPr>
        <w:t>and critically assesses its</w:t>
      </w:r>
      <w:r>
        <w:rPr>
          <w:rFonts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role</w:t>
      </w:r>
      <w:r>
        <w:rPr>
          <w:rFonts w:ascii="Times New Roman" w:hAnsi="Times New Roman"/>
          <w:color w:val="000000" w:themeColor="text1"/>
          <w:sz w:val="24"/>
          <w:szCs w:val="24"/>
          <w14:textFill>
            <w14:solidFill>
              <w14:schemeClr w14:val="tx1"/>
            </w14:solidFill>
          </w14:textFill>
        </w:rPr>
        <w:t xml:space="preserve"> and impact in modern Chinese education.</w:t>
      </w:r>
    </w:p>
    <w:p w14:paraId="77729450">
      <w:pPr>
        <w:spacing w:line="360" w:lineRule="auto"/>
        <w:rPr>
          <w:rFonts w:ascii="Times New Roman" w:hAnsi="Times New Roman"/>
          <w:color w:val="000000" w:themeColor="text1"/>
          <w:sz w:val="24"/>
          <w14:textFill>
            <w14:solidFill>
              <w14:schemeClr w14:val="tx1"/>
            </w14:solidFill>
          </w14:textFill>
        </w:rPr>
      </w:pPr>
    </w:p>
    <w:p w14:paraId="01B0C3BE">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The background of this study is based on a growing dissatisfaction with the current mainstream education system in China, which places an emphasis on test scores rather than on the holistic development and formation of moral character. As Wu (2019) notes, the highly competitive nature of the Chinese education system, along with an excessive focus on standardised examinations, has led to a search for alternative forms of education that prioritise personalised learning and the cultivation of moral character. In this context, modern Sishu, with its emphasis on character development and moral education, has been popular among parents and educators in search of alternatives to the mainstream school system (Billioud and Thoraval, 2015). However, another context that should not be overlooked is that China has not yet established any laws related to modern Sishu and homeschooling. This has resulted in most Sishu institutions being in a grey area or having an illegal status. As pointed out in the study on the phenomenon of modern Ssihu education (Li, 2020), Sishu education faces policy uncertainty. However, in this complex situation, many families still choose to send their children to Sishu schools.</w:t>
      </w:r>
    </w:p>
    <w:p w14:paraId="7551FB1B">
      <w:pPr>
        <w:spacing w:line="360" w:lineRule="auto"/>
        <w:rPr>
          <w:rFonts w:ascii="Times New Roman" w:hAnsi="Times New Roman"/>
          <w:color w:val="000000" w:themeColor="text1"/>
          <w:sz w:val="24"/>
          <w14:textFill>
            <w14:solidFill>
              <w14:schemeClr w14:val="tx1"/>
            </w14:solidFill>
          </w14:textFill>
        </w:rPr>
      </w:pPr>
    </w:p>
    <w:p w14:paraId="651B25A8">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Although there is tension between the modern education system and tradition, alternative educational models such as modern Sishu are becoming increasingly popular in China. As a researcher interested in Chinese education and modern Sishu education in particular, the growing popularity of this non-mainstream educational model among Chinese parents has sparked the researcher's interest in studying its teaching models, development and impact. The significance of this research lies in its potential to contribute to the ongoing debate about the future of education in China by offering insights into how traditional educational values can be adapted to meet the needs of modern students. Furthermore, the contribution of this research also comes from its critical examination of modern Sishu as an alternative educational practice in China. By critically summarising the current state of modern Sishu education and exploring why the Chinese government has not legalised modern Sishu, this research will fill a gap in the literature on modern Sishu education in China.</w:t>
      </w:r>
    </w:p>
    <w:p w14:paraId="5D808FB2">
      <w:pPr>
        <w:spacing w:line="360" w:lineRule="auto"/>
        <w:rPr>
          <w:rFonts w:ascii="Times New Roman" w:hAnsi="Times New Roman"/>
          <w:color w:val="000000" w:themeColor="text1"/>
          <w:sz w:val="24"/>
          <w14:textFill>
            <w14:solidFill>
              <w14:schemeClr w14:val="tx1"/>
            </w14:solidFill>
          </w14:textFill>
        </w:rPr>
      </w:pPr>
    </w:p>
    <w:p w14:paraId="28158E8F">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14:textFill>
            <w14:solidFill>
              <w14:schemeClr w14:val="tx1"/>
            </w14:solidFill>
          </w14:textFill>
        </w:rPr>
        <w:t>In this conflicting narrative environment, this study proposes two research questions: 1) How is the current state of Sishu education in China? 2) What is the Chinese government's attitude towards Sishu education and why? These two questions are crucial not only for understanding the revival of traditional educational practices but also for understanding their role and significance in the contemporary Chinese educational context. Question 1 aims to assess the effectiveness of modern Sishu in meeting the needs of today's students, particularly in terms of moral education, creativity development and socialisation. Question 2 aims to investigate the Chinese government's attitude towards modern Sishu education and why they hold this position. In China, modern Sishu's legal status remains ambiguous, and their lack of official recognition has led to complex relationships between mainstream education and Sishu education. As Billioud and Thoraval (2015) highlight, governments often hold ambivalent attitudes towards non-state education models such as modern Sishu, seeing them as a potential complement to the mainstream system but also as a challenge to state control. Understanding the government's attitude towards Sishu is crucial to assessing the long-term viability of Sishu institutions and their potential to fit into China's broader educational reform agenda.</w:t>
      </w:r>
    </w:p>
    <w:p w14:paraId="5E0AD731">
      <w:pPr>
        <w:spacing w:line="360" w:lineRule="auto"/>
        <w:rPr>
          <w:rFonts w:ascii="Times New Roman" w:hAnsi="Times New Roman"/>
          <w:color w:val="000000" w:themeColor="text1"/>
          <w:sz w:val="24"/>
          <w14:textFill>
            <w14:solidFill>
              <w14:schemeClr w14:val="tx1"/>
            </w14:solidFill>
          </w14:textFill>
        </w:rPr>
      </w:pPr>
    </w:p>
    <w:p w14:paraId="60EE6B6F">
      <w:pPr>
        <w:spacing w:line="360" w:lineRule="auto"/>
      </w:pPr>
      <w:r>
        <w:rPr>
          <w:rFonts w:ascii="Times New Roman" w:hAnsi="Times New Roman"/>
          <w:color w:val="000000" w:themeColor="text1"/>
          <w:sz w:val="24"/>
          <w14:textFill>
            <w14:solidFill>
              <w14:schemeClr w14:val="tx1"/>
            </w14:solidFill>
          </w14:textFill>
        </w:rPr>
        <w:t>This study will adopt an interpretive paradigm and draw on topical literature reviews to examine the historical development and contemporary practice of Sishu education. By critically reading and examining published academic works, such as academic journal articles, monographs and relevant secondary literature such as government or organisational reports, this study aims to synthesise existing research findings, highlight areas of academic convergence and divergence, and develop a detailed understanding of how Sishu operates in contemporary China. At the same time, the researcher is also aware of some limitations of this research. As this research relies entirely on secondary sources and lacks primary, original data (e.g., interviews with Sishu educators or students), it may not capture the most up-to-date models and data on the operation of modern Sishu. This may limit the study's real-time accuracy. Moreover, secondary data might exhibit the biases of its original creators, such as an emphasis on successful Sishu case studies or certain geographical regions. This one-sided perspective may make studying the practical experiences of modern Sishu across China more challenging. To address this limitation, the researcher will critically review the opinions in all references and objectively analyse all relevant data and arguments. Despite these limitations, a topical literature review remains a valuable and insightful method for understanding the historical and current situation of Sishu education in China. This study hopes to provide a foundation for policymakers and educators seeking potential innovations within the Chinese education sector by providing a comprehensive and critical perspective on the themes and debates within the existing secondary literature.</w:t>
      </w:r>
    </w:p>
    <w:p w14:paraId="359C6C19"/>
    <w:p w14:paraId="4CEBCEB4"/>
    <w:p w14:paraId="0D659E25"/>
    <w:p w14:paraId="0E70A140"/>
    <w:p w14:paraId="11E6C362"/>
    <w:p w14:paraId="5CE243BE"/>
    <w:p w14:paraId="6F4DB240">
      <w:pPr>
        <w:pStyle w:val="2"/>
        <w:numPr>
          <w:ilvl w:val="0"/>
          <w:numId w:val="3"/>
        </w:numPr>
      </w:pPr>
      <w:bookmarkStart w:id="9" w:name="_Toc12871"/>
      <w:r>
        <w:t>METHODOLOGY</w:t>
      </w:r>
      <w:bookmarkEnd w:id="9"/>
    </w:p>
    <w:p w14:paraId="12BC467A">
      <w:pPr>
        <w:pStyle w:val="11"/>
        <w:widowControl/>
        <w:spacing w:beforeAutospacing="0" w:afterAutospacing="0" w:line="360" w:lineRule="auto"/>
        <w:jc w:val="both"/>
        <w:rPr>
          <w:rFonts w:ascii="Times New Roman" w:hAnsi="Times New Roman"/>
          <w:color w:val="000000" w:themeColor="text1"/>
          <w:lang w:val="en-GB"/>
          <w14:textFill>
            <w14:solidFill>
              <w14:schemeClr w14:val="tx1"/>
            </w14:solidFill>
          </w14:textFill>
        </w:rPr>
      </w:pPr>
      <w:r>
        <w:rPr>
          <w:rFonts w:ascii="Times New Roman" w:hAnsi="Times New Roman" w:eastAsiaTheme="minorEastAsia"/>
          <w:color w:val="000000" w:themeColor="text1"/>
          <w:kern w:val="2"/>
          <w:szCs w:val="24"/>
          <w:lang w:val="en-GB"/>
          <w14:textFill>
            <w14:solidFill>
              <w14:schemeClr w14:val="tx1"/>
            </w14:solidFill>
          </w14:textFill>
        </w:rPr>
        <w:t>Since the choice of paradigm determines the intention, motivation and expectations of the research, it is necessary to first clarify the paradigm of this research, which will serve as a basis for the subsequent choice of methodology, methods and literature (Mackenzie and Knipe, 2006). This study adopts an interpretive paradigm, recognizing that social and educational phenomena, such as modern Sishu, are influenced by cultural, historical, and contextual factors (Merriam &amp; Tisdell, 2016). The defining characteristic of interpretive paradigms is their focus on the individual and their aim to understand 'the subjective world of human experience’ (Cohen, Manion and Morrison, 20</w:t>
      </w:r>
      <w:r>
        <w:rPr>
          <w:rFonts w:hint="eastAsia" w:ascii="Times New Roman" w:hAnsi="Times New Roman" w:eastAsiaTheme="minorEastAsia"/>
          <w:color w:val="000000" w:themeColor="text1"/>
          <w:kern w:val="2"/>
          <w:szCs w:val="24"/>
          <w14:textFill>
            <w14:solidFill>
              <w14:schemeClr w14:val="tx1"/>
            </w14:solidFill>
          </w14:textFill>
        </w:rPr>
        <w:t>11</w:t>
      </w:r>
      <w:r>
        <w:rPr>
          <w:rFonts w:ascii="Times New Roman" w:hAnsi="Times New Roman" w:eastAsiaTheme="minorEastAsia"/>
          <w:color w:val="000000" w:themeColor="text1"/>
          <w:kern w:val="2"/>
          <w:szCs w:val="24"/>
          <w:lang w:val="en-GB"/>
          <w14:textFill>
            <w14:solidFill>
              <w14:schemeClr w14:val="tx1"/>
            </w14:solidFill>
          </w14:textFill>
        </w:rPr>
        <w:t>, p. 22), intended to show that ‘reality is socially constructed’. Interpretivist researchers tend to use subjective evidence consisting of personal views, i.e. the participants' perceptions of the situation being studied, and are aware of the influence of their own backgrounds and experiences on the research</w:t>
      </w:r>
      <w:r>
        <w:rPr>
          <w:rFonts w:hint="eastAsia" w:ascii="Times New Roman" w:hAnsi="Times New Roman" w:eastAsiaTheme="minorEastAsia"/>
          <w:color w:val="000000" w:themeColor="text1"/>
          <w:kern w:val="2"/>
          <w:szCs w:val="24"/>
          <w:lang w:val="en-GB"/>
          <w14:textFill>
            <w14:solidFill>
              <w14:schemeClr w14:val="tx1"/>
            </w14:solidFill>
          </w14:textFill>
        </w:rPr>
        <w:t xml:space="preserve"> (</w:t>
      </w:r>
      <w:r>
        <w:rPr>
          <w:rFonts w:ascii="Times New Roman" w:hAnsi="Times New Roman" w:eastAsiaTheme="minorEastAsia"/>
          <w:color w:val="000000" w:themeColor="text1"/>
          <w:kern w:val="2"/>
          <w:szCs w:val="24"/>
          <w:lang w:val="en-GB"/>
          <w14:textFill>
            <w14:solidFill>
              <w14:schemeClr w14:val="tx1"/>
            </w14:solidFill>
          </w14:textFill>
        </w:rPr>
        <w:t>Creswell, 2013, p.20</w:t>
      </w:r>
      <w:r>
        <w:rPr>
          <w:rFonts w:hint="eastAsia" w:ascii="Times New Roman" w:hAnsi="Times New Roman" w:eastAsiaTheme="minorEastAsia"/>
          <w:color w:val="000000" w:themeColor="text1"/>
          <w:kern w:val="2"/>
          <w:szCs w:val="24"/>
          <w:lang w:val="en-GB"/>
          <w14:textFill>
            <w14:solidFill>
              <w14:schemeClr w14:val="tx1"/>
            </w14:solidFill>
          </w14:textFill>
        </w:rPr>
        <w:t>). Since t</w:t>
      </w:r>
      <w:r>
        <w:rPr>
          <w:rFonts w:ascii="Times New Roman" w:hAnsi="Times New Roman" w:eastAsiaTheme="minorEastAsia"/>
          <w:color w:val="000000" w:themeColor="text1"/>
          <w:kern w:val="2"/>
          <w:szCs w:val="24"/>
          <w:lang w:val="en-GB"/>
          <w14:textFill>
            <w14:solidFill>
              <w14:schemeClr w14:val="tx1"/>
            </w14:solidFill>
          </w14:textFill>
        </w:rPr>
        <w:t>he aim of this study is to understand an educational phenomenon that is socially constructed in a particular context</w:t>
      </w:r>
      <w:r>
        <w:rPr>
          <w:rFonts w:hint="eastAsia" w:ascii="Times New Roman" w:hAnsi="Times New Roman"/>
          <w:color w:val="000000" w:themeColor="text1"/>
          <w:kern w:val="2"/>
          <w:lang w:val="en-GB"/>
          <w14:textFill>
            <w14:solidFill>
              <w14:schemeClr w14:val="tx1"/>
            </w14:solidFill>
          </w14:textFill>
        </w:rPr>
        <w:t xml:space="preserve">, </w:t>
      </w:r>
      <w:r>
        <w:rPr>
          <w:rFonts w:hint="eastAsia" w:ascii="Times New Roman" w:hAnsi="Times New Roman" w:eastAsiaTheme="minorEastAsia"/>
          <w:color w:val="000000" w:themeColor="text1"/>
          <w:kern w:val="2"/>
          <w:szCs w:val="24"/>
          <w:lang w:val="en-GB"/>
          <w14:textFill>
            <w14:solidFill>
              <w14:schemeClr w14:val="tx1"/>
            </w14:solidFill>
          </w14:textFill>
        </w:rPr>
        <w:t>therefore,</w:t>
      </w:r>
      <w:r>
        <w:rPr>
          <w:rFonts w:ascii="Times New Roman" w:hAnsi="Times New Roman" w:eastAsiaTheme="minorEastAsia"/>
          <w:color w:val="000000" w:themeColor="text1"/>
          <w:kern w:val="2"/>
          <w:szCs w:val="24"/>
          <w:lang w:val="en-GB"/>
          <w14:textFill>
            <w14:solidFill>
              <w14:schemeClr w14:val="tx1"/>
            </w14:solidFill>
          </w14:textFill>
        </w:rPr>
        <w:t xml:space="preserve"> the interpretivist research </w:t>
      </w:r>
      <w:r>
        <w:rPr>
          <w:rFonts w:ascii="Times New Roman" w:hAnsi="Times New Roman"/>
          <w:color w:val="000000" w:themeColor="text1"/>
          <w:lang w:val="en-GB"/>
          <w14:textFill>
            <w14:solidFill>
              <w14:schemeClr w14:val="tx1"/>
            </w14:solidFill>
          </w14:textFill>
        </w:rPr>
        <w:t>paradigm was chosen as the guiding principle of this study.</w:t>
      </w:r>
      <w:r>
        <w:rPr>
          <w:rFonts w:hint="eastAsia" w:ascii="Times New Roman" w:hAnsi="Times New Roman"/>
          <w:color w:val="000000" w:themeColor="text1"/>
          <w:lang w:val="en-GB"/>
          <w14:textFill>
            <w14:solidFill>
              <w14:schemeClr w14:val="tx1"/>
            </w14:solidFill>
          </w14:textFill>
        </w:rPr>
        <w:t xml:space="preserve"> </w:t>
      </w:r>
      <w:r>
        <w:rPr>
          <w:rFonts w:ascii="Times New Roman" w:hAnsi="Times New Roman"/>
          <w:color w:val="000000" w:themeColor="text1"/>
          <w:lang w:val="en-GB"/>
          <w14:textFill>
            <w14:solidFill>
              <w14:schemeClr w14:val="tx1"/>
            </w14:solidFill>
          </w14:textFill>
        </w:rPr>
        <w:t>Under this paradigm, knowledge is constructed through understanding multiple perspectives and interpreting various sociocultural dynamics, making secondary sources crucial for capturing the diversity of viewpoints around modern Sishu education.</w:t>
      </w:r>
    </w:p>
    <w:p w14:paraId="5BE8684C">
      <w:pPr>
        <w:pStyle w:val="11"/>
        <w:widowControl/>
        <w:spacing w:beforeAutospacing="0" w:afterAutospacing="0" w:line="360" w:lineRule="auto"/>
        <w:jc w:val="both"/>
        <w:rPr>
          <w:rFonts w:ascii="Times New Roman" w:hAnsi="Times New Roman"/>
          <w:color w:val="000000" w:themeColor="text1"/>
          <w:lang w:val="en-GB"/>
          <w14:textFill>
            <w14:solidFill>
              <w14:schemeClr w14:val="tx1"/>
            </w14:solidFill>
          </w14:textFill>
        </w:rPr>
      </w:pPr>
    </w:p>
    <w:p w14:paraId="7DF60B5D">
      <w:pPr>
        <w:pStyle w:val="11"/>
        <w:widowControl/>
        <w:spacing w:beforeAutospacing="0" w:afterAutospacing="0" w:line="360" w:lineRule="auto"/>
        <w:jc w:val="both"/>
        <w:rPr>
          <w:rFonts w:ascii="Times New Roman" w:hAnsi="Times New Roman"/>
          <w:color w:val="000000" w:themeColor="text1"/>
          <w:lang w:val="en-GB"/>
          <w14:textFill>
            <w14:solidFill>
              <w14:schemeClr w14:val="tx1"/>
            </w14:solidFill>
          </w14:textFill>
        </w:rPr>
      </w:pPr>
      <w:r>
        <w:rPr>
          <w:rFonts w:ascii="Times New Roman" w:hAnsi="Times New Roman"/>
          <w:color w:val="000000" w:themeColor="text1"/>
          <w:lang w:val="en-GB"/>
          <w14:textFill>
            <w14:solidFill>
              <w14:schemeClr w14:val="tx1"/>
            </w14:solidFill>
          </w14:textFill>
        </w:rPr>
        <w:t xml:space="preserve">Methodologically, a topical literature review offers a focused yet comprehensive approach to examining specific themes and questions within a designated subject area. Unlike a traditional narrative review or systematic review, which can be broad and sometimes superficial, a topical literature review delves deeply into a set of clearly defined research questions or themes (Randolph, 2009). This method has particular advantages in the context of modern Sishu education in China. By synthesizing scholarship that specifically addresses modern Sishu education, it becomes possible to illuminate critical facets such as curriculum design, pedagogical methods, community perceptions, regulatory frameworks, and government attitudes. In addition, the topical literature review was conducted in a manner consistent with the interpretive paradigm. Modern Sishu education is intricately connected to cultural, historical, and ideological contexts, making an interpretive paradigm suitable for this research (Creswell, 2013, p.24-25). The interpretive paradigm values the analysis of social constructs and meanings, and a topical literature review is well positioned to capture how scholars across disciplines conceptualize and study Sishu. By focusing on key themes—such </w:t>
      </w:r>
      <w:r>
        <w:rPr>
          <w:rFonts w:ascii="Times New Roman" w:hAnsi="Times New Roman" w:eastAsiaTheme="minorEastAsia"/>
          <w:color w:val="000000" w:themeColor="text1"/>
          <w:kern w:val="2"/>
          <w:szCs w:val="24"/>
          <w:lang w:val="en-GB"/>
          <w14:textFill>
            <w14:solidFill>
              <w14:schemeClr w14:val="tx1"/>
            </w14:solidFill>
          </w14:textFill>
        </w:rPr>
        <w:t xml:space="preserve">as revitalized Confucian pedagogy, the interplay between private and state education, and governmental policies—a topical review could provide a nuanced understanding of the phenomenon from multiple angles. More </w:t>
      </w:r>
      <w:r>
        <w:rPr>
          <w:rFonts w:ascii="Times New Roman" w:hAnsi="Times New Roman"/>
          <w:color w:val="000000" w:themeColor="text1"/>
          <w:kern w:val="2"/>
          <w:lang w:val="en-GB"/>
          <w14:textFill>
            <w14:solidFill>
              <w14:schemeClr w14:val="tx1"/>
            </w14:solidFill>
          </w14:textFill>
        </w:rPr>
        <w:t>important</w:t>
      </w:r>
      <w:r>
        <w:rPr>
          <w:rFonts w:ascii="Times New Roman" w:hAnsi="Times New Roman" w:eastAsiaTheme="minorEastAsia"/>
          <w:color w:val="000000" w:themeColor="text1"/>
          <w:kern w:val="2"/>
          <w:szCs w:val="24"/>
          <w:lang w:val="en-GB"/>
          <w14:textFill>
            <w14:solidFill>
              <w14:schemeClr w14:val="tx1"/>
            </w14:solidFill>
          </w14:textFill>
        </w:rPr>
        <w:t xml:space="preserve">, modern Sishu cannot be fully understood without acknowledging its historical roots in Confucian academies and the contemporary socio-political climate that shapes its revival (Gilgan, 2023). A topical review allows for a diachronic exploration of how Sishu has transitioned from past to present, integrating classical and modern scholarship to show the evolution of both public discourse and state policy regarding Sishu education. The consolidation of thematically related studies aids in translating academic insights into actionable knowledge for </w:t>
      </w:r>
      <w:r>
        <w:rPr>
          <w:rFonts w:ascii="Times New Roman" w:hAnsi="Times New Roman"/>
          <w:color w:val="000000" w:themeColor="text1"/>
          <w:kern w:val="2"/>
          <w:lang w:val="en-GB"/>
          <w14:textFill>
            <w14:solidFill>
              <w14:schemeClr w14:val="tx1"/>
            </w14:solidFill>
          </w14:textFill>
        </w:rPr>
        <w:t>policymakers</w:t>
      </w:r>
      <w:r>
        <w:rPr>
          <w:rFonts w:ascii="Times New Roman" w:hAnsi="Times New Roman" w:eastAsiaTheme="minorEastAsia"/>
          <w:color w:val="000000" w:themeColor="text1"/>
          <w:kern w:val="2"/>
          <w:szCs w:val="24"/>
          <w:lang w:val="en-GB"/>
          <w14:textFill>
            <w14:solidFill>
              <w14:schemeClr w14:val="tx1"/>
            </w14:solidFill>
          </w14:textFill>
        </w:rPr>
        <w:t>, educators, and stakeholders. When the literature is organi</w:t>
      </w:r>
      <w:r>
        <w:rPr>
          <w:rFonts w:hint="eastAsia" w:ascii="Times New Roman" w:hAnsi="Times New Roman"/>
          <w:color w:val="000000" w:themeColor="text1"/>
          <w:kern w:val="2"/>
          <w:lang w:val="en-GB"/>
          <w14:textFill>
            <w14:solidFill>
              <w14:schemeClr w14:val="tx1"/>
            </w14:solidFill>
          </w14:textFill>
        </w:rPr>
        <w:t>s</w:t>
      </w:r>
      <w:r>
        <w:rPr>
          <w:rFonts w:ascii="Times New Roman" w:hAnsi="Times New Roman" w:eastAsiaTheme="minorEastAsia"/>
          <w:color w:val="000000" w:themeColor="text1"/>
          <w:kern w:val="2"/>
          <w:szCs w:val="24"/>
          <w:lang w:val="en-GB"/>
          <w14:textFill>
            <w14:solidFill>
              <w14:schemeClr w14:val="tx1"/>
            </w14:solidFill>
          </w14:textFill>
        </w:rPr>
        <w:t xml:space="preserve">ed around pressing themes—such as regulation, teaching quality, and cultural </w:t>
      </w:r>
      <w:r>
        <w:rPr>
          <w:rFonts w:ascii="Times New Roman" w:hAnsi="Times New Roman"/>
          <w:color w:val="000000" w:themeColor="text1"/>
          <w:kern w:val="2"/>
          <w:lang w:val="en-GB"/>
          <w14:textFill>
            <w14:solidFill>
              <w14:schemeClr w14:val="tx1"/>
            </w14:solidFill>
          </w14:textFill>
        </w:rPr>
        <w:t xml:space="preserve">transmission, </w:t>
      </w:r>
      <w:r>
        <w:rPr>
          <w:rFonts w:ascii="Times New Roman" w:hAnsi="Times New Roman" w:eastAsiaTheme="minorEastAsia"/>
          <w:color w:val="000000" w:themeColor="text1"/>
          <w:kern w:val="2"/>
          <w:szCs w:val="24"/>
          <w:lang w:val="en-GB"/>
          <w14:textFill>
            <w14:solidFill>
              <w14:schemeClr w14:val="tx1"/>
            </w14:solidFill>
          </w14:textFill>
        </w:rPr>
        <w:t>recommendations and implications become more accessible and directly tied to practical concerns.</w:t>
      </w:r>
    </w:p>
    <w:p w14:paraId="631EF43B">
      <w:pPr>
        <w:spacing w:line="360" w:lineRule="auto"/>
        <w:rPr>
          <w:rFonts w:ascii="Times New Roman" w:hAnsi="Times New Roman"/>
          <w:color w:val="000000" w:themeColor="text1"/>
          <w:sz w:val="24"/>
          <w14:textFill>
            <w14:solidFill>
              <w14:schemeClr w14:val="tx1"/>
            </w14:solidFill>
          </w14:textFill>
        </w:rPr>
      </w:pPr>
    </w:p>
    <w:p w14:paraId="358C689B">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Although this study is based on secondary data and does not involve direct interaction with human participants, ethical considerations still play a central role. The primary ethical concern in this research is ensuring academic integrity through proper citation of all sources. As a literature-based study, it is imperative to give credit to the original authors whose work has contributed to the development of the research field. This includes citing all journal articles, books, policy documents, and other scholarly works used in the review, thus upholding the principles of intellectual honesty and avoiding plagiarism (BERA, 2018).</w:t>
      </w:r>
    </w:p>
    <w:p w14:paraId="6695CEBC">
      <w:pPr>
        <w:spacing w:line="360" w:lineRule="auto"/>
        <w:rPr>
          <w:rFonts w:ascii="Times New Roman" w:hAnsi="Times New Roman"/>
          <w:color w:val="000000" w:themeColor="text1"/>
          <w:sz w:val="24"/>
          <w14:textFill>
            <w14:solidFill>
              <w14:schemeClr w14:val="tx1"/>
            </w14:solidFill>
          </w14:textFill>
        </w:rPr>
      </w:pPr>
    </w:p>
    <w:p w14:paraId="1C28E6A1">
      <w:pPr>
        <w:pStyle w:val="3"/>
        <w:numPr>
          <w:ilvl w:val="1"/>
          <w:numId w:val="3"/>
        </w:numPr>
      </w:pPr>
      <w:bookmarkStart w:id="10" w:name="_Toc7913"/>
      <w:r>
        <w:t>Database</w:t>
      </w:r>
      <w:bookmarkEnd w:id="10"/>
    </w:p>
    <w:p w14:paraId="68246A47">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Since this study is a review of educational research, I first chose the ERIC (Education Resources Information Centre) database as the search engine. Sponsored by the U.S. Department of Education's Institute of Educational Sciences. Given that the focus of this study is to discover and clarify the phenomenon of modern Sishu education in China, which involves the reference to many current literatures in the field of education in the East and the West, the ERIC database can provide the necessary reference materials for this study and help researchers achieve the research objectives. Scopus was chosen as a search database for this research due to its comprehensive coverage, multidisciplinary scope, and robust citation tools. Scopus indexes thousands of peer-reviewed journals, conference proceedings, and books across a wide range of academic fields, ensuring that relevant literature from education, social sciences, and related disciplines can be systematically identified (Mongeon &amp; Paul-Hus, 2016). This breadth of coverage is particularly valuable when exploring complex, interdisciplinary topics such as modern Sishu education in China, which may appear in journals spanning educational policy, cultural studies and more. </w:t>
      </w:r>
    </w:p>
    <w:p w14:paraId="580E240C">
      <w:pPr>
        <w:spacing w:line="360" w:lineRule="auto"/>
        <w:rPr>
          <w:rFonts w:ascii="Times New Roman" w:hAnsi="Times New Roman"/>
          <w:color w:val="000000" w:themeColor="text1"/>
          <w:sz w:val="24"/>
          <w14:textFill>
            <w14:solidFill>
              <w14:schemeClr w14:val="tx1"/>
            </w14:solidFill>
          </w14:textFill>
        </w:rPr>
      </w:pPr>
    </w:p>
    <w:p w14:paraId="3189BCAC">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Google Scholar is a widely used academic search engine that aggregates scholarly articles, theses, books, conference papers, and reports from numerous disciplines. It was chosen for this study because of its comprehensive coverage of both Western and Chinese academic outputs on Sishu education, as well as educational research in general. Research evidence shows that almost all citations found by Web of Science and Scopus can be identified by Google Schoolar. Not only that, but Google Schoolar found many unique citations not indexed in other databases, more than 50% of all citations in the field ((Martín-Martín, Orduna-Malea and Delgado López-Cózar, 2018)). CNKI (China National Knowledge Infrastructure) is one of the largest and most authoritative academic databases in China. It offers full-text access to journal articles, dissertations, conference papers, and statistical data published in Chinese (Liu, 2024). Since Sishu education is a China-specific phenomenon, using CNKI ensures coverage of local research, policy documents, and historical records that may not be readily available in English-language databases.</w:t>
      </w:r>
    </w:p>
    <w:p w14:paraId="0C17E3EF">
      <w:pPr>
        <w:spacing w:line="360" w:lineRule="auto"/>
        <w:rPr>
          <w:rFonts w:ascii="Times New Roman" w:hAnsi="Times New Roman"/>
          <w:color w:val="000000" w:themeColor="text1"/>
          <w:sz w:val="24"/>
          <w14:textFill>
            <w14:solidFill>
              <w14:schemeClr w14:val="tx1"/>
            </w14:solidFill>
          </w14:textFill>
        </w:rPr>
      </w:pPr>
    </w:p>
    <w:p w14:paraId="0B900C50">
      <w:pPr>
        <w:pStyle w:val="3"/>
        <w:numPr>
          <w:ilvl w:val="1"/>
          <w:numId w:val="3"/>
        </w:numPr>
      </w:pPr>
      <w:bookmarkStart w:id="11" w:name="_Toc32416"/>
      <w:bookmarkStart w:id="32" w:name="_GoBack"/>
      <w:bookmarkEnd w:id="32"/>
      <w:r>
        <w:t>Inclusion and Exclusion Criteria</w:t>
      </w:r>
      <w:bookmarkEnd w:id="11"/>
    </w:p>
    <w:p w14:paraId="30350D4A">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Before introducing the inclusion and exclusion criteria to select sources, an issue of the term Sishu should be brought up. One of the aims of this study is to clarify the term ‘modern Sishu education’. However, modern Sishu education is very similar to Western homeschooling in terms of concept. They have many things in common in terms of philosophy, practice, and causes. Nevertheless, modern Sishu education in China should not simply be incorporated into the Western framework of homeschooling, but rather must be interpreted in the context of Chinese history and culture. Currently, most of the English literature refers to modern Sishu education as a form of homeschooling; Many Chinese literature and Chinese scholars also refer to it as a simple form of homeschooling. This results in a limited number of publications in English literature using the term ‘Sishu’ in their titles or keywords. Especially in Scopus, the concept of Sishu education almost appears under the title ‘homeschooling’, even sometimes confused with ‘home education’. Nevertheless, there are some empirical studies that can be used as a reference for the definition of Sishu education in this study. These studies can help readers understand Sishu education, and support the development of this study. Since there are many conceptual similarities between modern Chinese Sishu education and Western ‘homeschooling’, this study will use the research literature on ‘homeschooling’ in China as one of the references for modern Sishu education. In other words, this study will use both Chinese and English literature with ‘home schooling’ as the keyword or related concepts as an interpretation and comparative reference for Sishu education in China.</w:t>
      </w:r>
    </w:p>
    <w:p w14:paraId="7E4B9A82">
      <w:pPr>
        <w:spacing w:line="360" w:lineRule="auto"/>
        <w:rPr>
          <w:rFonts w:ascii="Times New Roman" w:hAnsi="Times New Roman"/>
          <w:color w:val="000000" w:themeColor="text1"/>
          <w:sz w:val="24"/>
          <w14:textFill>
            <w14:solidFill>
              <w14:schemeClr w14:val="tx1"/>
            </w14:solidFill>
          </w14:textFill>
        </w:rPr>
      </w:pPr>
    </w:p>
    <w:p w14:paraId="35736A22">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According to the basic principles of literature review (Randolph, 2009), this study needs to comprehensively cover secondary data that are highly relevant to the research question. The research question focuses on the current development status of Sishu education, the difference from national education, and the government’s attitude and causes. Therefore, the selected literature should be closely cantered on:</w:t>
      </w:r>
    </w:p>
    <w:p w14:paraId="27BB6C66">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(1) Modern Sishu education: scholars’ definition of Sishu education, their forms of operation, curriculum structure, teaching methods, and their relationship with the Confucian tradition .</w:t>
      </w:r>
    </w:p>
    <w:p w14:paraId="5C3A5AEC">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w:t>
      </w:r>
      <w:r>
        <w:rPr>
          <w:rFonts w:hint="eastAsia" w:ascii="Times New Roman" w:hAnsi="Times New Roman"/>
          <w:color w:val="000000" w:themeColor="text1"/>
          <w:sz w:val="24"/>
          <w14:textFill>
            <w14:solidFill>
              <w14:schemeClr w14:val="tx1"/>
            </w14:solidFill>
          </w14:textFill>
        </w:rPr>
        <w:t>2</w:t>
      </w:r>
      <w:r>
        <w:rPr>
          <w:rFonts w:ascii="Times New Roman" w:hAnsi="Times New Roman"/>
          <w:color w:val="000000" w:themeColor="text1"/>
          <w:sz w:val="24"/>
          <w14:textFill>
            <w14:solidFill>
              <w14:schemeClr w14:val="tx1"/>
            </w14:solidFill>
          </w14:textFill>
        </w:rPr>
        <w:t>) Government policies and social and cultural environment: local and central government supervision and support measures for Sishu, support or doubt from public opinion, and the historical and cultural logic behind them.</w:t>
      </w:r>
    </w:p>
    <w:p w14:paraId="45BEEFB8">
      <w:pPr>
        <w:spacing w:line="360" w:lineRule="auto"/>
        <w:rPr>
          <w:rFonts w:ascii="Times New Roman" w:hAnsi="Times New Roman"/>
          <w:color w:val="000000" w:themeColor="text1"/>
          <w:sz w:val="24"/>
          <w14:textFill>
            <w14:solidFill>
              <w14:schemeClr w14:val="tx1"/>
            </w14:solidFill>
          </w14:textFill>
        </w:rPr>
      </w:pPr>
    </w:p>
    <w:p w14:paraId="48FF3378">
      <w:pPr>
        <w:pStyle w:val="3"/>
        <w:numPr>
          <w:ilvl w:val="1"/>
          <w:numId w:val="3"/>
        </w:numPr>
      </w:pPr>
      <w:bookmarkStart w:id="12" w:name="_Toc8855"/>
      <w:r>
        <w:t>Inclusion Criteria</w:t>
      </w:r>
      <w:bookmarkEnd w:id="12"/>
    </w:p>
    <w:p w14:paraId="01666355">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By searching the academic works, peer-reviewed journal articles, and policy documents in the above dimensions, the researcher could ensure a more systematic and three-dimensional understanding of the topic of Sishu education, and provide sufficient theoretical and factual evidence for the research questions (Booth, Sutton, </w:t>
      </w:r>
      <w:r>
        <w:rPr>
          <w:rFonts w:hint="eastAsia" w:ascii="Times New Roman" w:hAnsi="Times New Roman"/>
          <w:color w:val="000000" w:themeColor="text1"/>
          <w:sz w:val="24"/>
          <w14:textFill>
            <w14:solidFill>
              <w14:schemeClr w14:val="tx1"/>
            </w14:solidFill>
          </w14:textFill>
        </w:rPr>
        <w:t>and</w:t>
      </w:r>
      <w:r>
        <w:rPr>
          <w:rFonts w:ascii="Times New Roman" w:hAnsi="Times New Roman"/>
          <w:color w:val="000000" w:themeColor="text1"/>
          <w:sz w:val="24"/>
          <w14:textFill>
            <w14:solidFill>
              <w14:schemeClr w14:val="tx1"/>
            </w14:solidFill>
          </w14:textFill>
        </w:rPr>
        <w:t xml:space="preserve"> Papaioannou, 2016). In theory, Sishu education is closely related to the influence of Confucianism on educational concepts and curriculum settings, and also involves classic sociological frameworks such as cultural capital and social reproduction theory (Bourdieu, 1977; Chen </w:t>
      </w:r>
      <w:r>
        <w:rPr>
          <w:rFonts w:hint="eastAsia" w:ascii="Times New Roman" w:hAnsi="Times New Roman"/>
          <w:color w:val="000000" w:themeColor="text1"/>
          <w:sz w:val="24"/>
          <w14:textFill>
            <w14:solidFill>
              <w14:schemeClr w14:val="tx1"/>
            </w14:solidFill>
          </w14:textFill>
        </w:rPr>
        <w:t>and</w:t>
      </w:r>
      <w:r>
        <w:rPr>
          <w:rFonts w:ascii="Times New Roman" w:hAnsi="Times New Roman"/>
          <w:color w:val="000000" w:themeColor="text1"/>
          <w:sz w:val="24"/>
          <w14:textFill>
            <w14:solidFill>
              <w14:schemeClr w14:val="tx1"/>
            </w14:solidFill>
          </w14:textFill>
        </w:rPr>
        <w:t xml:space="preserve"> Li, 2019; Sheng, 2020). In practice, Sishu education is often affected by local policies, social opinions and economic market demand, its rise and fall is closely related to macro factors such as government regulation, market-oriented reforms, and changes in educational demand (Yu, 2013; Qin, 2021). Therefore, when selecting literature, I will also take into account both theoretical rigor and empirical support.</w:t>
      </w:r>
    </w:p>
    <w:p w14:paraId="4FFD5419">
      <w:pPr>
        <w:spacing w:line="360" w:lineRule="auto"/>
        <w:rPr>
          <w:rFonts w:ascii="Times New Roman" w:hAnsi="Times New Roman"/>
          <w:color w:val="000000" w:themeColor="text1"/>
          <w:sz w:val="24"/>
          <w14:textFill>
            <w14:solidFill>
              <w14:schemeClr w14:val="tx1"/>
            </w14:solidFill>
          </w14:textFill>
        </w:rPr>
      </w:pPr>
    </w:p>
    <w:p w14:paraId="449020F8">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Only sources directly relating to Sishu education, homeschooling in China, or the Chinese government’s educational policy were included. Priority was given to works published in reputable, peer-reviewed academic journals, as well as authoritative bodies (e.g., the Ministry of Education, UNESCO). This ensures the reliability and scholarly rigor of the data and interpretations (Booth et al., 2016). Due to the fact that ‘home schooling’ is a new concept that emerged in China in the 2000s, the main corpus concentrated on publications post-2000 to capture the contemporary revival and reforms of Sishu education. Earlier works were included only if they significantly illuminated the historical evolution of Sishu education, relevant to the current context. Since this research aims to present an accurate portrayal of the modern Sishu education, it was crucial to incorporate both Chinese-language sources (via CNKI) and English-language scholarship, ensuring a more comprehensive perspective. Studies that demonstrated clear methodologies, robust data collection, and coherent theoretical grounding were given priority. Media reports were included only when from reputable outlets such as Xinhua or China Daily, especially if they corroborated policy changes or official statements. Qualitative, quantitative, and mixed-methods research were all considered, provided they directly addressed aspects of Sishu education or private education policy.</w:t>
      </w:r>
    </w:p>
    <w:p w14:paraId="684D9FE2">
      <w:pPr>
        <w:spacing w:line="360" w:lineRule="auto"/>
        <w:rPr>
          <w:rFonts w:ascii="Times New Roman" w:hAnsi="Times New Roman"/>
          <w:color w:val="000000" w:themeColor="text1"/>
          <w:sz w:val="24"/>
          <w14:textFill>
            <w14:solidFill>
              <w14:schemeClr w14:val="tx1"/>
            </w14:solidFill>
          </w14:textFill>
        </w:rPr>
      </w:pPr>
    </w:p>
    <w:p w14:paraId="04FBA07C">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Use ‘homeschooling’ as the search keyword on Google Schoolar. Select Advanced Search and set the keyword search scope to ‘anywhere in the article’. Enter ‘homeschooling’ as the keyword in the ‘contains all words’ column and ‘China’ as the keyword in the ‘contains at least one word’ column. Search these two keywords at the same time and you will get 16,000 relevant results. Without changing the keywords, select the ‘all in title’ option. The result will be 10 articles whose titles contain both keywords. The titles of these 10 articles all contain homeschooling and China, which are highly relevant to the topic of this study. A search for the keyword ‘homeschooling’ on Scopus yielded 66 results. I excluded 12 articles on forced homeschooling in the context of the pandemic, as this situation is not the same as homeschooling that has voluntarily opted out of the national compulsory education system and is not subject to review in this study. 3 studies on homeschooling children with autism and children with learning disabilities will be used to illustrate one of the possible reasons for choosing homeschooling. However, they cannot be used as a typical reason for choosing homeschooling, especially in the trend of homeschooling in China. Among them, there are also 2 cases of homeschooling of gifted children or children with some kind of talent, which do not account for the majority of the entire modern homeschooling trend, so it cannot explain most parents' motivation to choose homeschooling. However, as an objective phenomenon, they are worthy of being known to the reader. 20 articles on the topics of substance abuse, educational dialectics, and topics that have little to do with the concept and empirical research of homeschooling are also excluded. In the end, 28 results were obtained that were most relevant to the research theme. There were only 4 studies on homeschooling in China. Searching for Chinese literature with the keyword ‘Modern Sishu’ on CNKI, the total result is 100 pieces of literature, but not all of them are related to the topic of this study, for example, some are related to folk traditions, traditional classics and other topics. Therefore, I used CNKI's exclusion tool to only select ‘Modern Sishu’ and ‘Sishu education’ as the main topics to narrow the scope of literature, and limit the year of the paper to the period from 2000 to 2024. With this operation, the number of Chinese literatures was reduced to a total of 60 articles. These included 21 academic journals, 2 degree theories, 2 conferences, 13 newspapers, and 22 special journals. By reading the abstracts and keywords of these literatures, and excluding the literature that is not related to the research topic, such as ‘children's art education’ and other topics, 12 academic journals, 1 academic paper, and 11 featured journals related to this research topic were finally filtered out. Searching for literature with the keyword ‘Modern Sishu’ in Eric showed no results. The search for ‘Sishu’ also returned no results. When changing the keyword to ‘Study at home and in China’, 276,050 relevant literatures appeared, and 156,510 articles were peer reviewed. However, based on a rough review of the titles of these articles, it was found that there were few articles related to the research topic. </w:t>
      </w:r>
      <w:r>
        <w:rPr>
          <w:rFonts w:hint="eastAsia" w:ascii="Times New Roman" w:hAnsi="Times New Roman"/>
          <w:color w:val="000000" w:themeColor="text1"/>
          <w:sz w:val="24"/>
          <w14:textFill>
            <w14:solidFill>
              <w14:schemeClr w14:val="tx1"/>
            </w14:solidFill>
          </w14:textFill>
        </w:rPr>
        <w:t>Therefore,</w:t>
      </w:r>
      <w:r>
        <w:rPr>
          <w:rFonts w:ascii="Times New Roman" w:hAnsi="Times New Roman"/>
          <w:color w:val="000000" w:themeColor="text1"/>
          <w:sz w:val="24"/>
          <w14:textFill>
            <w14:solidFill>
              <w14:schemeClr w14:val="tx1"/>
            </w14:solidFill>
          </w14:textFill>
        </w:rPr>
        <w:t xml:space="preserve"> I decided to change the keyword to ‘homeschooling and China’, and the search results only had 6 relevant articles, and after reading the abstracts of 6 articles, I finally identified that only 1 article was related to modern Sishu in China.</w:t>
      </w:r>
    </w:p>
    <w:p w14:paraId="4448606E">
      <w:pPr>
        <w:spacing w:line="360" w:lineRule="auto"/>
        <w:rPr>
          <w:rFonts w:ascii="Times New Roman" w:hAnsi="Times New Roman"/>
          <w:color w:val="000000" w:themeColor="text1"/>
          <w:sz w:val="24"/>
          <w14:textFill>
            <w14:solidFill>
              <w14:schemeClr w14:val="tx1"/>
            </w14:solidFill>
          </w14:textFill>
        </w:rPr>
      </w:pPr>
    </w:p>
    <w:p w14:paraId="27A83C52">
      <w:pPr>
        <w:pStyle w:val="3"/>
        <w:numPr>
          <w:ilvl w:val="1"/>
          <w:numId w:val="3"/>
        </w:numPr>
        <w:spacing w:line="360" w:lineRule="auto"/>
      </w:pPr>
      <w:bookmarkStart w:id="13" w:name="_Toc4495"/>
      <w:r>
        <w:t>Exclusion Criteria</w:t>
      </w:r>
      <w:bookmarkEnd w:id="13"/>
    </w:p>
    <w:p w14:paraId="7C1EDFE4">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Materials focusing on broader homeschooling education or Confucian philosophy without mention or clear relevance to Sishu education were excluded. Articles that merely mentioned Sishu in passing without in-depth exploration were excluded to maintain focus. Opinion editorials or unverified news items lacking supporting data or formal interviews were excluded to maintain academic integrity. Duplicate studies encountered across databases, or repeated findings from the same authors in multiple articles, were consolidated to avoid redundancy (Booth et al., 2016). Works failing to provide methodological clarity (e.g., unsubstantiated claims, anecdotal evidence without data) were excluded to ensure the quality of this review.</w:t>
      </w:r>
    </w:p>
    <w:p w14:paraId="47802052">
      <w:pPr>
        <w:spacing w:line="360" w:lineRule="auto"/>
        <w:rPr>
          <w:rFonts w:ascii="Times New Roman" w:hAnsi="Times New Roman"/>
          <w:color w:val="000000" w:themeColor="text1"/>
          <w:sz w:val="24"/>
          <w14:textFill>
            <w14:solidFill>
              <w14:schemeClr w14:val="tx1"/>
            </w14:solidFill>
          </w14:textFill>
        </w:rPr>
      </w:pPr>
    </w:p>
    <w:p w14:paraId="1964B23F">
      <w:pPr>
        <w:pStyle w:val="3"/>
        <w:numPr>
          <w:ilvl w:val="1"/>
          <w:numId w:val="3"/>
        </w:numPr>
        <w:spacing w:line="360" w:lineRule="auto"/>
      </w:pPr>
      <w:bookmarkStart w:id="14" w:name="_Toc1918"/>
      <w:r>
        <w:t>Procedures to Analyse Sources</w:t>
      </w:r>
      <w:bookmarkEnd w:id="14"/>
    </w:p>
    <w:p w14:paraId="4716E72A">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After the searches in Google Scholar, Scoups, CNKI, and Eric, an initial set of around 63 items was compiled. Each item’s title, abstract or summary, and keywords were reviewed to ascertain its direct relevance to the two research questions. For the state of Sishu education, consider whether the source provides empirical data, historical context, or descriptive accounts of Sishu education operations in China. As for government’s attitude, consider whether the source details, official policies, legal frameworks, or rhetorical stances taken by government authorities are toward Sishu education. Articles that clearly engaged with at least one of the questions were placed in a ‘potentially relevant’ folder. Those not meeting any of the consideration were moved to an ‘excluded’ folder. </w:t>
      </w:r>
    </w:p>
    <w:p w14:paraId="54AF0CA6">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5A8526B4">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This stage is the mapping of key information from the studies selected for review.</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(Arksey and O’Malley, 2005)</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It is used as a common analytical framework to collect standardised information for all major studies reviewed. The data chart for collecting information is iterative in nature, and the table may be modified multiple times throughout the process (Arksey and O’Malley，2005; Levac et al., 2010). However, it is up to the researcher to decide which categories to map</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For this study, I used the following categories: author, year, title, type of reference, keywords, methods and findings. During the full-text screening process, I classified the literature according to the extent to which the content of the literature might answer the research questions, and placed each study in the appropriate folder named after the research question.</w:t>
      </w:r>
    </w:p>
    <w:p w14:paraId="412A9E88">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1B10AAC4">
      <w:pPr>
        <w:pStyle w:val="2"/>
        <w:numPr>
          <w:ilvl w:val="0"/>
          <w:numId w:val="3"/>
        </w:numPr>
      </w:pPr>
      <w:bookmarkStart w:id="15" w:name="_Toc8927"/>
      <w:r>
        <w:rPr>
          <w:rFonts w:hint="eastAsia"/>
        </w:rPr>
        <w:t>LITERATURE REVIEW</w:t>
      </w:r>
      <w:bookmarkEnd w:id="15"/>
    </w:p>
    <w:p w14:paraId="6973CF22">
      <w:pPr>
        <w:pStyle w:val="3"/>
        <w:rPr>
          <w:color w:val="000000" w:themeColor="text1"/>
          <w:sz w:val="24"/>
          <w14:textFill>
            <w14:solidFill>
              <w14:schemeClr w14:val="tx1"/>
            </w14:solidFill>
          </w14:textFill>
        </w:rPr>
      </w:pPr>
      <w:bookmarkStart w:id="16" w:name="_Toc18462"/>
      <w:r>
        <w:rPr>
          <w:rFonts w:hint="eastAsia"/>
          <w:lang w:val="en-US"/>
        </w:rPr>
        <w:t xml:space="preserve">3.1 </w:t>
      </w:r>
      <w:r>
        <w:t xml:space="preserve">Theme </w:t>
      </w:r>
      <w:r>
        <w:rPr>
          <w:rFonts w:hint="eastAsia"/>
          <w:lang w:val="en-US"/>
        </w:rPr>
        <w:t>one</w:t>
      </w:r>
      <w:r>
        <w:t>: Introduction to Sishu Education</w:t>
      </w:r>
      <w:bookmarkEnd w:id="16"/>
    </w:p>
    <w:p w14:paraId="1ADE3275">
      <w:pPr>
        <w:pStyle w:val="4"/>
        <w:numPr>
          <w:ilvl w:val="2"/>
          <w:numId w:val="3"/>
        </w:numPr>
      </w:pPr>
      <w:bookmarkStart w:id="17" w:name="_Toc25961"/>
      <w:r>
        <w:t>Background of Traditional Sishu</w:t>
      </w:r>
      <w:bookmarkEnd w:id="17"/>
    </w:p>
    <w:p w14:paraId="59426395">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This section on traditional Sishu is mostly based on Jiang (2017). Jiang is a professor in the School of Education at East China Normal University. He has made significant contributions to the study of the history of Sishu in China and is an authority on the understanding and interpretation of ancient Chinese Sishu (East China Normal University, Department of Education, 2016). According to Jiang (2017), Sishu can be considered as the educational institution with the longest duration and the largest number i</w:t>
      </w:r>
      <w:r>
        <w:rPr>
          <w:rFonts w:hint="eastAsia" w:ascii="Times New Roman" w:hAnsi="Times New Roman"/>
          <w:color w:val="000000" w:themeColor="text1"/>
          <w:sz w:val="24"/>
          <w14:textFill>
            <w14:solidFill>
              <w14:schemeClr w14:val="tx1"/>
            </w14:solidFill>
          </w14:textFill>
        </w:rPr>
        <w:t>n Chinese history (Jiang, 2017, p. 295). The name ‘Shu [塾]’ for educational institutions originated in the Western Zhou Dynasty in China. As China</w:t>
      </w:r>
      <w:r>
        <w:rPr>
          <w:rFonts w:ascii="Times New Roman" w:hAnsi="Times New Roman"/>
          <w:color w:val="000000" w:themeColor="text1"/>
          <w:sz w:val="24"/>
          <w14:textFill>
            <w14:solidFill>
              <w14:schemeClr w14:val="tx1"/>
            </w14:solidFill>
          </w14:textFill>
        </w:rPr>
        <w:t>’</w:t>
      </w:r>
      <w:r>
        <w:rPr>
          <w:rFonts w:hint="eastAsia" w:ascii="Times New Roman" w:hAnsi="Times New Roman"/>
          <w:color w:val="000000" w:themeColor="text1"/>
          <w:sz w:val="24"/>
          <w14:textFill>
            <w14:solidFill>
              <w14:schemeClr w14:val="tx1"/>
            </w14:solidFill>
          </w14:textFill>
        </w:rPr>
        <w:t>s feudal society evolved, particularly during the Sui and Tang dynasties, when the ‘Keju [科举]’ system (the ancient Chinese system of selecting officials through examinations) was established, private educational institutions named ‘Shu [塾]’ became increasingly prevalent (Jiang, 2017, p. 1). During this period, the gradual increase in Sishu can be attributed to th</w:t>
      </w:r>
      <w:r>
        <w:rPr>
          <w:rFonts w:ascii="Times New Roman" w:hAnsi="Times New Roman"/>
          <w:color w:val="000000" w:themeColor="text1"/>
          <w:sz w:val="24"/>
          <w14:textFill>
            <w14:solidFill>
              <w14:schemeClr w14:val="tx1"/>
            </w14:solidFill>
          </w14:textFill>
        </w:rPr>
        <w:t>e fact that local official schools were unable to assume responsibility for basic education, thus leaving the lower classes without adequate educational provision. In this particular instance, the cultural education of candidates undertaking the ‘Keju’ exa</w:t>
      </w:r>
      <w:r>
        <w:rPr>
          <w:rFonts w:hint="eastAsia" w:ascii="Times New Roman" w:hAnsi="Times New Roman"/>
          <w:color w:val="000000" w:themeColor="text1"/>
          <w:sz w:val="24"/>
          <w14:textFill>
            <w14:solidFill>
              <w14:schemeClr w14:val="tx1"/>
            </w14:solidFill>
          </w14:textFill>
        </w:rPr>
        <w:t>mination, as well as that of the general populace, is contingent upon private instruction provided by private teachings. Since this kind of teaching institution is often named ‘Shu [塾]’, ‘Si’ means ‘private’ in Chinese, therefore, it is called ‘Sishu’ (Jia</w:t>
      </w:r>
      <w:r>
        <w:rPr>
          <w:rFonts w:ascii="Times New Roman" w:hAnsi="Times New Roman"/>
          <w:color w:val="000000" w:themeColor="text1"/>
          <w:sz w:val="24"/>
          <w14:textFill>
            <w14:solidFill>
              <w14:schemeClr w14:val="tx1"/>
            </w14:solidFill>
          </w14:textFill>
        </w:rPr>
        <w:t xml:space="preserve">ng, 2017, p. 18). Following the prosperous development of the Song Dynasty, Sishu had become the primary driving force in the field of education in China. By the time of the Ming and Qing Dynasties, Sishu had reached its zenith, spreading across urban and </w:t>
      </w:r>
      <w:r>
        <w:rPr>
          <w:rFonts w:hint="eastAsia" w:ascii="Times New Roman" w:hAnsi="Times New Roman"/>
          <w:color w:val="000000" w:themeColor="text1"/>
          <w:sz w:val="24"/>
          <w14:textFill>
            <w14:solidFill>
              <w14:schemeClr w14:val="tx1"/>
            </w14:solidFill>
          </w14:textFill>
        </w:rPr>
        <w:t>rural areas (Jiang, 2017, p. 1).</w:t>
      </w:r>
    </w:p>
    <w:p w14:paraId="62F323FE">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4B8B173">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Jiang (2017) provides a concise and fascinating account of the role of Sishu in the context of the ancient Chinese feudal system. Jiang's position on </w:t>
      </w:r>
      <w:r>
        <w:rPr>
          <w:rFonts w:hint="eastAsia" w:ascii="Times New Roman" w:hAnsi="Times New Roman"/>
          <w:color w:val="000000" w:themeColor="text1"/>
          <w:sz w:val="24"/>
          <w:lang w:val="en-US"/>
          <w14:textFill>
            <w14:solidFill>
              <w14:schemeClr w14:val="tx1"/>
            </w14:solidFill>
          </w14:textFill>
        </w:rPr>
        <w:t>Sishu</w:t>
      </w:r>
      <w:r>
        <w:rPr>
          <w:rFonts w:ascii="Times New Roman" w:hAnsi="Times New Roman"/>
          <w:color w:val="000000" w:themeColor="text1"/>
          <w:sz w:val="24"/>
          <w14:textFill>
            <w14:solidFill>
              <w14:schemeClr w14:val="tx1"/>
            </w14:solidFill>
          </w14:textFill>
        </w:rPr>
        <w:t xml:space="preserve"> in ancient China is that they were diverse in type, widely distributed, and numerous. He further asserts that there were neither corresponding thresholds for running a Sishu nor standard teaching norms. The quality of Sishu teachers was found to vary, and the quality of education was found to be uneven. Nevertheless, it is undeniable that it possesses its own rationality and important historical significance. Jiang claimed that, due to the absence of government involvement in basic education in ancient society, it was closely linked to the examination system called Keju implemented by the government. In the context of the prevailing socio-economic landscape, it was common for parents to enrol their children in Sishu institutions. If the children get commendable academic results, they might succeed in becoming an official in a state institution. If things go badly and they fail the Keju exam, at least their children will be able to read and write and master basic literacy and numeracy skills, which will better equip them to establish a solid foundation within society than if they are illiterate. Consequently, from the general populace to high-ranking officials, there was a prevalent practice of enrolling children in Sishu or engaging Sishu tutors for home-based teaching. Sishu institutions supplied a considerable number of candidates for the Keju examination, thereby meeting the government’s demand for talent. Furthermore, people who had failed the Keju examinations were likely to result in an increase in the number of Sishu teachers, as these individuals would often become teachers at Sishu. In this way, without the direct involvement and management of the government, Sishu established their own distinctive educational ecology in ancient Chinese civil society (Jiang, 2017, p. 271).</w:t>
      </w:r>
    </w:p>
    <w:p w14:paraId="5C7C4B03">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756A1CF">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Jiang pointed out that since the Han Dynasty, the content of </w:t>
      </w:r>
      <w:r>
        <w:rPr>
          <w:rFonts w:hint="eastAsia" w:ascii="Times New Roman" w:hAnsi="Times New Roman"/>
          <w:color w:val="000000" w:themeColor="text1"/>
          <w:sz w:val="24"/>
          <w:lang w:val="en-US"/>
          <w14:textFill>
            <w14:solidFill>
              <w14:schemeClr w14:val="tx1"/>
            </w14:solidFill>
          </w14:textFill>
        </w:rPr>
        <w:t>Sishu</w:t>
      </w:r>
      <w:r>
        <w:rPr>
          <w:rFonts w:ascii="Times New Roman" w:hAnsi="Times New Roman"/>
          <w:color w:val="000000" w:themeColor="text1"/>
          <w:sz w:val="24"/>
          <w14:textFill>
            <w14:solidFill>
              <w14:schemeClr w14:val="tx1"/>
            </w14:solidFill>
          </w14:textFill>
        </w:rPr>
        <w:t xml:space="preserve"> teaching has included basic knowledge of literature, history and calligraphy. This is followed by arithmetic, the calendar and geography. A daily routine was reading the classics, </w:t>
      </w:r>
      <w:r>
        <w:rPr>
          <w:rFonts w:hint="eastAsia" w:ascii="Times New Roman" w:hAnsi="Times New Roman"/>
          <w:color w:val="000000" w:themeColor="text1"/>
          <w:sz w:val="24"/>
          <w14:textFill>
            <w14:solidFill>
              <w14:schemeClr w14:val="tx1"/>
            </w14:solidFill>
          </w14:textFill>
        </w:rPr>
        <w:t xml:space="preserve">such as </w:t>
      </w:r>
      <w:r>
        <w:rPr>
          <w:rFonts w:hint="eastAsia" w:ascii="Times New Roman" w:hAnsi="Times New Roman"/>
          <w:i/>
          <w:iCs/>
          <w:color w:val="000000" w:themeColor="text1"/>
          <w:sz w:val="24"/>
          <w14:textFill>
            <w14:solidFill>
              <w14:schemeClr w14:val="tx1"/>
            </w14:solidFill>
          </w14:textFill>
        </w:rPr>
        <w:t>the Filial Piety</w:t>
      </w:r>
      <w:r>
        <w:rPr>
          <w:rFonts w:hint="eastAsia" w:ascii="Times New Roman" w:hAnsi="Times New Roman"/>
          <w:color w:val="000000" w:themeColor="text1"/>
          <w:sz w:val="24"/>
          <w14:textFill>
            <w14:solidFill>
              <w14:schemeClr w14:val="tx1"/>
            </w14:solidFill>
          </w14:textFill>
        </w:rPr>
        <w:t xml:space="preserve"> (Xiaojing 孝经) and the Analects. The aim was to pass the Keju exam. Since most of the exam questions were based on Confucian classics, requiring students to write or discuss them, the content of Sishu learning was almost based on Co</w:t>
      </w:r>
      <w:r>
        <w:rPr>
          <w:rFonts w:ascii="Times New Roman" w:hAnsi="Times New Roman"/>
          <w:color w:val="000000" w:themeColor="text1"/>
          <w:sz w:val="24"/>
          <w14:textFill>
            <w14:solidFill>
              <w14:schemeClr w14:val="tx1"/>
            </w14:solidFill>
          </w14:textFill>
        </w:rPr>
        <w:t>nfucian classics. Children learned these from an early age in order to prepare for further study of the Confucian classics and passing the Keju examinations (Jiang, 2017, p. 10). In addition, the children will be instructed in personal cultivation methods,</w:t>
      </w:r>
      <w:r>
        <w:rPr>
          <w:rFonts w:hint="eastAsia" w:ascii="Times New Roman" w:hAnsi="Times New Roman"/>
          <w:color w:val="000000" w:themeColor="text1"/>
          <w:sz w:val="24"/>
          <w14:textFill>
            <w14:solidFill>
              <w14:schemeClr w14:val="tx1"/>
            </w14:solidFill>
          </w14:textFill>
        </w:rPr>
        <w:t xml:space="preserve"> etiquette, morality, and social obligations as they relate to Confucian teachings. For more detailed teaching content and methods, please refer to </w:t>
      </w:r>
      <w:r>
        <w:rPr>
          <w:rFonts w:hint="eastAsia" w:ascii="Times New Roman" w:hAnsi="Times New Roman"/>
          <w:i/>
          <w:iCs/>
          <w:color w:val="000000" w:themeColor="text1"/>
          <w:sz w:val="24"/>
          <w14:textFill>
            <w14:solidFill>
              <w14:schemeClr w14:val="tx1"/>
            </w14:solidFill>
          </w14:textFill>
        </w:rPr>
        <w:t>the  Annual Study Schedule for the Cheng's Family</w:t>
      </w:r>
      <w:r>
        <w:rPr>
          <w:rFonts w:hint="eastAsia" w:ascii="Times New Roman" w:hAnsi="Times New Roman"/>
          <w:color w:val="000000" w:themeColor="text1"/>
          <w:sz w:val="24"/>
          <w14:textFill>
            <w14:solidFill>
              <w14:schemeClr w14:val="tx1"/>
            </w14:solidFill>
          </w14:textFill>
        </w:rPr>
        <w:t xml:space="preserve"> (程氏家塾读书分年日程) by Cheng Duanli (程端礼1271-1345) of the Yuan Dy</w:t>
      </w:r>
      <w:r>
        <w:rPr>
          <w:rFonts w:ascii="Times New Roman" w:hAnsi="Times New Roman"/>
          <w:color w:val="000000" w:themeColor="text1"/>
          <w:sz w:val="24"/>
          <w14:textFill>
            <w14:solidFill>
              <w14:schemeClr w14:val="tx1"/>
            </w14:solidFill>
          </w14:textFill>
        </w:rPr>
        <w:t xml:space="preserve">nasty. This book provides a comprehensive overview of the specific methodologies and norms that were employed in the process of learning Confucian classics in traditional Sishu (National Central Library, 2016). In terms of student recruitment, before the Qing Dynasty, almost all Sishu were for boys. Girls were usually not allowed to enter Sishu to study with boys, but some wealthy families might hire teachers to teach their daughters at home. The curriculum typically encompassed a range of subjects, including Confucian classics, poetry, painting, handicrafts, and sewing (Jiang, 2017, p. 39). By the close of the Qing dynasty (1900s), the legitimacy of women's education had been established in the new-style schools. Consequently, some </w:t>
      </w:r>
      <w:r>
        <w:rPr>
          <w:rFonts w:hint="eastAsia" w:ascii="Times New Roman" w:hAnsi="Times New Roman"/>
          <w:color w:val="000000" w:themeColor="text1"/>
          <w:sz w:val="24"/>
          <w:lang w:val="en-US"/>
          <w14:textFill>
            <w14:solidFill>
              <w14:schemeClr w14:val="tx1"/>
            </w14:solidFill>
          </w14:textFill>
        </w:rPr>
        <w:t>Sishu</w:t>
      </w:r>
      <w:r>
        <w:rPr>
          <w:rFonts w:ascii="Times New Roman" w:hAnsi="Times New Roman"/>
          <w:color w:val="000000" w:themeColor="text1"/>
          <w:sz w:val="24"/>
          <w14:textFill>
            <w14:solidFill>
              <w14:schemeClr w14:val="tx1"/>
            </w14:solidFill>
          </w14:textFill>
        </w:rPr>
        <w:t xml:space="preserve"> also began to admit girls (Jiang, 2017, p. 186). </w:t>
      </w:r>
    </w:p>
    <w:p w14:paraId="418A555F">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72F9E8D0">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In summary, Sishu functioned as a bridge between the upper and lower classes of society, thereby serving as a means of social stratification. Furthermore, the imperial Keju system, which had been in place since the Tang Dynasty, institutionally reinforced this route to the upper echelons. Consequently, within the context of ancient China, the initial step towards a fulfilling life was to pursue an education at Sishu (Jiang, 2017, p. P276). By the late Qing dynasty, Sishu had been strongly impacted by new schools and gradually declined. It was not until after the founding of New China (1949) that the country implemented compulsory education laws and gradually participated in the process of globalisation that traditional Sishu gradually disappeared (Jiang, 2017, p. 1).</w:t>
      </w:r>
    </w:p>
    <w:p w14:paraId="78656274">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647EF5BF">
      <w:pPr>
        <w:pStyle w:val="4"/>
        <w:numPr>
          <w:ilvl w:val="2"/>
          <w:numId w:val="3"/>
        </w:numPr>
      </w:pPr>
      <w:bookmarkStart w:id="18" w:name="_Toc19682"/>
      <w:r>
        <w:t>Modern Sishu in China</w:t>
      </w:r>
      <w:bookmarkEnd w:id="18"/>
      <w:r>
        <w:t xml:space="preserve"> </w:t>
      </w:r>
    </w:p>
    <w:p w14:paraId="75A69918">
      <w:pPr>
        <w:autoSpaceDE w:val="0"/>
        <w:spacing w:before="100" w:beforeAutospacing="1" w:after="160" w:line="360" w:lineRule="auto"/>
        <w:rPr>
          <w:rFonts w:ascii="Times New Roman" w:hAnsi="Times New Roman" w:cs="Calibri"/>
          <w:bCs/>
          <w:sz w:val="24"/>
        </w:rPr>
      </w:pPr>
      <w:r>
        <w:rPr>
          <w:rFonts w:hint="eastAsia" w:ascii="Times New Roman" w:hAnsi="Times New Roman" w:cs="Calibri"/>
          <w:bCs/>
          <w:sz w:val="24"/>
        </w:rPr>
        <w:t>In contrast to the traditional Sishu in history, the legality of modern Sishu is not recognised. The main reason for the government</w:t>
      </w:r>
      <w:r>
        <w:rPr>
          <w:rFonts w:ascii="Times New Roman" w:hAnsi="Times New Roman" w:cs="Calibri"/>
          <w:bCs/>
          <w:sz w:val="24"/>
        </w:rPr>
        <w:t>’</w:t>
      </w:r>
      <w:r>
        <w:rPr>
          <w:rFonts w:hint="eastAsia" w:ascii="Times New Roman" w:hAnsi="Times New Roman" w:cs="Calibri"/>
          <w:bCs/>
          <w:sz w:val="24"/>
        </w:rPr>
        <w:t xml:space="preserve">s prohibition against modern Sishu is that they violate the Compulsory Education Law and provide an educational alternative to compulsory </w:t>
      </w:r>
      <w:r>
        <w:rPr>
          <w:rFonts w:ascii="Times New Roman" w:hAnsi="Times New Roman" w:cs="Calibri"/>
          <w:bCs/>
          <w:sz w:val="24"/>
        </w:rPr>
        <w:t>education (</w:t>
      </w:r>
      <w:r>
        <w:rPr>
          <w:rFonts w:hint="eastAsia" w:ascii="Times New Roman" w:hAnsi="Times New Roman" w:cs="Calibri"/>
          <w:bCs/>
          <w:sz w:val="24"/>
        </w:rPr>
        <w:t xml:space="preserve">Sheng, 2018). According to Articles 2, 4, 5, 11, 13, and 58 of the Chinese Compulsory Education Law, parents are obliged to send school-age children to school to receive compulsory education. Although China does not yet have a specific law on homeschooling, the existing of homeschooling is actually in violation of the provisions of the Chinese Compulsory Education Law (Sheng, 2019, p. 178). </w:t>
      </w:r>
      <w:r>
        <w:rPr>
          <w:rFonts w:ascii="Times New Roman" w:hAnsi="Times New Roman"/>
          <w:sz w:val="24"/>
          <w:szCs w:val="24"/>
          <w:lang w:val="en-US"/>
        </w:rPr>
        <w:t>It is important to note that the distinction between homeschooling and Sishu education should not be confused, nor should the terms be equated. Instead, the focus is on illuminating the legal status of homeschooling, intending to shed light on the legal status of Sishu institutions, which are also outside the scope of state education. It is noteworthy that homeschooling and Sishu education are treated almost identically in law, either as illegal or in a grey area (Sheng, 2019, p. 15).</w:t>
      </w:r>
    </w:p>
    <w:p w14:paraId="134C1F77">
      <w:pPr>
        <w:autoSpaceDE w:val="0"/>
        <w:spacing w:line="360" w:lineRule="auto"/>
        <w:rPr>
          <w:rFonts w:ascii="Times New Roman" w:hAnsi="Times New Roman" w:cs="Calibri"/>
          <w:bCs/>
          <w:sz w:val="24"/>
        </w:rPr>
      </w:pPr>
    </w:p>
    <w:p w14:paraId="6A5FC184">
      <w:pPr>
        <w:autoSpaceDE w:val="0"/>
        <w:spacing w:line="360" w:lineRule="auto"/>
        <w:rPr>
          <w:rFonts w:ascii="Times New Roman" w:hAnsi="Times New Roman" w:cs="Calibri"/>
          <w:bCs/>
          <w:sz w:val="24"/>
        </w:rPr>
      </w:pPr>
      <w:r>
        <w:rPr>
          <w:rFonts w:hint="eastAsia" w:ascii="Times New Roman" w:hAnsi="Times New Roman" w:cs="Calibri"/>
          <w:bCs/>
          <w:sz w:val="24"/>
        </w:rPr>
        <w:t>In addition to mainland China, Hong Kong</w:t>
      </w:r>
      <w:r>
        <w:rPr>
          <w:rFonts w:ascii="Times New Roman" w:hAnsi="Times New Roman" w:cs="Calibri"/>
          <w:bCs/>
          <w:sz w:val="24"/>
          <w:lang w:val="en-US"/>
        </w:rPr>
        <w:t>’</w:t>
      </w:r>
      <w:r>
        <w:rPr>
          <w:rFonts w:hint="eastAsia" w:ascii="Times New Roman" w:hAnsi="Times New Roman" w:cs="Calibri"/>
          <w:bCs/>
          <w:sz w:val="24"/>
        </w:rPr>
        <w:t>s education laws also fail to legalise home education (Erlings, 2019). According to Article 74(1) of the Hong Kong Education Ordinance, if the Permanent Secretary deems a child to be absent from primary or secondary school without reasonable justification, he is authorised to issue an order in the prescribed form, addressed to the child's parent, mandating the child's attendance at the specified primary or secondary school (Hong Kong e-Legislation, 2001). This means that when parents are negligent in their child's school attendance, the Secretary for Education is empowered to issue an attendance order, mandating parents to ensure their children's enrolment in a particular school (which is obligated to accept the child) (Erlings, 2019). In 2001, in response to a parliamentary question regarding the legality of home education, the Hong Kong Secretary for Education stated that children aged 5 to 15 must attend school' (Erlings, 2019). However, the Secretary for Education appeared to allow for potential changes in policy or law, stating that he 'would not make a rule to prohibit home education' (Erlings, 2019). Consequently, Hong Kong's home education and Sishu institutions have continued to operate ambiguously (Erlings, 2019).</w:t>
      </w:r>
    </w:p>
    <w:p w14:paraId="768FC203">
      <w:pPr>
        <w:autoSpaceDE w:val="0"/>
        <w:spacing w:line="360" w:lineRule="auto"/>
        <w:rPr>
          <w:rFonts w:ascii="Times New Roman" w:hAnsi="Times New Roman" w:cs="Calibri"/>
          <w:bCs/>
          <w:sz w:val="24"/>
        </w:rPr>
      </w:pPr>
    </w:p>
    <w:p w14:paraId="0412DDDC">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In contrast to the Hong Kong context, in June 1999, the law court of Taiwan passed an amendment to the Education Act, formally recognising home education as a legal status in Taiwan, thereby legalising home education (Sheng, 2019, p. 177). Consequently, Taiwan has emerged as a pioneer in the homeschooling movement within China (Lee, 2023). In 2014, Taiwan enacted three laws, colloquially referred to as the 'Three Laws(</w:t>
      </w:r>
      <w:r>
        <w:rPr>
          <w:rFonts w:ascii="宋体" w:hAnsi="宋体"/>
          <w:sz w:val="24"/>
          <w:szCs w:val="24"/>
          <w:lang w:val="en-US"/>
        </w:rPr>
        <w:t>三法</w:t>
      </w:r>
      <w:r>
        <w:rPr>
          <w:rFonts w:ascii="Times New Roman" w:hAnsi="Times New Roman"/>
          <w:sz w:val="24"/>
          <w:szCs w:val="24"/>
          <w:lang w:val="en-US"/>
        </w:rPr>
        <w:t>)', which pertain to 'experimental non-school education(</w:t>
      </w:r>
      <w:r>
        <w:rPr>
          <w:rFonts w:ascii="宋体" w:hAnsi="宋体"/>
          <w:sz w:val="24"/>
          <w:szCs w:val="24"/>
          <w:lang w:val="en-US"/>
        </w:rPr>
        <w:t>非学校型实验教育</w:t>
      </w:r>
      <w:r>
        <w:rPr>
          <w:rFonts w:ascii="Times New Roman" w:hAnsi="Times New Roman"/>
          <w:sz w:val="24"/>
          <w:szCs w:val="24"/>
          <w:lang w:val="en-US"/>
        </w:rPr>
        <w:t>)', experimental school-type education(</w:t>
      </w:r>
      <w:r>
        <w:rPr>
          <w:rFonts w:ascii="宋体" w:hAnsi="宋体"/>
          <w:sz w:val="24"/>
          <w:szCs w:val="24"/>
          <w:lang w:val="en-US"/>
        </w:rPr>
        <w:t>学校型实验教育</w:t>
      </w:r>
      <w:r>
        <w:rPr>
          <w:rFonts w:ascii="Times New Roman" w:hAnsi="Times New Roman"/>
          <w:sz w:val="24"/>
          <w:szCs w:val="24"/>
          <w:lang w:val="en-US"/>
        </w:rPr>
        <w:t>)' and 'public schools managed by private consignment(</w:t>
      </w:r>
      <w:r>
        <w:rPr>
          <w:rFonts w:ascii="宋体" w:hAnsi="宋体"/>
          <w:sz w:val="24"/>
          <w:szCs w:val="24"/>
          <w:lang w:val="en-US"/>
        </w:rPr>
        <w:t>委托私立管理的公立学校</w:t>
      </w:r>
      <w:r>
        <w:rPr>
          <w:rFonts w:ascii="Times New Roman" w:hAnsi="Times New Roman"/>
          <w:sz w:val="24"/>
          <w:szCs w:val="24"/>
          <w:lang w:val="en-US"/>
        </w:rPr>
        <w:t xml:space="preserve">)' (Laws &amp; Regulations Database of The Republic of China, 2020). These legal provisions empower educators from both school and non-school settings to explore and innovate various experimental education (Chen, 2022). Notably, some Taipei families with high school-aged children have been beneficiaries of government subsidies, facilitating access to diverse learning resources (Lee, 2023). </w:t>
      </w:r>
    </w:p>
    <w:p w14:paraId="62D602A2">
      <w:pPr>
        <w:autoSpaceDE w:val="0"/>
        <w:spacing w:before="100" w:beforeAutospacing="1" w:after="160" w:line="360" w:lineRule="auto"/>
        <w:rPr>
          <w:rFonts w:ascii="Times New Roman" w:hAnsi="Times New Roman"/>
          <w:sz w:val="24"/>
          <w:szCs w:val="24"/>
          <w:lang w:val="en-US"/>
        </w:rPr>
      </w:pPr>
    </w:p>
    <w:p w14:paraId="472FE628">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Subsequent to the enactment of these measures, homeschooling in Taiwan has witnessed consistent growth, accompanied by the establishment of numerous homeschooling associations. For instance, the Mu Zhen</w:t>
      </w:r>
      <w:r>
        <w:rPr>
          <w:rFonts w:hint="eastAsia" w:ascii="Times New Roman" w:hAnsi="Times New Roman"/>
          <w:sz w:val="24"/>
          <w:szCs w:val="24"/>
          <w:lang w:val="en-US"/>
        </w:rPr>
        <w:t>(</w:t>
      </w:r>
      <w:r>
        <w:rPr>
          <w:rFonts w:ascii="宋体" w:hAnsi="宋体"/>
          <w:sz w:val="24"/>
          <w:szCs w:val="24"/>
          <w:lang w:val="en-US"/>
        </w:rPr>
        <w:t>慕真</w:t>
      </w:r>
      <w:r>
        <w:rPr>
          <w:rFonts w:hint="eastAsia" w:ascii="Times New Roman" w:hAnsi="Times New Roman"/>
          <w:sz w:val="24"/>
          <w:szCs w:val="24"/>
          <w:lang w:val="en-US"/>
        </w:rPr>
        <w:t>)</w:t>
      </w:r>
      <w:r>
        <w:rPr>
          <w:rFonts w:ascii="Times New Roman" w:hAnsi="Times New Roman"/>
          <w:sz w:val="24"/>
          <w:szCs w:val="24"/>
          <w:lang w:val="en-US"/>
        </w:rPr>
        <w:t xml:space="preserve"> Home Schooling Association in Hsinchu County, Taiwan, was established in 1998 (</w:t>
      </w:r>
      <w:r>
        <w:rPr>
          <w:rFonts w:ascii="宋体" w:hAnsi="宋体"/>
          <w:sz w:val="24"/>
          <w:szCs w:val="24"/>
          <w:lang w:val="en-US"/>
        </w:rPr>
        <w:t>慕真在家教育協會</w:t>
      </w:r>
      <w:r>
        <w:rPr>
          <w:rFonts w:ascii="Times New Roman" w:hAnsi="Times New Roman"/>
          <w:sz w:val="24"/>
          <w:szCs w:val="24"/>
          <w:lang w:val="en-US"/>
        </w:rPr>
        <w:t xml:space="preserve"> ['Mu Zhen Home Schooling Association'], 2021). This homeschooling community was founded by seven initial homeschooling families with the aim of disseminating ideas and views on homeschooling and enhancing communication among homeschooling families (Mu Zhen Home Schooling Association, 2021). Due to different socio-cultural and legal backgrounds, the circumstances of homeschooling in Taiwan are significantly different from those in other parts of China. For instance, children who are homeschooled in Hong Kong families encounter more significant uncertainty and differ significantly from those enrolled in mainstream schools (Lee, 2023). Most parents who choose homeschooling in Hong Kong place significant emphasis on their children's self-fulfilment and personal pursuits (Lee, 2023, 2024). In contrast, homeschooling families in Taipei do not reject close interaction with mainstream schools. Instead, They mention civic responsibility and good citizenship more frequently and tend to ensure that their children continue to have the opportunity to study in public schools in the future(Lee, 2023). </w:t>
      </w:r>
    </w:p>
    <w:p w14:paraId="139D5630">
      <w:pPr>
        <w:autoSpaceDE w:val="0"/>
        <w:spacing w:line="360" w:lineRule="auto"/>
        <w:rPr>
          <w:rFonts w:ascii="Times New Roman" w:hAnsi="Times New Roman" w:cs="Calibri"/>
          <w:bCs/>
          <w:sz w:val="24"/>
        </w:rPr>
      </w:pPr>
    </w:p>
    <w:p w14:paraId="1600381F">
      <w:pPr>
        <w:autoSpaceDE w:val="0"/>
        <w:spacing w:line="360" w:lineRule="auto"/>
        <w:rPr>
          <w:rFonts w:ascii="Times New Roman" w:hAnsi="Times New Roman" w:cs="Calibri"/>
          <w:bCs/>
          <w:sz w:val="24"/>
        </w:rPr>
      </w:pPr>
      <w:r>
        <w:rPr>
          <w:rFonts w:hint="eastAsia" w:ascii="Times New Roman" w:hAnsi="Times New Roman" w:cs="Calibri"/>
          <w:bCs/>
          <w:sz w:val="24"/>
        </w:rPr>
        <w:t>Despite government prohibition</w:t>
      </w:r>
      <w:r>
        <w:rPr>
          <w:rFonts w:hint="eastAsia" w:ascii="Times New Roman" w:hAnsi="Times New Roman" w:cs="Calibri"/>
          <w:bCs/>
          <w:sz w:val="24"/>
          <w:lang w:val="en-US"/>
        </w:rPr>
        <w:t xml:space="preserve"> in most districts</w:t>
      </w:r>
      <w:r>
        <w:rPr>
          <w:rFonts w:hint="eastAsia" w:ascii="Times New Roman" w:hAnsi="Times New Roman" w:cs="Calibri"/>
          <w:bCs/>
          <w:sz w:val="24"/>
        </w:rPr>
        <w:t>, this kind of classical text-based learning has gained a degree of acceptance and widespread social interest in the modern context. Billioud and Thoraval</w:t>
      </w:r>
      <w:r>
        <w:rPr>
          <w:rFonts w:ascii="Times New Roman" w:hAnsi="Times New Roman" w:cs="Calibri"/>
          <w:bCs/>
          <w:sz w:val="24"/>
        </w:rPr>
        <w:t>’</w:t>
      </w:r>
      <w:r>
        <w:rPr>
          <w:rFonts w:hint="eastAsia" w:ascii="Times New Roman" w:hAnsi="Times New Roman" w:cs="Calibri"/>
          <w:bCs/>
          <w:sz w:val="24"/>
        </w:rPr>
        <w:t>s (2015) book fieldworked Sishu institutions in many Chinese cities. Unlike the ancient Sishu whose main purpose was to pass Keju exams for glory and government jobs, most of the modern Sishu as revealed in their study aim at fostering moral development and Confucian cultural literacy among their students. Second, parents may be ambitious to integrate the individual into the framework of a grand national narrative, with national cultural revival and the betterment of society as the goal of their children</w:t>
      </w:r>
      <w:r>
        <w:rPr>
          <w:rFonts w:ascii="Times New Roman" w:hAnsi="Times New Roman" w:cs="Calibri"/>
          <w:bCs/>
          <w:sz w:val="24"/>
        </w:rPr>
        <w:t>’</w:t>
      </w:r>
      <w:r>
        <w:rPr>
          <w:rFonts w:hint="eastAsia" w:ascii="Times New Roman" w:hAnsi="Times New Roman" w:cs="Calibri"/>
          <w:bCs/>
          <w:sz w:val="24"/>
        </w:rPr>
        <w:t>s learning (Billioud and Thoraval, 2015, p.60). According to different literatures, many Sishu cases mention that parents</w:t>
      </w:r>
      <w:r>
        <w:rPr>
          <w:rFonts w:ascii="Times New Roman" w:hAnsi="Times New Roman" w:cs="Calibri"/>
          <w:bCs/>
          <w:sz w:val="24"/>
        </w:rPr>
        <w:t>’</w:t>
      </w:r>
      <w:r>
        <w:rPr>
          <w:rFonts w:hint="eastAsia" w:ascii="Times New Roman" w:hAnsi="Times New Roman" w:cs="Calibri"/>
          <w:bCs/>
          <w:sz w:val="24"/>
        </w:rPr>
        <w:t xml:space="preserve"> expectations of their children are in line with the Confucian </w:t>
      </w:r>
      <w:r>
        <w:rPr>
          <w:rFonts w:ascii="Times New Roman" w:hAnsi="Times New Roman" w:cs="Calibri"/>
          <w:bCs/>
          <w:sz w:val="24"/>
        </w:rPr>
        <w:t>‘</w:t>
      </w:r>
      <w:r>
        <w:rPr>
          <w:rFonts w:hint="eastAsia" w:ascii="Times New Roman" w:hAnsi="Times New Roman" w:cs="Calibri"/>
          <w:bCs/>
          <w:sz w:val="24"/>
        </w:rPr>
        <w:t>junzi</w:t>
      </w:r>
      <w:r>
        <w:rPr>
          <w:rFonts w:ascii="Times New Roman" w:hAnsi="Times New Roman" w:cs="Calibri"/>
          <w:bCs/>
          <w:sz w:val="24"/>
        </w:rPr>
        <w:t>’</w:t>
      </w:r>
      <w:r>
        <w:rPr>
          <w:rFonts w:hint="eastAsia" w:ascii="Times New Roman" w:hAnsi="Times New Roman" w:cs="Calibri"/>
          <w:bCs/>
          <w:sz w:val="24"/>
        </w:rPr>
        <w:t xml:space="preserve"> (gentleman </w:t>
      </w:r>
      <w:r>
        <w:rPr>
          <w:rFonts w:hint="eastAsia" w:ascii="宋体" w:hAnsi="宋体" w:cs="Calibri"/>
          <w:bCs/>
          <w:sz w:val="24"/>
        </w:rPr>
        <w:t>君子</w:t>
      </w:r>
      <w:r>
        <w:rPr>
          <w:rFonts w:hint="eastAsia" w:ascii="Times New Roman" w:hAnsi="Times New Roman" w:cs="Calibri"/>
          <w:bCs/>
          <w:sz w:val="24"/>
        </w:rPr>
        <w:t xml:space="preserve">) ideal. They want to raise their child to be a </w:t>
      </w:r>
      <w:r>
        <w:rPr>
          <w:rFonts w:ascii="Times New Roman" w:hAnsi="Times New Roman" w:cs="Calibri"/>
          <w:bCs/>
          <w:sz w:val="24"/>
        </w:rPr>
        <w:t>‘</w:t>
      </w:r>
      <w:r>
        <w:rPr>
          <w:rFonts w:hint="eastAsia" w:ascii="Times New Roman" w:hAnsi="Times New Roman" w:cs="Calibri"/>
          <w:bCs/>
          <w:sz w:val="24"/>
        </w:rPr>
        <w:t>junzi</w:t>
      </w:r>
      <w:r>
        <w:rPr>
          <w:rFonts w:ascii="Times New Roman" w:hAnsi="Times New Roman" w:cs="Calibri"/>
          <w:bCs/>
          <w:sz w:val="24"/>
        </w:rPr>
        <w:t>’</w:t>
      </w:r>
      <w:r>
        <w:rPr>
          <w:rFonts w:hint="eastAsia" w:ascii="Times New Roman" w:hAnsi="Times New Roman" w:cs="Calibri"/>
          <w:bCs/>
          <w:sz w:val="24"/>
        </w:rPr>
        <w:t xml:space="preserve">, i.e. a virtuous person with moral leadership and a sense of social responsibility (Billioud and Thoraval, 2015, p. 92; Gilgan, 2023). However, unlike traditional Sishu practice, modern Sishu are situated in the context of modern society and the system of gender equality, and are characterised by modernity, i.e. both men and women are allowed to enrol in </w:t>
      </w:r>
      <w:r>
        <w:rPr>
          <w:rFonts w:hint="eastAsia" w:ascii="Times New Roman" w:hAnsi="Times New Roman" w:cs="Calibri"/>
          <w:bCs/>
          <w:sz w:val="24"/>
          <w:lang w:val="en-US"/>
        </w:rPr>
        <w:t>Sishu</w:t>
      </w:r>
      <w:r>
        <w:rPr>
          <w:rFonts w:hint="eastAsia" w:ascii="Times New Roman" w:hAnsi="Times New Roman" w:cs="Calibri"/>
          <w:bCs/>
          <w:sz w:val="24"/>
        </w:rPr>
        <w:t xml:space="preserve"> </w:t>
      </w:r>
      <w:r>
        <w:rPr>
          <w:rFonts w:ascii="Times New Roman" w:hAnsi="Times New Roman" w:cs="Calibri"/>
          <w:bCs/>
          <w:sz w:val="24"/>
        </w:rPr>
        <w:t>institutions. (</w:t>
      </w:r>
      <w:r>
        <w:rPr>
          <w:rFonts w:hint="eastAsia" w:ascii="Times New Roman" w:hAnsi="Times New Roman" w:cs="Calibri"/>
          <w:bCs/>
          <w:sz w:val="24"/>
        </w:rPr>
        <w:t>Lee, 2024; Sheng, 2013)</w:t>
      </w:r>
      <w:r>
        <w:rPr>
          <w:rFonts w:hint="eastAsia" w:ascii="宋体" w:hAnsi="宋体" w:cs="Calibri"/>
          <w:bCs/>
          <w:sz w:val="24"/>
        </w:rPr>
        <w:t>。</w:t>
      </w:r>
    </w:p>
    <w:p w14:paraId="2175B815">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3C23C7A9">
      <w:pPr>
        <w:autoSpaceDE w:val="0"/>
        <w:spacing w:line="360" w:lineRule="auto"/>
        <w:rPr>
          <w:rFonts w:ascii="Times New Roman" w:hAnsi="Times New Roman" w:cs="Calibri"/>
          <w:bCs/>
          <w:sz w:val="24"/>
          <w:u w:val="single"/>
        </w:rPr>
      </w:pPr>
      <w:r>
        <w:rPr>
          <w:rFonts w:hint="eastAsia" w:ascii="Times New Roman" w:hAnsi="Times New Roman" w:cs="Calibri"/>
          <w:bCs/>
          <w:sz w:val="24"/>
        </w:rPr>
        <w:t>Billioud and Thoraval (2015) showed that the core educational philosophy of modern Sishu is mainly derived from the classics-reading education philosophy of Wang Caigui, a modern Taiwanese scholar. Although this method is similar to that used in ancient Sishu, such as flooding children with classical texts without explanation. However, as he was the primary proponent of this approach in a modern context, having reinterpreted and revised it, the majority of Sishu that utilised classics-reading as the primary learning method adopted his methodologies to a certain extent, rather than directly borrowing from the ancient.</w:t>
      </w:r>
    </w:p>
    <w:p w14:paraId="43AF638E">
      <w:pPr>
        <w:autoSpaceDE w:val="0"/>
        <w:spacing w:line="360" w:lineRule="auto"/>
        <w:rPr>
          <w:rFonts w:ascii="Times New Roman" w:hAnsi="Times New Roman" w:cs="Calibri"/>
          <w:bCs/>
          <w:sz w:val="24"/>
        </w:rPr>
      </w:pPr>
      <w:r>
        <w:rPr>
          <w:rFonts w:hint="eastAsia" w:ascii="Times New Roman" w:hAnsi="Times New Roman" w:cs="Calibri"/>
          <w:bCs/>
          <w:sz w:val="24"/>
        </w:rPr>
        <w:t xml:space="preserve"> </w:t>
      </w:r>
    </w:p>
    <w:p w14:paraId="3A8B0B2A">
      <w:pPr>
        <w:autoSpaceDE w:val="0"/>
        <w:spacing w:line="360" w:lineRule="auto"/>
        <w:rPr>
          <w:rFonts w:ascii="Times New Roman" w:hAnsi="Times New Roman" w:cs="Calibri"/>
          <w:bCs/>
          <w:sz w:val="24"/>
        </w:rPr>
      </w:pPr>
      <w:r>
        <w:rPr>
          <w:rFonts w:ascii="Times New Roman" w:hAnsi="Times New Roman" w:cs="Calibri"/>
          <w:bCs/>
          <w:sz w:val="24"/>
        </w:rPr>
        <w:t>Unlike large, state schools, modern Sishu tend to have smaller class sizes, which allows for greater teacher-student interaction and personalised attention. This is a key appeal of Sishu for parents dissatisfied with the impersonal nature of formal education systems in China, where students often face enormous pressure to perform on exams (</w:t>
      </w:r>
      <w:r>
        <w:rPr>
          <w:rFonts w:hint="eastAsia" w:ascii="Times New Roman" w:hAnsi="Times New Roman" w:cs="Calibri"/>
          <w:bCs/>
          <w:sz w:val="24"/>
        </w:rPr>
        <w:t>Sheng, 2013; 2018)</w:t>
      </w:r>
      <w:r>
        <w:rPr>
          <w:rFonts w:ascii="Times New Roman" w:hAnsi="Times New Roman" w:cs="Calibri"/>
          <w:bCs/>
          <w:sz w:val="24"/>
        </w:rPr>
        <w:t>.</w:t>
      </w:r>
      <w:r>
        <w:rPr>
          <w:rFonts w:hint="eastAsia" w:ascii="Times New Roman" w:hAnsi="Times New Roman" w:cs="Calibri"/>
          <w:bCs/>
          <w:sz w:val="24"/>
        </w:rPr>
        <w:t xml:space="preserve"> Another important feature of the modern Sishu is its deliberate emphasis on moral cultivation and mastery of Confucian texts. As Sheng (2013) points out in his study of a Sishu institution in Shanghai, the modern education movement, including those associated with Sishu, is partly a response to the inadequacy of the national education system, especially when it lacks moral education and personality concerns.</w:t>
      </w:r>
    </w:p>
    <w:p w14:paraId="0338162A">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19B6FCD0">
      <w:pPr>
        <w:autoSpaceDE w:val="0"/>
        <w:spacing w:line="360" w:lineRule="auto"/>
        <w:rPr>
          <w:rFonts w:ascii="Times New Roman" w:hAnsi="Times New Roman" w:cs="Calibri"/>
          <w:bCs/>
          <w:sz w:val="24"/>
        </w:rPr>
      </w:pPr>
      <w:r>
        <w:rPr>
          <w:rFonts w:ascii="Times New Roman" w:hAnsi="Times New Roman" w:cs="Calibri"/>
          <w:bCs/>
          <w:sz w:val="24"/>
        </w:rPr>
        <w:t>However, modern Sishu education is not without its criticisms. Some critics argue that the heavy emphasis on Confucian classics and moral education can limit students’ critical thinking skills and creativity. Gilgan (2023) notes that while Confucian classics are valued for their moral guidance, their use in the classroom can sometimes be seen as overly rigid, potentially hindering students’ ability to engage with contemporary global issues​. Furthermore, the lack of standardised curriculum and institutional oversight in some modern Sishu has raised concerns about their ability to provide a comprehensive and well-rounded education that aligns with national educational standards</w:t>
      </w:r>
      <w:r>
        <w:rPr>
          <w:rFonts w:hint="eastAsia" w:ascii="Times New Roman" w:hAnsi="Times New Roman" w:cs="Calibri"/>
          <w:bCs/>
          <w:sz w:val="24"/>
        </w:rPr>
        <w:t xml:space="preserve"> (Sheng, 2018)</w:t>
      </w:r>
      <w:r>
        <w:rPr>
          <w:rFonts w:ascii="Times New Roman" w:hAnsi="Times New Roman" w:cs="Calibri"/>
          <w:bCs/>
          <w:sz w:val="24"/>
        </w:rPr>
        <w:t>.</w:t>
      </w:r>
    </w:p>
    <w:p w14:paraId="1C0D69D8">
      <w:pPr>
        <w:autoSpaceDE w:val="0"/>
        <w:spacing w:line="360" w:lineRule="auto"/>
        <w:rPr>
          <w:rFonts w:ascii="Times New Roman" w:hAnsi="Times New Roman" w:cs="Calibri"/>
          <w:bCs/>
          <w:sz w:val="24"/>
        </w:rPr>
      </w:pPr>
      <w:r>
        <w:rPr>
          <w:rFonts w:hint="eastAsia" w:ascii="Times New Roman" w:hAnsi="Times New Roman" w:cs="Calibri"/>
          <w:bCs/>
          <w:sz w:val="24"/>
        </w:rPr>
        <w:t xml:space="preserve"> </w:t>
      </w:r>
    </w:p>
    <w:p w14:paraId="49A24960">
      <w:pPr>
        <w:autoSpaceDE w:val="0"/>
        <w:spacing w:line="360" w:lineRule="auto"/>
        <w:rPr>
          <w:rFonts w:ascii="Times New Roman" w:hAnsi="Times New Roman" w:cs="Calibri"/>
          <w:bCs/>
          <w:sz w:val="24"/>
        </w:rPr>
      </w:pPr>
      <w:r>
        <w:rPr>
          <w:rFonts w:ascii="Times New Roman" w:hAnsi="Times New Roman" w:cs="Calibri"/>
          <w:bCs/>
          <w:sz w:val="24"/>
        </w:rPr>
        <w:t xml:space="preserve">Modern Sishu education represents a unique fusion of Confucian moral education and contemporary academic learning. </w:t>
      </w:r>
      <w:r>
        <w:rPr>
          <w:rFonts w:hint="eastAsia" w:ascii="Times New Roman" w:hAnsi="Times New Roman" w:cs="Calibri"/>
          <w:bCs/>
          <w:sz w:val="24"/>
        </w:rPr>
        <w:t xml:space="preserve">Some modern Sishu </w:t>
      </w:r>
      <w:r>
        <w:rPr>
          <w:rFonts w:ascii="Times New Roman" w:hAnsi="Times New Roman" w:cs="Calibri"/>
          <w:bCs/>
          <w:sz w:val="24"/>
        </w:rPr>
        <w:t>retains the core values of traditional Confucian education, it also adapts to the needs of modern society by incorporating new subjects and methods of teaching (</w:t>
      </w:r>
      <w:r>
        <w:rPr>
          <w:rFonts w:hint="eastAsia" w:ascii="Times New Roman" w:hAnsi="Times New Roman" w:cs="Calibri"/>
          <w:bCs/>
          <w:sz w:val="24"/>
        </w:rPr>
        <w:t xml:space="preserve">Sheng, 2018; </w:t>
      </w:r>
      <w:r>
        <w:rPr>
          <w:rFonts w:ascii="Times New Roman" w:hAnsi="Times New Roman"/>
          <w:sz w:val="24"/>
        </w:rPr>
        <w:t>Billioud and Thoraval, 2015)</w:t>
      </w:r>
      <w:r>
        <w:rPr>
          <w:rFonts w:ascii="Times New Roman" w:hAnsi="Times New Roman" w:cs="Calibri"/>
          <w:bCs/>
          <w:sz w:val="24"/>
        </w:rPr>
        <w:t>. Despite its challenges, modern Sishu continues to offer an alternative to China’s formal education system, focusing on the holistic development of students</w:t>
      </w:r>
      <w:r>
        <w:rPr>
          <w:rFonts w:hint="eastAsia" w:ascii="Times New Roman" w:hAnsi="Times New Roman" w:cs="Calibri"/>
          <w:bCs/>
          <w:sz w:val="24"/>
        </w:rPr>
        <w:t>, to</w:t>
      </w:r>
      <w:r>
        <w:rPr>
          <w:rFonts w:ascii="Times New Roman" w:hAnsi="Times New Roman" w:cs="Calibri"/>
          <w:bCs/>
          <w:sz w:val="24"/>
        </w:rPr>
        <w:t xml:space="preserve"> addresses the intellectual and ethical challenges of the 21st century.</w:t>
      </w:r>
    </w:p>
    <w:p w14:paraId="71E5D3C5">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18FA1BFD">
      <w:pPr>
        <w:pStyle w:val="4"/>
        <w:numPr>
          <w:ilvl w:val="2"/>
          <w:numId w:val="3"/>
        </w:numPr>
      </w:pPr>
      <w:bookmarkStart w:id="19" w:name="_Toc25877"/>
      <w:r>
        <w:t>Research status of modern Sishu education in China</w:t>
      </w:r>
      <w:bookmarkEnd w:id="19"/>
    </w:p>
    <w:p w14:paraId="4E107048">
      <w:pPr>
        <w:autoSpaceDE w:val="0"/>
        <w:spacing w:line="360" w:lineRule="auto"/>
        <w:rPr>
          <w:rFonts w:ascii="Times New Roman" w:hAnsi="Times New Roman" w:cs="Calibri"/>
          <w:bCs/>
          <w:sz w:val="24"/>
        </w:rPr>
      </w:pPr>
      <w:r>
        <w:rPr>
          <w:rFonts w:ascii="Times New Roman" w:hAnsi="Times New Roman" w:cs="Calibri"/>
          <w:bCs/>
          <w:sz w:val="24"/>
        </w:rPr>
        <w:t xml:space="preserve">Modern Sishu education in China has elicited a range of scholarly inquiries. Research highlights diverse motivations among families, pedagogical complexities within Sishu, and critical questions regarding legality, cultural identity, and social stratification. </w:t>
      </w:r>
    </w:p>
    <w:p w14:paraId="67B05CE9">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73E93FEA">
      <w:pPr>
        <w:autoSpaceDE w:val="0"/>
        <w:spacing w:line="360" w:lineRule="auto"/>
        <w:rPr>
          <w:rFonts w:ascii="Times New Roman" w:hAnsi="Times New Roman" w:cs="Calibri"/>
          <w:bCs/>
          <w:sz w:val="24"/>
        </w:rPr>
      </w:pPr>
      <w:r>
        <w:rPr>
          <w:rFonts w:hint="eastAsia" w:ascii="Times New Roman" w:hAnsi="Times New Roman" w:cs="Calibri"/>
          <w:bCs/>
          <w:sz w:val="24"/>
        </w:rPr>
        <w:t xml:space="preserve">In Li (2020), the researcher notes that </w:t>
      </w:r>
      <w:r>
        <w:rPr>
          <w:rFonts w:ascii="Times New Roman" w:hAnsi="Times New Roman" w:cs="Calibri"/>
          <w:bCs/>
          <w:sz w:val="24"/>
        </w:rPr>
        <w:t>‘</w:t>
      </w:r>
      <w:r>
        <w:rPr>
          <w:rFonts w:hint="eastAsia" w:ascii="Times New Roman" w:hAnsi="Times New Roman" w:cs="Calibri"/>
          <w:bCs/>
          <w:sz w:val="24"/>
        </w:rPr>
        <w:t>In the past decade or so, there has been a revival of Sishu (</w:t>
      </w:r>
      <w:r>
        <w:rPr>
          <w:rFonts w:hint="eastAsia" w:ascii="宋体" w:hAnsi="宋体" w:cs="Calibri"/>
          <w:bCs/>
          <w:sz w:val="24"/>
        </w:rPr>
        <w:t>近十几年私塾出现了复兴之势</w:t>
      </w:r>
      <w:r>
        <w:rPr>
          <w:rFonts w:hint="eastAsia" w:ascii="Times New Roman" w:hAnsi="Times New Roman" w:cs="Calibri"/>
          <w:bCs/>
          <w:sz w:val="24"/>
        </w:rPr>
        <w:t>)</w:t>
      </w:r>
      <w:r>
        <w:rPr>
          <w:rFonts w:ascii="Times New Roman" w:hAnsi="Times New Roman" w:cs="Calibri"/>
          <w:bCs/>
          <w:sz w:val="24"/>
        </w:rPr>
        <w:t>’</w:t>
      </w:r>
      <w:r>
        <w:rPr>
          <w:rFonts w:hint="eastAsia" w:ascii="Times New Roman" w:hAnsi="Times New Roman" w:cs="Calibri"/>
          <w:bCs/>
          <w:sz w:val="24"/>
        </w:rPr>
        <w:t xml:space="preserve">, highlighting the visible resurgence of Sishu in the last decade. She traces this trend partly to </w:t>
      </w:r>
      <w:r>
        <w:rPr>
          <w:rFonts w:ascii="Times New Roman" w:hAnsi="Times New Roman" w:cs="Calibri"/>
          <w:bCs/>
          <w:sz w:val="24"/>
        </w:rPr>
        <w:t>‘</w:t>
      </w:r>
      <w:r>
        <w:rPr>
          <w:rFonts w:hint="eastAsia" w:ascii="Times New Roman" w:hAnsi="Times New Roman" w:cs="Calibri"/>
          <w:bCs/>
          <w:sz w:val="24"/>
        </w:rPr>
        <w:t>Contemporary Classics Reading Movement (</w:t>
      </w:r>
      <w:r>
        <w:rPr>
          <w:rFonts w:hint="eastAsia" w:ascii="宋体" w:hAnsi="宋体" w:cs="Calibri"/>
          <w:bCs/>
          <w:sz w:val="24"/>
        </w:rPr>
        <w:t>当代读经运动</w:t>
      </w:r>
      <w:r>
        <w:rPr>
          <w:rFonts w:hint="eastAsia" w:ascii="Times New Roman" w:hAnsi="Times New Roman" w:cs="Calibri"/>
          <w:bCs/>
          <w:sz w:val="24"/>
        </w:rPr>
        <w:t>)</w:t>
      </w:r>
      <w:r>
        <w:rPr>
          <w:rFonts w:ascii="Times New Roman" w:hAnsi="Times New Roman" w:cs="Calibri"/>
          <w:bCs/>
          <w:sz w:val="24"/>
        </w:rPr>
        <w:t>’</w:t>
      </w:r>
      <w:r>
        <w:rPr>
          <w:rFonts w:hint="eastAsia" w:ascii="Times New Roman" w:hAnsi="Times New Roman" w:cs="Calibri"/>
          <w:bCs/>
          <w:sz w:val="24"/>
        </w:rPr>
        <w:t xml:space="preserve">, </w:t>
      </w:r>
      <w:r>
        <w:rPr>
          <w:rFonts w:ascii="Times New Roman" w:hAnsi="Times New Roman" w:cs="Calibri"/>
          <w:bCs/>
          <w:sz w:val="24"/>
        </w:rPr>
        <w:t>critiquing standardized schooling as stifling individuality. Rather than assuming that every Sishu replicates a traditional Confucian model, the paper stresses the varied forms Sishu can take</w:t>
      </w:r>
      <w:r>
        <w:rPr>
          <w:rFonts w:hint="eastAsia" w:ascii="Times New Roman" w:hAnsi="Times New Roman" w:cs="Calibri"/>
          <w:bCs/>
          <w:sz w:val="24"/>
        </w:rPr>
        <w:t>,</w:t>
      </w:r>
      <w:r>
        <w:rPr>
          <w:rFonts w:ascii="Times New Roman" w:hAnsi="Times New Roman" w:cs="Calibri"/>
          <w:bCs/>
          <w:sz w:val="24"/>
        </w:rPr>
        <w:t xml:space="preserve"> some emphasize recitation of the classics, others integrate broader cultural curricula, and others draw on Western homeschooling ideas. This diversity arises from parental dissatisfaction with public education, an inclination also observed by Lee (2023), who reports that parents in Chinese cities increasingly favour alternative learning spaces that allow 'greater personal attention to each child's developmental pace.'</w:t>
      </w:r>
      <w:r>
        <w:rPr>
          <w:rFonts w:hint="eastAsia" w:ascii="Times New Roman" w:hAnsi="Times New Roman" w:cs="Calibri"/>
          <w:bCs/>
          <w:sz w:val="24"/>
        </w:rPr>
        <w:t xml:space="preserve"> </w:t>
      </w:r>
      <w:r>
        <w:rPr>
          <w:rFonts w:ascii="Times New Roman" w:hAnsi="Times New Roman" w:cs="Calibri"/>
          <w:bCs/>
          <w:sz w:val="24"/>
        </w:rPr>
        <w:t xml:space="preserve">Nonetheless, ambiguity persists over how thoroughly these Sishu embody a coherent philosophy. On the one hand, some institutions declare a commitment to Confucian ethics. On the other hand, critics question whether certain Sishu rely on superficial moral instruction. As </w:t>
      </w:r>
      <w:r>
        <w:rPr>
          <w:rFonts w:hint="eastAsia" w:ascii="Times New Roman" w:hAnsi="Times New Roman" w:cs="Calibri"/>
          <w:bCs/>
          <w:sz w:val="24"/>
        </w:rPr>
        <w:t xml:space="preserve">Li </w:t>
      </w:r>
      <w:r>
        <w:rPr>
          <w:rFonts w:ascii="Times New Roman" w:hAnsi="Times New Roman" w:cs="Calibri"/>
          <w:bCs/>
          <w:sz w:val="24"/>
        </w:rPr>
        <w:t>(2020) cautions, ‘Purpose of education narrowed to special ethical and moral relations in traditional classics,’ meaning that some rely on a narrow view of classics-based moral education. Thus, Questions emerge about how deeply Sishu can or does encourage critical thinking alongside textual memorization.</w:t>
      </w:r>
    </w:p>
    <w:p w14:paraId="5645FC14">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55E45FB5">
      <w:pPr>
        <w:autoSpaceDE w:val="0"/>
        <w:spacing w:line="360" w:lineRule="auto"/>
        <w:rPr>
          <w:rFonts w:ascii="Times New Roman" w:hAnsi="Times New Roman" w:cs="Calibri"/>
          <w:bCs/>
          <w:sz w:val="24"/>
        </w:rPr>
      </w:pPr>
      <w:r>
        <w:rPr>
          <w:rFonts w:hint="eastAsia" w:ascii="Times New Roman" w:hAnsi="Times New Roman" w:cs="Calibri"/>
          <w:bCs/>
          <w:sz w:val="24"/>
        </w:rPr>
        <w:t>In addition to critical discourse, a</w:t>
      </w:r>
      <w:r>
        <w:rPr>
          <w:rFonts w:ascii="Times New Roman" w:hAnsi="Times New Roman" w:cs="Calibri"/>
          <w:bCs/>
          <w:sz w:val="24"/>
        </w:rPr>
        <w:t>n</w:t>
      </w:r>
      <w:r>
        <w:rPr>
          <w:rFonts w:hint="eastAsia" w:ascii="Times New Roman" w:hAnsi="Times New Roman" w:cs="Calibri"/>
          <w:bCs/>
          <w:sz w:val="24"/>
        </w:rPr>
        <w:t>other</w:t>
      </w:r>
      <w:r>
        <w:rPr>
          <w:rFonts w:ascii="Times New Roman" w:hAnsi="Times New Roman" w:cs="Calibri"/>
          <w:bCs/>
          <w:sz w:val="24"/>
        </w:rPr>
        <w:t xml:space="preserve"> ongoing theme in the literature concerns the legal uncertainty surrounding modern Sishu. Officially, China's compulsory education laws stipulate that children attend recognized schools unless granted special permission. However, many Sishu operate informally, occupying a grey area. Wu (2019) states that while the 'renaissance of classical studies' has nationwide visibility, precise government oversight remains inconsistent. Li</w:t>
      </w:r>
      <w:r>
        <w:rPr>
          <w:rFonts w:hint="eastAsia" w:ascii="Times New Roman" w:hAnsi="Times New Roman" w:cs="Calibri"/>
          <w:bCs/>
          <w:sz w:val="24"/>
        </w:rPr>
        <w:t xml:space="preserve"> (</w:t>
      </w:r>
      <w:r>
        <w:rPr>
          <w:rFonts w:ascii="Times New Roman" w:hAnsi="Times New Roman" w:cs="Calibri"/>
          <w:bCs/>
          <w:sz w:val="24"/>
        </w:rPr>
        <w:t>2020)</w:t>
      </w:r>
      <w:r>
        <w:rPr>
          <w:rFonts w:hint="eastAsia" w:ascii="Times New Roman" w:hAnsi="Times New Roman" w:cs="Calibri"/>
          <w:bCs/>
          <w:sz w:val="24"/>
        </w:rPr>
        <w:t xml:space="preserve"> pointed that, s</w:t>
      </w:r>
      <w:r>
        <w:rPr>
          <w:rFonts w:ascii="Times New Roman" w:hAnsi="Times New Roman" w:cs="Calibri"/>
          <w:bCs/>
          <w:sz w:val="24"/>
        </w:rPr>
        <w:t>ome local officials are reportedly tolerant, whereas others apply more stringent checks.</w:t>
      </w:r>
      <w:r>
        <w:rPr>
          <w:rFonts w:hint="eastAsia" w:ascii="Times New Roman" w:hAnsi="Times New Roman" w:cs="Calibri"/>
          <w:bCs/>
          <w:sz w:val="24"/>
        </w:rPr>
        <w:t xml:space="preserve"> </w:t>
      </w:r>
      <w:r>
        <w:rPr>
          <w:rFonts w:ascii="Times New Roman" w:hAnsi="Times New Roman" w:cs="Calibri"/>
          <w:bCs/>
          <w:sz w:val="24"/>
        </w:rPr>
        <w:t>Parallel complexities appear in Hong Kong, where the ‘Do not Ask, Do not Tell’ approach to homeschooling leaves parents unsure of their legal standing (Erlings, 2019). Although Hong Kong's legal regime differs, the shared experience is that non-traditional education—Sishu or homeschooling—often lacks a firm policy framework in Chinese contexts. Researchers such as Sheng (2020) argue that the absence of clear recognition restricts Sishu's potential to expand or reform mainstream practice since families remain vulnerable to official scrutiny or closure.</w:t>
      </w:r>
    </w:p>
    <w:p w14:paraId="353897CB">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572415F2">
      <w:pPr>
        <w:autoSpaceDE w:val="0"/>
        <w:spacing w:line="360" w:lineRule="auto"/>
        <w:rPr>
          <w:rFonts w:ascii="Times New Roman" w:hAnsi="Times New Roman" w:cs="Calibri"/>
          <w:bCs/>
          <w:sz w:val="24"/>
        </w:rPr>
      </w:pPr>
      <w:r>
        <w:rPr>
          <w:rFonts w:ascii="Times New Roman" w:hAnsi="Times New Roman" w:cs="Calibri"/>
          <w:bCs/>
          <w:sz w:val="24"/>
        </w:rPr>
        <w:t xml:space="preserve">Another recurring point is social class. Sheng's (2014) study of home-based education documents that parents choosing unconventional schooling often hold higher cultural capital, enabling them to navigate an opaque regulatory environment. Likewise, Lee (2024) notes that in urban Chinese settings, middle-class families are more apt to opt out of formal schooling altogether, employing Sishu or hybrid academies as a strategic path to cultivate what they see as deeper moral and intellectual capacities. </w:t>
      </w:r>
      <w:r>
        <w:rPr>
          <w:rFonts w:hint="eastAsia" w:ascii="Times New Roman" w:hAnsi="Times New Roman" w:cs="Calibri"/>
          <w:bCs/>
          <w:sz w:val="24"/>
        </w:rPr>
        <w:t xml:space="preserve">This is usually because the average person has more economic-based solutions, such as study abroad or inherit family business (Sheng, 2018; 2014). </w:t>
      </w:r>
      <w:r>
        <w:rPr>
          <w:rFonts w:ascii="Times New Roman" w:hAnsi="Times New Roman" w:cs="Calibri"/>
          <w:bCs/>
          <w:sz w:val="24"/>
        </w:rPr>
        <w:t>This phenomenon, however, triggers questions of inequality: Sishu may be open to those with sufficient resources to pay private tuition or provide stable organizational backing. Families lacking that privilege might be sidelined, further accentuating educational disparities (Sheng, 2020).</w:t>
      </w:r>
    </w:p>
    <w:p w14:paraId="1E6ABE88">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001C242D">
      <w:pPr>
        <w:autoSpaceDE w:val="0"/>
        <w:spacing w:line="360" w:lineRule="auto"/>
        <w:rPr>
          <w:rFonts w:ascii="Times New Roman" w:hAnsi="Times New Roman" w:cs="Calibri"/>
          <w:bCs/>
          <w:sz w:val="24"/>
        </w:rPr>
      </w:pPr>
      <w:r>
        <w:rPr>
          <w:rFonts w:ascii="Times New Roman" w:hAnsi="Times New Roman" w:cs="Calibri"/>
          <w:bCs/>
          <w:sz w:val="24"/>
        </w:rPr>
        <w:t>Researchers also highlight pedagogical diversity; rather than a single orthodox model, modern Sishu exhibits wide-ranging instructional methods, from strict Confucian recitation to child-centred routines influenced by Western education (Wu, 2019). Nevertheless, critics warn that a gap can surface between a self-proclaimed "innovative" or "holistic" ethos and the actual practice, which may revert to rote strategies under social pressure to achieve visible academic outcomes (Sheng, 2014). Furthermore, Li (2020) reports that inadequate teacher training hinders consistent quality; Sishu teachers sometimes lack formal certification or rely heavily on personal charisma rather than pedagogical expertise.</w:t>
      </w:r>
      <w:r>
        <w:rPr>
          <w:rFonts w:hint="eastAsia" w:ascii="Times New Roman" w:hAnsi="Times New Roman" w:cs="Calibri"/>
          <w:bCs/>
          <w:sz w:val="24"/>
        </w:rPr>
        <w:t xml:space="preserve"> </w:t>
      </w:r>
      <w:r>
        <w:rPr>
          <w:rFonts w:ascii="Times New Roman" w:hAnsi="Times New Roman" w:cs="Calibri"/>
          <w:bCs/>
          <w:sz w:val="24"/>
        </w:rPr>
        <w:t xml:space="preserve">Another question is whether Sishu's approach fosters intellectual openness or cultural essentialism. On the one hand, integrative curricula might enrich children's learning experiences by merging moral and analytical dimensions. On the other hand, if instruction is heavily text-based without reflective discourse, it may perpetuate a narrow reading of tradition. </w:t>
      </w:r>
    </w:p>
    <w:p w14:paraId="52A491BC">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0E77CCC4">
      <w:pPr>
        <w:autoSpaceDE w:val="0"/>
        <w:spacing w:line="360" w:lineRule="auto"/>
        <w:rPr>
          <w:rFonts w:ascii="Times New Roman" w:hAnsi="Times New Roman" w:cs="Calibri"/>
          <w:bCs/>
          <w:sz w:val="24"/>
        </w:rPr>
      </w:pPr>
      <w:r>
        <w:rPr>
          <w:rFonts w:ascii="Times New Roman" w:hAnsi="Times New Roman" w:cs="Calibri"/>
          <w:bCs/>
          <w:sz w:val="24"/>
        </w:rPr>
        <w:t>Overall, scholarship suggests that modern Sishu in China do not conform to a uniform pattern. From parental motivations to curriculum design, from legal ambiguity to social class disparities, the realities of Sishu are as varied as the families who support them. Researchers widely agree that Sishu's informal status remains a double-edged sword, affording flexibility for personalized instruction yet exposing educators and parents to regulatory uncertainty (Lee, 2023). Central questions persist: Can Sishu achieve broad-based legitimacy without sacrificing autonomy? Do they truly offer an alternative that addresses the perceived shortcomings of mass education, or do they amplify existing social divides?</w:t>
      </w:r>
    </w:p>
    <w:p w14:paraId="24F7398C">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3B676822">
      <w:pPr>
        <w:autoSpaceDE w:val="0"/>
        <w:spacing w:line="360" w:lineRule="auto"/>
        <w:rPr>
          <w:rFonts w:ascii="Times New Roman" w:hAnsi="Times New Roman" w:cs="Calibri"/>
          <w:bCs/>
          <w:sz w:val="24"/>
        </w:rPr>
      </w:pPr>
      <w:r>
        <w:rPr>
          <w:rFonts w:ascii="Times New Roman" w:hAnsi="Times New Roman" w:cs="Calibri"/>
          <w:bCs/>
          <w:sz w:val="24"/>
        </w:rPr>
        <w:t>Ultimately, the modern Sishu phenomenon compels scholars and policymakers to reconsider the balance between tradition, innovation, and regulatory structures. As Wu (2019) advises, careful, context-rich studies are vital to understanding whether these institutions herald meaningful educational renewal or remain marginal experiments favoured mainly by socioeconomically advantaged families. Without decisive policy clarity and sustained research efforts, the future of modern Sishu in China will remain uncertain</w:t>
      </w:r>
      <w:r>
        <w:rPr>
          <w:rFonts w:hint="eastAsia" w:ascii="宋体" w:hAnsi="宋体" w:cs="Calibri"/>
          <w:bCs/>
          <w:sz w:val="24"/>
        </w:rPr>
        <w:t>—</w:t>
      </w:r>
      <w:r>
        <w:rPr>
          <w:rFonts w:ascii="Times New Roman" w:hAnsi="Times New Roman" w:cs="Calibri"/>
          <w:bCs/>
          <w:sz w:val="24"/>
        </w:rPr>
        <w:t>yet profoundly indicative of the ongoing transformations in Chinese education.</w:t>
      </w:r>
    </w:p>
    <w:p w14:paraId="0912A3A4">
      <w:pPr>
        <w:autoSpaceDE w:val="0"/>
        <w:spacing w:line="360" w:lineRule="auto"/>
        <w:rPr>
          <w:rFonts w:ascii="Times New Roman" w:hAnsi="Times New Roman" w:cs="Calibri"/>
          <w:bCs/>
          <w:sz w:val="24"/>
        </w:rPr>
      </w:pPr>
    </w:p>
    <w:p w14:paraId="2B1C8267">
      <w:pPr>
        <w:pStyle w:val="3"/>
        <w:numPr>
          <w:ilvl w:val="1"/>
          <w:numId w:val="3"/>
        </w:numPr>
      </w:pPr>
      <w:bookmarkStart w:id="20" w:name="_Toc19093"/>
      <w:r>
        <w:t>Theme two</w:t>
      </w:r>
      <w:r>
        <w:rPr>
          <w:rFonts w:hint="eastAsia"/>
        </w:rPr>
        <w:t>:</w:t>
      </w:r>
      <w:r>
        <w:t xml:space="preserve"> Educational Aims and Curriculum</w:t>
      </w:r>
      <w:bookmarkEnd w:id="20"/>
    </w:p>
    <w:p w14:paraId="7FC36941">
      <w:pPr>
        <w:pStyle w:val="4"/>
        <w:numPr>
          <w:ilvl w:val="2"/>
          <w:numId w:val="3"/>
        </w:numPr>
      </w:pPr>
      <w:bookmarkStart w:id="21" w:name="_Toc511"/>
      <w:r>
        <w:rPr>
          <w:rFonts w:hint="eastAsia"/>
          <w:lang w:val="en-US"/>
        </w:rPr>
        <w:t>Different Types of Sishu</w:t>
      </w:r>
      <w:r>
        <w:t xml:space="preserve"> </w:t>
      </w:r>
      <w:r>
        <w:rPr>
          <w:rFonts w:hint="eastAsia"/>
        </w:rPr>
        <w:t>P</w:t>
      </w:r>
      <w:r>
        <w:t>ractice</w:t>
      </w:r>
      <w:bookmarkEnd w:id="21"/>
    </w:p>
    <w:p w14:paraId="06A9D987">
      <w:pPr>
        <w:autoSpaceDE w:val="0"/>
        <w:spacing w:before="100" w:beforeAutospacing="1" w:line="360" w:lineRule="auto"/>
        <w:rPr>
          <w:rFonts w:ascii="Times New Roman" w:hAnsi="Times New Roman"/>
          <w:sz w:val="24"/>
          <w:szCs w:val="24"/>
        </w:rPr>
      </w:pPr>
      <w:r>
        <w:rPr>
          <w:rFonts w:ascii="Times New Roman" w:hAnsi="Times New Roman"/>
          <w:sz w:val="24"/>
          <w:szCs w:val="24"/>
        </w:rPr>
        <w:t>Modern Sishu educational practices differ in many ways from individual home-schooling practices and may even be opposite in some respects. A qualitative study of 31 Chinese home-schooling families in Hong Kong and Taipei showed that, although more than half of the parents (51.6%) tended to organise their home-schooling activities closer to a structured purpose, in general, parents always highlighted the importance of flexibility and freedom (Lee, 2023). To a greater or lesser extent, these families customise the learning style, pace and content of the curriculum to suit their child's needs or interests and even keep 'intervention' to a minimum where possible. A common view among the parents interviewed was to implement child-centred education wherever possible, rather than the school-centred tradition of compulsory education.</w:t>
      </w:r>
      <w:r>
        <w:rPr>
          <w:rFonts w:hint="eastAsia" w:ascii="Times New Roman" w:hAnsi="Times New Roman"/>
          <w:sz w:val="24"/>
          <w:szCs w:val="24"/>
        </w:rPr>
        <w:t xml:space="preserve"> Another study by Lee (2024) suggested that </w:t>
      </w:r>
      <w:r>
        <w:rPr>
          <w:rFonts w:ascii="Times New Roman" w:hAnsi="Times New Roman"/>
          <w:sz w:val="24"/>
          <w:szCs w:val="24"/>
        </w:rPr>
        <w:t xml:space="preserve">parents who chose to homeschool their children tended to respect their children's learning autonomy and attempted to democratise the learning process. </w:t>
      </w:r>
    </w:p>
    <w:p w14:paraId="3D0ACDB6">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62828566">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In spite of this, modern Sishu have not shown a positive attitude toward providing personalisation to students. </w:t>
      </w:r>
      <w:r>
        <w:rPr>
          <w:rFonts w:hint="eastAsia" w:ascii="Times New Roman" w:hAnsi="Times New Roman"/>
          <w:sz w:val="24"/>
          <w:szCs w:val="24"/>
        </w:rPr>
        <w:t>M</w:t>
      </w:r>
      <w:r>
        <w:rPr>
          <w:rFonts w:ascii="Times New Roman" w:hAnsi="Times New Roman"/>
          <w:sz w:val="24"/>
          <w:szCs w:val="24"/>
        </w:rPr>
        <w:t xml:space="preserve">any parents in China are equally keen to impart their preferred values and culture, i.e., those embodied in Confucian theories and works, in order to develop their children's morals and sound personalities (Sheng, 2013; 2018, p. 102). As a result, the basic learning content of most full-time Sishu is centred on classical Confucian works (Sheng, 2018), </w:t>
      </w:r>
      <w:r>
        <w:rPr>
          <w:rFonts w:hint="eastAsia" w:ascii="Times New Roman" w:hAnsi="Times New Roman"/>
          <w:sz w:val="24"/>
          <w:szCs w:val="24"/>
        </w:rPr>
        <w:t xml:space="preserve">and the teaching methods mainly focus on recitation and reading aloud. (Gilgan, 2023). </w:t>
      </w:r>
      <w:r>
        <w:rPr>
          <w:rFonts w:ascii="Times New Roman" w:hAnsi="Times New Roman"/>
          <w:sz w:val="24"/>
          <w:szCs w:val="24"/>
        </w:rPr>
        <w:t>‘Mengmutang’</w:t>
      </w:r>
      <w:r>
        <w:rPr>
          <w:rFonts w:hint="eastAsia" w:ascii="Times New Roman" w:hAnsi="Times New Roman"/>
          <w:sz w:val="24"/>
          <w:szCs w:val="24"/>
        </w:rPr>
        <w:t xml:space="preserve"> (</w:t>
      </w:r>
      <w:r>
        <w:rPr>
          <w:rFonts w:ascii="Times New Roman" w:hAnsi="Times New Roman"/>
          <w:sz w:val="24"/>
          <w:szCs w:val="24"/>
        </w:rPr>
        <w:t>‘Mengmutang’</w:t>
      </w:r>
      <w:r>
        <w:rPr>
          <w:rFonts w:hint="eastAsia" w:ascii="Times New Roman" w:hAnsi="Times New Roman"/>
          <w:sz w:val="24"/>
          <w:szCs w:val="24"/>
        </w:rPr>
        <w:t xml:space="preserve"> is the name of a modern Sishu</w:t>
      </w:r>
      <w:r>
        <w:rPr>
          <w:rFonts w:hint="eastAsia" w:ascii="Times New Roman" w:hAnsi="Times New Roman"/>
          <w:sz w:val="24"/>
          <w:szCs w:val="24"/>
          <w:lang w:val="en-US"/>
        </w:rPr>
        <w:t>, which had been banned by the government in 2006</w:t>
      </w:r>
      <w:r>
        <w:rPr>
          <w:rFonts w:hint="eastAsia" w:ascii="Times New Roman" w:hAnsi="Times New Roman"/>
          <w:sz w:val="24"/>
          <w:szCs w:val="24"/>
        </w:rPr>
        <w:t>)</w:t>
      </w:r>
      <w:r>
        <w:rPr>
          <w:rFonts w:ascii="Times New Roman" w:hAnsi="Times New Roman"/>
          <w:sz w:val="24"/>
          <w:szCs w:val="24"/>
        </w:rPr>
        <w:t xml:space="preserve"> in Shanghai is one of the modern practices of full-time Sishu.</w:t>
      </w:r>
      <w:r>
        <w:rPr>
          <w:rFonts w:hint="eastAsia" w:ascii="Times New Roman" w:hAnsi="Times New Roman"/>
          <w:sz w:val="24"/>
          <w:szCs w:val="24"/>
        </w:rPr>
        <w:t xml:space="preserve"> </w:t>
      </w:r>
      <w:r>
        <w:rPr>
          <w:rFonts w:ascii="Times New Roman" w:hAnsi="Times New Roman"/>
          <w:sz w:val="24"/>
          <w:szCs w:val="24"/>
        </w:rPr>
        <w:t xml:space="preserve">Sheng (2013), in his qualitative study of ‘Mengmutang’, noted that the teaching content of ‘Mengmutang' consisted almost entirely of Chinese Confucian works and that the specific teaching method was based on children reading and reciting under the guidance of a teacher (Sheng, 2013). </w:t>
      </w:r>
    </w:p>
    <w:p w14:paraId="4444826E">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134C90C7">
      <w:pPr>
        <w:autoSpaceDE w:val="0"/>
        <w:spacing w:before="100" w:beforeAutospacing="1" w:line="360" w:lineRule="auto"/>
        <w:rPr>
          <w:rFonts w:ascii="Times New Roman" w:hAnsi="Times New Roman"/>
          <w:sz w:val="24"/>
          <w:szCs w:val="24"/>
        </w:rPr>
      </w:pPr>
      <w:r>
        <w:rPr>
          <w:rFonts w:ascii="Times New Roman" w:hAnsi="Times New Roman"/>
          <w:sz w:val="24"/>
          <w:szCs w:val="24"/>
        </w:rPr>
        <w:t>Many parents who send their children to Mengmutang emphasize the emphasis on 'child-centred' teaching there, which 'adapts to children's individual learning styles' and 'meets their individual needs' (Sheng, 2013).</w:t>
      </w:r>
      <w:r>
        <w:rPr>
          <w:rFonts w:hint="eastAsia" w:ascii="Times New Roman" w:hAnsi="Times New Roman"/>
          <w:sz w:val="24"/>
          <w:szCs w:val="24"/>
        </w:rPr>
        <w:t xml:space="preserve"> </w:t>
      </w:r>
      <w:r>
        <w:rPr>
          <w:rFonts w:ascii="Times New Roman" w:hAnsi="Times New Roman"/>
          <w:sz w:val="24"/>
          <w:szCs w:val="24"/>
        </w:rPr>
        <w:t>Interestingly, however, there were limited examples provided in this study that demonstrated flexibility in teaching styles. The only specific description was that when a child could not recite a work well, the teacher would change the teaching style a little, i.e., let him read the text aloud (which would most likely still read Confucian works) (Sheng, 2013).</w:t>
      </w:r>
      <w:r>
        <w:rPr>
          <w:rFonts w:hint="eastAsia" w:ascii="Times New Roman" w:hAnsi="Times New Roman"/>
          <w:sz w:val="24"/>
          <w:szCs w:val="24"/>
        </w:rPr>
        <w:t xml:space="preserve"> </w:t>
      </w:r>
      <w:r>
        <w:rPr>
          <w:rFonts w:ascii="Times New Roman" w:hAnsi="Times New Roman"/>
          <w:sz w:val="24"/>
          <w:szCs w:val="24"/>
        </w:rPr>
        <w:t xml:space="preserve">The organisers of Mengmotang claim that Mengmotang's teachers set appropriate learning goals for students based on their character and abilities and that children can read and recite (Confucian works) at their own pace (Sheng, 2013). It is not difficult to notice that this is only a personalised adjustment of the learning pace, while the overall learning content and teaching style are clearly defined. </w:t>
      </w:r>
      <w:r>
        <w:rPr>
          <w:rFonts w:hint="eastAsia" w:ascii="Times New Roman" w:hAnsi="Times New Roman"/>
          <w:sz w:val="24"/>
          <w:szCs w:val="24"/>
        </w:rPr>
        <w:t>Again, here it is important to emphasize that</w:t>
      </w:r>
      <w:r>
        <w:rPr>
          <w:rFonts w:ascii="Times New Roman" w:hAnsi="Times New Roman"/>
          <w:sz w:val="24"/>
          <w:szCs w:val="24"/>
        </w:rPr>
        <w:t xml:space="preserve"> most modern Sishu use Confucian works as the main teaching materials, and the teaching methods mainly focus on recitation and reading aloud. In most cases, students have to bow to the Confucius image and the teacher before and after each class. The purpose of this was to teach students to respect authority and, in the present case, the teacher as the representative of authority (Gilgan, 2023). </w:t>
      </w:r>
    </w:p>
    <w:p w14:paraId="7B5ADB76">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67A22E68">
      <w:pPr>
        <w:autoSpaceDE w:val="0"/>
        <w:spacing w:before="100" w:beforeAutospacing="1" w:line="360" w:lineRule="auto"/>
        <w:rPr>
          <w:rFonts w:ascii="Times New Roman" w:hAnsi="Times New Roman"/>
          <w:sz w:val="24"/>
          <w:szCs w:val="24"/>
        </w:rPr>
      </w:pPr>
      <w:r>
        <w:rPr>
          <w:rFonts w:ascii="Times New Roman" w:hAnsi="Times New Roman"/>
          <w:sz w:val="24"/>
          <w:szCs w:val="24"/>
        </w:rPr>
        <w:t>There is little research that indicates how well modern Sishu can cultivate their students' personal interests in their lives and what extent customised learning spaces they can provide. However, based on the living situations described in the literature, it can be reasonably assumed that in the strong Confucian environment and atmosphere of the Sishu, some parents' expectations of 'personalisation' and 'student-centredness' are not met. Another fact is that the child's 'personality' or 'interests' are limited to Confucian culture and its moral values or to projects related to traditional Chinese culture and art, such as martial arts, calligraphy, Chinese painting, Chinese chess, etc. Only a few Sishu are able to incorporate a very small number of non-Confucian texts into the curriculum (Sheng, 2018; Sheng, 2019, p. 87).</w:t>
      </w:r>
      <w:r>
        <w:rPr>
          <w:rFonts w:hint="eastAsia" w:ascii="Times New Roman" w:hAnsi="Times New Roman"/>
          <w:sz w:val="24"/>
          <w:szCs w:val="24"/>
        </w:rPr>
        <w:t xml:space="preserve"> </w:t>
      </w:r>
    </w:p>
    <w:p w14:paraId="53DB4564">
      <w:pPr>
        <w:autoSpaceDE w:val="0"/>
        <w:spacing w:before="100" w:beforeAutospacing="1" w:line="360" w:lineRule="auto"/>
        <w:rPr>
          <w:rFonts w:ascii="Times New Roman" w:hAnsi="Times New Roman"/>
          <w:sz w:val="24"/>
          <w:szCs w:val="24"/>
        </w:rPr>
      </w:pPr>
      <w:r>
        <w:rPr>
          <w:rFonts w:hint="eastAsia" w:ascii="Times New Roman" w:hAnsi="Times New Roman"/>
          <w:sz w:val="24"/>
          <w:szCs w:val="24"/>
        </w:rPr>
        <w:t xml:space="preserve"> </w:t>
      </w:r>
    </w:p>
    <w:p w14:paraId="1E01DF9A">
      <w:pPr>
        <w:autoSpaceDE w:val="0"/>
        <w:spacing w:before="100" w:beforeAutospacing="1" w:line="360" w:lineRule="auto"/>
        <w:rPr>
          <w:rFonts w:ascii="Times New Roman" w:hAnsi="Times New Roman"/>
          <w:sz w:val="24"/>
          <w:szCs w:val="24"/>
        </w:rPr>
      </w:pPr>
      <w:r>
        <w:rPr>
          <w:rFonts w:ascii="Times New Roman" w:hAnsi="Times New Roman"/>
          <w:sz w:val="24"/>
          <w:szCs w:val="24"/>
        </w:rPr>
        <w:t>Because of parents' shared endorsement of Confucian values and learning needs, this willingness and inclination usually limits, to some extent, the scope of Sishu’s practice of learning content from non-Confucian or non-Chinese classical cultures. From this perspective, modern Sishu education cannot be called ‘actually respecting children's interests and learning needs’. On the contrary, it may, through its strict control over learning content, schedules and ideology, to some extent deprive students of the space to realise their individual interests, or perhaps even the opportunity to discover them due to lack of access to relevant environments and learning materials. However, it is perhaps the strong moral values that underlie Confucian philosophy and its methods that make Sishu education particularly attractive to parents</w:t>
      </w:r>
      <w:r>
        <w:rPr>
          <w:rFonts w:hint="eastAsia" w:ascii="Times New Roman" w:hAnsi="Times New Roman"/>
          <w:sz w:val="24"/>
          <w:szCs w:val="24"/>
        </w:rPr>
        <w:t xml:space="preserve"> </w:t>
      </w:r>
      <w:r>
        <w:rPr>
          <w:rFonts w:ascii="Times New Roman" w:hAnsi="Times New Roman"/>
          <w:sz w:val="24"/>
          <w:szCs w:val="24"/>
        </w:rPr>
        <w:t>(Gilgan, 2023). Specifically, parents who chose Sishu education prioritised moral education, emphasising its importance for their children throughout their lives and for society (Gilgan, 2023; Billioud and Thoraval, 2015, p. 93). They would more or less believe that a child can be educated to be a good person in a favourable environment where social conditions are deliberately constructed; the child will be able to grow up to be a good and moral role model, and will have the potential to influence those around him or her, which in turn will lead to a sound vision of self-transformation and transformation of the society (Billioud and Thoraval, 2015, p.106; Gilgan, 2023).</w:t>
      </w:r>
    </w:p>
    <w:p w14:paraId="48EBDB5B">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1B4B05AE">
      <w:pPr>
        <w:autoSpaceDE w:val="0"/>
        <w:spacing w:before="100" w:beforeAutospacing="1" w:line="360" w:lineRule="auto"/>
        <w:rPr>
          <w:rFonts w:ascii="Times New Roman" w:hAnsi="Times New Roman"/>
          <w:sz w:val="24"/>
          <w:szCs w:val="24"/>
        </w:rPr>
      </w:pPr>
      <w:r>
        <w:rPr>
          <w:rFonts w:ascii="Times New Roman" w:hAnsi="Times New Roman"/>
          <w:sz w:val="24"/>
          <w:szCs w:val="24"/>
        </w:rPr>
        <w:t>Billioud and Thoraval</w:t>
      </w:r>
      <w:r>
        <w:rPr>
          <w:rFonts w:hint="eastAsia" w:ascii="Times New Roman" w:hAnsi="Times New Roman"/>
          <w:sz w:val="24"/>
          <w:szCs w:val="24"/>
        </w:rPr>
        <w:t xml:space="preserve"> (</w:t>
      </w:r>
      <w:r>
        <w:rPr>
          <w:rFonts w:ascii="Times New Roman" w:hAnsi="Times New Roman"/>
          <w:sz w:val="24"/>
          <w:szCs w:val="24"/>
        </w:rPr>
        <w:t>2015</w:t>
      </w:r>
      <w:r>
        <w:rPr>
          <w:rFonts w:hint="eastAsia" w:ascii="Times New Roman" w:hAnsi="Times New Roman"/>
          <w:sz w:val="24"/>
          <w:szCs w:val="24"/>
        </w:rPr>
        <w:t>) stated that, i</w:t>
      </w:r>
      <w:r>
        <w:rPr>
          <w:rFonts w:ascii="Times New Roman" w:hAnsi="Times New Roman"/>
          <w:sz w:val="24"/>
          <w:szCs w:val="24"/>
        </w:rPr>
        <w:t>n contrast with the method of learning classic texts in a large number of indoctrinations, another Sishu educational practice</w:t>
      </w:r>
      <w:r>
        <w:rPr>
          <w:rFonts w:hint="eastAsia" w:ascii="Times New Roman" w:hAnsi="Times New Roman"/>
          <w:sz w:val="24"/>
          <w:szCs w:val="24"/>
        </w:rPr>
        <w:t xml:space="preserve"> </w:t>
      </w:r>
      <w:r>
        <w:rPr>
          <w:rFonts w:ascii="Times New Roman" w:hAnsi="Times New Roman"/>
          <w:sz w:val="24"/>
          <w:szCs w:val="24"/>
        </w:rPr>
        <w:t xml:space="preserve">exhibits anti-intellectualism (p. 76). Self-improvement is no longer directly related to intellectual activity but involves the whole person and body (p. 77). This means that the importance of classical texts as key vehicles for self-mastery becomes less unique in this approach. One of the key figures who led this approach was a self-proclaimed ‘farmer’ from Heilongjiang province, Mr Liu Yousheng (born in 1939). He claimed to have inherited the studies of Wang Fengyi, an important figure in the religious world </w:t>
      </w:r>
      <w:r>
        <w:rPr>
          <w:rFonts w:hint="eastAsia" w:ascii="Times New Roman" w:hAnsi="Times New Roman"/>
          <w:sz w:val="24"/>
          <w:szCs w:val="24"/>
        </w:rPr>
        <w:t>during the Minguo (</w:t>
      </w:r>
      <w:r>
        <w:rPr>
          <w:rFonts w:hint="eastAsia" w:ascii="宋体" w:hAnsi="宋体"/>
          <w:sz w:val="24"/>
          <w:szCs w:val="24"/>
        </w:rPr>
        <w:t>民国</w:t>
      </w:r>
      <w:r>
        <w:rPr>
          <w:rFonts w:hint="eastAsia" w:ascii="Times New Roman" w:hAnsi="Times New Roman"/>
          <w:sz w:val="24"/>
          <w:szCs w:val="24"/>
        </w:rPr>
        <w:t xml:space="preserve">) period (p. 80). Wang Fengyi, also known as Wang Shanren, was an uneducated farmer who cured himself of a serious illness at the age of thirty-five. He then realised his healing abilities and developed a </w:t>
      </w:r>
      <w:r>
        <w:rPr>
          <w:rFonts w:ascii="Times New Roman" w:hAnsi="Times New Roman"/>
          <w:sz w:val="24"/>
          <w:szCs w:val="24"/>
        </w:rPr>
        <w:t>'</w:t>
      </w:r>
      <w:r>
        <w:rPr>
          <w:rFonts w:hint="eastAsia" w:ascii="Times New Roman" w:hAnsi="Times New Roman"/>
          <w:sz w:val="24"/>
          <w:szCs w:val="24"/>
        </w:rPr>
        <w:t>hea</w:t>
      </w:r>
      <w:r>
        <w:rPr>
          <w:rFonts w:ascii="Times New Roman" w:hAnsi="Times New Roman"/>
          <w:sz w:val="24"/>
          <w:szCs w:val="24"/>
        </w:rPr>
        <w:t>ling edification' system. According to the explanation of a modern Sishu founder</w:t>
      </w:r>
      <w:r>
        <w:rPr>
          <w:rFonts w:hint="eastAsia" w:ascii="Times New Roman" w:hAnsi="Times New Roman"/>
          <w:sz w:val="24"/>
          <w:szCs w:val="24"/>
        </w:rPr>
        <w:t>:</w:t>
      </w:r>
    </w:p>
    <w:p w14:paraId="2825B2F6">
      <w:pPr>
        <w:autoSpaceDE w:val="0"/>
        <w:spacing w:before="100" w:beforeAutospacing="1" w:line="360" w:lineRule="auto"/>
        <w:ind w:left="630" w:leftChars="300"/>
        <w:rPr>
          <w:rFonts w:ascii="Times New Roman" w:hAnsi="Times New Roman"/>
          <w:sz w:val="24"/>
          <w:szCs w:val="24"/>
        </w:rPr>
      </w:pPr>
      <w:r>
        <w:rPr>
          <w:rFonts w:hint="eastAsia" w:ascii="Times New Roman" w:hAnsi="Times New Roman"/>
          <w:sz w:val="24"/>
          <w:szCs w:val="24"/>
        </w:rPr>
        <w:t xml:space="preserve">Wang Fengyi talks about ethics, evokes nature (xing </w:t>
      </w:r>
      <w:r>
        <w:rPr>
          <w:rFonts w:hint="eastAsia" w:ascii="宋体" w:hAnsi="宋体"/>
          <w:sz w:val="24"/>
          <w:szCs w:val="24"/>
        </w:rPr>
        <w:t>性</w:t>
      </w:r>
      <w:r>
        <w:rPr>
          <w:rFonts w:hint="eastAsia" w:ascii="Times New Roman" w:hAnsi="Times New Roman"/>
          <w:sz w:val="24"/>
          <w:szCs w:val="24"/>
        </w:rPr>
        <w:t xml:space="preserve">) and principle (li </w:t>
      </w:r>
      <w:r>
        <w:rPr>
          <w:rFonts w:hint="eastAsia" w:ascii="宋体" w:hAnsi="宋体"/>
          <w:sz w:val="24"/>
          <w:szCs w:val="24"/>
        </w:rPr>
        <w:t>理</w:t>
      </w:r>
      <w:r>
        <w:rPr>
          <w:rFonts w:hint="eastAsia" w:ascii="Times New Roman" w:hAnsi="Times New Roman"/>
          <w:sz w:val="24"/>
          <w:szCs w:val="24"/>
        </w:rPr>
        <w:t>), and addresses the issue of nurturing and transforming the conditions of one</w:t>
      </w:r>
      <w:r>
        <w:rPr>
          <w:rFonts w:ascii="Times New Roman" w:hAnsi="Times New Roman"/>
          <w:sz w:val="24"/>
          <w:szCs w:val="24"/>
        </w:rPr>
        <w:t>’</w:t>
      </w:r>
      <w:r>
        <w:rPr>
          <w:rFonts w:hint="eastAsia" w:ascii="Times New Roman" w:hAnsi="Times New Roman"/>
          <w:sz w:val="24"/>
          <w:szCs w:val="24"/>
        </w:rPr>
        <w:t xml:space="preserve"> s body and heart/mind (curing disease by focusing on nature and principle), his fundamental focus is on how to act in a good way so that each person rectifies him or herself. If people manage to rectify themselves, then they will reach centrality and harmony and will be less the victims of the </w:t>
      </w:r>
      <w:r>
        <w:rPr>
          <w:rFonts w:ascii="Times New Roman" w:hAnsi="Times New Roman"/>
          <w:sz w:val="24"/>
          <w:szCs w:val="24"/>
        </w:rPr>
        <w:t>‘</w:t>
      </w:r>
      <w:r>
        <w:rPr>
          <w:rFonts w:hint="eastAsia" w:ascii="Times New Roman" w:hAnsi="Times New Roman"/>
          <w:sz w:val="24"/>
          <w:szCs w:val="24"/>
        </w:rPr>
        <w:t>five poisons</w:t>
      </w:r>
      <w:r>
        <w:rPr>
          <w:rFonts w:ascii="Times New Roman" w:hAnsi="Times New Roman"/>
          <w:sz w:val="24"/>
          <w:szCs w:val="24"/>
        </w:rPr>
        <w:t>’</w:t>
      </w:r>
      <w:r>
        <w:rPr>
          <w:rFonts w:hint="eastAsia" w:ascii="Times New Roman" w:hAnsi="Times New Roman"/>
          <w:sz w:val="24"/>
          <w:szCs w:val="24"/>
        </w:rPr>
        <w:t xml:space="preserve"> (wu du </w:t>
      </w:r>
      <w:r>
        <w:rPr>
          <w:rFonts w:hint="eastAsia" w:ascii="宋体" w:hAnsi="宋体"/>
          <w:sz w:val="24"/>
          <w:szCs w:val="24"/>
        </w:rPr>
        <w:t>五毒</w:t>
      </w:r>
      <w:r>
        <w:rPr>
          <w:rFonts w:hint="eastAsia" w:ascii="Times New Roman" w:hAnsi="Times New Roman"/>
          <w:sz w:val="24"/>
          <w:szCs w:val="24"/>
        </w:rPr>
        <w:t xml:space="preserve">), namely resentment (yuan </w:t>
      </w:r>
      <w:r>
        <w:rPr>
          <w:rFonts w:hint="eastAsia" w:ascii="宋体" w:hAnsi="宋体"/>
          <w:sz w:val="24"/>
          <w:szCs w:val="24"/>
        </w:rPr>
        <w:t>怨</w:t>
      </w:r>
      <w:r>
        <w:rPr>
          <w:rFonts w:hint="eastAsia" w:ascii="Times New Roman" w:hAnsi="Times New Roman"/>
          <w:sz w:val="24"/>
          <w:szCs w:val="24"/>
        </w:rPr>
        <w:t xml:space="preserve">), hate (hen </w:t>
      </w:r>
      <w:r>
        <w:rPr>
          <w:rFonts w:hint="eastAsia" w:ascii="宋体" w:hAnsi="宋体"/>
          <w:sz w:val="24"/>
          <w:szCs w:val="24"/>
        </w:rPr>
        <w:t>恨</w:t>
      </w:r>
      <w:r>
        <w:rPr>
          <w:rFonts w:hint="eastAsia" w:ascii="Times New Roman" w:hAnsi="Times New Roman"/>
          <w:sz w:val="24"/>
          <w:szCs w:val="24"/>
        </w:rPr>
        <w:t xml:space="preserve">), irritation (nao </w:t>
      </w:r>
      <w:r>
        <w:rPr>
          <w:rFonts w:hint="eastAsia" w:ascii="宋体" w:hAnsi="宋体"/>
          <w:sz w:val="24"/>
          <w:szCs w:val="24"/>
        </w:rPr>
        <w:t>惱</w:t>
      </w:r>
      <w:r>
        <w:rPr>
          <w:rFonts w:hint="eastAsia" w:ascii="Times New Roman" w:hAnsi="Times New Roman"/>
          <w:sz w:val="24"/>
          <w:szCs w:val="24"/>
        </w:rPr>
        <w:t xml:space="preserve">), anger (nu </w:t>
      </w:r>
      <w:r>
        <w:rPr>
          <w:rFonts w:hint="eastAsia" w:ascii="宋体" w:hAnsi="宋体"/>
          <w:sz w:val="24"/>
          <w:szCs w:val="24"/>
        </w:rPr>
        <w:t>怒</w:t>
      </w:r>
      <w:r>
        <w:rPr>
          <w:rFonts w:hint="eastAsia" w:ascii="Times New Roman" w:hAnsi="Times New Roman"/>
          <w:sz w:val="24"/>
          <w:szCs w:val="24"/>
        </w:rPr>
        <w:t xml:space="preserve">), and worries (fan </w:t>
      </w:r>
      <w:r>
        <w:rPr>
          <w:rFonts w:hint="eastAsia" w:ascii="宋体" w:hAnsi="宋体"/>
          <w:sz w:val="24"/>
          <w:szCs w:val="24"/>
        </w:rPr>
        <w:t>煩</w:t>
      </w:r>
      <w:r>
        <w:rPr>
          <w:rFonts w:hint="eastAsia" w:ascii="Times New Roman" w:hAnsi="Times New Roman"/>
          <w:sz w:val="24"/>
          <w:szCs w:val="24"/>
        </w:rPr>
        <w:t>). (Billioud and Thoraval, 2015, p.80).</w:t>
      </w:r>
    </w:p>
    <w:p w14:paraId="494F5D89">
      <w:pPr>
        <w:autoSpaceDE w:val="0"/>
        <w:spacing w:before="100" w:beforeAutospacing="1" w:line="360" w:lineRule="auto"/>
        <w:ind w:left="630" w:leftChars="300"/>
        <w:rPr>
          <w:rFonts w:ascii="Times New Roman" w:hAnsi="Times New Roman"/>
          <w:sz w:val="24"/>
          <w:szCs w:val="24"/>
        </w:rPr>
      </w:pPr>
      <w:r>
        <w:rPr>
          <w:rFonts w:ascii="Times New Roman" w:hAnsi="Times New Roman"/>
          <w:sz w:val="24"/>
          <w:szCs w:val="24"/>
        </w:rPr>
        <w:t xml:space="preserve"> </w:t>
      </w:r>
    </w:p>
    <w:p w14:paraId="04C42644">
      <w:pPr>
        <w:autoSpaceDE w:val="0"/>
        <w:spacing w:before="100" w:beforeAutospacing="1" w:line="360" w:lineRule="auto"/>
        <w:rPr>
          <w:rFonts w:ascii="Times New Roman" w:hAnsi="Times New Roman"/>
          <w:sz w:val="24"/>
          <w:szCs w:val="24"/>
        </w:rPr>
      </w:pPr>
      <w:r>
        <w:rPr>
          <w:rFonts w:hint="eastAsia" w:ascii="Times New Roman" w:hAnsi="Times New Roman"/>
          <w:sz w:val="24"/>
          <w:szCs w:val="24"/>
        </w:rPr>
        <w:t xml:space="preserve">In </w:t>
      </w:r>
      <w:r>
        <w:rPr>
          <w:rFonts w:ascii="Times New Roman" w:hAnsi="Times New Roman"/>
          <w:sz w:val="24"/>
          <w:szCs w:val="24"/>
        </w:rPr>
        <w:t xml:space="preserve">Billioud and Thoraval </w:t>
      </w:r>
      <w:r>
        <w:rPr>
          <w:rFonts w:hint="eastAsia" w:ascii="Times New Roman" w:hAnsi="Times New Roman"/>
          <w:sz w:val="24"/>
          <w:szCs w:val="24"/>
        </w:rPr>
        <w:t>(</w:t>
      </w:r>
      <w:r>
        <w:rPr>
          <w:rFonts w:ascii="Times New Roman" w:hAnsi="Times New Roman"/>
          <w:sz w:val="24"/>
          <w:szCs w:val="24"/>
        </w:rPr>
        <w:t>2015</w:t>
      </w:r>
      <w:r>
        <w:rPr>
          <w:rFonts w:hint="eastAsia" w:ascii="Times New Roman" w:hAnsi="Times New Roman"/>
          <w:sz w:val="24"/>
          <w:szCs w:val="24"/>
        </w:rPr>
        <w:t>)</w:t>
      </w:r>
      <w:r>
        <w:rPr>
          <w:rFonts w:ascii="Times New Roman" w:hAnsi="Times New Roman"/>
          <w:sz w:val="24"/>
          <w:szCs w:val="24"/>
        </w:rPr>
        <w:t>’</w:t>
      </w:r>
      <w:r>
        <w:rPr>
          <w:rFonts w:hint="eastAsia" w:ascii="Times New Roman" w:hAnsi="Times New Roman"/>
          <w:sz w:val="24"/>
          <w:szCs w:val="24"/>
        </w:rPr>
        <w:t>s work</w:t>
      </w:r>
      <w:r>
        <w:rPr>
          <w:rFonts w:ascii="Times New Roman" w:hAnsi="Times New Roman"/>
          <w:sz w:val="24"/>
          <w:szCs w:val="24"/>
        </w:rPr>
        <w:t>,</w:t>
      </w:r>
      <w:r>
        <w:rPr>
          <w:rFonts w:hint="eastAsia" w:ascii="Times New Roman" w:hAnsi="Times New Roman"/>
          <w:sz w:val="24"/>
          <w:szCs w:val="24"/>
        </w:rPr>
        <w:t xml:space="preserve"> i</w:t>
      </w:r>
      <w:r>
        <w:rPr>
          <w:rFonts w:ascii="Times New Roman" w:hAnsi="Times New Roman"/>
          <w:sz w:val="24"/>
          <w:szCs w:val="24"/>
        </w:rPr>
        <w:t xml:space="preserve">n line with this approach, some Sishu enshrines ‘less talk and more action’ as their motto (p. 77). The founders emphasised the unity of knowledge and action (i.e. knowing the good way and trying to do it) (p. 78). Therefore, unlike other modern Sishu that commonly read aloud and recite a large number of classical texts, this Sishu's practice was that no more than one chapter of </w:t>
      </w:r>
      <w:r>
        <w:rPr>
          <w:rFonts w:ascii="Times New Roman" w:hAnsi="Times New Roman"/>
          <w:i/>
          <w:iCs/>
          <w:sz w:val="24"/>
          <w:szCs w:val="24"/>
        </w:rPr>
        <w:t>the Analects</w:t>
      </w:r>
      <w:r>
        <w:rPr>
          <w:rFonts w:ascii="Times New Roman" w:hAnsi="Times New Roman"/>
          <w:sz w:val="24"/>
          <w:szCs w:val="24"/>
        </w:rPr>
        <w:t xml:space="preserve"> should be read aloud each week. The founders believed that repeated recitations were meant to be committed to memory, and that connecting students' daily lives to passages from t</w:t>
      </w:r>
      <w:r>
        <w:rPr>
          <w:rFonts w:ascii="Times New Roman" w:hAnsi="Times New Roman"/>
          <w:i/>
          <w:iCs/>
          <w:sz w:val="24"/>
          <w:szCs w:val="24"/>
        </w:rPr>
        <w:t>he Analects</w:t>
      </w:r>
      <w:r>
        <w:rPr>
          <w:rFonts w:ascii="Times New Roman" w:hAnsi="Times New Roman"/>
          <w:sz w:val="24"/>
          <w:szCs w:val="24"/>
        </w:rPr>
        <w:t xml:space="preserve"> in this gentle way would allow the teachings in the classics to be truly integrated into one's life, with the effect of drawing on the wisdom of the sages from the classical text (p. 78). </w:t>
      </w:r>
    </w:p>
    <w:p w14:paraId="73FCBBD7">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41BF2FB3">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An even more extreme example of this anti-intellectual educational philosophy is a traditional culture training centre in Anhui Province. They hold regular gatherings and recite </w:t>
      </w:r>
      <w:r>
        <w:rPr>
          <w:rFonts w:hint="eastAsia" w:ascii="Times New Roman" w:hAnsi="Times New Roman"/>
          <w:i/>
          <w:iCs/>
          <w:sz w:val="24"/>
          <w:szCs w:val="24"/>
        </w:rPr>
        <w:t xml:space="preserve">The </w:t>
      </w:r>
      <w:r>
        <w:rPr>
          <w:rFonts w:ascii="Times New Roman" w:hAnsi="Times New Roman"/>
          <w:i/>
          <w:iCs/>
          <w:sz w:val="24"/>
          <w:szCs w:val="24"/>
        </w:rPr>
        <w:t>Rules of the Disciples</w:t>
      </w:r>
      <w:r>
        <w:rPr>
          <w:rFonts w:ascii="Times New Roman" w:hAnsi="Times New Roman"/>
          <w:sz w:val="24"/>
          <w:szCs w:val="24"/>
        </w:rPr>
        <w:t xml:space="preserve"> (</w:t>
      </w:r>
      <w:r>
        <w:rPr>
          <w:rFonts w:ascii="Times New Roman" w:hAnsi="Times New Roman"/>
          <w:i/>
          <w:iCs/>
          <w:sz w:val="24"/>
          <w:szCs w:val="24"/>
        </w:rPr>
        <w:t>Dizigui</w:t>
      </w:r>
      <w:r>
        <w:rPr>
          <w:rFonts w:ascii="Times New Roman" w:hAnsi="Times New Roman"/>
          <w:sz w:val="24"/>
          <w:szCs w:val="24"/>
        </w:rPr>
        <w:t xml:space="preserve">) outdoors (Billioud and Thoraval, 2015, p. 81). </w:t>
      </w:r>
      <w:r>
        <w:rPr>
          <w:rFonts w:ascii="Times New Roman" w:hAnsi="Times New Roman"/>
          <w:i/>
          <w:iCs/>
          <w:sz w:val="24"/>
          <w:szCs w:val="24"/>
        </w:rPr>
        <w:t>The Rules of the Disciples</w:t>
      </w:r>
      <w:r>
        <w:rPr>
          <w:rFonts w:ascii="Times New Roman" w:hAnsi="Times New Roman"/>
          <w:sz w:val="24"/>
          <w:szCs w:val="24"/>
        </w:rPr>
        <w:t xml:space="preserve"> was a short textbook used to educate children that was widely circulated during the Qing Dynasty. This text encapsulates the most important rules of behaviour for home life and when dealing with others in simple, easy-to-understand three-character sentences. It is fully rooted in the Confucian tradition and partly inspired by </w:t>
      </w:r>
      <w:r>
        <w:rPr>
          <w:rFonts w:ascii="Times New Roman" w:hAnsi="Times New Roman"/>
          <w:i/>
          <w:iCs/>
          <w:sz w:val="24"/>
          <w:szCs w:val="24"/>
        </w:rPr>
        <w:t>the Analects</w:t>
      </w:r>
      <w:r>
        <w:rPr>
          <w:rFonts w:ascii="Times New Roman" w:hAnsi="Times New Roman"/>
          <w:sz w:val="24"/>
          <w:szCs w:val="24"/>
        </w:rPr>
        <w:t xml:space="preserve"> (Billioud and Thoraval, 2015, p. 83). The director claims that the Disciple's Rules appears to be a simple book with a simple meaning, but she has been reading it for six years and is still going on (Billioud and Thoraval, 2015, p. 81). The purpose of doing so is to understand the true meaning of what is being learnt and to practise it seriously (Billioud and Thoraval, 2015, p. 82). Not only that, she does not see the need to learn and use more classical Confucian texts and ironically talks about all the people who learn the classics in large quantities by rote. She firmly believes that being able to implement what is learnt from even simple texts is the only thing that matters (Billioud and Thoraval, 2015, p. 83). This chapter critically presents two of the most distinctive and pervasive ways of practising education in modern Sishu, reflecting the diversity and methodological characteristics of modern Sishu's practice of Confucian education.</w:t>
      </w:r>
    </w:p>
    <w:p w14:paraId="5E95C4F6">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32B1F087">
      <w:pPr>
        <w:pStyle w:val="4"/>
        <w:numPr>
          <w:ilvl w:val="2"/>
          <w:numId w:val="3"/>
        </w:numPr>
      </w:pPr>
      <w:bookmarkStart w:id="22" w:name="_Toc3438"/>
      <w:r>
        <w:rPr>
          <w:rFonts w:hint="eastAsia"/>
          <w:lang w:val="en-US"/>
        </w:rPr>
        <w:t xml:space="preserve">Sishu </w:t>
      </w:r>
      <w:r>
        <w:t>Teaching Content</w:t>
      </w:r>
      <w:bookmarkEnd w:id="22"/>
    </w:p>
    <w:p w14:paraId="6F6538BE">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In the work of Billioud and Thoraval (2015), a large number of fieldwork studies of Chinese Sishu and their cognate institutions are documented. Their research data witness the different educational practices that </w:t>
      </w:r>
      <w:r>
        <w:rPr>
          <w:rFonts w:hint="eastAsia" w:ascii="Times New Roman" w:hAnsi="Times New Roman"/>
          <w:sz w:val="24"/>
          <w:szCs w:val="24"/>
        </w:rPr>
        <w:t xml:space="preserve">stem from the same Confucian educational philosophy by </w:t>
      </w:r>
      <w:r>
        <w:rPr>
          <w:rFonts w:ascii="Times New Roman" w:hAnsi="Times New Roman"/>
          <w:sz w:val="24"/>
          <w:szCs w:val="24"/>
        </w:rPr>
        <w:t>Sishu groups</w:t>
      </w:r>
      <w:r>
        <w:rPr>
          <w:rFonts w:hint="eastAsia" w:ascii="Times New Roman" w:hAnsi="Times New Roman"/>
          <w:sz w:val="24"/>
          <w:szCs w:val="24"/>
        </w:rPr>
        <w:t xml:space="preserve"> </w:t>
      </w:r>
      <w:r>
        <w:rPr>
          <w:rFonts w:ascii="Times New Roman" w:hAnsi="Times New Roman"/>
          <w:sz w:val="24"/>
          <w:szCs w:val="24"/>
        </w:rPr>
        <w:t xml:space="preserve">(p. 86). This is because the macro-structure and specific educational practices of a Sishu basically depend on the founder or headmaster of this Sishu (Gilgan, 2023). This means that it is possible for different Sishu founders to creatively design specific instruction and adapt their content and teaching methods as needed, based on their own understanding and beliefs about classical Chinese works, as well as their judgement of the social situation. In this context, it is necessary to mention Wang Caigui’s educational theories, as his approach constitutes, to some extent, one of the common </w:t>
      </w:r>
      <w:r>
        <w:rPr>
          <w:rFonts w:hint="eastAsia" w:ascii="Times New Roman" w:hAnsi="Times New Roman"/>
          <w:sz w:val="24"/>
          <w:szCs w:val="24"/>
        </w:rPr>
        <w:t>method</w:t>
      </w:r>
      <w:r>
        <w:rPr>
          <w:rFonts w:ascii="Times New Roman" w:hAnsi="Times New Roman"/>
          <w:sz w:val="24"/>
          <w:szCs w:val="24"/>
        </w:rPr>
        <w:t xml:space="preserve"> from different Sishu. </w:t>
      </w:r>
    </w:p>
    <w:p w14:paraId="193EB8BA">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16417A09">
      <w:pPr>
        <w:autoSpaceDE w:val="0"/>
        <w:spacing w:before="100" w:beforeAutospacing="1" w:line="360" w:lineRule="auto"/>
        <w:rPr>
          <w:rFonts w:ascii="Times New Roman" w:hAnsi="Times New Roman"/>
          <w:sz w:val="24"/>
          <w:szCs w:val="24"/>
        </w:rPr>
      </w:pPr>
      <w:r>
        <w:rPr>
          <w:rFonts w:hint="eastAsia" w:ascii="Times New Roman" w:hAnsi="Times New Roman"/>
          <w:sz w:val="24"/>
          <w:szCs w:val="24"/>
        </w:rPr>
        <w:t xml:space="preserve">According to </w:t>
      </w:r>
      <w:r>
        <w:rPr>
          <w:rFonts w:ascii="Times New Roman" w:hAnsi="Times New Roman"/>
          <w:sz w:val="24"/>
          <w:szCs w:val="24"/>
        </w:rPr>
        <w:t xml:space="preserve">Billioud and Thoraval </w:t>
      </w:r>
      <w:r>
        <w:rPr>
          <w:rFonts w:hint="eastAsia" w:ascii="Times New Roman" w:hAnsi="Times New Roman"/>
          <w:sz w:val="24"/>
          <w:szCs w:val="24"/>
        </w:rPr>
        <w:t>(</w:t>
      </w:r>
      <w:r>
        <w:rPr>
          <w:rFonts w:ascii="Times New Roman" w:hAnsi="Times New Roman"/>
          <w:sz w:val="24"/>
          <w:szCs w:val="24"/>
        </w:rPr>
        <w:t>2015</w:t>
      </w:r>
      <w:r>
        <w:rPr>
          <w:rFonts w:hint="eastAsia" w:ascii="Times New Roman" w:hAnsi="Times New Roman"/>
          <w:sz w:val="24"/>
          <w:szCs w:val="24"/>
        </w:rPr>
        <w:t xml:space="preserve">), </w:t>
      </w:r>
      <w:r>
        <w:rPr>
          <w:rFonts w:ascii="Times New Roman" w:hAnsi="Times New Roman"/>
          <w:sz w:val="24"/>
          <w:szCs w:val="24"/>
        </w:rPr>
        <w:t>Wan</w:t>
      </w:r>
      <w:r>
        <w:rPr>
          <w:rFonts w:hint="eastAsia" w:ascii="Times New Roman" w:hAnsi="Times New Roman"/>
          <w:sz w:val="24"/>
          <w:szCs w:val="24"/>
        </w:rPr>
        <w:t>g Caigui (</w:t>
      </w:r>
      <w:r>
        <w:rPr>
          <w:rFonts w:hint="eastAsia" w:ascii="宋体" w:hAnsi="宋体"/>
          <w:sz w:val="24"/>
          <w:szCs w:val="24"/>
        </w:rPr>
        <w:t>王財貴</w:t>
      </w:r>
      <w:r>
        <w:rPr>
          <w:rFonts w:hint="eastAsia" w:ascii="Times New Roman" w:hAnsi="Times New Roman"/>
          <w:sz w:val="24"/>
          <w:szCs w:val="24"/>
        </w:rPr>
        <w:t>) was born in 1949, and has served in several universities in Taiwan. He is a prominent participant in the Classics Reading Movement in Taiwan and a figure in the revival of Confucianism in Chinese folklore that began in the 2000s (</w:t>
      </w:r>
      <w:r>
        <w:rPr>
          <w:rFonts w:ascii="Times New Roman" w:hAnsi="Times New Roman"/>
          <w:sz w:val="24"/>
          <w:szCs w:val="24"/>
        </w:rPr>
        <w:t>p. 44). As a ‘theorist’ of education, he has worked primarily to promote classical learning in society, while also strongly encouraging the opening of traditional Sishu in Taiwan, with the aim of fostering a new generation of Confucian role models. Wang's core beliefs are that classical reading has a positive impact on children (i.e. reciting classical texts can transform children and enhance their abilities) (p. 86). However, an opposing comment might be that as far as children’s comprehension and ability to analyse problems is concerned, this form of education does not seem to leave much room for intellectual autonomy and critical thinking in the most extreme cases (p. 96). According to Gilgan’s (2023) semi-structured interviews with 21 full-time Sishu, these institutions commonly adopted Wang Caigui's 'Classics-reading education' as the underlying pedagogical philosophy. Billioud and Thoraval’s study also shows that most Sishu</w:t>
      </w:r>
      <w:r>
        <w:rPr>
          <w:rFonts w:hint="eastAsia" w:ascii="Times New Roman" w:hAnsi="Times New Roman"/>
          <w:sz w:val="24"/>
          <w:szCs w:val="24"/>
        </w:rPr>
        <w:t xml:space="preserve"> </w:t>
      </w:r>
      <w:r>
        <w:rPr>
          <w:rFonts w:ascii="Times New Roman" w:hAnsi="Times New Roman"/>
          <w:sz w:val="24"/>
          <w:szCs w:val="24"/>
        </w:rPr>
        <w:t>(Classics-reading institutions) find it difficult to ignore the influence of Wang Caigui’s educational theories, even though many of them do not necessarily openly admit that their pedagogical philosophies are inspired by Wang’s (Billioud and Thoraval, 2015, p. 94). All summed up, the learning and practice of the Confucian classics is a central element that forms the core of the learning life of today's Sishu.</w:t>
      </w:r>
    </w:p>
    <w:p w14:paraId="68F3632A">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5C302F6D">
      <w:pPr>
        <w:autoSpaceDE w:val="0"/>
        <w:spacing w:before="100" w:beforeAutospacing="1" w:line="360" w:lineRule="auto"/>
        <w:rPr>
          <w:rFonts w:ascii="Times New Roman" w:hAnsi="Times New Roman"/>
          <w:sz w:val="24"/>
          <w:szCs w:val="24"/>
        </w:rPr>
      </w:pPr>
      <w:r>
        <w:rPr>
          <w:rFonts w:ascii="Times New Roman" w:hAnsi="Times New Roman"/>
          <w:sz w:val="24"/>
          <w:szCs w:val="24"/>
        </w:rPr>
        <w:t>Whilst Wang’s theory is inspiring, his approach continues to be critically drawn upon and has spawned very different</w:t>
      </w:r>
      <w:r>
        <w:rPr>
          <w:rFonts w:ascii="等线" w:hAnsi="等线" w:eastAsia="等线"/>
          <w:sz w:val="16"/>
          <w:szCs w:val="16"/>
        </w:rPr>
        <w:t xml:space="preserve"> </w:t>
      </w:r>
      <w:r>
        <w:rPr>
          <w:rFonts w:hint="eastAsia" w:ascii="Times New Roman" w:hAnsi="Times New Roman"/>
          <w:sz w:val="24"/>
          <w:szCs w:val="24"/>
        </w:rPr>
        <w:t>educational practice</w:t>
      </w:r>
      <w:r>
        <w:rPr>
          <w:rFonts w:ascii="Times New Roman" w:hAnsi="Times New Roman"/>
          <w:sz w:val="24"/>
          <w:szCs w:val="24"/>
        </w:rPr>
        <w:t xml:space="preserve">(Billioud and Thoraval, 2015, p. 86). Headmasters commonly set the tone for the operation and specific cultural practices of the Sishu, and they can determine which elements of the tradition they need to pass on to their students in or outside the classroom (Gilgan, 2023). In these Sishu, there were many borrowings and reinventions of ancient Sishu teaching methods in educational practices and daily life. This is manifested in the ritual of bowing to Confucius before class, traditional teacher-student relationships, strict discipline, and a way of life that honours values such as modesty, frugality, and dedication (Gilgan, 2023). In the classroom, it was common practice for students to sit down and read or recite classics steadily and monotonously, with a lesson usually lasting two hours (Gilgan, 2023; Billioud and Thoraval, 2015, p. 90). According to Wang Caigui’s teaching method, instead of going through the arduous process of rote memorisation of texts, children would usually memorise them more and more easily by repeating them aloud over and over again, reaching a certain number of times until they were able to recite lengthy works, and sometimes even complete texts, without thinking (Billioud and Thoraval, 2015, p. 89). </w:t>
      </w:r>
    </w:p>
    <w:p w14:paraId="3F985B63">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52F6C94B">
      <w:pPr>
        <w:autoSpaceDE w:val="0"/>
        <w:spacing w:before="100" w:beforeAutospacing="1" w:line="360" w:lineRule="auto"/>
        <w:rPr>
          <w:rFonts w:ascii="Times New Roman" w:hAnsi="Times New Roman"/>
          <w:sz w:val="24"/>
          <w:szCs w:val="24"/>
        </w:rPr>
      </w:pPr>
      <w:r>
        <w:rPr>
          <w:rFonts w:ascii="Times New Roman" w:hAnsi="Times New Roman"/>
          <w:sz w:val="24"/>
          <w:szCs w:val="24"/>
        </w:rPr>
        <w:t>While the results may be fulfilling, researchers have found in fieldwork that the process is not usually pleasurable for children and adolescent students (Billioud and Thoraval, 2015, p. 89).</w:t>
      </w:r>
      <w:r>
        <w:rPr>
          <w:rFonts w:hint="eastAsia" w:ascii="Times New Roman" w:hAnsi="Times New Roman"/>
          <w:sz w:val="24"/>
          <w:szCs w:val="24"/>
        </w:rPr>
        <w:t xml:space="preserve"> </w:t>
      </w:r>
      <w:r>
        <w:rPr>
          <w:rFonts w:ascii="Times New Roman" w:hAnsi="Times New Roman"/>
          <w:sz w:val="24"/>
          <w:szCs w:val="24"/>
        </w:rPr>
        <w:t xml:space="preserve">Several studies of Sishu and </w:t>
      </w:r>
      <w:r>
        <w:rPr>
          <w:rFonts w:hint="eastAsia" w:ascii="Times New Roman" w:hAnsi="Times New Roman"/>
          <w:sz w:val="24"/>
          <w:szCs w:val="24"/>
        </w:rPr>
        <w:t>classics-reading</w:t>
      </w:r>
      <w:r>
        <w:rPr>
          <w:rFonts w:ascii="Times New Roman" w:hAnsi="Times New Roman"/>
          <w:sz w:val="24"/>
          <w:szCs w:val="24"/>
        </w:rPr>
        <w:t xml:space="preserve"> education suggest that this is actually a more challenging mode of learning for both students and teachers than the customised home-schooling approach of individual families. Gilgan (2023), for example, in one of his qualitative studies of Sishu institutions, recognised that reciting the classics was hard and disciplined work in a full-time approach to education. This is particularly true in some Sishu that follow a ‘purely classical reading’ educational philosophy, where students are likely to read aloud and recite classics for at least eight hours a day, every day, and are not permitted to engage in other activities during class (Gilgan, 2023). </w:t>
      </w:r>
    </w:p>
    <w:p w14:paraId="60952467">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54A25B4F">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Overall, modern Sishu embodies two prevalent and widely shared features in their pedagogy, that is; on the one hand, the goal of these Sishu is to provide whole person learning, as opposed to the simple transfer of knowledge provided by compulsory education; on the other hand, classical texts are a crucial aspect of achieving whole person learning (Billioud and Thoraval, 2015, p. 91). Supported by </w:t>
      </w:r>
      <w:r>
        <w:rPr>
          <w:rFonts w:hint="eastAsia" w:ascii="Times New Roman" w:hAnsi="Times New Roman"/>
          <w:sz w:val="24"/>
          <w:szCs w:val="24"/>
        </w:rPr>
        <w:t>Wang</w:t>
      </w:r>
      <w:r>
        <w:rPr>
          <w:rFonts w:ascii="Times New Roman" w:hAnsi="Times New Roman"/>
          <w:sz w:val="24"/>
          <w:szCs w:val="24"/>
        </w:rPr>
        <w:t>’</w:t>
      </w:r>
      <w:r>
        <w:rPr>
          <w:rFonts w:hint="eastAsia" w:ascii="Times New Roman" w:hAnsi="Times New Roman"/>
          <w:sz w:val="24"/>
          <w:szCs w:val="24"/>
        </w:rPr>
        <w:t>s</w:t>
      </w:r>
      <w:r>
        <w:rPr>
          <w:rFonts w:ascii="Times New Roman" w:hAnsi="Times New Roman"/>
          <w:sz w:val="24"/>
          <w:szCs w:val="24"/>
        </w:rPr>
        <w:t xml:space="preserve"> educational concept and goal, modern Sishu seem to have reached a basic consensus on teaching content, that is, through concentrated classical text learning, instil Confucian classical classics and virtues into children, thereby shaping students' character (Sheng, 2018; Sheng, 2019, p.89; Billioud and Thoraval, 2015, p.25).</w:t>
      </w:r>
    </w:p>
    <w:p w14:paraId="7395C202">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5340BE89">
      <w:pPr>
        <w:pStyle w:val="3"/>
        <w:numPr>
          <w:ilvl w:val="1"/>
          <w:numId w:val="3"/>
        </w:numPr>
        <w:rPr>
          <w:lang w:val="en-US"/>
        </w:rPr>
      </w:pPr>
      <w:bookmarkStart w:id="23" w:name="_Toc22987"/>
      <w:r>
        <w:rPr>
          <w:lang w:val="en-US"/>
        </w:rPr>
        <w:t>Theme three: Challenges</w:t>
      </w:r>
      <w:bookmarkEnd w:id="23"/>
    </w:p>
    <w:p w14:paraId="75DA78B0">
      <w:pPr>
        <w:pStyle w:val="4"/>
        <w:numPr>
          <w:ilvl w:val="2"/>
          <w:numId w:val="3"/>
        </w:numPr>
        <w:rPr>
          <w:lang w:val="en-US"/>
        </w:rPr>
      </w:pPr>
      <w:bookmarkStart w:id="24" w:name="_Toc23976"/>
      <w:r>
        <w:rPr>
          <w:rFonts w:hint="eastAsia"/>
          <w:lang w:val="en-US"/>
        </w:rPr>
        <w:t>Challenges for Sishu from the perspective of existing education policy</w:t>
      </w:r>
      <w:bookmarkEnd w:id="24"/>
    </w:p>
    <w:p w14:paraId="5954FFDB">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After establishing the People's Republic of China, the Compulsory Education Law was formally implemented in 1986. It was revised and improved in 2006, 2015 and 2018 (The Central People's Government of the People's Republic of China, 2006). The duration of compulsory education is nine years in total, comprising primary and junior secondary school (Chen, 2000). Although the number of home-schooled children (including those in Sishu) has been on the rise in Beijing, Shanghai, Shenzhen, Zhejiang, Liaoning, Hong Kong and other places since 2000 and has attracted widespread attention from the media and society (Sheng, 2019, p. 170; Sheng, 2018; Sheng, 2014, p. 123; Gilgan, 2023; Lee, 2023), they are still a marginal educational phenomenon and continue to be legally controversial. As part of the background to this section, I will first list the relevant regulations in China's compulsory education law.</w:t>
      </w:r>
    </w:p>
    <w:p w14:paraId="2CE86195">
      <w:pPr>
        <w:autoSpaceDE w:val="0"/>
        <w:spacing w:before="100" w:beforeAutospacing="1" w:after="160" w:line="360" w:lineRule="auto"/>
        <w:rPr>
          <w:rFonts w:ascii="Times New Roman" w:hAnsi="Times New Roman"/>
          <w:sz w:val="24"/>
          <w:szCs w:val="24"/>
          <w:u w:val="single"/>
          <w:lang w:val="en-US"/>
        </w:rPr>
      </w:pPr>
    </w:p>
    <w:p w14:paraId="69F44F9E">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 xml:space="preserve">According to Article 2 of the Compulsory Education Law of the People's Republic of China, compulsory education is a public welfare undertaking that must be uniformly implemented by the state and received by all children and adolescents of the appropriate age. Article 4 of the Compulsory Education Law stipulates that all school-age children and adolescents who have the nationality of China should, regardless of gender, ethnicity, race, family financial situation, religious belief, etc., have the right to receive compulsory education equally and fulfil the obligation to receive compulsory education according to law (The Central People's Government of the People's Republic of China, 2006). Article 5 of the Compulsory Education Law stipulates that people's governments at all levels and their relevant departments should fulfil their duties as stipulated in this law and safeguard the right of school-age children and adolescents to receive compulsory education; the parents or other legal guardians of school-age children and adolescents should ensure that their children attend school on time to receive and complete compulsory education (The Central People's Government of the People's Republic of China, 2006). Article 11 of the Compulsory Education Law states that parents or other legal guardians of children who have reached the age of six should send their children to school to receive and complete compulsory education; children in areas where conditions are not yet in place may delay until the age of seven; if school-age children or adolescents need to delay enrolment or take a break from school due to their physical condition, their parents or other legal guardians should make an application. The local township people's government or the education administrative department of the people's government should approve (The Central People's Government of the People's Republic of China, 2006). </w:t>
      </w:r>
    </w:p>
    <w:p w14:paraId="5C9F4CF8">
      <w:pPr>
        <w:autoSpaceDE w:val="0"/>
        <w:spacing w:before="100" w:beforeAutospacing="1" w:after="160" w:line="360" w:lineRule="auto"/>
        <w:rPr>
          <w:rFonts w:ascii="Times New Roman" w:hAnsi="Times New Roman"/>
          <w:sz w:val="24"/>
          <w:szCs w:val="24"/>
          <w:lang w:val="en-US"/>
        </w:rPr>
      </w:pPr>
    </w:p>
    <w:p w14:paraId="6658A780">
      <w:pPr>
        <w:autoSpaceDE w:val="0"/>
        <w:spacing w:before="100" w:beforeAutospacing="1" w:after="160" w:line="360" w:lineRule="auto"/>
        <w:rPr>
          <w:rFonts w:ascii="Times New Roman" w:hAnsi="Times New Roman"/>
          <w:sz w:val="24"/>
          <w:szCs w:val="24"/>
          <w:lang w:val="en-US"/>
        </w:rPr>
      </w:pPr>
      <w:r>
        <w:rPr>
          <w:rFonts w:hint="eastAsia" w:ascii="Times New Roman" w:hAnsi="Times New Roman"/>
          <w:sz w:val="24"/>
          <w:szCs w:val="24"/>
          <w:lang w:val="en-US"/>
        </w:rPr>
        <w:t>Similarly, a</w:t>
      </w:r>
      <w:r>
        <w:rPr>
          <w:rFonts w:ascii="Times New Roman" w:hAnsi="Times New Roman"/>
          <w:sz w:val="24"/>
          <w:szCs w:val="24"/>
          <w:lang w:val="en-US"/>
        </w:rPr>
        <w:t xml:space="preserve">rticle 13 of the Compulsory Education Law stipulates that the education administrative departments of the people's governments at the district level and the people's governments of towns should organise and supervise the enrolment of school-age children and adolescents, help to solve the difficulties of school-age children and adolescents in receiving compulsory education, and take measures to prevent school-age children and adolescents from dropping out of school. The residents' and villagers' committees should assist the government in doing a good job and supervise the enrolment of school-age children and adolescents (The Central People's Government of the People's Republic of China, 2006). In addition, there are relevant provisions for parents or legal guardians who fail to send school-age children to school to receive compulsory education. For example, Article 58 of the Compulsory Education Law stipulates that if the parents or other legal guardians of school-age children and adolescents fail to send their children to school to receive compulsory education without justifiable reasons, they should be criticised by the local township people's government or the education administrative department of the county people's government and must make corrections within a time limit (The Central People's Government of the People's Republic of China, 2006). </w:t>
      </w:r>
    </w:p>
    <w:p w14:paraId="721EB86E">
      <w:pPr>
        <w:autoSpaceDE w:val="0"/>
        <w:spacing w:before="100" w:beforeAutospacing="1" w:after="160" w:line="360" w:lineRule="auto"/>
        <w:rPr>
          <w:rFonts w:ascii="Times New Roman" w:hAnsi="Times New Roman"/>
          <w:sz w:val="24"/>
          <w:szCs w:val="24"/>
          <w:lang w:val="en-US"/>
        </w:rPr>
      </w:pPr>
    </w:p>
    <w:p w14:paraId="1F96597C">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In addition, Article 59 of the Compulsory Education Law lists three penalties for violating the Compulsory Education Law: (1) coercing or enticing school-age children and adolescents who should receive compulsory education to drop out of school or fail to attend school; (2) illegally employing school-age children and adolescents who should receive compulsory education; and (3) publishing school textbooks that have not been legally reviewed and approved (The Central People's Government of the People's Republic of China, 2006). Moreover, Article 60 stipulates that anyone who violates the provisions of this law and constitutes a crime should be investigated for criminal liability according to the law (The Central People's Government of the People's Republic of China, 2006).</w:t>
      </w:r>
    </w:p>
    <w:p w14:paraId="65F3B7E5">
      <w:pPr>
        <w:autoSpaceDE w:val="0"/>
        <w:spacing w:line="360" w:lineRule="auto"/>
        <w:rPr>
          <w:rFonts w:ascii="Times New Roman" w:hAnsi="Times New Roman"/>
          <w:sz w:val="24"/>
          <w:szCs w:val="24"/>
          <w:u w:val="single"/>
          <w:lang w:val="en-US"/>
        </w:rPr>
      </w:pPr>
    </w:p>
    <w:p w14:paraId="51E2C1D4">
      <w:pPr>
        <w:autoSpaceDE w:val="0"/>
        <w:spacing w:line="360" w:lineRule="auto"/>
        <w:rPr>
          <w:rFonts w:ascii="Times New Roman" w:hAnsi="Times New Roman" w:cs="Calibri"/>
          <w:bCs/>
          <w:sz w:val="24"/>
        </w:rPr>
      </w:pPr>
      <w:r>
        <w:rPr>
          <w:rFonts w:hint="eastAsia" w:ascii="Times New Roman" w:hAnsi="Times New Roman" w:cs="Calibri"/>
          <w:bCs/>
          <w:sz w:val="24"/>
        </w:rPr>
        <w:t>Since Sishu education, like home education, is essentially an educational practice that replaces compulsory education, and in particular, constitutes a significant educational alternative to compulsory education in mainland China, from this point of view, all forms and institutions of education that replace compulsory education, including Sishu education, are illegal (Lee, 2024; Sheng, 2019, p. 180). Therefore, in the context of implementing compulsory education laws in China, Sishu education and home education are often seen as targets for crackdowns on violations of compulsory education laws. For example, in 2006, the Shanghai Education Department announced that Mengmutang(孟母堂) was an illegal homeschooling institution and closed it down (Sheng, 2013). The education department stated that homeschooling violated Articles 2, 4 and 35 of the Compulsory Education Law of the People's Republic of China. Specifically, the violations are that parents are responsible for sending school-age children to school to receive compulsory education and that they violate the specific principles of having children receive school curricula, teaching, and student codes of conduct (Sheng, 2019, p. 180).</w:t>
      </w:r>
    </w:p>
    <w:p w14:paraId="0332C29A">
      <w:pPr>
        <w:autoSpaceDE w:val="0"/>
        <w:spacing w:line="360" w:lineRule="auto"/>
        <w:rPr>
          <w:rFonts w:ascii="Times New Roman" w:hAnsi="Times New Roman" w:cs="Calibri"/>
          <w:bCs/>
          <w:sz w:val="24"/>
          <w:lang w:val="en-US"/>
        </w:rPr>
      </w:pPr>
    </w:p>
    <w:p w14:paraId="4D604697">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Furthermore, in a document issued by the General Office of the Ministry of Education of the People's Republic of China in 2017, 'Sishu' and 'classics reading classes (</w:t>
      </w:r>
      <w:r>
        <w:rPr>
          <w:rFonts w:ascii="宋体" w:hAnsi="宋体"/>
          <w:sz w:val="24"/>
          <w:szCs w:val="24"/>
          <w:lang w:val="en-US"/>
        </w:rPr>
        <w:t>读经班</w:t>
      </w:r>
      <w:r>
        <w:rPr>
          <w:rFonts w:ascii="Times New Roman" w:hAnsi="Times New Roman"/>
          <w:sz w:val="24"/>
          <w:szCs w:val="24"/>
          <w:lang w:val="en-US"/>
        </w:rPr>
        <w:t>)' were listed together as negative subjects for comment (Ministry of Education of the People's Republic of China, 2017). The document emphasises that special attention should be paid to students who receive education from social training institutions such as 'Sishu' and 'classics reading classes' (Ministry of Education of the People's Republic of China, 2017). If school-age children and adolescents do not enrol in compulsory education according to the relevant provisions of the Compulsory Education Law, schools and education departments must immediately fulfil their responsibilities to persuade, register, and report in writing students who have dropped out of school. Homeschooling should not be used as a substitute for compulsory education implemented uniformly by the state (Ministry of Education of the People's Republic of China, 2017). The purpose of this document was to facilitate the return of students from 'Sishu' and 'classics reading classes' to the school system (Gilgan, 2023). By 2019, the government had further tightened its policies and regulations on private classics-reading institutions.</w:t>
      </w:r>
    </w:p>
    <w:p w14:paraId="0180F4FD">
      <w:pPr>
        <w:autoSpaceDE w:val="0"/>
        <w:spacing w:before="100" w:beforeAutospacing="1" w:after="160" w:line="360" w:lineRule="auto"/>
        <w:rPr>
          <w:rFonts w:ascii="Times New Roman" w:hAnsi="Times New Roman"/>
          <w:sz w:val="24"/>
          <w:szCs w:val="24"/>
          <w:lang w:val="en-US"/>
        </w:rPr>
      </w:pPr>
    </w:p>
    <w:p w14:paraId="4B434821">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The first article of the released document firmly declares that local governments must carefully investigate and strictly investigate illegal schooling practices by social training institutions that replace compulsory education in the form of 'Guoxue classes (</w:t>
      </w:r>
      <w:r>
        <w:rPr>
          <w:rFonts w:ascii="宋体" w:hAnsi="宋体"/>
          <w:sz w:val="24"/>
          <w:szCs w:val="24"/>
          <w:lang w:val="en-US"/>
        </w:rPr>
        <w:t>国学班</w:t>
      </w:r>
      <w:r>
        <w:rPr>
          <w:rFonts w:ascii="Times New Roman" w:hAnsi="Times New Roman"/>
          <w:sz w:val="24"/>
          <w:szCs w:val="24"/>
          <w:lang w:val="en-US"/>
        </w:rPr>
        <w:t>)', 'classics reading classes (</w:t>
      </w:r>
      <w:r>
        <w:rPr>
          <w:rFonts w:ascii="宋体" w:hAnsi="宋体"/>
          <w:sz w:val="24"/>
          <w:szCs w:val="24"/>
          <w:lang w:val="en-US"/>
        </w:rPr>
        <w:t>读经班</w:t>
      </w:r>
      <w:r>
        <w:rPr>
          <w:rFonts w:ascii="Times New Roman" w:hAnsi="Times New Roman"/>
          <w:sz w:val="24"/>
          <w:szCs w:val="24"/>
          <w:lang w:val="en-US"/>
        </w:rPr>
        <w:t>)', 'Sishu (</w:t>
      </w:r>
      <w:r>
        <w:rPr>
          <w:rFonts w:ascii="宋体" w:hAnsi="宋体"/>
          <w:sz w:val="24"/>
          <w:szCs w:val="24"/>
          <w:lang w:val="en-US"/>
        </w:rPr>
        <w:t>私塾</w:t>
      </w:r>
      <w:r>
        <w:rPr>
          <w:rFonts w:ascii="Times New Roman" w:hAnsi="Times New Roman"/>
          <w:sz w:val="24"/>
          <w:szCs w:val="24"/>
          <w:lang w:val="en-US"/>
        </w:rPr>
        <w:t>)' and other forms. Parents or other legal guardians who, without justifiable reasons, fail to send school-age children to receive compulsory education or cause them to drop out of school, and the circumstances are severe or constitute a crime, should be investigated for legal responsibility according to law (Ministry of Education of the People's Republic of China, 2019). Although this document mainly targets the 'school-picking fever' (</w:t>
      </w:r>
      <w:r>
        <w:rPr>
          <w:rFonts w:ascii="宋体" w:hAnsi="宋体"/>
          <w:sz w:val="24"/>
          <w:szCs w:val="24"/>
          <w:lang w:val="en-US"/>
        </w:rPr>
        <w:t>择校热</w:t>
      </w:r>
      <w:r>
        <w:rPr>
          <w:rFonts w:ascii="Times New Roman" w:hAnsi="Times New Roman"/>
          <w:sz w:val="24"/>
          <w:szCs w:val="24"/>
          <w:lang w:val="en-US"/>
        </w:rPr>
        <w:t>), this document also attempts to control the phenomenon of dropping out of school caused by classics-reading education due to China's compulsory regulations on compulsory education (Gilgan, 2023). Therefore, in general, Sishu education and homeschooling institutions in China usually maintain a low-key approach, either praying not to be discovered or finding their own way to deal with officials and ensure the continuation of educational practices (Erlings, 2019).</w:t>
      </w:r>
    </w:p>
    <w:p w14:paraId="6F32F8FF">
      <w:pPr>
        <w:autoSpaceDE w:val="0"/>
        <w:spacing w:before="100" w:beforeAutospacing="1" w:after="160" w:line="360" w:lineRule="auto"/>
        <w:rPr>
          <w:rFonts w:ascii="Times New Roman" w:hAnsi="Times New Roman"/>
          <w:sz w:val="24"/>
          <w:szCs w:val="24"/>
          <w:lang w:val="en-US"/>
        </w:rPr>
      </w:pPr>
    </w:p>
    <w:p w14:paraId="1187403B">
      <w:pPr>
        <w:pStyle w:val="4"/>
        <w:numPr>
          <w:ilvl w:val="2"/>
          <w:numId w:val="3"/>
        </w:numPr>
        <w:rPr>
          <w:lang w:val="en-US"/>
        </w:rPr>
      </w:pPr>
      <w:bookmarkStart w:id="25" w:name="_Toc14430"/>
      <w:r>
        <w:rPr>
          <w:lang w:val="en-US"/>
        </w:rPr>
        <w:t>Integration</w:t>
      </w:r>
      <w:r>
        <w:rPr>
          <w:rFonts w:hint="eastAsia"/>
          <w:lang w:val="en-US"/>
        </w:rPr>
        <w:t xml:space="preserve"> of Sishu students into mainstream education and society</w:t>
      </w:r>
      <w:bookmarkEnd w:id="25"/>
    </w:p>
    <w:p w14:paraId="0CB7D900">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Apart from the legal controversy, the integration of Sishu students into mainstream education and society is always a topic concerned by articles (Lee, 2024; Lee, 2023; Sheng, 2013; Zhu, 2012; Beer, Vos and Myburgh, 2020, p. 52;). For Sishu students, integration may involve two aspects. On the one hand, it is the integration into mainstream education; on the other hand, it is the integration into society. However, the literature shows that these two aspects are not independent of each other, and they are related to a certain extent for Sishu students, which I will discuss in the following article. Most of the literature currently discusses the former, which usually involves the attitudes of parents who choose Sishu education towards mainstream education. This is because the attitude towards mainstream education is likely to directly affect the integration process with mainstream education (Zhu, 2012). The latter (integration into society) may involve investigating the situation of Sishu students after they enter society and the workforce. Although this is an important aspect of understanding the effectiveness and social impact of Sishu education, little literature has been published on this topic. This issue will be discussed at the end of this section.</w:t>
      </w:r>
    </w:p>
    <w:p w14:paraId="040C8602">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 xml:space="preserve"> </w:t>
      </w:r>
    </w:p>
    <w:p w14:paraId="6F7DA642">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Among families choosing Sishu education, the decision to re-enrol their children in mainstream schools may be influenced by parents' subjective attitudes towards mainstream schools (Zhu, 2012). Parents' attitudes towards mainstream education may differ across regions. Parents of Sishu students in most parts of China generally hold a negative attitude towards mainstream education, while parents in Taiwan are more likely to maintain a good relationship with schools and participate in school programmes and activities (Lee, 2023). Criticisms of mainstream schools often focus on the system of exam-oriented education. Gilgan's (2023) study interviewed staff and parents of students at 21 Sishu institutions. The content of the interviews with parents reflects some consistency with other literature on parents' dissatisfaction with schooling</w:t>
      </w:r>
      <w:r>
        <w:rPr>
          <w:rFonts w:hint="eastAsia" w:ascii="Times New Roman" w:hAnsi="Times New Roman"/>
          <w:sz w:val="24"/>
          <w:szCs w:val="24"/>
          <w:lang w:val="en-US"/>
        </w:rPr>
        <w:t xml:space="preserve"> (Sheng, 2014)</w:t>
      </w:r>
      <w:r>
        <w:rPr>
          <w:rFonts w:ascii="Times New Roman" w:hAnsi="Times New Roman"/>
          <w:sz w:val="24"/>
          <w:szCs w:val="24"/>
          <w:lang w:val="en-US"/>
        </w:rPr>
        <w:t>. For example, a common criticism is that the modern mainstream education system in China only aims for students to get good grades so that they can enter a good university and eventually find a well-paid job. In terms of learning pressure, schools are accused of having a learning and examination system that is too stressful for students, who are required to achieve a large amount of knowledge input through short courses. Not only that, but activists criticise mainstream schools for inputting knowledge purely for the sake of getting higher scores, which may be meaningless for students' future lives (Gilgan, 2023). On the other hand, it can be seen from Gilgan's interview data that families who choose Sishu education usually have more profound expectations for their children in terms of moral character and cultural transmission. Gilgan found that these expectations are rooted in a vision of aspiring to build an ideal society. This is because many Sishu educators and parents believe that China's educational and social deficiencies result from blindly following Western ideas and systems. This led them to believe that educational reform based on Confucian classics could provide society with better talent and a better future (Gilgan, 2023). This is also confirmed by many of the research cases described in the book by Billioud and Thoraval, in which many parents who choose Sishu education and traditional Chinese cultural educators hope to improve society by promoting the teachings of Confucius (Billioud and Thoraval, 2015, p. 114).</w:t>
      </w:r>
    </w:p>
    <w:p w14:paraId="42602045">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 xml:space="preserve"> </w:t>
      </w:r>
    </w:p>
    <w:p w14:paraId="7CC2DF4A">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Driven by dissatisfaction with the mainstream schools and the pursuit of traditional cultural values, parents' opinions on allowing their children to integrate with mainstream schools are diverse. Zhu's (2012) study mainly involved in-depth interviews and participant observation with a non-governmental organisation called Huaxia</w:t>
      </w:r>
      <w:r>
        <w:rPr>
          <w:rFonts w:hint="eastAsia" w:ascii="Times New Roman" w:hAnsi="Times New Roman"/>
          <w:sz w:val="24"/>
          <w:szCs w:val="24"/>
          <w:lang w:val="en-US"/>
        </w:rPr>
        <w:t xml:space="preserve"> (</w:t>
      </w:r>
      <w:r>
        <w:rPr>
          <w:rFonts w:ascii="宋体" w:hAnsi="宋体"/>
          <w:sz w:val="24"/>
          <w:szCs w:val="24"/>
          <w:lang w:val="en-US"/>
        </w:rPr>
        <w:t>华夏</w:t>
      </w:r>
      <w:r>
        <w:rPr>
          <w:rFonts w:ascii="Times New Roman" w:hAnsi="Times New Roman"/>
          <w:sz w:val="24"/>
          <w:szCs w:val="24"/>
          <w:lang w:val="en-US"/>
        </w:rPr>
        <w:t xml:space="preserve">) Children's Community in Shanghai. The organisation is dedicated to promoting the reading of Confucian classics and the promotion of traditional Chinese culture. Although Zhu's research is an unpublished master's thesis, her findings and interview data reveal some of the deeper issues of modern Sishu that are relevant to this study. Contrary to the findings of other empirical studies, Zhu's research found that in the context of the modern revival of Confucianism, although parents have different reasons for teaching their children Confucian classics, most of them believe that this is only a supplement to school education. She believes that this is because even though most parents are aware of the shortcomings of the current mainstream school system, their choices are ultimately limited by social norms such as obtaining a degree and the importance of passing the university entrance exam. Only a small number of parents have the courage to go beyond the constraints of these social conventions, and to a certain extent or completely deviate from mainstream schooling and turn to Sishu education. In other words, for most parents who choose Sishu education and still hope that their children can eventually return to mainstream schooling, sometimes the reason for returning to mainstream education is not because their previous dissatisfaction with mainstream schooling has disappeared or has become approval, but rather due to pressure from social conventions and anxiety about their children's uncertain futures (Lee, 2024). </w:t>
      </w:r>
    </w:p>
    <w:p w14:paraId="5AFD0D1F">
      <w:pPr>
        <w:autoSpaceDE w:val="0"/>
        <w:spacing w:before="100" w:beforeAutospacing="1" w:after="160" w:line="360" w:lineRule="auto"/>
        <w:rPr>
          <w:rFonts w:ascii="Times New Roman" w:hAnsi="Times New Roman"/>
          <w:sz w:val="24"/>
          <w:szCs w:val="24"/>
          <w:lang w:val="en-US"/>
        </w:rPr>
      </w:pPr>
    </w:p>
    <w:p w14:paraId="38ED4630">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According to Terry (2013), this anxiety is rooted in the prevailing definition of educational success within Chinese society. For example, children often assume a central role within their family unit, and the child's future determines the whole family's future. Consequently, attending a prestigious university is widely regarded as the pinnacle of a successful childhood (Terry, 2013). However, due to the fact that Chinese law does not support homeschooling or any Sishu institutions, there are no established procedures or regulations for evaluating and reintegrating homeschooled children into the mainstream education system. Therefore, opting out of compulsory education and mainstream schooling may compromise a child's capacity to sit the compulsory entrance exam required for admission to a Chinese university or result in a disadvantage compared to children of the same age in standardised tests. In other words, parents may face challenges in achieving their desired educational outcomes for their children, while shouldering the entirety of the educational responsibilities and consequences (Beer, Vos and Myburgh, 2020).</w:t>
      </w:r>
    </w:p>
    <w:p w14:paraId="01AA76CF">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 xml:space="preserve"> </w:t>
      </w:r>
    </w:p>
    <w:p w14:paraId="039C8EBD">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This is both an interesting discovery and a cruel truth. Most studies on modern Sishu rarely mention the price paid by children and families on the road to the dream of building a better society, or on the way to becoming a 'sage' who can rejuvenate China. For example, Billioud and Thoraval (2015) describe an extreme example of Sishu education in their study. In this case, the children are not parents' own children, but the children of "the country, the people and humanity". The goal of this Sishu is to cultivate sages who can rejuvenate China. One of the student mothers even emphasises that she intends to give birth to two more children in order to cultivate two more Confucian role models for society (Billioud and Thoraval, 2015, p. 61). Another case in Billioud and Thoraval's (2015) study expresses a similar dramatic ideal. When asked what the children would do after completing their Sishu education, the founder of the Sishu replied, 'They will engage in self-cultivation, regulate their families, govern the country and pacify the universe (xiushen qijia zhiguo ping tianxia</w:t>
      </w:r>
      <w:r>
        <w:rPr>
          <w:rFonts w:ascii="宋体" w:hAnsi="宋体"/>
          <w:sz w:val="24"/>
          <w:szCs w:val="24"/>
          <w:lang w:val="en-US"/>
        </w:rPr>
        <w:t>修身齊家治國平天下</w:t>
      </w:r>
      <w:r>
        <w:rPr>
          <w:rFonts w:ascii="Times New Roman" w:hAnsi="Times New Roman"/>
          <w:sz w:val="24"/>
          <w:szCs w:val="24"/>
          <w:lang w:val="en-US"/>
        </w:rPr>
        <w:t xml:space="preserve">)'. This answer is a direct quote from the important Confucian text </w:t>
      </w:r>
      <w:r>
        <w:rPr>
          <w:rFonts w:ascii="Times New Roman" w:hAnsi="Times New Roman"/>
          <w:i/>
          <w:iCs/>
          <w:sz w:val="24"/>
          <w:szCs w:val="24"/>
          <w:lang w:val="en-US"/>
        </w:rPr>
        <w:t>The Great Learning</w:t>
      </w:r>
      <w:r>
        <w:rPr>
          <w:rFonts w:ascii="Times New Roman" w:hAnsi="Times New Roman"/>
          <w:sz w:val="24"/>
          <w:szCs w:val="24"/>
          <w:lang w:val="en-US"/>
        </w:rPr>
        <w:t xml:space="preserve"> (Da Xue </w:t>
      </w:r>
      <w:r>
        <w:rPr>
          <w:rFonts w:ascii="宋体" w:hAnsi="宋体"/>
          <w:sz w:val="24"/>
          <w:szCs w:val="24"/>
          <w:lang w:val="en-US"/>
        </w:rPr>
        <w:t>大学</w:t>
      </w:r>
      <w:r>
        <w:rPr>
          <w:rFonts w:ascii="Times New Roman" w:hAnsi="Times New Roman"/>
          <w:sz w:val="24"/>
          <w:szCs w:val="24"/>
          <w:lang w:val="en-US"/>
        </w:rPr>
        <w:t>). The researcher also seems to sense the idealisation and vagueness of this answer. He, therefore, deliberately provides a more pragmatic interpretation of the answer for the readers, which is that the students trained at this Sishu will later work for social reform at their respective levels (Billioud and Thoraval, 2015, p. 60).</w:t>
      </w:r>
    </w:p>
    <w:p w14:paraId="281C8A3B">
      <w:pPr>
        <w:autoSpaceDE w:val="0"/>
        <w:spacing w:before="100" w:beforeAutospacing="1" w:after="160" w:line="360" w:lineRule="auto"/>
        <w:rPr>
          <w:rFonts w:ascii="Times New Roman" w:hAnsi="Times New Roman"/>
          <w:sz w:val="24"/>
          <w:szCs w:val="24"/>
          <w:lang w:val="en-US"/>
        </w:rPr>
      </w:pPr>
    </w:p>
    <w:p w14:paraId="69EFD249">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The discussion of whether children should be integrated into mainstream education is not addressed in most of the case studies by Billioud and Thoraval (2015). However, based on the descriptions of the Sishu personnel in these two cases, it can be speculated that the parents in these cases may not care whether their children will be able or need to integrate into mainstream schools in the future. They may already have their own solutions, such as retaining their school places through personal channels or choosing to apply to universities abroad instead of taking the Chinese college entrance exam (Lee, 2024; Sheng, 2013). However, the data obtained from the literature still provides valuable information; that is, there are roughly two types of families choosing Sishu education and mainstream schools through different educational goals. Some parents tend to have utilitarian goals, hoping that their children will be more competitive and successful in the future through short-term participation in Sishu education, and ultimately still choose mainstream school education as the primary path  (Zhu, 2012). Some other families who choose to send their children to Sishu for a long time  and do not care much about whether their children have academic qualifications, but just hope that they can become healthy, happy and moral persons who can support themselves (Lee, 2023). In short, Sishu education is still in its infancy as a field of study, both as a marginal alternative to mainstream education and because of the low profile that its legal status confers on it. Interestingly, published longitudinal studies, which are an important part of understanding the effectiveness and social impact of Sishu education, are rare and difficult to access. Questions about Sishu students' integration and working conditions in modern society, therefore, remain to be followed up and studied longitudinally by future scholars.</w:t>
      </w:r>
    </w:p>
    <w:p w14:paraId="30633BCF">
      <w:pPr>
        <w:numPr>
          <w:ilvl w:val="255"/>
          <w:numId w:val="0"/>
        </w:numPr>
        <w:spacing w:line="360" w:lineRule="auto"/>
        <w:rPr>
          <w:rFonts w:ascii="Times New Roman" w:hAnsi="Times New Roman"/>
          <w:color w:val="000000" w:themeColor="text1"/>
          <w:sz w:val="24"/>
          <w:lang w:val="en-US"/>
          <w14:textFill>
            <w14:solidFill>
              <w14:schemeClr w14:val="tx1"/>
            </w14:solidFill>
          </w14:textFill>
        </w:rPr>
      </w:pPr>
    </w:p>
    <w:p w14:paraId="69FA4AF7">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21ACC9B">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19283F36">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380DB97C">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01918CBD">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7D0D519">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318C00E4">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630B03D7">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389F4737">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517BE956">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19B378B6">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152AAA3F">
      <w:pPr>
        <w:pStyle w:val="2"/>
        <w:numPr>
          <w:ilvl w:val="0"/>
          <w:numId w:val="3"/>
        </w:numPr>
      </w:pPr>
      <w:bookmarkStart w:id="26" w:name="_Toc20937"/>
      <w:r>
        <w:t>DISCUSSION</w:t>
      </w:r>
      <w:bookmarkEnd w:id="26"/>
    </w:p>
    <w:p w14:paraId="20D1FB58">
      <w:pPr>
        <w:pStyle w:val="3"/>
        <w:numPr>
          <w:ilvl w:val="1"/>
          <w:numId w:val="3"/>
        </w:numPr>
      </w:pPr>
      <w:bookmarkStart w:id="27" w:name="_Toc13206"/>
      <w:r>
        <w:t>Possible reasons why the Chinese government does not support Sishu education</w:t>
      </w:r>
      <w:bookmarkEnd w:id="27"/>
    </w:p>
    <w:p w14:paraId="32A42B3F">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To answer the research question, the possible reasons why the Chinese government does not support Sishu education. The first reason is likely the link between education and politics. This may be more obvious to homeschooling parents in Hong Kong than in other parts of China. The study by Erlings (2019) describes the background, relevant laws and practices of homeschooling in Hong Kong. The paper describes the particular legislative background of the Hong Kong Education Ordinance. In particular, his study highlights the colonial government's perception of compulsory education as a way to ensure that all children received an education and, in the process, to keep them away from Chinese nationalism. Erlings also notes that after Hong Kong's handover to mainland China in 1997, the Chinese government emphasised the importance of promoting return through schooling, using education to cultivate patriotism. Compulsory education ensures everyone receives the necessary education and strengthens their knowledge of their new homeland. For example, the Chief Executive of the Hong Kong Special Administrative Region stated in his 2017 policy address that 'helping students understand the development of the country's history, culture, economy, science and technology, political system and laws, and cultivating students' sense of national identity is an inherent responsibility of school education' (Chief Executive [of the Hong Kong Special Administrative Region], 2017, p. 44). </w:t>
      </w:r>
    </w:p>
    <w:p w14:paraId="5F1BE647">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4C5E1C31">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The change of government has highlighted the consistent attitude of different governments towards education, suggesting that one of the purposes of compulsory education in the country is, to a large extent, to use education to control the thinking of the masses (Erlings, 2019).</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Under this assumption, it is only natural that Sishu education, which attempts to replace compulsory education, should not be legalised. The state needs to ensure a uniform narrative for governance, reducing ideological conflict by regulating the content of learning, and fostering a sense of identity to achieve the political goals of reducing the risk of national division (Erlings, 2019). Zhu's (2012) research also touches on this point. She believes that the government intends to prevent non-governmental organisations and civil society groups from growing and developing. The evidence came from an event she attended in Shanghai, organised by a group of non-governmental organisations to share resources. She found that the organisers had forced social media services to block the information they were disseminating, for fear that it would circulate too quickly on social media platforms. This was because the organisers did not want to attract negative attention from the government, which might suspect them of an excessive expansion of civil power (Zhu, 2012).</w:t>
      </w:r>
    </w:p>
    <w:p w14:paraId="516C5AF1">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4E9B2E8">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The government's cautious attitude towards civil society groups confirms Erlings' view, and the applicability of this view may extend to the whole of mainland China. Various literatures have mentioned that the main reason why Mengmotang was shut down by the Chinese government was that it violated the Compulsory Education Law and replaced compulsory education (Sheng, 2013, 2017, 2014, p. 111; Billioud and Thoraval, 2015, p. 50). It is worth noting that, according to the description of the content of modern Sishu courses, the content is usually focused on teaching Confucian ideas and texts. Confucian texts emphasise values such as loyalty to the state, the ruler, and service to the people and society. These values seem easy to find, do not harm society and the state, and are even conducive to state governance. This paradox is reconciled by Erling's argument that the Chinese government has never legislated or legalised Sishu education or homeschooling, probably because it fears that it cannot guarantee the preservation of collective narratives and the transmission of party ideology if education is outside the control of the state education system and teaching materials. Billioud and Thoraval's case studies of modern Sishu also suggest similar potential consequences. They found that when Sishu emerged as an alternative to compulsory education, there was often an underlying ideology of opposition to the state-controlled compulsory education system, which sometimes may evolve into educational practices that were at odds with society and mainstream values (Billioud and Thoraval, 2015, p. 62). In other words, Sishu education is sometimes used to provide children with a more fulfilling or moral education. However, in its extreme form, it can lead to unpredictable outcomes, aided by radical social criticism and the almost messianic aspirations of Confucianism. The potential risks of this personal choice may well turn into governance risks for the government under certain diffusion practices. Therefore, it can be argued that by rejecting the benefits of Sishu education in terms of the diversity of educational choice it offers, the government is also rejecting the uncontrollability and potential risks of diversity of choice.</w:t>
      </w:r>
    </w:p>
    <w:p w14:paraId="54814293">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7DE3E880">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On the other hand, there is evidence that the Chinese government, in its official capacity, continues to advocate the transmission and promotion of China's outstanding traditional culture, for example, in the Belt and Road Initiative and the Confucius Institutes (Billioud and Thoraval, 2015, p. 36; Gilgan, 20-23). This further reveals the Chinese government's subtle attitude towards Sishu education, that is, the government encourages the continuation and promotion of Confucianism and traditional Chinese culture</w:t>
      </w:r>
      <w:r>
        <w:rPr>
          <w:rFonts w:hint="eastAsia" w:ascii="Times New Roman" w:hAnsi="Times New Roman"/>
          <w:color w:val="000000" w:themeColor="text1"/>
          <w:sz w:val="24"/>
          <w14:textFill>
            <w14:solidFill>
              <w14:schemeClr w14:val="tx1"/>
            </w14:solidFill>
          </w14:textFill>
        </w:rPr>
        <w:t>,</w:t>
      </w:r>
      <w:r>
        <w:rPr>
          <w:rFonts w:ascii="Times New Roman" w:hAnsi="Times New Roman"/>
          <w:color w:val="000000" w:themeColor="text1"/>
          <w:sz w:val="24"/>
          <w14:textFill>
            <w14:solidFill>
              <w14:schemeClr w14:val="tx1"/>
            </w14:solidFill>
          </w14:textFill>
        </w:rPr>
        <w:t xml:space="preserve"> but refuses to do so by giving up the right of education to the public. This explains why the promotion of Confucian classics on the margins of compulsory education is transparent, legitimate and in some cases even encouraged (Billioud and Thoraval, 2015, p. 48).</w:t>
      </w:r>
    </w:p>
    <w:p w14:paraId="2B5B744E">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6E89AD46">
      <w:pPr>
        <w:pStyle w:val="3"/>
        <w:numPr>
          <w:ilvl w:val="1"/>
          <w:numId w:val="3"/>
        </w:numPr>
      </w:pPr>
      <w:bookmarkStart w:id="28" w:name="_Toc17393"/>
      <w:r>
        <w:t>The current state of Sishu as an industry</w:t>
      </w:r>
      <w:bookmarkEnd w:id="28"/>
    </w:p>
    <w:p w14:paraId="32C94793">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Regardless of the crackdowns and restrictions imposed by the Chinese government, Sishu as an educational practice has continued to develop gradually in a complex environment. Although it may have originated from the ideas of the Classics Reading Movement and the great dream of a modern revival of Confucianism, it is ultimately inseparable from utilitarian discourse and people</w:t>
      </w:r>
      <w:r>
        <w:rPr>
          <w:rFonts w:ascii="Times New Roman" w:hAnsi="Times New Roman"/>
          <w:color w:val="000000" w:themeColor="text1"/>
          <w:sz w:val="24"/>
          <w:lang w:val="en-US"/>
          <w14:textFill>
            <w14:solidFill>
              <w14:schemeClr w14:val="tx1"/>
            </w14:solidFill>
          </w14:textFill>
        </w:rPr>
        <w:t>’</w:t>
      </w:r>
      <w:r>
        <w:rPr>
          <w:rFonts w:ascii="Times New Roman" w:hAnsi="Times New Roman"/>
          <w:color w:val="000000" w:themeColor="text1"/>
          <w:sz w:val="24"/>
          <w14:textFill>
            <w14:solidFill>
              <w14:schemeClr w14:val="tx1"/>
            </w14:solidFill>
          </w14:textFill>
        </w:rPr>
        <w:t>s pursuit of success. It should be made clear at the outset that this part of the discussion involves using research cases on homeschooling in China as a reference for the analysis of modern Sishu. This approach is not intended to confuse the terms modern Sishu and homeschooling, but rather to show that when discussing the consequences of being outside compulsory education and mainstream schooling, homeschooling and Sishu education in China face almost the same predicament, i.e. no academic qualifications or obstacles to returning to mainstream schooling. For example, Sheng</w:t>
      </w:r>
      <w:r>
        <w:rPr>
          <w:rFonts w:ascii="Times New Roman" w:hAnsi="Times New Roman"/>
          <w:color w:val="000000" w:themeColor="text1"/>
          <w:sz w:val="24"/>
          <w:lang w:val="en-US"/>
          <w14:textFill>
            <w14:solidFill>
              <w14:schemeClr w14:val="tx1"/>
            </w14:solidFill>
          </w14:textFill>
        </w:rPr>
        <w:t>’</w:t>
      </w:r>
      <w:r>
        <w:rPr>
          <w:rFonts w:ascii="Times New Roman" w:hAnsi="Times New Roman"/>
          <w:color w:val="000000" w:themeColor="text1"/>
          <w:sz w:val="24"/>
          <w14:textFill>
            <w14:solidFill>
              <w14:schemeClr w14:val="tx1"/>
            </w14:solidFill>
          </w14:textFill>
        </w:rPr>
        <w:t>s (2014) research subjects include both individuals' homeschooling practices and the practices of Sishu institutions. He combined and reviewed these two types of research subjects, stating that the long-term consequences of such educational practices that replace compulsory education are likely to be the inability to participate in mainstream education or difficulty continuing to succeed in mainstream education (p. 122). On the other hand, those parents who successfully solve the problem of lack of qualifications or reduce the barriers to returning to mainstream schools also tend to enjoy more privilege than the general population, whether in terms of educational resources or socio-economic status. Sheng's (2018) research also shows that with the rapid economic growth since 1978 and the emergence of the Chinese middle class since the mid-1990s. These middle-class parents choose Sishu education (in this study, Sishu institutions and homeschooling based on Confucianism are collectively referred to as Confucian homeschooling) often benefit their children through strong financial support and a diverse range of educational methods, thereby ranking themselves at the top of the social hierarchy. Therefore, when discussing the characteristics of parents who choose Sishu education, research on home education will be of some degree of applicability and reference.</w:t>
      </w:r>
    </w:p>
    <w:p w14:paraId="6ECB90AA">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1279C7CA">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Based on the above, the group of parents who choose Sishu education has become an important part of the research on the phenomenon of modern Sishu education. Different studies have shown that most parents who choose Sishu education have a relatively high e</w:t>
      </w:r>
      <w:r>
        <w:rPr>
          <w:rFonts w:hint="eastAsia" w:ascii="Times New Roman" w:hAnsi="Times New Roman"/>
          <w:color w:val="000000" w:themeColor="text1"/>
          <w:sz w:val="24"/>
          <w14:textFill>
            <w14:solidFill>
              <w14:schemeClr w14:val="tx1"/>
            </w14:solidFill>
          </w14:textFill>
        </w:rPr>
        <w:t>conomic and social status (Lee, 2024; Sheng, 2018). Billioud and Thoraval (2015) admit in their book that the 'classics fever' (读经热) is partly driven in part by influential entrepreneurs and that critics sometimes criticise their activities for their appar</w:t>
      </w:r>
      <w:r>
        <w:rPr>
          <w:rFonts w:ascii="Times New Roman" w:hAnsi="Times New Roman"/>
          <w:color w:val="000000" w:themeColor="text1"/>
          <w:sz w:val="24"/>
          <w14:textFill>
            <w14:solidFill>
              <w14:schemeClr w14:val="tx1"/>
            </w14:solidFill>
          </w14:textFill>
        </w:rPr>
        <w:t>ent commercial dimension (p. 47). However, Billioud and Thoraval point out that for Confucian-minded businessmen, Confucian ideals and commercial goals are not in conflict. Considerations of business strategy or social influence may sometimes drive them. However, more often, Confucian-minded businessmen, driven by conviction and personal commitment, are likely to incorporate educational and cultural missions into their economic undertakings. The trend towards studying Confucian classics, driven by these entrepreneurs, has often attracted the attention of many middle classes and stimulated their thinking about the education of the next generation. For some people, reading Confucian classics and attending conferences with Confucian ideas may represent personal morality and business success. Participating in these activities can, to some extent, both satisfy the need for spiritual values and demonstrate one's cultural and social capital (Billioud and Thoraval, 2015, p. 114). Therefore, when wealthy middle-class families encounter Confucian culture and its educational practices, which have symbolic capital, the demand for education arises, and a quasi-market for modern Sishu is formed.</w:t>
      </w:r>
    </w:p>
    <w:p w14:paraId="64F257F0">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0247DEF">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Although modern Sishu should not be regarded as a market phenomenon in general, there are still many non-profit organisations that embrace the Confucian ideal of education (Billioud and Thoraval, 2015, p. 46). However, as mentioned above, the realisation of Confucian ideals sometimes requires strong financial support. Therefore, it is undeniable that the proliferation of modern Sishu over the past 20 years has not only met the diverse educational needs of the middle class, but some Sishu may have achieved a win-win situation of practising Confucian educational ideals while making a profit. Zhu's (2012) research data points to the commercial symbolism in the operation of modern Sishu, which is rarely mentioned in other literature. Although Zhu (2012) has not yet published her paper in a journal, her case study provides a unique insight into the discussion of modern Sishu in this section. Her study conducted a field investigation of a Sishu called Huaxia Kids Community. Compared with the fervent practice of Confucian revival aspirations often seen in the literature on other modern Sishu, her interviewees showed a more practical and calmer attitude. In this field study, a representative of the Sishu institution stated that Wang Caigui's classics reading concept is good, but how to attract parents and retain clients so that this model can continue is the biggest problem Huaxia Kids Community faces. In line with this statement, Zhu's research found that, unlike other Confucian institutions, which strictly adopt a hierarchical teacher-student system and rigid teaching methods that do not consider the well-being of students, the teachers at Huaxia Kids Community treat students and parents as customers and develop corresponding cultural products, such as classics reading lessons, martial arts training and traditional Chinese cultural activities to meet the emotional needs of children and the intellectual needs of parents. Zhu points out that when Huaxia Kids Community's focus shifts to maintaining and increasing the number of students, it may lead to changes in the structure of Huaxia Kids Community's programmes, expanding its market and social influence by offering new consumer benefits. </w:t>
      </w:r>
    </w:p>
    <w:p w14:paraId="53001B4E">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4624653D">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Although most literature on parents choosing Sishu education almost always shows identification with Confucian moral ideals and an agreement with the value of classical texts, the literature also points out that parents may be impatient for quick results. For example, one interviewee of Zhu's study (2012) bluntly stated that parents want to see changes in their children quickly rather than spending money on an unpredictable outcome. Therefore, it is noteworthy that modern Sishu, with their lofty Confucian social ideals and moral-based teaching content, not only transcend the traditional Confucian teacher-centred teaching method, but also the emerging trend of child-centred education. Ultimately, it demonstrates a parent-centred educational consideration, that is, serving parents' educational ideals and forming children with good character for parents who conform to their values. More bluntly, parents are the customers, the Sishu institutions are the service providers, and the children are the specific service targets. Sishu institutions attract customers and survive by shaping the service targets in the way customers like. However, these aspects of Sishu institutions as an industry are sometimes inevitably overshadowed by the lofty visions of traditional culture promoters and their personal pious beliefs.</w:t>
      </w:r>
    </w:p>
    <w:p w14:paraId="7D4CB032">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0210629B">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It is not difficult to find that the appeal of modern Sishu to parents largely comes from their belief in Confucian thinking and their vision of their children's moral character. Since parents have such high expectations for their children, it is time to pose some follow-up questions: What is the trajectory of children who receive Sishu education after they leave Sishu? What are the concrete manifestations of their moral standards and positive social influence? Are their performances able to meet the expectations of their parents? And what is their own attitude towards the experience? Billioud and Thoraval also asked similar questions at the beginning of their study, but unfortunately, they were unable to conduct longitudinal observations and on-site interviews with the children of </w:t>
      </w:r>
      <w:r>
        <w:rPr>
          <w:rFonts w:hint="eastAsia" w:ascii="Times New Roman" w:hAnsi="Times New Roman"/>
          <w:color w:val="000000" w:themeColor="text1"/>
          <w:sz w:val="24"/>
          <w:szCs w:val="24"/>
          <w:lang w:val="en-US"/>
          <w14:textFill>
            <w14:solidFill>
              <w14:schemeClr w14:val="tx1"/>
            </w14:solidFill>
          </w14:textFill>
        </w:rPr>
        <w:t>Sishu</w:t>
      </w:r>
      <w:r>
        <w:rPr>
          <w:rFonts w:ascii="Times New Roman" w:hAnsi="Times New Roman"/>
          <w:color w:val="000000" w:themeColor="text1"/>
          <w:sz w:val="24"/>
          <w:szCs w:val="24"/>
          <w14:textFill>
            <w14:solidFill>
              <w14:schemeClr w14:val="tx1"/>
            </w14:solidFill>
          </w14:textFill>
        </w:rPr>
        <w:t>. The existing literature provides very few answers to these questions, and there are usually only unilateral expectations from parents or Sishu teachers, as well as vague answers. For example, some parents hope that their children will become a 'junzi (gentleman)' or a saint (Billioud and Thoraval, 2015, p. 92) through studying the classics and Sishu education. Parents in another study also mentioned cultivating modern 'junzi' and morally upright people (Gilgan, 2023). With regard to their children's future academic plans, three parents in Zhu's (2012) study did not consider it necessary to obtain a university degree. They did not want to send their children to mainstream schools. Moreover, almost all studies confirm that parents who choose Sishu education have ambitious expectations for their children's moral standards and future achievements in Confucianism.</w:t>
      </w:r>
    </w:p>
    <w:p w14:paraId="49A39246">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232F6997">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hint="eastAsia" w:ascii="Times New Roman" w:hAnsi="Times New Roman"/>
          <w:color w:val="000000" w:themeColor="text1"/>
          <w:sz w:val="24"/>
          <w:szCs w:val="24"/>
          <w14:textFill>
            <w14:solidFill>
              <w14:schemeClr w14:val="tx1"/>
            </w14:solidFill>
          </w14:textFill>
        </w:rPr>
        <w:t>Regardless of the purpose of parents' choice of Sishu, it is mostly to cultivate future elites and saints, or as a supplement to enhance their children's future social competitiveness, or to maintain class distinctions and increase the potential demand for cultural capital. A phenomenon that is worth noting is that, in this grand classics reading movement, it is full of parents' thoughts and rationales, crowded with grand visions of improving society, but the voices of Sishu students are barely heard. Evidence suggests that most children had little choice in whether or not to attend Sishu, with parents determining the type of education their children would ultimately receive (Xiong and Li, 2011). Of the literature collected for this study, only one article presents the child's perspective, but that article focuses on individual homeschooling cases in China. Therefore, it is not a useful reference for Sishu students. It is hard to imagine that after more than two decades of the movement, the students' voices have rarely been heard. This seems to reflect the 'parent-centred' nature of the homeschooling industry from a certain perspective. Fortunately, the issue of parents' strong expectations and desire for control over their children seems to have gradually been recognised by some homeschooling practitioners. An article entitled "The Blind Spot of Homeschooling" is displayed in the most prominent place on the website of the Mu Zhen Home Schooling Association (慕真在家教育協會 [' Mu Zhen Home Schooling Association'], 2021). It quotes extensively from an article by Pastor Reb Bradley (a well-known leader in the homeschooling movement in the United States) published in the Virginia Homeschool Journal. It highlights the common problems of homeschooling parents being self-centred, emphasising external appearances, and being overprotective and controlling of their children. The purpose of the webpage author in displaying this article is to warn all parents who are currently undertaking or preparing to undertake any form of homeschooling that it is necessary to examine all the motives of being a parent in educating their children. Although this is a stern warning to the wide range of homeschooling parents, it may be an instructive experience to note the common characteristics displayed by homeschooling parents and homeschool promoters.</w:t>
      </w:r>
    </w:p>
    <w:p w14:paraId="6CF28E62">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304D3F36">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hint="eastAsia" w:ascii="Times New Roman" w:hAnsi="Times New Roman"/>
          <w:color w:val="000000" w:themeColor="text1"/>
          <w:sz w:val="24"/>
          <w:szCs w:val="24"/>
          <w14:textFill>
            <w14:solidFill>
              <w14:schemeClr w14:val="tx1"/>
            </w14:solidFill>
          </w14:textFill>
        </w:rPr>
        <w:t>In short, as an industry, modern Sishu shows a tendency to serve the middle class in class maintenance and a parent-centric character. Moreover, in terms of longitudinal studies of Sishu students, no empirical research can show how their lives will proceed after graduating from a modern Sishu. This unusual research gap may be due to the fact that the phenomenon of Sishu is a highly marginal educational alternative to mainstream schools. Ultimately, it is the parents who actually implement this education and pay the tuition fees for Sishu education, so scholars tend to focus on the ideas of parents as active parties and the legal status of Sishu while rarely focusing on children as passive recipients of education.</w:t>
      </w:r>
    </w:p>
    <w:p w14:paraId="1E7ECCF7">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0189EB1D">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230D60AC">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5342759C">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37A6BFD2">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1319AADE">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5ABCB660">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14AD75C4">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5D8BA177">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50BE3416">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2BE11260">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748AB34E">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080DADA7">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0FCB8BF4">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0EC4D088">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2F80B06C">
      <w:pPr>
        <w:pStyle w:val="2"/>
        <w:numPr>
          <w:ilvl w:val="0"/>
          <w:numId w:val="3"/>
        </w:numPr>
      </w:pPr>
      <w:bookmarkStart w:id="29" w:name="_Toc29129"/>
      <w:r>
        <w:rPr>
          <w:rFonts w:hint="eastAsia"/>
        </w:rPr>
        <w:t>CONCLUSION AND RECOMMENDATIONS</w:t>
      </w:r>
      <w:bookmarkEnd w:id="29"/>
    </w:p>
    <w:p w14:paraId="76FCEFDB">
      <w:pPr>
        <w:spacing w:line="360" w:lineRule="auto"/>
        <w:rPr>
          <w:rFonts w:ascii="Times New Roman" w:hAnsi="Times New Roman"/>
          <w:sz w:val="24"/>
          <w:szCs w:val="24"/>
          <w:lang w:val="en-US"/>
        </w:rPr>
      </w:pPr>
      <w:r>
        <w:rPr>
          <w:rFonts w:ascii="Times New Roman" w:hAnsi="Times New Roman"/>
          <w:sz w:val="24"/>
          <w:szCs w:val="24"/>
          <w:lang w:val="en-US"/>
        </w:rPr>
        <w:t xml:space="preserve">Comprehensive existing literature and research results show that the rise of modern </w:t>
      </w:r>
      <w:r>
        <w:rPr>
          <w:rFonts w:hint="eastAsia" w:ascii="Times New Roman" w:hAnsi="Times New Roman"/>
          <w:sz w:val="24"/>
          <w:szCs w:val="24"/>
          <w:lang w:val="en-US"/>
        </w:rPr>
        <w:t>Sishu</w:t>
      </w:r>
      <w:r>
        <w:rPr>
          <w:rFonts w:ascii="Times New Roman" w:hAnsi="Times New Roman"/>
          <w:sz w:val="24"/>
          <w:szCs w:val="24"/>
          <w:lang w:val="en-US"/>
        </w:rPr>
        <w:t xml:space="preserve"> in contemporary China not only carries the return and reconstruction of the traditional Confucian educational values, but also </w:t>
      </w:r>
      <w:r>
        <w:rPr>
          <w:rFonts w:hint="eastAsia" w:ascii="Times New Roman" w:hAnsi="Times New Roman"/>
          <w:sz w:val="24"/>
          <w:szCs w:val="24"/>
          <w:lang w:val="en-US"/>
        </w:rPr>
        <w:t>inspires</w:t>
      </w:r>
      <w:r>
        <w:rPr>
          <w:rFonts w:ascii="Times New Roman" w:hAnsi="Times New Roman"/>
          <w:sz w:val="24"/>
          <w:szCs w:val="24"/>
          <w:lang w:val="en-US"/>
        </w:rPr>
        <w:t xml:space="preserve"> the reflection and dissatisfaction of the society on the current examination-based education </w:t>
      </w:r>
      <w:r>
        <w:rPr>
          <w:rFonts w:hint="eastAsia" w:ascii="Times New Roman" w:hAnsi="Times New Roman"/>
          <w:sz w:val="24"/>
          <w:szCs w:val="24"/>
          <w:lang w:val="en-US"/>
        </w:rPr>
        <w:t>system</w:t>
      </w:r>
      <w:r>
        <w:rPr>
          <w:rFonts w:ascii="Times New Roman" w:hAnsi="Times New Roman"/>
          <w:sz w:val="24"/>
          <w:szCs w:val="24"/>
          <w:lang w:val="en-US"/>
        </w:rPr>
        <w:t>.</w:t>
      </w:r>
      <w:r>
        <w:rPr>
          <w:rFonts w:hint="eastAsia" w:ascii="Times New Roman" w:hAnsi="Times New Roman"/>
          <w:sz w:val="24"/>
          <w:szCs w:val="24"/>
          <w:lang w:val="en-US"/>
        </w:rPr>
        <w:t xml:space="preserve"> Sishu</w:t>
      </w:r>
      <w:r>
        <w:rPr>
          <w:rFonts w:ascii="Times New Roman" w:hAnsi="Times New Roman"/>
          <w:sz w:val="24"/>
          <w:szCs w:val="24"/>
          <w:lang w:val="en-US"/>
        </w:rPr>
        <w:t xml:space="preserve"> focuses on moral character building and classical studies echoes the educational needs of many parents who value personalisation and cultural heritage.</w:t>
      </w:r>
      <w:r>
        <w:rPr>
          <w:rFonts w:hint="eastAsia" w:ascii="Times New Roman" w:hAnsi="Times New Roman"/>
          <w:sz w:val="24"/>
          <w:szCs w:val="24"/>
          <w:lang w:val="en-US"/>
        </w:rPr>
        <w:t xml:space="preserve"> </w:t>
      </w:r>
      <w:r>
        <w:rPr>
          <w:rFonts w:ascii="Times New Roman" w:hAnsi="Times New Roman"/>
          <w:sz w:val="24"/>
          <w:szCs w:val="24"/>
          <w:lang w:val="en-US"/>
        </w:rPr>
        <w:t xml:space="preserve">However, due to the restrictions of China's Compulsory Education Law, modern </w:t>
      </w:r>
      <w:r>
        <w:rPr>
          <w:rFonts w:hint="eastAsia" w:ascii="Times New Roman" w:hAnsi="Times New Roman"/>
          <w:sz w:val="24"/>
          <w:szCs w:val="24"/>
          <w:lang w:val="en-US"/>
        </w:rPr>
        <w:t>Sishu</w:t>
      </w:r>
      <w:r>
        <w:rPr>
          <w:rFonts w:ascii="Times New Roman" w:hAnsi="Times New Roman"/>
          <w:sz w:val="24"/>
          <w:szCs w:val="24"/>
          <w:lang w:val="en-US"/>
        </w:rPr>
        <w:t xml:space="preserve"> have always been in the grey area of law and policy, and have faced tests of legitimacy and viability in their development.</w:t>
      </w:r>
      <w:r>
        <w:rPr>
          <w:rFonts w:hint="eastAsia" w:ascii="Times New Roman" w:hAnsi="Times New Roman"/>
          <w:sz w:val="24"/>
          <w:szCs w:val="24"/>
          <w:lang w:val="en-US"/>
        </w:rPr>
        <w:t xml:space="preserve"> </w:t>
      </w:r>
      <w:r>
        <w:rPr>
          <w:rFonts w:ascii="Times New Roman" w:hAnsi="Times New Roman"/>
          <w:sz w:val="24"/>
          <w:szCs w:val="24"/>
          <w:lang w:val="en-US"/>
        </w:rPr>
        <w:t xml:space="preserve">On the one hand, the core concepts of Confucianism advocated by </w:t>
      </w:r>
      <w:r>
        <w:rPr>
          <w:rFonts w:hint="eastAsia" w:ascii="Times New Roman" w:hAnsi="Times New Roman"/>
          <w:sz w:val="24"/>
          <w:szCs w:val="24"/>
          <w:lang w:val="en-US"/>
        </w:rPr>
        <w:t>Sishu</w:t>
      </w:r>
      <w:r>
        <w:rPr>
          <w:rFonts w:ascii="Times New Roman" w:hAnsi="Times New Roman"/>
          <w:sz w:val="24"/>
          <w:szCs w:val="24"/>
          <w:lang w:val="en-US"/>
        </w:rPr>
        <w:t xml:space="preserve"> have been diversified and explored in practice, but the lack of uniform norms has led to variations in the quality of teaching and the level of teachers;</w:t>
      </w:r>
      <w:r>
        <w:rPr>
          <w:rFonts w:hint="eastAsia" w:ascii="Times New Roman" w:hAnsi="Times New Roman"/>
          <w:sz w:val="24"/>
          <w:szCs w:val="24"/>
          <w:lang w:val="en-US"/>
        </w:rPr>
        <w:t xml:space="preserve"> </w:t>
      </w:r>
      <w:r>
        <w:rPr>
          <w:rFonts w:ascii="Times New Roman" w:hAnsi="Times New Roman"/>
          <w:sz w:val="24"/>
          <w:szCs w:val="24"/>
          <w:lang w:val="en-US"/>
        </w:rPr>
        <w:t xml:space="preserve">On the other hand, factors such as social class and economic conditions also determine the resources and opportunities available to different families in choosing and maintaining </w:t>
      </w:r>
      <w:r>
        <w:rPr>
          <w:rFonts w:hint="eastAsia" w:ascii="Times New Roman" w:hAnsi="Times New Roman"/>
          <w:sz w:val="24"/>
          <w:szCs w:val="24"/>
          <w:lang w:val="en-US"/>
        </w:rPr>
        <w:t>Sishu</w:t>
      </w:r>
      <w:r>
        <w:rPr>
          <w:rFonts w:ascii="Times New Roman" w:hAnsi="Times New Roman"/>
          <w:sz w:val="24"/>
          <w:szCs w:val="24"/>
          <w:lang w:val="en-US"/>
        </w:rPr>
        <w:t xml:space="preserve"> education.</w:t>
      </w:r>
      <w:r>
        <w:rPr>
          <w:rFonts w:hint="eastAsia" w:ascii="Times New Roman" w:hAnsi="Times New Roman"/>
          <w:sz w:val="24"/>
          <w:szCs w:val="24"/>
          <w:lang w:val="en-US"/>
        </w:rPr>
        <w:t xml:space="preserve"> </w:t>
      </w:r>
      <w:r>
        <w:rPr>
          <w:rFonts w:ascii="Times New Roman" w:hAnsi="Times New Roman"/>
          <w:sz w:val="24"/>
          <w:szCs w:val="24"/>
          <w:lang w:val="en-US"/>
        </w:rPr>
        <w:t xml:space="preserve">On the whole, modern </w:t>
      </w:r>
      <w:r>
        <w:rPr>
          <w:rFonts w:hint="eastAsia" w:ascii="Times New Roman" w:hAnsi="Times New Roman"/>
          <w:sz w:val="24"/>
          <w:szCs w:val="24"/>
          <w:lang w:val="en-US"/>
        </w:rPr>
        <w:t>Sishu</w:t>
      </w:r>
      <w:r>
        <w:rPr>
          <w:rFonts w:ascii="Times New Roman" w:hAnsi="Times New Roman"/>
          <w:sz w:val="24"/>
          <w:szCs w:val="24"/>
          <w:lang w:val="en-US"/>
        </w:rPr>
        <w:t xml:space="preserve"> is both a complement and a challenge to mainstream education, and also offers new possibilities for the development of multiple modes of education. How to create a more inclusive and flexible institutional environment for this new form of education, while adhering to the national concept of universal education, still relies on the continued attention and constructive dialogue of the Government, the academic community and all sectors of society.</w:t>
      </w:r>
    </w:p>
    <w:p w14:paraId="608A8F7B">
      <w:pPr>
        <w:spacing w:line="360" w:lineRule="auto"/>
        <w:rPr>
          <w:rFonts w:ascii="Times New Roman" w:hAnsi="Times New Roman"/>
          <w:sz w:val="24"/>
          <w:szCs w:val="24"/>
          <w:lang w:val="en-US"/>
        </w:rPr>
      </w:pPr>
    </w:p>
    <w:p w14:paraId="3EAF4351">
      <w:pPr>
        <w:spacing w:line="360" w:lineRule="auto"/>
        <w:rPr>
          <w:rFonts w:ascii="Times New Roman" w:hAnsi="Times New Roman"/>
          <w:sz w:val="24"/>
          <w:szCs w:val="24"/>
          <w:lang w:val="en-US"/>
        </w:rPr>
      </w:pPr>
      <w:r>
        <w:rPr>
          <w:rFonts w:hint="eastAsia" w:ascii="Times New Roman" w:hAnsi="Times New Roman"/>
          <w:sz w:val="24"/>
          <w:szCs w:val="24"/>
          <w:lang w:val="en-US"/>
        </w:rPr>
        <w:t>Follow-up research on modern Chinese Sishu should focus on exploring the motivation, psychological feelings and evolution of values of Sishu students from the perspective of Sishu students, using qualitative methods such as in-depth interviews, observation and narrative research. B</w:t>
      </w:r>
      <w:r>
        <w:rPr>
          <w:rFonts w:ascii="Times New Roman" w:hAnsi="Times New Roman"/>
          <w:sz w:val="24"/>
          <w:szCs w:val="24"/>
          <w:lang w:val="en-US"/>
        </w:rPr>
        <w:t xml:space="preserve">y listening and analysing the real experiences of the student population we can provide a more focused basis for the improvement of </w:t>
      </w:r>
      <w:r>
        <w:rPr>
          <w:rFonts w:hint="eastAsia" w:ascii="Times New Roman" w:hAnsi="Times New Roman"/>
          <w:sz w:val="24"/>
          <w:szCs w:val="24"/>
          <w:lang w:val="en-US"/>
        </w:rPr>
        <w:t>Sishu</w:t>
      </w:r>
      <w:r>
        <w:rPr>
          <w:rFonts w:ascii="Times New Roman" w:hAnsi="Times New Roman"/>
          <w:sz w:val="24"/>
          <w:szCs w:val="24"/>
          <w:lang w:val="en-US"/>
        </w:rPr>
        <w:t xml:space="preserve"> education and policy refinement.</w:t>
      </w:r>
      <w:r>
        <w:rPr>
          <w:rFonts w:hint="eastAsia" w:ascii="Times New Roman" w:hAnsi="Times New Roman"/>
          <w:sz w:val="24"/>
          <w:szCs w:val="24"/>
          <w:lang w:val="en-US"/>
        </w:rPr>
        <w:t xml:space="preserve"> In order to measure the effectiveness of Sishu education more comprehensively, it is recommended that a medium-to-long-term tracking study be conducted to evaluate Sishu education by combining multi-dimensional indicators such as academic performance, social adjustment, personal psychological growth and family background, and to cover the subsequent development of students in terms of further studies, employment and social participation.</w:t>
      </w:r>
    </w:p>
    <w:p w14:paraId="64B647E6"/>
    <w:p w14:paraId="3FF13BB7"/>
    <w:p w14:paraId="248CAA4F"/>
    <w:p w14:paraId="436E4F79"/>
    <w:p w14:paraId="79EBA653"/>
    <w:p w14:paraId="6058C865"/>
    <w:p w14:paraId="490CA97A"/>
    <w:p w14:paraId="05CE7E8C"/>
    <w:p w14:paraId="5DD97070"/>
    <w:p w14:paraId="79BB5FA3"/>
    <w:p w14:paraId="2450E016"/>
    <w:p w14:paraId="4DB166CF"/>
    <w:p w14:paraId="29C20398"/>
    <w:p w14:paraId="1310A361"/>
    <w:p w14:paraId="00588CD2"/>
    <w:p w14:paraId="601EF9D4"/>
    <w:p w14:paraId="1F6313EF"/>
    <w:p w14:paraId="3700787D"/>
    <w:p w14:paraId="281B23E3"/>
    <w:p w14:paraId="343C7217"/>
    <w:p w14:paraId="0DF19FCB"/>
    <w:p w14:paraId="098BF482"/>
    <w:p w14:paraId="592FD6D2"/>
    <w:p w14:paraId="1B512DF4"/>
    <w:p w14:paraId="145CA031"/>
    <w:p w14:paraId="407A3445"/>
    <w:p w14:paraId="2B3404F3"/>
    <w:p w14:paraId="05AE9581"/>
    <w:p w14:paraId="15AA2452"/>
    <w:p w14:paraId="3B4028F1"/>
    <w:p w14:paraId="276F8683"/>
    <w:p w14:paraId="7C8804B6"/>
    <w:p w14:paraId="0929B202"/>
    <w:p w14:paraId="1F9E9BD2"/>
    <w:p w14:paraId="22CC7765"/>
    <w:p w14:paraId="190D28B3"/>
    <w:p w14:paraId="28DF07B0"/>
    <w:p w14:paraId="0F36A84F"/>
    <w:p w14:paraId="3EE3891C"/>
    <w:p w14:paraId="3A0FC9AB">
      <w:pPr>
        <w:pStyle w:val="2"/>
        <w:numPr>
          <w:ilvl w:val="0"/>
          <w:numId w:val="3"/>
        </w:numPr>
        <w:rPr>
          <w:lang w:val="en-US" w:eastAsia="en-US"/>
        </w:rPr>
      </w:pPr>
      <w:bookmarkStart w:id="30" w:name="_Toc115759276"/>
      <w:bookmarkStart w:id="31" w:name="_Toc2806"/>
      <w:r>
        <w:rPr>
          <w:lang w:val="en-US" w:eastAsia="en-US"/>
        </w:rPr>
        <w:t>REFERENCES</w:t>
      </w:r>
      <w:bookmarkEnd w:id="30"/>
      <w:bookmarkEnd w:id="31"/>
    </w:p>
    <w:p w14:paraId="5206860B">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East China Normal University, Department of Education (2016) </w:t>
      </w:r>
      <w:r>
        <w:rPr>
          <w:rFonts w:ascii="Times New Roman" w:hAnsi="Times New Roman"/>
          <w:i/>
          <w:iCs/>
          <w:kern w:val="0"/>
          <w:sz w:val="24"/>
          <w:szCs w:val="24"/>
          <w:lang w:val="en-US"/>
        </w:rPr>
        <w:t>Jiang Chunjiao [蒋纯焦]</w:t>
      </w:r>
      <w:r>
        <w:rPr>
          <w:rFonts w:ascii="Times New Roman" w:hAnsi="Times New Roman"/>
          <w:kern w:val="0"/>
          <w:sz w:val="24"/>
          <w:szCs w:val="24"/>
          <w:lang w:val="en-US"/>
        </w:rPr>
        <w:t xml:space="preserve">, </w:t>
      </w:r>
      <w:r>
        <w:rPr>
          <w:rFonts w:ascii="Times New Roman" w:hAnsi="Times New Roman"/>
          <w:i/>
          <w:iCs/>
          <w:kern w:val="0"/>
          <w:sz w:val="24"/>
          <w:szCs w:val="24"/>
          <w:lang w:val="en-US"/>
        </w:rPr>
        <w:t>Ecnu.edu.cn</w:t>
      </w:r>
      <w:r>
        <w:rPr>
          <w:rFonts w:ascii="Times New Roman" w:hAnsi="Times New Roman"/>
          <w:kern w:val="0"/>
          <w:sz w:val="24"/>
          <w:szCs w:val="24"/>
          <w:lang w:val="en-US"/>
        </w:rPr>
        <w:t>. Available at: http://www.dedu.ecnu.edu.cn/49/f2/c7106a84466/page.htm (Accessed: 20 February 2025).</w:t>
      </w:r>
    </w:p>
    <w:p w14:paraId="5F5143F0">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Arksey, H. and O’Malley, L. (2005) ‘Scoping studies: Towards a Methodological Framework’, </w:t>
      </w:r>
      <w:r>
        <w:rPr>
          <w:rFonts w:ascii="Times New Roman" w:hAnsi="Times New Roman"/>
          <w:i/>
          <w:iCs/>
          <w:kern w:val="0"/>
          <w:sz w:val="24"/>
          <w:szCs w:val="24"/>
          <w:lang w:val="en-US"/>
        </w:rPr>
        <w:t>International Journal of Social Research Methodology</w:t>
      </w:r>
      <w:r>
        <w:rPr>
          <w:rFonts w:ascii="Times New Roman" w:hAnsi="Times New Roman"/>
          <w:kern w:val="0"/>
          <w:sz w:val="24"/>
          <w:szCs w:val="24"/>
          <w:lang w:val="en-US"/>
        </w:rPr>
        <w:t>, 8(1), pp. 19–32. Available at: https://doi.org/10.1080/1364557032000119616.</w:t>
      </w:r>
    </w:p>
    <w:p w14:paraId="4BA83643">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Beer, L. de, Vos, D. and Myburgh, J. (2020) ‘Homeschooling in the BRICS Members States: a Comparative Study.’, in </w:t>
      </w:r>
      <w:r>
        <w:rPr>
          <w:rFonts w:ascii="Times New Roman" w:hAnsi="Times New Roman"/>
          <w:i/>
          <w:iCs/>
          <w:kern w:val="0"/>
          <w:sz w:val="24"/>
          <w:szCs w:val="24"/>
          <w:lang w:val="en-US"/>
        </w:rPr>
        <w:t>Educational Reforms Worldwide</w:t>
      </w:r>
      <w:r>
        <w:rPr>
          <w:rFonts w:ascii="Times New Roman" w:hAnsi="Times New Roman"/>
          <w:kern w:val="0"/>
          <w:sz w:val="24"/>
          <w:szCs w:val="24"/>
          <w:lang w:val="en-US"/>
        </w:rPr>
        <w:t>. Sofia: Bulgarian Comparative Education Society.</w:t>
      </w:r>
    </w:p>
    <w:p w14:paraId="0F368DA5">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Billioud, S. and Thoraval, J. (2015) </w:t>
      </w:r>
      <w:r>
        <w:rPr>
          <w:rFonts w:ascii="Times New Roman" w:hAnsi="Times New Roman"/>
          <w:i/>
          <w:iCs/>
          <w:kern w:val="0"/>
          <w:sz w:val="24"/>
          <w:szCs w:val="24"/>
          <w:lang w:val="en-US"/>
        </w:rPr>
        <w:t>The Sage and the People</w:t>
      </w:r>
      <w:r>
        <w:rPr>
          <w:rFonts w:ascii="Times New Roman" w:hAnsi="Times New Roman"/>
          <w:kern w:val="0"/>
          <w:sz w:val="24"/>
          <w:szCs w:val="24"/>
          <w:lang w:val="en-US"/>
        </w:rPr>
        <w:t>. Oxford University Press.</w:t>
      </w:r>
    </w:p>
    <w:p w14:paraId="3AE4BC99">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Booth, A., Sutton, A. and Papaioannou, D. (2016) </w:t>
      </w:r>
      <w:r>
        <w:rPr>
          <w:rFonts w:ascii="Times New Roman" w:hAnsi="Times New Roman"/>
          <w:i/>
          <w:iCs/>
          <w:kern w:val="0"/>
          <w:sz w:val="24"/>
          <w:szCs w:val="24"/>
          <w:lang w:val="en-US"/>
        </w:rPr>
        <w:t>Systematic Approaches to a Successful Literature Review.</w:t>
      </w:r>
      <w:r>
        <w:rPr>
          <w:rFonts w:ascii="Times New Roman" w:hAnsi="Times New Roman"/>
          <w:kern w:val="0"/>
          <w:sz w:val="24"/>
          <w:szCs w:val="24"/>
          <w:lang w:val="en-US"/>
        </w:rPr>
        <w:t xml:space="preserve"> 2nd edn. Sage Publications.</w:t>
      </w:r>
    </w:p>
    <w:p w14:paraId="74240242">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British Educational Research Association [BERA] (2018) </w:t>
      </w:r>
      <w:r>
        <w:rPr>
          <w:rFonts w:ascii="Times New Roman" w:hAnsi="Times New Roman"/>
          <w:i/>
          <w:iCs/>
          <w:kern w:val="0"/>
          <w:sz w:val="24"/>
          <w:szCs w:val="24"/>
          <w:lang w:val="en-US"/>
        </w:rPr>
        <w:t>Ethical Guidelines for Educational Research</w:t>
      </w:r>
      <w:r>
        <w:rPr>
          <w:rFonts w:ascii="Times New Roman" w:hAnsi="Times New Roman"/>
          <w:kern w:val="0"/>
          <w:sz w:val="24"/>
          <w:szCs w:val="24"/>
          <w:lang w:val="en-US"/>
        </w:rPr>
        <w:t>. 4th edn. London: British Educational Research Association [BERA].</w:t>
      </w:r>
    </w:p>
    <w:p w14:paraId="2477A586">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Chen, C.-C. (2022) ‘Practice of Leadership Competencies by a principal: Case Study of a Public Experimental School in Taiwan’, </w:t>
      </w:r>
      <w:r>
        <w:rPr>
          <w:rFonts w:ascii="Times New Roman" w:hAnsi="Times New Roman"/>
          <w:i/>
          <w:iCs/>
          <w:kern w:val="0"/>
          <w:sz w:val="24"/>
          <w:szCs w:val="24"/>
          <w:lang w:val="en-US"/>
        </w:rPr>
        <w:t>Asia Pacific Education Review</w:t>
      </w:r>
      <w:r>
        <w:rPr>
          <w:rFonts w:ascii="Times New Roman" w:hAnsi="Times New Roman"/>
          <w:kern w:val="0"/>
          <w:sz w:val="24"/>
          <w:szCs w:val="24"/>
          <w:lang w:val="en-US"/>
        </w:rPr>
        <w:t xml:space="preserve"> [Preprint]. Available at: https://doi.org/10.1007/s12564-022-09813-1.</w:t>
      </w:r>
    </w:p>
    <w:p w14:paraId="1D15CFC9">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Chen, G. (2000) </w:t>
      </w:r>
      <w:r>
        <w:rPr>
          <w:rFonts w:ascii="Times New Roman" w:hAnsi="Times New Roman"/>
          <w:i/>
          <w:iCs/>
          <w:kern w:val="0"/>
          <w:sz w:val="24"/>
          <w:szCs w:val="24"/>
          <w:lang w:val="en-US"/>
        </w:rPr>
        <w:t>教育原理 [‘Educational Principle’]</w:t>
      </w:r>
      <w:r>
        <w:rPr>
          <w:rFonts w:ascii="Times New Roman" w:hAnsi="Times New Roman"/>
          <w:kern w:val="0"/>
          <w:sz w:val="24"/>
          <w:szCs w:val="24"/>
          <w:lang w:val="en-US"/>
        </w:rPr>
        <w:t>. 2nd edn. Shanghai: 华东师范大学出版社 [East China Normal University Press].</w:t>
      </w:r>
    </w:p>
    <w:p w14:paraId="68D11E25">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Chief Executive [of the Hong Kong Special Administrative Region] (2017) </w:t>
      </w:r>
      <w:r>
        <w:rPr>
          <w:rFonts w:ascii="Times New Roman" w:hAnsi="Times New Roman"/>
          <w:i/>
          <w:iCs/>
          <w:kern w:val="0"/>
          <w:sz w:val="24"/>
          <w:szCs w:val="24"/>
          <w:lang w:val="en-US"/>
        </w:rPr>
        <w:t>We Connect for Hope and Happiness</w:t>
      </w:r>
      <w:r>
        <w:rPr>
          <w:rFonts w:ascii="Times New Roman" w:hAnsi="Times New Roman"/>
          <w:kern w:val="0"/>
          <w:sz w:val="24"/>
          <w:szCs w:val="24"/>
          <w:lang w:val="en-US"/>
        </w:rPr>
        <w:t>. Available at: https://www.policyaddress.gov.hk/2017/eng/pdf/PA2017.pdf (Accessed: 27 February 2025).</w:t>
      </w:r>
    </w:p>
    <w:p w14:paraId="397E6043">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Clart, P. (2008) ‘The Concept of Ritual in the Thought of Sima Guang’, in D. Kuhn and H. Stahl (eds) </w:t>
      </w:r>
      <w:r>
        <w:rPr>
          <w:rFonts w:ascii="Times New Roman" w:hAnsi="Times New Roman"/>
          <w:i/>
          <w:iCs/>
          <w:kern w:val="0"/>
          <w:sz w:val="24"/>
          <w:szCs w:val="24"/>
          <w:lang w:val="en-US"/>
        </w:rPr>
        <w:t>Perceptions of Antiquity in Chinese Civilization</w:t>
      </w:r>
      <w:r>
        <w:rPr>
          <w:rFonts w:ascii="Times New Roman" w:hAnsi="Times New Roman"/>
          <w:kern w:val="0"/>
          <w:sz w:val="24"/>
          <w:szCs w:val="24"/>
          <w:lang w:val="en-US"/>
        </w:rPr>
        <w:t>. Heidelberg: Edition Forum.</w:t>
      </w:r>
    </w:p>
    <w:p w14:paraId="403FB69E">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Cohen, L., Manion, L. and Morrison, K. (2011) </w:t>
      </w:r>
      <w:r>
        <w:rPr>
          <w:rFonts w:ascii="Times New Roman" w:hAnsi="Times New Roman"/>
          <w:i/>
          <w:iCs/>
          <w:kern w:val="0"/>
          <w:sz w:val="24"/>
          <w:szCs w:val="24"/>
          <w:lang w:val="en-US"/>
        </w:rPr>
        <w:t>Research Methods in Education</w:t>
      </w:r>
      <w:r>
        <w:rPr>
          <w:rFonts w:ascii="Times New Roman" w:hAnsi="Times New Roman"/>
          <w:kern w:val="0"/>
          <w:sz w:val="24"/>
          <w:szCs w:val="24"/>
          <w:lang w:val="en-US"/>
        </w:rPr>
        <w:t>. 7th edn. London: Routledge.</w:t>
      </w:r>
    </w:p>
    <w:p w14:paraId="674DA1CA">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Creswell, J.W. (2013) </w:t>
      </w:r>
      <w:r>
        <w:rPr>
          <w:rFonts w:ascii="Times New Roman" w:hAnsi="Times New Roman"/>
          <w:i/>
          <w:iCs/>
          <w:kern w:val="0"/>
          <w:sz w:val="24"/>
          <w:szCs w:val="24"/>
          <w:lang w:val="en-US"/>
        </w:rPr>
        <w:t>Qualitative Inquiry and Research Design : Choosing among Five Approaches</w:t>
      </w:r>
      <w:r>
        <w:rPr>
          <w:rFonts w:ascii="Times New Roman" w:hAnsi="Times New Roman"/>
          <w:kern w:val="0"/>
          <w:sz w:val="24"/>
          <w:szCs w:val="24"/>
          <w:lang w:val="en-US"/>
        </w:rPr>
        <w:t>. 3rd edn. SAGE Publication.</w:t>
      </w:r>
    </w:p>
    <w:p w14:paraId="2844ACC8">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Erlings, E. (2019) ‘Don’t Ask, Do(n’t) Tell: Homeschooling in Hong Kong’, </w:t>
      </w:r>
      <w:r>
        <w:rPr>
          <w:rFonts w:ascii="Times New Roman" w:hAnsi="Times New Roman"/>
          <w:i/>
          <w:iCs/>
          <w:kern w:val="0"/>
          <w:sz w:val="24"/>
          <w:szCs w:val="24"/>
          <w:lang w:val="en-US"/>
        </w:rPr>
        <w:t>Asian Journal of Law and Society</w:t>
      </w:r>
      <w:r>
        <w:rPr>
          <w:rFonts w:ascii="Times New Roman" w:hAnsi="Times New Roman"/>
          <w:kern w:val="0"/>
          <w:sz w:val="24"/>
          <w:szCs w:val="24"/>
          <w:lang w:val="en-US"/>
        </w:rPr>
        <w:t>, 6(2), pp. 307–319.</w:t>
      </w:r>
    </w:p>
    <w:p w14:paraId="6DA54BCC">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Gilgan, S. (2023) ‘History, Memory, and Place in the Popular Revival of Confucian Educational Traditions’, </w:t>
      </w:r>
      <w:r>
        <w:rPr>
          <w:rFonts w:ascii="Times New Roman" w:hAnsi="Times New Roman"/>
          <w:i/>
          <w:iCs/>
          <w:kern w:val="0"/>
          <w:sz w:val="24"/>
          <w:szCs w:val="24"/>
          <w:lang w:val="en-US"/>
        </w:rPr>
        <w:t>Journal of Current Chinese Affairs</w:t>
      </w:r>
      <w:r>
        <w:rPr>
          <w:rFonts w:ascii="Times New Roman" w:hAnsi="Times New Roman"/>
          <w:kern w:val="0"/>
          <w:sz w:val="24"/>
          <w:szCs w:val="24"/>
          <w:lang w:val="en-US"/>
        </w:rPr>
        <w:t>, 52(2), pp. 207–229.</w:t>
      </w:r>
    </w:p>
    <w:p w14:paraId="7959B476">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Hong Kong e-Legislation (2001) </w:t>
      </w:r>
      <w:r>
        <w:rPr>
          <w:rFonts w:ascii="Times New Roman" w:hAnsi="Times New Roman"/>
          <w:i/>
          <w:iCs/>
          <w:kern w:val="0"/>
          <w:sz w:val="24"/>
          <w:szCs w:val="24"/>
          <w:lang w:val="en-US"/>
        </w:rPr>
        <w:t>Education Ordinance</w:t>
      </w:r>
      <w:r>
        <w:rPr>
          <w:rFonts w:ascii="Times New Roman" w:hAnsi="Times New Roman"/>
          <w:kern w:val="0"/>
          <w:sz w:val="24"/>
          <w:szCs w:val="24"/>
          <w:lang w:val="en-US"/>
        </w:rPr>
        <w:t xml:space="preserve">, </w:t>
      </w:r>
      <w:r>
        <w:rPr>
          <w:rFonts w:ascii="Times New Roman" w:hAnsi="Times New Roman"/>
          <w:i/>
          <w:iCs/>
          <w:kern w:val="0"/>
          <w:sz w:val="24"/>
          <w:szCs w:val="24"/>
          <w:lang w:val="en-US"/>
        </w:rPr>
        <w:t>www.elegislation.gov.hk</w:t>
      </w:r>
      <w:r>
        <w:rPr>
          <w:rFonts w:ascii="Times New Roman" w:hAnsi="Times New Roman"/>
          <w:kern w:val="0"/>
          <w:sz w:val="24"/>
          <w:szCs w:val="24"/>
          <w:lang w:val="en-US"/>
        </w:rPr>
        <w:t>. Available at: https://www.elegislation.gov.hk/hk/cap279 (Accessed: 22 February 2025).</w:t>
      </w:r>
    </w:p>
    <w:p w14:paraId="016D0DAE">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Jiang, C. (2017) </w:t>
      </w:r>
      <w:r>
        <w:rPr>
          <w:rFonts w:ascii="Times New Roman" w:hAnsi="Times New Roman"/>
          <w:i/>
          <w:iCs/>
          <w:kern w:val="0"/>
          <w:sz w:val="24"/>
          <w:szCs w:val="24"/>
          <w:lang w:val="en-US"/>
        </w:rPr>
        <w:t>中国私塾史 [‘History of Sishu in China’]</w:t>
      </w:r>
      <w:r>
        <w:rPr>
          <w:rFonts w:ascii="Times New Roman" w:hAnsi="Times New Roman"/>
          <w:kern w:val="0"/>
          <w:sz w:val="24"/>
          <w:szCs w:val="24"/>
          <w:lang w:val="en-US"/>
        </w:rPr>
        <w:t>. Taiyuan: 山西教育出版社 [Shanxi Education Press].</w:t>
      </w:r>
    </w:p>
    <w:p w14:paraId="4FB27499">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Lawrence, M.J. (2007) </w:t>
      </w:r>
      <w:r>
        <w:rPr>
          <w:rFonts w:ascii="Times New Roman" w:hAnsi="Times New Roman"/>
          <w:i/>
          <w:iCs/>
          <w:kern w:val="0"/>
          <w:sz w:val="24"/>
          <w:szCs w:val="24"/>
          <w:lang w:val="en-US"/>
        </w:rPr>
        <w:t>Home schooling: Status and Bibliography</w:t>
      </w:r>
      <w:r>
        <w:rPr>
          <w:rFonts w:ascii="Times New Roman" w:hAnsi="Times New Roman"/>
          <w:kern w:val="0"/>
          <w:sz w:val="24"/>
          <w:szCs w:val="24"/>
          <w:lang w:val="en-US"/>
        </w:rPr>
        <w:t>. New York: Nova Science Publisher.</w:t>
      </w:r>
    </w:p>
    <w:p w14:paraId="0C2FE7C1">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Laws &amp; Regulations Database of The Republic of China (2020) </w:t>
      </w:r>
      <w:r>
        <w:rPr>
          <w:rFonts w:ascii="Times New Roman" w:hAnsi="Times New Roman"/>
          <w:i/>
          <w:iCs/>
          <w:kern w:val="0"/>
          <w:sz w:val="24"/>
          <w:szCs w:val="24"/>
          <w:lang w:val="en-US"/>
        </w:rPr>
        <w:t>Enforcement Act for Non-school-based Experimental Education at Senior High School Level or below</w:t>
      </w:r>
      <w:r>
        <w:rPr>
          <w:rFonts w:ascii="Times New Roman" w:hAnsi="Times New Roman"/>
          <w:kern w:val="0"/>
          <w:sz w:val="24"/>
          <w:szCs w:val="24"/>
          <w:lang w:val="en-US"/>
        </w:rPr>
        <w:t xml:space="preserve">, </w:t>
      </w:r>
      <w:r>
        <w:rPr>
          <w:rFonts w:ascii="Times New Roman" w:hAnsi="Times New Roman"/>
          <w:i/>
          <w:iCs/>
          <w:kern w:val="0"/>
          <w:sz w:val="24"/>
          <w:szCs w:val="24"/>
          <w:lang w:val="en-US"/>
        </w:rPr>
        <w:t>Moj.gov.tw</w:t>
      </w:r>
      <w:r>
        <w:rPr>
          <w:rFonts w:ascii="Times New Roman" w:hAnsi="Times New Roman"/>
          <w:kern w:val="0"/>
          <w:sz w:val="24"/>
          <w:szCs w:val="24"/>
          <w:lang w:val="en-US"/>
        </w:rPr>
        <w:t>. Available at: https://law.moj.gov.tw/Eng/LawClass/LawAll.aspx?PCode=H0070059 (Accessed: 23 February 2025).</w:t>
      </w:r>
    </w:p>
    <w:p w14:paraId="24DA91B6">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Lee, T.T. (2023) ‘Homeschooling in Chinese cities: Educational Implications for post-pandemic Schools’, </w:t>
      </w:r>
      <w:r>
        <w:rPr>
          <w:rFonts w:ascii="Times New Roman" w:hAnsi="Times New Roman"/>
          <w:i/>
          <w:iCs/>
          <w:kern w:val="0"/>
          <w:sz w:val="24"/>
          <w:szCs w:val="24"/>
          <w:lang w:val="en-US"/>
        </w:rPr>
        <w:t>Educational Review</w:t>
      </w:r>
      <w:r>
        <w:rPr>
          <w:rFonts w:ascii="Times New Roman" w:hAnsi="Times New Roman"/>
          <w:kern w:val="0"/>
          <w:sz w:val="24"/>
          <w:szCs w:val="24"/>
          <w:lang w:val="en-US"/>
        </w:rPr>
        <w:t>, pp. 1–20.</w:t>
      </w:r>
    </w:p>
    <w:p w14:paraId="7014A83D">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Lee, T.T. (2024) ‘Beyond Conventional Metrics: Alternative Middle-Class Choice among Chinese Homeschooling Families’, </w:t>
      </w:r>
      <w:r>
        <w:rPr>
          <w:rFonts w:ascii="Times New Roman" w:hAnsi="Times New Roman"/>
          <w:i/>
          <w:iCs/>
          <w:kern w:val="0"/>
          <w:sz w:val="24"/>
          <w:szCs w:val="24"/>
          <w:lang w:val="en-US"/>
        </w:rPr>
        <w:t>Sociology</w:t>
      </w:r>
      <w:r>
        <w:rPr>
          <w:rFonts w:ascii="Times New Roman" w:hAnsi="Times New Roman"/>
          <w:kern w:val="0"/>
          <w:sz w:val="24"/>
          <w:szCs w:val="24"/>
          <w:lang w:val="en-US"/>
        </w:rPr>
        <w:t>, 58(5), pp. 1207–1224.</w:t>
      </w:r>
    </w:p>
    <w:p w14:paraId="6387240B">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Levac, D., Colquhoun, H. and O’Brien, K.K. (2010) ‘Scoping studies: Advancing the Methodology’, </w:t>
      </w:r>
      <w:r>
        <w:rPr>
          <w:rFonts w:ascii="Times New Roman" w:hAnsi="Times New Roman"/>
          <w:i/>
          <w:iCs/>
          <w:kern w:val="0"/>
          <w:sz w:val="24"/>
          <w:szCs w:val="24"/>
          <w:lang w:val="en-US"/>
        </w:rPr>
        <w:t>Implementation Science</w:t>
      </w:r>
      <w:r>
        <w:rPr>
          <w:rFonts w:ascii="Times New Roman" w:hAnsi="Times New Roman"/>
          <w:kern w:val="0"/>
          <w:sz w:val="24"/>
          <w:szCs w:val="24"/>
          <w:lang w:val="en-US"/>
        </w:rPr>
        <w:t>, 5(1), pp. 1–9. Available at: https://doi.org/10.1186/1748-5908-5-69.</w:t>
      </w:r>
    </w:p>
    <w:p w14:paraId="527EABD0">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Li, J. (2020) ‘关于“现代私塾”教育现象探究 [“Exploration of the Phenomenon of Modern Sishu Education”]’, </w:t>
      </w:r>
      <w:r>
        <w:rPr>
          <w:rFonts w:ascii="Times New Roman" w:hAnsi="Times New Roman"/>
          <w:i/>
          <w:iCs/>
          <w:kern w:val="0"/>
          <w:sz w:val="24"/>
          <w:szCs w:val="24"/>
          <w:lang w:val="en-US"/>
        </w:rPr>
        <w:t>才智·Ability and Wisdom</w:t>
      </w:r>
      <w:r>
        <w:rPr>
          <w:rFonts w:ascii="Times New Roman" w:hAnsi="Times New Roman"/>
          <w:kern w:val="0"/>
          <w:sz w:val="24"/>
          <w:szCs w:val="24"/>
          <w:lang w:val="en-US"/>
        </w:rPr>
        <w:t>, p. 139.</w:t>
      </w:r>
    </w:p>
    <w:p w14:paraId="60922107">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Liu, X. (2022) ‘Educational Practice outside the System: Exploring the Legalization Dilemma of Chinese-styled Homeschooling’, </w:t>
      </w:r>
      <w:r>
        <w:rPr>
          <w:rFonts w:ascii="Times New Roman" w:hAnsi="Times New Roman"/>
          <w:i/>
          <w:iCs/>
          <w:kern w:val="0"/>
          <w:sz w:val="24"/>
          <w:szCs w:val="24"/>
          <w:lang w:val="en-US"/>
        </w:rPr>
        <w:t>International Journal of Education and Humanities</w:t>
      </w:r>
      <w:r>
        <w:rPr>
          <w:rFonts w:ascii="Times New Roman" w:hAnsi="Times New Roman"/>
          <w:kern w:val="0"/>
          <w:sz w:val="24"/>
          <w:szCs w:val="24"/>
          <w:lang w:val="en-US"/>
        </w:rPr>
        <w:t>, 5(2), pp. 271–273.</w:t>
      </w:r>
    </w:p>
    <w:p w14:paraId="6109FAE8">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Mackenzie, N. and Knipe, S. (2006) ‘Research dilemmas: Paradigms, Methods and Methodology’, </w:t>
      </w:r>
      <w:r>
        <w:rPr>
          <w:rFonts w:ascii="Times New Roman" w:hAnsi="Times New Roman"/>
          <w:i/>
          <w:iCs/>
          <w:kern w:val="0"/>
          <w:sz w:val="24"/>
          <w:szCs w:val="24"/>
          <w:lang w:val="en-US"/>
        </w:rPr>
        <w:t>Educational Research</w:t>
      </w:r>
      <w:r>
        <w:rPr>
          <w:rFonts w:ascii="Times New Roman" w:hAnsi="Times New Roman"/>
          <w:kern w:val="0"/>
          <w:sz w:val="24"/>
          <w:szCs w:val="24"/>
          <w:lang w:val="en-US"/>
        </w:rPr>
        <w:t>, 16(2), pp. 193–205. Available at: http://www.iier.org.au/iier16/mackenzie.html (Accessed: 4 March 2025).</w:t>
      </w:r>
    </w:p>
    <w:p w14:paraId="56EB8FAA">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Martín-Martín, A., Orduna-Malea, E. and Delgado López-Cózar, E. (2018) ‘Coverage of highly-cited Documents in Google Scholar, Web of Science, and Scopus: a Multidisciplinary Comparison’, </w:t>
      </w:r>
      <w:r>
        <w:rPr>
          <w:rFonts w:ascii="Times New Roman" w:hAnsi="Times New Roman"/>
          <w:i/>
          <w:iCs/>
          <w:kern w:val="0"/>
          <w:sz w:val="24"/>
          <w:szCs w:val="24"/>
          <w:lang w:val="en-US"/>
        </w:rPr>
        <w:t>Scientometrics</w:t>
      </w:r>
      <w:r>
        <w:rPr>
          <w:rFonts w:ascii="Times New Roman" w:hAnsi="Times New Roman"/>
          <w:kern w:val="0"/>
          <w:sz w:val="24"/>
          <w:szCs w:val="24"/>
          <w:lang w:val="en-US"/>
        </w:rPr>
        <w:t>, 116(3), pp. 2175–2188.</w:t>
      </w:r>
    </w:p>
    <w:p w14:paraId="25F3507D">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Merriam, S.B. and Tisdell, E.J. (2016) </w:t>
      </w:r>
      <w:r>
        <w:rPr>
          <w:rFonts w:ascii="Times New Roman" w:hAnsi="Times New Roman"/>
          <w:i/>
          <w:iCs/>
          <w:kern w:val="0"/>
          <w:sz w:val="24"/>
          <w:szCs w:val="24"/>
          <w:lang w:val="en-US"/>
        </w:rPr>
        <w:t>Qualitative research: a Guide to Design and Implementation</w:t>
      </w:r>
      <w:r>
        <w:rPr>
          <w:rFonts w:ascii="Times New Roman" w:hAnsi="Times New Roman"/>
          <w:kern w:val="0"/>
          <w:sz w:val="24"/>
          <w:szCs w:val="24"/>
          <w:lang w:val="en-US"/>
        </w:rPr>
        <w:t>. 4th edn. San Francisco, Ca: Jossey-Bass.</w:t>
      </w:r>
    </w:p>
    <w:p w14:paraId="02639C30">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Ministry of Education of the People's Republic of China (2017) </w:t>
      </w:r>
      <w:r>
        <w:rPr>
          <w:rFonts w:ascii="Times New Roman" w:hAnsi="Times New Roman"/>
          <w:i/>
          <w:iCs/>
          <w:kern w:val="0"/>
          <w:sz w:val="24"/>
          <w:szCs w:val="24"/>
          <w:lang w:val="en-US"/>
        </w:rPr>
        <w:t>教育部办公厅关于做好2017年义务教育招生入学工作的通知 [ ‘General Office of the Ministry of Education Notice on Compulsory Education Enrollment in 2017’]</w:t>
      </w:r>
      <w:r>
        <w:rPr>
          <w:rFonts w:ascii="Times New Roman" w:hAnsi="Times New Roman"/>
          <w:kern w:val="0"/>
          <w:sz w:val="24"/>
          <w:szCs w:val="24"/>
          <w:lang w:val="en-US"/>
        </w:rPr>
        <w:t xml:space="preserve">, </w:t>
      </w:r>
      <w:r>
        <w:rPr>
          <w:rFonts w:ascii="Times New Roman" w:hAnsi="Times New Roman"/>
          <w:i/>
          <w:iCs/>
          <w:kern w:val="0"/>
          <w:sz w:val="24"/>
          <w:szCs w:val="24"/>
          <w:lang w:val="en-US"/>
        </w:rPr>
        <w:t>Moe.gov.cn</w:t>
      </w:r>
      <w:r>
        <w:rPr>
          <w:rFonts w:ascii="Times New Roman" w:hAnsi="Times New Roman"/>
          <w:kern w:val="0"/>
          <w:sz w:val="24"/>
          <w:szCs w:val="24"/>
          <w:lang w:val="en-US"/>
        </w:rPr>
        <w:t>. Available at: http://www.moe.gov.cn/srcsite/A06/s3321/201702/t20170222_297025.html (Accessed: 23 February 2025).</w:t>
      </w:r>
    </w:p>
    <w:p w14:paraId="426B8992">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Ministry of Education of the People's Republic of China (2019) </w:t>
      </w:r>
      <w:r>
        <w:rPr>
          <w:rFonts w:ascii="Times New Roman" w:hAnsi="Times New Roman"/>
          <w:i/>
          <w:iCs/>
          <w:kern w:val="0"/>
          <w:sz w:val="24"/>
          <w:szCs w:val="24"/>
          <w:lang w:val="en-US"/>
        </w:rPr>
        <w:t>教育部办公厅关于做好2019年普通中小学招生入学工作的通知 [‘A Notice of the General Office of the Ministry of Education on the Enrollment of Ordinary Primary and Secondary Schools in 2019’]</w:t>
      </w:r>
      <w:r>
        <w:rPr>
          <w:rFonts w:ascii="Times New Roman" w:hAnsi="Times New Roman"/>
          <w:kern w:val="0"/>
          <w:sz w:val="24"/>
          <w:szCs w:val="24"/>
          <w:lang w:val="en-US"/>
        </w:rPr>
        <w:t xml:space="preserve">, </w:t>
      </w:r>
      <w:r>
        <w:rPr>
          <w:rFonts w:ascii="Times New Roman" w:hAnsi="Times New Roman"/>
          <w:i/>
          <w:iCs/>
          <w:kern w:val="0"/>
          <w:sz w:val="24"/>
          <w:szCs w:val="24"/>
          <w:lang w:val="en-US"/>
        </w:rPr>
        <w:t>www.moe.gov.cn</w:t>
      </w:r>
      <w:r>
        <w:rPr>
          <w:rFonts w:ascii="Times New Roman" w:hAnsi="Times New Roman"/>
          <w:kern w:val="0"/>
          <w:sz w:val="24"/>
          <w:szCs w:val="24"/>
          <w:lang w:val="en-US"/>
        </w:rPr>
        <w:t>. Available at: http://www.moe.gov.cn/srcsite/A06/s3321/201903/t20190326_375446.html (Accessed: 23 February 2025).</w:t>
      </w:r>
    </w:p>
    <w:p w14:paraId="32897F5B">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Mongeon, P. and Paul-Hus, A. (2016) ‘The Journal Coverage of Web of Science and Scopus: a Comparative Analysis’, </w:t>
      </w:r>
      <w:r>
        <w:rPr>
          <w:rFonts w:ascii="Times New Roman" w:hAnsi="Times New Roman"/>
          <w:i/>
          <w:iCs/>
          <w:kern w:val="0"/>
          <w:sz w:val="24"/>
          <w:szCs w:val="24"/>
          <w:lang w:val="en-US"/>
        </w:rPr>
        <w:t>Scientometrics</w:t>
      </w:r>
      <w:r>
        <w:rPr>
          <w:rFonts w:ascii="Times New Roman" w:hAnsi="Times New Roman"/>
          <w:kern w:val="0"/>
          <w:sz w:val="24"/>
          <w:szCs w:val="24"/>
          <w:lang w:val="en-US"/>
        </w:rPr>
        <w:t>, 106(1), pp. 213–228.</w:t>
      </w:r>
    </w:p>
    <w:p w14:paraId="5FE7A451">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慕真在家教育協會 ['Mu Zhen Home Schooling Association'] (2021) </w:t>
      </w:r>
      <w:r>
        <w:rPr>
          <w:rFonts w:ascii="Times New Roman" w:hAnsi="Times New Roman"/>
          <w:i/>
          <w:iCs/>
          <w:kern w:val="0"/>
          <w:sz w:val="24"/>
          <w:szCs w:val="24"/>
          <w:lang w:val="en-US"/>
        </w:rPr>
        <w:t>關於我們 [ ‘About us’]</w:t>
      </w:r>
      <w:r>
        <w:rPr>
          <w:rFonts w:ascii="Times New Roman" w:hAnsi="Times New Roman"/>
          <w:kern w:val="0"/>
          <w:sz w:val="24"/>
          <w:szCs w:val="24"/>
          <w:lang w:val="en-US"/>
        </w:rPr>
        <w:t xml:space="preserve">, </w:t>
      </w:r>
      <w:r>
        <w:rPr>
          <w:rFonts w:ascii="Times New Roman" w:hAnsi="Times New Roman"/>
          <w:i/>
          <w:iCs/>
          <w:kern w:val="0"/>
          <w:sz w:val="24"/>
          <w:szCs w:val="24"/>
          <w:lang w:val="en-US"/>
        </w:rPr>
        <w:t>Mujen.org.tw</w:t>
      </w:r>
      <w:r>
        <w:rPr>
          <w:rFonts w:ascii="Times New Roman" w:hAnsi="Times New Roman"/>
          <w:kern w:val="0"/>
          <w:sz w:val="24"/>
          <w:szCs w:val="24"/>
          <w:lang w:val="en-US"/>
        </w:rPr>
        <w:t>. Available at: https://homepage.mujen.org.tw/%e9%97%9c%e6%96%bc%e6%88%91%e5%80%91/ (Accessed: 23 February 2025).</w:t>
      </w:r>
    </w:p>
    <w:p w14:paraId="5497A498">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National Central Library (2016) </w:t>
      </w:r>
      <w:r>
        <w:rPr>
          <w:rFonts w:ascii="Times New Roman" w:hAnsi="Times New Roman"/>
          <w:i/>
          <w:iCs/>
          <w:kern w:val="0"/>
          <w:sz w:val="24"/>
          <w:szCs w:val="24"/>
          <w:lang w:val="en-US"/>
        </w:rPr>
        <w:t>程氏家塾读书分年日程 [‘Cheng’s Family School Study Schedule by Year’]</w:t>
      </w:r>
      <w:r>
        <w:rPr>
          <w:rFonts w:ascii="Times New Roman" w:hAnsi="Times New Roman"/>
          <w:kern w:val="0"/>
          <w:sz w:val="24"/>
          <w:szCs w:val="24"/>
          <w:lang w:val="en-US"/>
        </w:rPr>
        <w:t xml:space="preserve">, </w:t>
      </w:r>
      <w:r>
        <w:rPr>
          <w:rFonts w:ascii="Times New Roman" w:hAnsi="Times New Roman"/>
          <w:i/>
          <w:iCs/>
          <w:kern w:val="0"/>
          <w:sz w:val="24"/>
          <w:szCs w:val="24"/>
          <w:lang w:val="en-US"/>
        </w:rPr>
        <w:t>Ncl.edu.tw</w:t>
      </w:r>
      <w:r>
        <w:rPr>
          <w:rFonts w:ascii="Times New Roman" w:hAnsi="Times New Roman"/>
          <w:kern w:val="0"/>
          <w:sz w:val="24"/>
          <w:szCs w:val="24"/>
          <w:lang w:val="en-US"/>
        </w:rPr>
        <w:t>. Available at: https://taiwanebook.ncl.edu.tw/en/book/NTUT-9910021976/reader (Accessed: 27 February 2025).</w:t>
      </w:r>
    </w:p>
    <w:p w14:paraId="58924E02">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Randolph, J. (2019) ‘A Guide to Writing the Dissertation Literature Review a Guide to Writing the Dissertation Literature Review’, </w:t>
      </w:r>
      <w:r>
        <w:rPr>
          <w:rFonts w:ascii="Times New Roman" w:hAnsi="Times New Roman"/>
          <w:i/>
          <w:iCs/>
          <w:kern w:val="0"/>
          <w:sz w:val="24"/>
          <w:szCs w:val="24"/>
          <w:lang w:val="en-US"/>
        </w:rPr>
        <w:t>Practical Assessment, Research, and Evaluation Practical Assessment</w:t>
      </w:r>
      <w:r>
        <w:rPr>
          <w:rFonts w:ascii="Times New Roman" w:hAnsi="Times New Roman"/>
          <w:kern w:val="0"/>
          <w:sz w:val="24"/>
          <w:szCs w:val="24"/>
          <w:lang w:val="en-US"/>
        </w:rPr>
        <w:t>, 14(13).</w:t>
      </w:r>
    </w:p>
    <w:p w14:paraId="7FC7870D">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Ray, B.D. (2000) ‘Home Schooling: the Ameliorator of Negative Influences on Learning?’, </w:t>
      </w:r>
      <w:r>
        <w:rPr>
          <w:rFonts w:ascii="Times New Roman" w:hAnsi="Times New Roman"/>
          <w:i/>
          <w:iCs/>
          <w:kern w:val="0"/>
          <w:sz w:val="24"/>
          <w:szCs w:val="24"/>
          <w:lang w:val="en-US"/>
        </w:rPr>
        <w:t>Peabody Journal of Education</w:t>
      </w:r>
      <w:r>
        <w:rPr>
          <w:rFonts w:ascii="Times New Roman" w:hAnsi="Times New Roman"/>
          <w:kern w:val="0"/>
          <w:sz w:val="24"/>
          <w:szCs w:val="24"/>
          <w:lang w:val="en-US"/>
        </w:rPr>
        <w:t>, 75(1-2), pp. 71–106.</w:t>
      </w:r>
    </w:p>
    <w:p w14:paraId="2495063E">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Sheng, X. (2013) ‘Confucian Work and Homeschooling’, </w:t>
      </w:r>
      <w:r>
        <w:rPr>
          <w:rFonts w:ascii="Times New Roman" w:hAnsi="Times New Roman"/>
          <w:i/>
          <w:iCs/>
          <w:kern w:val="0"/>
          <w:sz w:val="24"/>
          <w:szCs w:val="24"/>
          <w:lang w:val="en-US"/>
        </w:rPr>
        <w:t>Education and Urban Society</w:t>
      </w:r>
      <w:r>
        <w:rPr>
          <w:rFonts w:ascii="Times New Roman" w:hAnsi="Times New Roman"/>
          <w:kern w:val="0"/>
          <w:sz w:val="24"/>
          <w:szCs w:val="24"/>
          <w:lang w:val="en-US"/>
        </w:rPr>
        <w:t>, 47(3), pp. 344–360.</w:t>
      </w:r>
    </w:p>
    <w:p w14:paraId="041D5091">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Sheng, X. (2014) </w:t>
      </w:r>
      <w:r>
        <w:rPr>
          <w:rFonts w:ascii="Times New Roman" w:hAnsi="Times New Roman"/>
          <w:i/>
          <w:iCs/>
          <w:kern w:val="0"/>
          <w:sz w:val="24"/>
          <w:szCs w:val="24"/>
          <w:lang w:val="en-US"/>
        </w:rPr>
        <w:t>Learning with Mothers a Study of Home Schooling in China</w:t>
      </w:r>
      <w:r>
        <w:rPr>
          <w:rFonts w:ascii="Times New Roman" w:hAnsi="Times New Roman"/>
          <w:kern w:val="0"/>
          <w:sz w:val="24"/>
          <w:szCs w:val="24"/>
          <w:lang w:val="en-US"/>
        </w:rPr>
        <w:t>. Rotterdam Sensepublishers.</w:t>
      </w:r>
    </w:p>
    <w:p w14:paraId="73A88E8F">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Sheng, X. (2017) ‘Home Education and Law in China’, </w:t>
      </w:r>
      <w:r>
        <w:rPr>
          <w:rFonts w:ascii="Times New Roman" w:hAnsi="Times New Roman"/>
          <w:i/>
          <w:iCs/>
          <w:kern w:val="0"/>
          <w:sz w:val="24"/>
          <w:szCs w:val="24"/>
          <w:lang w:val="en-US"/>
        </w:rPr>
        <w:t>Education and Urban Society</w:t>
      </w:r>
      <w:r>
        <w:rPr>
          <w:rFonts w:ascii="Times New Roman" w:hAnsi="Times New Roman"/>
          <w:kern w:val="0"/>
          <w:sz w:val="24"/>
          <w:szCs w:val="24"/>
          <w:lang w:val="en-US"/>
        </w:rPr>
        <w:t>, 50(6), pp. 575–592.</w:t>
      </w:r>
    </w:p>
    <w:p w14:paraId="2471F385">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Sheng, X. (2018) ‘Confucian Home Education in China’, </w:t>
      </w:r>
      <w:r>
        <w:rPr>
          <w:rFonts w:ascii="Times New Roman" w:hAnsi="Times New Roman"/>
          <w:i/>
          <w:iCs/>
          <w:kern w:val="0"/>
          <w:sz w:val="24"/>
          <w:szCs w:val="24"/>
          <w:lang w:val="en-US"/>
        </w:rPr>
        <w:t>Educational Review</w:t>
      </w:r>
      <w:r>
        <w:rPr>
          <w:rFonts w:ascii="Times New Roman" w:hAnsi="Times New Roman"/>
          <w:kern w:val="0"/>
          <w:sz w:val="24"/>
          <w:szCs w:val="24"/>
          <w:lang w:val="en-US"/>
        </w:rPr>
        <w:t>, 71(6), pp. 712–729.</w:t>
      </w:r>
    </w:p>
    <w:p w14:paraId="4297FAA0">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Sheng, X. (2019) </w:t>
      </w:r>
      <w:r>
        <w:rPr>
          <w:rFonts w:ascii="Times New Roman" w:hAnsi="Times New Roman"/>
          <w:i/>
          <w:iCs/>
          <w:kern w:val="0"/>
          <w:sz w:val="24"/>
          <w:szCs w:val="24"/>
          <w:lang w:val="en-US"/>
        </w:rPr>
        <w:t>Home Schooling in China</w:t>
      </w:r>
      <w:r>
        <w:rPr>
          <w:rFonts w:ascii="Times New Roman" w:hAnsi="Times New Roman"/>
          <w:kern w:val="0"/>
          <w:sz w:val="24"/>
          <w:szCs w:val="24"/>
          <w:lang w:val="en-US"/>
        </w:rPr>
        <w:t>. Routledge.</w:t>
      </w:r>
    </w:p>
    <w:p w14:paraId="5B76A6A3">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Terry, R. (2013) </w:t>
      </w:r>
      <w:r>
        <w:rPr>
          <w:rFonts w:ascii="Times New Roman" w:hAnsi="Times New Roman"/>
          <w:i/>
          <w:iCs/>
          <w:kern w:val="0"/>
          <w:sz w:val="24"/>
          <w:szCs w:val="24"/>
          <w:lang w:val="en-US"/>
        </w:rPr>
        <w:t>Homeschool’s New Day in China</w:t>
      </w:r>
      <w:r>
        <w:rPr>
          <w:rFonts w:ascii="Times New Roman" w:hAnsi="Times New Roman"/>
          <w:kern w:val="0"/>
          <w:sz w:val="24"/>
          <w:szCs w:val="24"/>
          <w:lang w:val="en-US"/>
        </w:rPr>
        <w:t xml:space="preserve">, </w:t>
      </w:r>
      <w:r>
        <w:rPr>
          <w:rFonts w:ascii="Times New Roman" w:hAnsi="Times New Roman"/>
          <w:i/>
          <w:iCs/>
          <w:kern w:val="0"/>
          <w:sz w:val="24"/>
          <w:szCs w:val="24"/>
          <w:lang w:val="en-US"/>
        </w:rPr>
        <w:t>Crosswalk.com</w:t>
      </w:r>
      <w:r>
        <w:rPr>
          <w:rFonts w:ascii="Times New Roman" w:hAnsi="Times New Roman"/>
          <w:kern w:val="0"/>
          <w:sz w:val="24"/>
          <w:szCs w:val="24"/>
          <w:lang w:val="en-US"/>
        </w:rPr>
        <w:t>. Crosswalk. Available at: https://www.crosswalk.com/family/homeschool/homeschool-s-new-day-in-china.html (Accessed: 26 February 2025).</w:t>
      </w:r>
    </w:p>
    <w:p w14:paraId="71E3A53C">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The Central People’s Government of the People’s Republic of China (2006) </w:t>
      </w:r>
      <w:r>
        <w:rPr>
          <w:rFonts w:ascii="Times New Roman" w:hAnsi="Times New Roman"/>
          <w:i/>
          <w:iCs/>
          <w:kern w:val="0"/>
          <w:sz w:val="24"/>
          <w:szCs w:val="24"/>
          <w:lang w:val="en-US"/>
        </w:rPr>
        <w:t>Compulsory Education Law of the People’s Republic of China</w:t>
      </w:r>
      <w:r>
        <w:rPr>
          <w:rFonts w:ascii="Times New Roman" w:hAnsi="Times New Roman"/>
          <w:kern w:val="0"/>
          <w:sz w:val="24"/>
          <w:szCs w:val="24"/>
          <w:lang w:val="en-US"/>
        </w:rPr>
        <w:t xml:space="preserve">, </w:t>
      </w:r>
      <w:r>
        <w:rPr>
          <w:rFonts w:ascii="Times New Roman" w:hAnsi="Times New Roman"/>
          <w:i/>
          <w:iCs/>
          <w:kern w:val="0"/>
          <w:sz w:val="24"/>
          <w:szCs w:val="24"/>
          <w:lang w:val="en-US"/>
        </w:rPr>
        <w:t>www.gov.cn</w:t>
      </w:r>
      <w:r>
        <w:rPr>
          <w:rFonts w:ascii="Times New Roman" w:hAnsi="Times New Roman"/>
          <w:kern w:val="0"/>
          <w:sz w:val="24"/>
          <w:szCs w:val="24"/>
          <w:lang w:val="en-US"/>
        </w:rPr>
        <w:t>. Available at: https://www.gov.cn/guoqing/2021-10/29/content_5647617.htm (Accessed: 22 February 2025).</w:t>
      </w:r>
    </w:p>
    <w:p w14:paraId="4546EFD3">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Xiong, J. and Li, Y. (2011) ‘北京 “现代私塾”的现状与出路 [“The Current Situation and the Way out of Beijing’s modern Sishu”]’, </w:t>
      </w:r>
      <w:r>
        <w:rPr>
          <w:rFonts w:ascii="Times New Roman" w:hAnsi="Times New Roman"/>
          <w:i/>
          <w:iCs/>
          <w:kern w:val="0"/>
          <w:sz w:val="24"/>
          <w:szCs w:val="24"/>
          <w:lang w:val="en-US"/>
        </w:rPr>
        <w:t>北京社会科学 [Beijing Social Science]</w:t>
      </w:r>
      <w:r>
        <w:rPr>
          <w:rFonts w:ascii="Times New Roman" w:hAnsi="Times New Roman"/>
          <w:kern w:val="0"/>
          <w:sz w:val="24"/>
          <w:szCs w:val="24"/>
          <w:lang w:val="en-US"/>
        </w:rPr>
        <w:t>, 5, pp. 57–61.</w:t>
      </w:r>
    </w:p>
    <w:p w14:paraId="4D6B4366">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Zhao, J. and Badzis, M. (2014) ‘Parents’ Perspectives on home-schooling in Chinese Mainland’, </w:t>
      </w:r>
      <w:r>
        <w:rPr>
          <w:rFonts w:ascii="Times New Roman" w:hAnsi="Times New Roman"/>
          <w:i/>
          <w:iCs/>
          <w:kern w:val="0"/>
          <w:sz w:val="24"/>
          <w:szCs w:val="24"/>
          <w:lang w:val="en-US"/>
        </w:rPr>
        <w:t>International Proceedings of Economics Development and Research</w:t>
      </w:r>
      <w:r>
        <w:rPr>
          <w:rFonts w:ascii="Times New Roman" w:hAnsi="Times New Roman"/>
          <w:kern w:val="0"/>
          <w:sz w:val="24"/>
          <w:szCs w:val="24"/>
          <w:lang w:val="en-US"/>
        </w:rPr>
        <w:t>, 78, pp. 17–21.</w:t>
      </w:r>
    </w:p>
    <w:p w14:paraId="2705806A">
      <w:pPr>
        <w:widowControl/>
        <w:spacing w:after="240" w:line="360" w:lineRule="auto"/>
        <w:jc w:val="left"/>
        <w:rPr>
          <w:rFonts w:ascii="Times New Roman" w:hAnsi="Times New Roman"/>
          <w:kern w:val="0"/>
          <w:sz w:val="24"/>
          <w:szCs w:val="24"/>
          <w:lang w:val="en-US"/>
        </w:rPr>
      </w:pPr>
      <w:r>
        <w:rPr>
          <w:rFonts w:ascii="Times New Roman" w:hAnsi="Times New Roman"/>
          <w:kern w:val="0"/>
          <w:sz w:val="24"/>
          <w:szCs w:val="24"/>
          <w:lang w:val="en-US"/>
        </w:rPr>
        <w:t xml:space="preserve">Zhu, L. (2012) </w:t>
      </w:r>
      <w:r>
        <w:rPr>
          <w:rFonts w:ascii="Times New Roman" w:hAnsi="Times New Roman"/>
          <w:i/>
          <w:iCs/>
          <w:kern w:val="0"/>
          <w:sz w:val="24"/>
          <w:szCs w:val="24"/>
          <w:lang w:val="en-US"/>
        </w:rPr>
        <w:t>THE REVIVAL OF CONFUCIAN TRADITION IN CONTEMPORARY CHINESE SOCIETY: a CASE STUDY OF MODERN SISHU EDUCATION</w:t>
      </w:r>
      <w:r>
        <w:rPr>
          <w:rFonts w:ascii="Times New Roman" w:hAnsi="Times New Roman"/>
          <w:kern w:val="0"/>
          <w:sz w:val="24"/>
          <w:szCs w:val="24"/>
          <w:lang w:val="en-US"/>
        </w:rPr>
        <w:t>. Unpublished MA Thesis. Available at: https://scholarworks.calstate.edu/downloads/rf55z8388 (Accessed: 25 February 2025).</w:t>
      </w:r>
    </w:p>
    <w:p w14:paraId="19FAA929">
      <w:pPr>
        <w:rPr>
          <w:rFonts w:hint="eastAsia"/>
          <w:lang w:val="en-US"/>
        </w:rPr>
      </w:pPr>
    </w:p>
    <w:sectPr>
      <w:pgSz w:w="11906" w:h="16838"/>
      <w:pgMar w:top="1440" w:right="1440" w:bottom="1440" w:left="144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FEA7F8F">
    <w:pPr>
      <w:pStyle w:val="7"/>
      <w:rPr>
        <w:rFonts w:ascii="Times New Roman" w:hAnsi="Times New Roman"/>
        <w:sz w:val="20"/>
        <w:szCs w:val="20"/>
      </w:rPr>
    </w:pPr>
    <w:r>
      <w:rPr>
        <w:sz w:val="20"/>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334E705">
                          <w:pPr>
                            <w:pStyle w:val="7"/>
                            <w:rPr>
                              <w:rStyle w:val="16"/>
                              <w:rFonts w:ascii="Times New Roman" w:hAnsi="Times New Roman"/>
                              <w:sz w:val="20"/>
                              <w:szCs w:val="20"/>
                            </w:rPr>
                          </w:pPr>
                          <w:r>
                            <w:rPr>
                              <w:rStyle w:val="16"/>
                              <w:rFonts w:ascii="Times New Roman" w:hAnsi="Times New Roman"/>
                              <w:sz w:val="20"/>
                              <w:szCs w:val="20"/>
                            </w:rPr>
                            <w:fldChar w:fldCharType="begin"/>
                          </w:r>
                          <w:r>
                            <w:rPr>
                              <w:rStyle w:val="16"/>
                              <w:rFonts w:ascii="Times New Roman" w:hAnsi="Times New Roman"/>
                              <w:sz w:val="20"/>
                              <w:szCs w:val="20"/>
                            </w:rPr>
                            <w:instrText xml:space="preserve">PAGE  </w:instrText>
                          </w:r>
                          <w:r>
                            <w:rPr>
                              <w:rStyle w:val="16"/>
                              <w:rFonts w:ascii="Times New Roman" w:hAnsi="Times New Roman"/>
                              <w:sz w:val="20"/>
                              <w:szCs w:val="20"/>
                            </w:rPr>
                            <w:fldChar w:fldCharType="separate"/>
                          </w:r>
                          <w:r>
                            <w:rPr>
                              <w:rStyle w:val="16"/>
                              <w:rFonts w:ascii="Times New Roman" w:hAnsi="Times New Roman"/>
                              <w:sz w:val="20"/>
                              <w:szCs w:val="20"/>
                            </w:rPr>
                            <w:t>1</w:t>
                          </w:r>
                          <w:r>
                            <w:rPr>
                              <w:rStyle w:val="16"/>
                              <w:rFonts w:ascii="Times New Roman" w:hAnsi="Times New Roman"/>
                              <w:sz w:val="20"/>
                              <w:szCs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14:paraId="6334E705">
                    <w:pPr>
                      <w:pStyle w:val="7"/>
                      <w:rPr>
                        <w:rStyle w:val="16"/>
                        <w:rFonts w:ascii="Times New Roman" w:hAnsi="Times New Roman"/>
                        <w:sz w:val="20"/>
                        <w:szCs w:val="20"/>
                      </w:rPr>
                    </w:pPr>
                    <w:r>
                      <w:rPr>
                        <w:rStyle w:val="16"/>
                        <w:rFonts w:ascii="Times New Roman" w:hAnsi="Times New Roman"/>
                        <w:sz w:val="20"/>
                        <w:szCs w:val="20"/>
                      </w:rPr>
                      <w:fldChar w:fldCharType="begin"/>
                    </w:r>
                    <w:r>
                      <w:rPr>
                        <w:rStyle w:val="16"/>
                        <w:rFonts w:ascii="Times New Roman" w:hAnsi="Times New Roman"/>
                        <w:sz w:val="20"/>
                        <w:szCs w:val="20"/>
                      </w:rPr>
                      <w:instrText xml:space="preserve">PAGE  </w:instrText>
                    </w:r>
                    <w:r>
                      <w:rPr>
                        <w:rStyle w:val="16"/>
                        <w:rFonts w:ascii="Times New Roman" w:hAnsi="Times New Roman"/>
                        <w:sz w:val="20"/>
                        <w:szCs w:val="20"/>
                      </w:rPr>
                      <w:fldChar w:fldCharType="separate"/>
                    </w:r>
                    <w:r>
                      <w:rPr>
                        <w:rStyle w:val="16"/>
                        <w:rFonts w:ascii="Times New Roman" w:hAnsi="Times New Roman"/>
                        <w:sz w:val="20"/>
                        <w:szCs w:val="20"/>
                      </w:rPr>
                      <w:t>1</w:t>
                    </w:r>
                    <w:r>
                      <w:rPr>
                        <w:rStyle w:val="16"/>
                        <w:rFonts w:ascii="Times New Roman" w:hAnsi="Times New Roman"/>
                        <w:sz w:val="20"/>
                        <w:szCs w:val="20"/>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367FECB">
    <w:pPr>
      <w:pStyle w:val="7"/>
      <w:framePr w:wrap="around" w:vAnchor="text" w:hAnchor="margin" w:xAlign="center" w:y="1"/>
      <w:rPr>
        <w:rStyle w:val="16"/>
      </w:rPr>
    </w:pPr>
    <w:r>
      <w:rPr>
        <w:rStyle w:val="16"/>
      </w:rPr>
      <w:fldChar w:fldCharType="begin"/>
    </w:r>
    <w:r>
      <w:rPr>
        <w:rStyle w:val="16"/>
      </w:rPr>
      <w:instrText xml:space="preserve">PAGE  </w:instrText>
    </w:r>
    <w:r>
      <w:rPr>
        <w:rStyle w:val="16"/>
      </w:rPr>
      <w:fldChar w:fldCharType="separate"/>
    </w:r>
    <w:r>
      <w:rPr>
        <w:rStyle w:val="16"/>
      </w:rPr>
      <w:t>1</w:t>
    </w:r>
    <w:r>
      <w:rPr>
        <w:rStyle w:val="16"/>
      </w:rPr>
      <w:fldChar w:fldCharType="end"/>
    </w:r>
  </w:p>
  <w:p w14:paraId="07A69122">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2D1B56"/>
    <w:multiLevelType w:val="multilevel"/>
    <w:tmpl w:val="B92D1B56"/>
    <w:lvl w:ilvl="0" w:tentative="0">
      <w:start w:val="1"/>
      <w:numFmt w:val="decimal"/>
      <w:suff w:val="space"/>
      <w:lvlText w:val="%1."/>
      <w:lvlJc w:val="left"/>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
    <w:nsid w:val="20E94505"/>
    <w:multiLevelType w:val="multilevel"/>
    <w:tmpl w:val="20E94505"/>
    <w:lvl w:ilvl="0" w:tentative="0">
      <w:start w:val="1"/>
      <w:numFmt w:val="decimal"/>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2">
    <w:nsid w:val="7430298D"/>
    <w:multiLevelType w:val="multilevel"/>
    <w:tmpl w:val="7430298D"/>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E9D5F35"/>
    <w:rsid w:val="000775B3"/>
    <w:rsid w:val="00090FE6"/>
    <w:rsid w:val="000A2C6C"/>
    <w:rsid w:val="000C39DA"/>
    <w:rsid w:val="00135C11"/>
    <w:rsid w:val="001D772F"/>
    <w:rsid w:val="00255157"/>
    <w:rsid w:val="00294911"/>
    <w:rsid w:val="00296B90"/>
    <w:rsid w:val="002A063D"/>
    <w:rsid w:val="003B0173"/>
    <w:rsid w:val="003E33C3"/>
    <w:rsid w:val="003F3EFC"/>
    <w:rsid w:val="00441176"/>
    <w:rsid w:val="00471A82"/>
    <w:rsid w:val="004C0BB2"/>
    <w:rsid w:val="004E4E3F"/>
    <w:rsid w:val="004F10CF"/>
    <w:rsid w:val="005115F1"/>
    <w:rsid w:val="00525CCA"/>
    <w:rsid w:val="00586F44"/>
    <w:rsid w:val="005D7D6A"/>
    <w:rsid w:val="005E2A4C"/>
    <w:rsid w:val="005E2E19"/>
    <w:rsid w:val="00665851"/>
    <w:rsid w:val="006D267A"/>
    <w:rsid w:val="006E4A04"/>
    <w:rsid w:val="00724274"/>
    <w:rsid w:val="00731627"/>
    <w:rsid w:val="00732996"/>
    <w:rsid w:val="007A2BFD"/>
    <w:rsid w:val="007B0D29"/>
    <w:rsid w:val="007D322E"/>
    <w:rsid w:val="008220C7"/>
    <w:rsid w:val="00851573"/>
    <w:rsid w:val="008547EF"/>
    <w:rsid w:val="008B19CD"/>
    <w:rsid w:val="008E3CE1"/>
    <w:rsid w:val="00903821"/>
    <w:rsid w:val="009A5863"/>
    <w:rsid w:val="009C3071"/>
    <w:rsid w:val="00A77BB0"/>
    <w:rsid w:val="00A803A5"/>
    <w:rsid w:val="00A862FF"/>
    <w:rsid w:val="00B05B56"/>
    <w:rsid w:val="00B05C3C"/>
    <w:rsid w:val="00C47153"/>
    <w:rsid w:val="00D156B0"/>
    <w:rsid w:val="00E361AC"/>
    <w:rsid w:val="00E52B97"/>
    <w:rsid w:val="00E817FC"/>
    <w:rsid w:val="00F031DD"/>
    <w:rsid w:val="00F23281"/>
    <w:rsid w:val="00F51EAF"/>
    <w:rsid w:val="00F92AE0"/>
    <w:rsid w:val="00FC3B91"/>
    <w:rsid w:val="00FD03BD"/>
    <w:rsid w:val="01FE3025"/>
    <w:rsid w:val="0B245631"/>
    <w:rsid w:val="0D335069"/>
    <w:rsid w:val="0E65475F"/>
    <w:rsid w:val="0F276507"/>
    <w:rsid w:val="120371DB"/>
    <w:rsid w:val="15804478"/>
    <w:rsid w:val="1A065E3F"/>
    <w:rsid w:val="1BE7599C"/>
    <w:rsid w:val="1BF63E31"/>
    <w:rsid w:val="1C444B9D"/>
    <w:rsid w:val="1E0F2F88"/>
    <w:rsid w:val="202D1DEC"/>
    <w:rsid w:val="22D6753F"/>
    <w:rsid w:val="291C47AB"/>
    <w:rsid w:val="29975695"/>
    <w:rsid w:val="2AE85BE1"/>
    <w:rsid w:val="2C923F9C"/>
    <w:rsid w:val="2FB60EBF"/>
    <w:rsid w:val="30E939AE"/>
    <w:rsid w:val="31AB4BE4"/>
    <w:rsid w:val="34FA3661"/>
    <w:rsid w:val="363917D6"/>
    <w:rsid w:val="36945C2A"/>
    <w:rsid w:val="3A547825"/>
    <w:rsid w:val="3A615735"/>
    <w:rsid w:val="3ABC7B9C"/>
    <w:rsid w:val="3CCC056A"/>
    <w:rsid w:val="3D962926"/>
    <w:rsid w:val="443A225E"/>
    <w:rsid w:val="444C3D3F"/>
    <w:rsid w:val="44F543D6"/>
    <w:rsid w:val="4ACF1226"/>
    <w:rsid w:val="4CA7245A"/>
    <w:rsid w:val="503E3A51"/>
    <w:rsid w:val="53DC50DF"/>
    <w:rsid w:val="5B525C87"/>
    <w:rsid w:val="5DC015CE"/>
    <w:rsid w:val="5E9D5F35"/>
    <w:rsid w:val="5EB153BA"/>
    <w:rsid w:val="5F227D9A"/>
    <w:rsid w:val="60FD24FE"/>
    <w:rsid w:val="62F615EE"/>
    <w:rsid w:val="695C3772"/>
    <w:rsid w:val="69D00DEB"/>
    <w:rsid w:val="74213D9F"/>
    <w:rsid w:val="74EC4B62"/>
    <w:rsid w:val="755521A4"/>
    <w:rsid w:val="772938E8"/>
    <w:rsid w:val="777E3FFD"/>
    <w:rsid w:val="7A106FE1"/>
    <w:rsid w:val="7E210B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1"/>
      <w:lang w:val="en-GB" w:eastAsia="zh-CN" w:bidi="ar-SA"/>
    </w:rPr>
  </w:style>
  <w:style w:type="paragraph" w:styleId="2">
    <w:name w:val="heading 1"/>
    <w:basedOn w:val="1"/>
    <w:next w:val="1"/>
    <w:qFormat/>
    <w:uiPriority w:val="0"/>
    <w:pPr>
      <w:keepNext/>
      <w:keepLines/>
      <w:spacing w:before="340" w:after="330"/>
      <w:jc w:val="left"/>
      <w:outlineLvl w:val="0"/>
    </w:pPr>
    <w:rPr>
      <w:rFonts w:ascii="Times New Roman" w:hAnsi="Times New Roman"/>
      <w:b/>
      <w:kern w:val="44"/>
      <w:sz w:val="32"/>
    </w:rPr>
  </w:style>
  <w:style w:type="paragraph" w:styleId="3">
    <w:name w:val="heading 2"/>
    <w:basedOn w:val="1"/>
    <w:next w:val="1"/>
    <w:unhideWhenUsed/>
    <w:qFormat/>
    <w:uiPriority w:val="0"/>
    <w:pPr>
      <w:keepNext/>
      <w:keepLines/>
      <w:spacing w:before="260" w:after="260"/>
      <w:jc w:val="left"/>
      <w:outlineLvl w:val="1"/>
    </w:pPr>
    <w:rPr>
      <w:rFonts w:ascii="Times New Roman" w:hAnsi="Times New Roman" w:eastAsia="黑体"/>
      <w:b/>
      <w:sz w:val="28"/>
    </w:rPr>
  </w:style>
  <w:style w:type="paragraph" w:styleId="4">
    <w:name w:val="heading 3"/>
    <w:basedOn w:val="1"/>
    <w:next w:val="1"/>
    <w:unhideWhenUsed/>
    <w:qFormat/>
    <w:uiPriority w:val="0"/>
    <w:pPr>
      <w:keepNext/>
      <w:keepLines/>
      <w:spacing w:before="260" w:after="260"/>
      <w:jc w:val="left"/>
      <w:outlineLvl w:val="2"/>
    </w:pPr>
    <w:rPr>
      <w:rFonts w:ascii="Times New Roman" w:hAnsi="Times New Roman"/>
      <w:b/>
      <w:sz w:val="24"/>
    </w:rPr>
  </w:style>
  <w:style w:type="character" w:default="1" w:styleId="14">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18"/>
    <w:qFormat/>
    <w:uiPriority w:val="0"/>
    <w:rPr>
      <w:sz w:val="20"/>
      <w:szCs w:val="20"/>
    </w:rPr>
  </w:style>
  <w:style w:type="paragraph" w:styleId="6">
    <w:name w:val="toc 3"/>
    <w:basedOn w:val="1"/>
    <w:next w:val="1"/>
    <w:qFormat/>
    <w:uiPriority w:val="0"/>
    <w:pPr>
      <w:ind w:left="840" w:leftChars="400"/>
    </w:pPr>
  </w:style>
  <w:style w:type="paragraph" w:styleId="7">
    <w:name w:val="footer"/>
    <w:basedOn w:val="1"/>
    <w:link w:val="22"/>
    <w:qFormat/>
    <w:uiPriority w:val="0"/>
    <w:pPr>
      <w:tabs>
        <w:tab w:val="center" w:pos="4153"/>
        <w:tab w:val="right" w:pos="8306"/>
      </w:tabs>
      <w:snapToGrid w:val="0"/>
      <w:jc w:val="left"/>
    </w:pPr>
    <w:rPr>
      <w:sz w:val="18"/>
      <w:szCs w:val="18"/>
    </w:rPr>
  </w:style>
  <w:style w:type="paragraph" w:styleId="8">
    <w:name w:val="header"/>
    <w:basedOn w:val="1"/>
    <w:link w:val="21"/>
    <w:qFormat/>
    <w:uiPriority w:val="0"/>
    <w:pPr>
      <w:tabs>
        <w:tab w:val="center" w:pos="4153"/>
        <w:tab w:val="right" w:pos="8306"/>
      </w:tabs>
      <w:snapToGrid w:val="0"/>
      <w:jc w:val="center"/>
    </w:pPr>
    <w:rPr>
      <w:sz w:val="18"/>
      <w:szCs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Normal (Web)"/>
    <w:basedOn w:val="1"/>
    <w:qFormat/>
    <w:uiPriority w:val="0"/>
    <w:pPr>
      <w:spacing w:beforeAutospacing="1" w:afterAutospacing="1"/>
      <w:jc w:val="left"/>
    </w:pPr>
    <w:rPr>
      <w:kern w:val="0"/>
      <w:sz w:val="24"/>
      <w:lang w:val="en-US"/>
    </w:rPr>
  </w:style>
  <w:style w:type="paragraph" w:styleId="12">
    <w:name w:val="annotation subject"/>
    <w:basedOn w:val="5"/>
    <w:next w:val="5"/>
    <w:link w:val="19"/>
    <w:qFormat/>
    <w:uiPriority w:val="0"/>
    <w:rPr>
      <w:b/>
      <w:bCs/>
    </w:rPr>
  </w:style>
  <w:style w:type="character" w:styleId="15">
    <w:name w:val="Strong"/>
    <w:basedOn w:val="14"/>
    <w:qFormat/>
    <w:uiPriority w:val="0"/>
    <w:rPr>
      <w:b/>
    </w:rPr>
  </w:style>
  <w:style w:type="character" w:styleId="16">
    <w:name w:val="page number"/>
    <w:basedOn w:val="14"/>
    <w:qFormat/>
    <w:uiPriority w:val="0"/>
  </w:style>
  <w:style w:type="character" w:styleId="17">
    <w:name w:val="annotation reference"/>
    <w:basedOn w:val="14"/>
    <w:qFormat/>
    <w:uiPriority w:val="0"/>
    <w:rPr>
      <w:sz w:val="16"/>
      <w:szCs w:val="16"/>
    </w:rPr>
  </w:style>
  <w:style w:type="character" w:customStyle="1" w:styleId="18">
    <w:name w:val="批注文字 字符"/>
    <w:basedOn w:val="14"/>
    <w:link w:val="5"/>
    <w:qFormat/>
    <w:uiPriority w:val="0"/>
    <w:rPr>
      <w:kern w:val="2"/>
      <w:lang w:val="en-US"/>
    </w:rPr>
  </w:style>
  <w:style w:type="character" w:customStyle="1" w:styleId="19">
    <w:name w:val="批注主题 字符"/>
    <w:basedOn w:val="18"/>
    <w:link w:val="12"/>
    <w:qFormat/>
    <w:uiPriority w:val="0"/>
    <w:rPr>
      <w:b/>
      <w:bCs/>
      <w:kern w:val="2"/>
      <w:lang w:val="en-US"/>
    </w:rPr>
  </w:style>
  <w:style w:type="paragraph" w:customStyle="1" w:styleId="20">
    <w:name w:val="修订1"/>
    <w:hidden/>
    <w:unhideWhenUsed/>
    <w:qFormat/>
    <w:uiPriority w:val="99"/>
    <w:rPr>
      <w:rFonts w:asciiTheme="minorHAnsi" w:hAnsiTheme="minorHAnsi" w:eastAsiaTheme="minorEastAsia" w:cstheme="minorBidi"/>
      <w:kern w:val="2"/>
      <w:sz w:val="21"/>
      <w:szCs w:val="24"/>
      <w:lang w:val="en-US" w:eastAsia="zh-CN" w:bidi="ar-SA"/>
    </w:rPr>
  </w:style>
  <w:style w:type="character" w:customStyle="1" w:styleId="21">
    <w:name w:val="页眉 字符"/>
    <w:basedOn w:val="14"/>
    <w:link w:val="8"/>
    <w:qFormat/>
    <w:uiPriority w:val="0"/>
    <w:rPr>
      <w:rFonts w:asciiTheme="minorHAnsi" w:hAnsiTheme="minorHAnsi" w:eastAsiaTheme="minorEastAsia" w:cstheme="minorBidi"/>
      <w:kern w:val="2"/>
      <w:sz w:val="18"/>
      <w:szCs w:val="18"/>
    </w:rPr>
  </w:style>
  <w:style w:type="character" w:customStyle="1" w:styleId="22">
    <w:name w:val="页脚 字符"/>
    <w:basedOn w:val="14"/>
    <w:link w:val="7"/>
    <w:qFormat/>
    <w:uiPriority w:val="0"/>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56</Pages>
  <Words>10758</Words>
  <Characters>60885</Characters>
  <Lines>817</Lines>
  <Paragraphs>230</Paragraphs>
  <TotalTime>22</TotalTime>
  <ScaleCrop>false</ScaleCrop>
  <LinksUpToDate>false</LinksUpToDate>
  <CharactersWithSpaces>71470</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2025-01-19T10:46:00Z</dcterms:created>
  <dc:creator>Paul</dc:creator>
  <cp:lastModifiedBy>曾思瑶</cp:lastModifiedBy>
  <dcterms:modified xsi:type="dcterms:W3CDTF">2025-03-03T23:55:21Z</dcterms:modified>
  <cp:revision>28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32A153E1E12943A4BC298404BCD5177C_13</vt:lpwstr>
  </property>
  <property fmtid="{D5CDD505-2E9C-101B-9397-08002B2CF9AE}" pid="4" name="KSOTemplateDocerSaveRecord">
    <vt:lpwstr>eyJoZGlkIjoiM2EyNWFiZmI3NDlmN2IzYTA3ZGIyMDhiNmZiNDZmY2MiLCJ1c2VySWQiOiIyNjQyNTE1MDAifQ==</vt:lpwstr>
  </property>
</Properties>
</file>