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001EC6" w14:textId="4CAED012" w:rsidR="003F29DA" w:rsidRDefault="002F340F" w:rsidP="002F340F">
      <w:pPr>
        <w:spacing w:line="360" w:lineRule="auto"/>
        <w:jc w:val="center"/>
        <w:rPr>
          <w:rFonts w:ascii="Arial" w:hAnsi="Arial" w:cs="Arial"/>
          <w:sz w:val="22"/>
          <w:szCs w:val="22"/>
        </w:rPr>
      </w:pPr>
      <w:bookmarkStart w:id="0" w:name="_Hlk219805373"/>
      <w:bookmarkEnd w:id="0"/>
      <w:r>
        <w:rPr>
          <w:noProof/>
        </w:rPr>
        <w:drawing>
          <wp:inline distT="0" distB="0" distL="0" distR="0" wp14:anchorId="697123DE" wp14:editId="3479F9FB">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p>
    <w:p w14:paraId="7D50E5C5" w14:textId="77777777" w:rsidR="002F340F" w:rsidRDefault="002F340F" w:rsidP="002F340F">
      <w:pPr>
        <w:spacing w:line="360" w:lineRule="auto"/>
        <w:jc w:val="center"/>
        <w:rPr>
          <w:rFonts w:ascii="Arial" w:hAnsi="Arial" w:cs="Arial"/>
          <w:sz w:val="22"/>
          <w:szCs w:val="22"/>
        </w:rPr>
      </w:pPr>
    </w:p>
    <w:p w14:paraId="3ECA9986" w14:textId="77777777" w:rsidR="002F340F" w:rsidRDefault="002F340F" w:rsidP="002F340F">
      <w:pPr>
        <w:spacing w:line="360" w:lineRule="auto"/>
        <w:jc w:val="center"/>
        <w:rPr>
          <w:rFonts w:ascii="Arial" w:hAnsi="Arial" w:cs="Arial"/>
          <w:sz w:val="22"/>
          <w:szCs w:val="22"/>
        </w:rPr>
      </w:pPr>
    </w:p>
    <w:p w14:paraId="61DF6690" w14:textId="77777777" w:rsidR="002F340F" w:rsidRDefault="002F340F" w:rsidP="002F340F">
      <w:pPr>
        <w:spacing w:line="360" w:lineRule="auto"/>
        <w:jc w:val="center"/>
        <w:rPr>
          <w:rFonts w:ascii="Arial" w:hAnsi="Arial" w:cs="Arial"/>
          <w:sz w:val="22"/>
          <w:szCs w:val="22"/>
        </w:rPr>
      </w:pPr>
    </w:p>
    <w:p w14:paraId="759D5ED1" w14:textId="77777777" w:rsidR="002F340F" w:rsidRPr="003F29DA" w:rsidRDefault="002F340F" w:rsidP="002F340F">
      <w:pPr>
        <w:spacing w:line="360" w:lineRule="auto"/>
        <w:jc w:val="center"/>
        <w:rPr>
          <w:rFonts w:ascii="Arial" w:hAnsi="Arial" w:cs="Arial"/>
          <w:sz w:val="22"/>
          <w:szCs w:val="22"/>
        </w:rPr>
      </w:pPr>
    </w:p>
    <w:p w14:paraId="7AD6B122" w14:textId="77777777" w:rsidR="002F340F" w:rsidRPr="002F340F" w:rsidRDefault="002F340F" w:rsidP="002F340F">
      <w:pPr>
        <w:spacing w:after="157" w:line="259" w:lineRule="auto"/>
        <w:ind w:left="89"/>
        <w:jc w:val="center"/>
        <w:rPr>
          <w:rFonts w:ascii="Arial" w:eastAsia="DengXian" w:hAnsi="Arial" w:cs="Arial"/>
          <w:sz w:val="36"/>
          <w:szCs w:val="22"/>
          <w:lang w:val="en-GB" w:eastAsia="zh-CN"/>
        </w:rPr>
      </w:pPr>
      <w:r w:rsidRPr="002F340F">
        <w:rPr>
          <w:rFonts w:ascii="Arial" w:eastAsia="DengXian" w:hAnsi="Arial" w:cs="Arial"/>
          <w:b/>
          <w:bCs/>
          <w:sz w:val="36"/>
          <w:szCs w:val="22"/>
          <w:lang w:val="en-GB" w:eastAsia="zh-CN"/>
        </w:rPr>
        <w:t>DISSERTATION TITLE</w:t>
      </w:r>
      <w:r w:rsidRPr="002F340F">
        <w:rPr>
          <w:rFonts w:ascii="Arial" w:eastAsia="DengXian" w:hAnsi="Arial" w:cs="Arial"/>
          <w:sz w:val="36"/>
          <w:szCs w:val="22"/>
          <w:lang w:val="en-GB" w:eastAsia="zh-CN"/>
        </w:rPr>
        <w:t xml:space="preserve">: </w:t>
      </w:r>
    </w:p>
    <w:p w14:paraId="19564C3B" w14:textId="77777777" w:rsidR="002F340F" w:rsidRPr="002F340F" w:rsidRDefault="002F340F" w:rsidP="002F340F">
      <w:pPr>
        <w:spacing w:after="157" w:line="259" w:lineRule="auto"/>
        <w:ind w:left="89"/>
        <w:jc w:val="center"/>
        <w:rPr>
          <w:rFonts w:ascii="Arial" w:eastAsia="DengXian" w:hAnsi="Arial" w:cs="Arial"/>
          <w:sz w:val="36"/>
          <w:szCs w:val="36"/>
          <w:lang w:val="en-GB" w:eastAsia="zh-CN"/>
        </w:rPr>
      </w:pPr>
      <w:r w:rsidRPr="002F340F">
        <w:rPr>
          <w:rFonts w:ascii="Arial" w:eastAsia="DengXian" w:hAnsi="Arial" w:cs="Arial"/>
          <w:sz w:val="36"/>
          <w:szCs w:val="36"/>
          <w:lang w:val="en-GB" w:eastAsia="zh-CN"/>
        </w:rPr>
        <w:t>The Effectiveness of Community-Based Physiotherapy Interventions in Reducing Falls Among Older Adult (aged 65 and above) in England Metropolitan Settings: A Systematic Review</w:t>
      </w:r>
    </w:p>
    <w:p w14:paraId="1EB7360C" w14:textId="57895804" w:rsidR="002F340F" w:rsidRPr="002F340F" w:rsidRDefault="002F340F" w:rsidP="002F340F">
      <w:pPr>
        <w:spacing w:after="42" w:line="259" w:lineRule="auto"/>
        <w:ind w:left="89"/>
        <w:jc w:val="center"/>
        <w:rPr>
          <w:rFonts w:ascii="Calibri" w:eastAsia="DengXian" w:hAnsi="Calibri" w:cs="Arial"/>
          <w:sz w:val="36"/>
          <w:szCs w:val="22"/>
          <w:lang w:val="en-GB" w:eastAsia="zh-CN"/>
        </w:rPr>
      </w:pPr>
    </w:p>
    <w:p w14:paraId="75A13031" w14:textId="77777777" w:rsidR="002F340F" w:rsidRPr="002F340F" w:rsidRDefault="002F340F" w:rsidP="002F340F">
      <w:pPr>
        <w:spacing w:after="42" w:line="259" w:lineRule="auto"/>
        <w:ind w:left="89"/>
        <w:jc w:val="center"/>
        <w:rPr>
          <w:rFonts w:ascii="Calibri" w:eastAsia="DengXian" w:hAnsi="Calibri" w:cs="Arial"/>
          <w:sz w:val="22"/>
          <w:szCs w:val="22"/>
          <w:lang w:val="en-GB" w:eastAsia="zh-CN"/>
        </w:rPr>
      </w:pPr>
    </w:p>
    <w:p w14:paraId="43C2ACBB" w14:textId="77777777" w:rsidR="002F340F" w:rsidRPr="002F340F" w:rsidRDefault="002F340F" w:rsidP="002F340F">
      <w:pPr>
        <w:spacing w:after="157" w:line="259" w:lineRule="auto"/>
        <w:ind w:left="2367" w:right="2358"/>
        <w:jc w:val="center"/>
        <w:rPr>
          <w:rFonts w:ascii="Arial" w:eastAsia="DengXian" w:hAnsi="Arial" w:cs="Arial"/>
          <w:sz w:val="22"/>
          <w:szCs w:val="22"/>
          <w:lang w:val="en-GB" w:eastAsia="zh-CN"/>
        </w:rPr>
      </w:pPr>
      <w:r w:rsidRPr="002F340F">
        <w:rPr>
          <w:rFonts w:ascii="Arial" w:eastAsia="DengXian" w:hAnsi="Arial" w:cs="Arial"/>
          <w:sz w:val="22"/>
          <w:szCs w:val="22"/>
          <w:lang w:val="en-GB" w:eastAsia="zh-CN"/>
        </w:rPr>
        <w:t xml:space="preserve">by </w:t>
      </w:r>
    </w:p>
    <w:p w14:paraId="1E694F30" w14:textId="77777777" w:rsidR="002F340F" w:rsidRPr="002F340F" w:rsidRDefault="002F340F" w:rsidP="002F340F">
      <w:pPr>
        <w:spacing w:after="158" w:line="259" w:lineRule="auto"/>
        <w:ind w:left="59"/>
        <w:jc w:val="center"/>
        <w:rPr>
          <w:rFonts w:ascii="Arial" w:eastAsia="DengXian" w:hAnsi="Arial" w:cs="Arial"/>
          <w:sz w:val="22"/>
          <w:szCs w:val="22"/>
          <w:lang w:val="en-GB" w:eastAsia="zh-CN"/>
        </w:rPr>
      </w:pPr>
      <w:r w:rsidRPr="002F340F">
        <w:rPr>
          <w:rFonts w:ascii="Arial" w:eastAsia="DengXian" w:hAnsi="Arial" w:cs="Arial"/>
          <w:sz w:val="22"/>
          <w:szCs w:val="22"/>
          <w:lang w:val="en-GB" w:eastAsia="zh-CN"/>
        </w:rPr>
        <w:t xml:space="preserve"> </w:t>
      </w:r>
      <w:proofErr w:type="spellStart"/>
      <w:r w:rsidRPr="002F340F">
        <w:rPr>
          <w:rFonts w:ascii="Arial" w:eastAsia="DengXian" w:hAnsi="Arial" w:cs="Arial"/>
          <w:sz w:val="22"/>
          <w:szCs w:val="22"/>
          <w:lang w:val="en-GB" w:eastAsia="zh-CN"/>
        </w:rPr>
        <w:t>Foram</w:t>
      </w:r>
      <w:proofErr w:type="spellEnd"/>
      <w:r w:rsidRPr="002F340F">
        <w:rPr>
          <w:rFonts w:ascii="Arial" w:eastAsia="DengXian" w:hAnsi="Arial" w:cs="Arial"/>
          <w:sz w:val="22"/>
          <w:szCs w:val="22"/>
          <w:lang w:val="en-GB" w:eastAsia="zh-CN"/>
        </w:rPr>
        <w:t xml:space="preserve"> Jadav </w:t>
      </w:r>
    </w:p>
    <w:p w14:paraId="490FA254" w14:textId="77777777" w:rsidR="002F340F" w:rsidRPr="002F340F" w:rsidRDefault="002F340F" w:rsidP="002F340F">
      <w:pPr>
        <w:spacing w:after="158" w:line="259" w:lineRule="auto"/>
        <w:ind w:left="59"/>
        <w:jc w:val="center"/>
        <w:rPr>
          <w:rFonts w:ascii="Calibri" w:eastAsia="DengXian" w:hAnsi="Calibri" w:cs="Arial"/>
          <w:sz w:val="22"/>
          <w:szCs w:val="22"/>
          <w:lang w:val="en-GB" w:eastAsia="zh-CN"/>
        </w:rPr>
      </w:pPr>
      <w:r w:rsidRPr="002F340F">
        <w:rPr>
          <w:rFonts w:ascii="Calibri" w:eastAsia="DengXian" w:hAnsi="Calibri" w:cs="Arial"/>
          <w:sz w:val="22"/>
          <w:szCs w:val="22"/>
          <w:lang w:val="en-GB" w:eastAsia="zh-CN"/>
        </w:rPr>
        <w:t xml:space="preserve"> </w:t>
      </w:r>
    </w:p>
    <w:p w14:paraId="77D34BB3" w14:textId="188ABB18" w:rsidR="002F340F" w:rsidRPr="002F340F" w:rsidRDefault="002F340F" w:rsidP="002F340F">
      <w:pPr>
        <w:spacing w:after="156" w:line="259" w:lineRule="auto"/>
        <w:jc w:val="center"/>
        <w:rPr>
          <w:rFonts w:ascii="Calibri" w:eastAsia="DengXian" w:hAnsi="Calibri" w:cs="Arial"/>
          <w:sz w:val="22"/>
          <w:szCs w:val="22"/>
          <w:lang w:val="en-GB" w:eastAsia="zh-CN"/>
        </w:rPr>
      </w:pPr>
    </w:p>
    <w:p w14:paraId="000C1468" w14:textId="77777777" w:rsidR="002F340F" w:rsidRPr="002F340F" w:rsidRDefault="002F340F" w:rsidP="002F340F">
      <w:pPr>
        <w:spacing w:after="158" w:line="259" w:lineRule="auto"/>
        <w:ind w:left="59"/>
        <w:jc w:val="center"/>
        <w:rPr>
          <w:rFonts w:ascii="Calibri" w:eastAsia="DengXian" w:hAnsi="Calibri" w:cs="Arial"/>
          <w:sz w:val="22"/>
          <w:szCs w:val="22"/>
          <w:lang w:val="en-GB" w:eastAsia="zh-CN"/>
        </w:rPr>
      </w:pPr>
      <w:r w:rsidRPr="002F340F">
        <w:rPr>
          <w:rFonts w:ascii="Calibri" w:eastAsia="DengXian" w:hAnsi="Calibri" w:cs="Arial"/>
          <w:sz w:val="22"/>
          <w:szCs w:val="22"/>
          <w:lang w:val="en-GB" w:eastAsia="zh-CN"/>
        </w:rPr>
        <w:t xml:space="preserve"> </w:t>
      </w:r>
    </w:p>
    <w:p w14:paraId="6A778F5A" w14:textId="35991336" w:rsidR="002F340F" w:rsidRPr="002F340F" w:rsidRDefault="002F340F" w:rsidP="002F340F">
      <w:pPr>
        <w:spacing w:after="158" w:line="259" w:lineRule="auto"/>
        <w:ind w:left="59"/>
        <w:jc w:val="center"/>
        <w:rPr>
          <w:rFonts w:ascii="Arial" w:eastAsia="DengXian" w:hAnsi="Arial" w:cs="Arial"/>
          <w:sz w:val="22"/>
          <w:szCs w:val="22"/>
          <w:lang w:val="en-GB" w:eastAsia="zh-CN"/>
        </w:rPr>
      </w:pPr>
    </w:p>
    <w:p w14:paraId="07C36B08" w14:textId="77777777" w:rsidR="002F340F" w:rsidRPr="002F340F" w:rsidRDefault="002F340F" w:rsidP="002F340F">
      <w:pPr>
        <w:spacing w:after="156" w:line="259" w:lineRule="auto"/>
        <w:ind w:left="59"/>
        <w:jc w:val="center"/>
        <w:rPr>
          <w:rFonts w:ascii="Arial" w:eastAsia="DengXian" w:hAnsi="Arial" w:cs="Arial"/>
          <w:lang w:val="en-GB" w:eastAsia="zh-CN"/>
        </w:rPr>
      </w:pPr>
      <w:r w:rsidRPr="002F340F">
        <w:rPr>
          <w:rFonts w:ascii="Arial" w:eastAsia="DengXian" w:hAnsi="Arial" w:cs="Arial"/>
          <w:lang w:val="en-GB" w:eastAsia="zh-CN"/>
        </w:rPr>
        <w:t xml:space="preserve">A Dissertation submitted in partial fulfilment of the requirements for the degree of </w:t>
      </w:r>
      <w:proofErr w:type="gramStart"/>
      <w:r w:rsidRPr="002F340F">
        <w:rPr>
          <w:rFonts w:ascii="Arial" w:eastAsia="DengXian" w:hAnsi="Arial" w:cs="Arial"/>
          <w:lang w:val="en-GB" w:eastAsia="zh-CN"/>
        </w:rPr>
        <w:t>Masters of Science</w:t>
      </w:r>
      <w:proofErr w:type="gramEnd"/>
      <w:r w:rsidRPr="002F340F">
        <w:rPr>
          <w:rFonts w:ascii="Arial" w:eastAsia="DengXian" w:hAnsi="Arial" w:cs="Arial"/>
          <w:lang w:val="en-GB" w:eastAsia="zh-CN"/>
        </w:rPr>
        <w:t xml:space="preserve"> in Public Health and Social Care in Practice</w:t>
      </w:r>
    </w:p>
    <w:p w14:paraId="6EEDD244" w14:textId="77777777" w:rsidR="002F340F" w:rsidRPr="002F340F" w:rsidRDefault="002F340F" w:rsidP="002F340F">
      <w:pPr>
        <w:spacing w:after="156" w:line="259" w:lineRule="auto"/>
        <w:ind w:left="59"/>
        <w:rPr>
          <w:rFonts w:ascii="Arial" w:eastAsia="DengXian" w:hAnsi="Arial" w:cs="Arial"/>
          <w:sz w:val="22"/>
          <w:szCs w:val="22"/>
          <w:lang w:val="en-GB" w:eastAsia="zh-CN"/>
        </w:rPr>
      </w:pPr>
    </w:p>
    <w:p w14:paraId="34A87C08" w14:textId="77777777" w:rsidR="002F340F" w:rsidRPr="002F340F" w:rsidRDefault="002F340F" w:rsidP="002F340F">
      <w:pPr>
        <w:spacing w:after="169" w:line="259" w:lineRule="auto"/>
        <w:jc w:val="center"/>
        <w:rPr>
          <w:rFonts w:ascii="Arial" w:eastAsia="DengXian" w:hAnsi="Arial" w:cs="Arial"/>
          <w:b/>
          <w:bCs/>
          <w:sz w:val="22"/>
          <w:szCs w:val="22"/>
          <w:lang w:val="en-GB" w:eastAsia="zh-CN"/>
        </w:rPr>
      </w:pPr>
    </w:p>
    <w:p w14:paraId="3EAB062A" w14:textId="77777777" w:rsidR="002F340F" w:rsidRPr="002F340F" w:rsidRDefault="002F340F" w:rsidP="002F340F">
      <w:pPr>
        <w:spacing w:after="169" w:line="259" w:lineRule="auto"/>
        <w:jc w:val="center"/>
        <w:rPr>
          <w:rFonts w:ascii="Arial" w:eastAsia="DengXian" w:hAnsi="Arial" w:cs="Arial"/>
          <w:b/>
          <w:bCs/>
          <w:sz w:val="22"/>
          <w:szCs w:val="22"/>
          <w:lang w:val="en-GB" w:eastAsia="zh-CN"/>
        </w:rPr>
      </w:pPr>
    </w:p>
    <w:p w14:paraId="42184922" w14:textId="77777777" w:rsidR="002F340F" w:rsidRPr="002F340F" w:rsidRDefault="002F340F" w:rsidP="002F340F">
      <w:pPr>
        <w:spacing w:after="169" w:line="259" w:lineRule="auto"/>
        <w:jc w:val="center"/>
        <w:rPr>
          <w:rFonts w:ascii="Arial" w:eastAsia="DengXian" w:hAnsi="Arial" w:cs="Arial"/>
          <w:b/>
          <w:bCs/>
          <w:lang w:val="en-GB" w:eastAsia="zh-CN"/>
        </w:rPr>
      </w:pPr>
      <w:r w:rsidRPr="002F340F">
        <w:rPr>
          <w:rFonts w:ascii="Arial" w:eastAsia="DengXian" w:hAnsi="Arial" w:cs="Arial"/>
          <w:b/>
          <w:bCs/>
          <w:lang w:val="en-GB" w:eastAsia="zh-CN"/>
        </w:rPr>
        <w:t>The Institute of Inner-City Learning</w:t>
      </w:r>
    </w:p>
    <w:p w14:paraId="38BA68F4" w14:textId="52E92D85" w:rsidR="002F340F" w:rsidRPr="002F340F" w:rsidRDefault="002F340F" w:rsidP="002F340F">
      <w:pPr>
        <w:spacing w:after="169" w:line="259" w:lineRule="auto"/>
        <w:jc w:val="center"/>
        <w:rPr>
          <w:rFonts w:ascii="Arial" w:eastAsia="DengXian" w:hAnsi="Arial" w:cs="Arial"/>
          <w:b/>
          <w:bCs/>
          <w:lang w:val="en-GB" w:eastAsia="zh-CN"/>
        </w:rPr>
      </w:pPr>
      <w:r w:rsidRPr="002F340F">
        <w:rPr>
          <w:rFonts w:ascii="Arial" w:eastAsia="DengXian" w:hAnsi="Arial" w:cs="Arial"/>
          <w:b/>
          <w:bCs/>
          <w:lang w:val="en-GB" w:eastAsia="zh-CN"/>
        </w:rPr>
        <w:t>University of Wales Trinity Saint David – London Campus</w:t>
      </w:r>
    </w:p>
    <w:p w14:paraId="62593D0B" w14:textId="77777777" w:rsidR="002F340F" w:rsidRPr="002F340F" w:rsidRDefault="002F340F" w:rsidP="002F340F">
      <w:pPr>
        <w:spacing w:after="157" w:line="259" w:lineRule="auto"/>
        <w:ind w:left="2367" w:right="2357"/>
        <w:jc w:val="center"/>
        <w:rPr>
          <w:rFonts w:ascii="Arial" w:eastAsia="DengXian" w:hAnsi="Arial" w:cs="Arial"/>
          <w:b/>
          <w:bCs/>
          <w:lang w:val="en-GB" w:eastAsia="zh-CN"/>
        </w:rPr>
      </w:pPr>
    </w:p>
    <w:p w14:paraId="1DEF7A53" w14:textId="77777777" w:rsidR="002F340F" w:rsidRPr="002F340F" w:rsidRDefault="002F340F" w:rsidP="002F340F">
      <w:pPr>
        <w:spacing w:after="200" w:line="276" w:lineRule="auto"/>
        <w:rPr>
          <w:rFonts w:ascii="Arial" w:eastAsia="Times New Roman" w:hAnsi="Arial" w:cs="Arial"/>
          <w:b/>
          <w:bCs/>
          <w:color w:val="000000"/>
          <w:lang w:val="hr-HR" w:eastAsia="zh-CN"/>
        </w:rPr>
      </w:pPr>
      <w:r w:rsidRPr="002F340F">
        <w:rPr>
          <w:rFonts w:ascii="Arial" w:eastAsia="Times New Roman" w:hAnsi="Arial" w:cs="Arial"/>
          <w:b/>
          <w:bCs/>
          <w:color w:val="000000"/>
          <w:lang w:val="hr-HR" w:eastAsia="zh-CN"/>
        </w:rPr>
        <w:lastRenderedPageBreak/>
        <w:t>DECLARATION</w:t>
      </w:r>
    </w:p>
    <w:p w14:paraId="0734746F" w14:textId="77777777" w:rsidR="002F340F" w:rsidRPr="002F340F" w:rsidRDefault="002F340F" w:rsidP="002F340F">
      <w:pPr>
        <w:spacing w:after="200" w:line="276" w:lineRule="auto"/>
        <w:rPr>
          <w:rFonts w:ascii="Arial" w:eastAsia="Times New Roman" w:hAnsi="Arial" w:cs="Arial"/>
          <w:color w:val="000000"/>
          <w:lang w:val="hr-HR" w:eastAsia="zh-CN"/>
        </w:rPr>
      </w:pPr>
    </w:p>
    <w:p w14:paraId="0263753C" w14:textId="77777777" w:rsidR="002F340F" w:rsidRPr="002F340F" w:rsidRDefault="002F340F" w:rsidP="002F340F">
      <w:pPr>
        <w:spacing w:after="200" w:line="276" w:lineRule="auto"/>
        <w:rPr>
          <w:rFonts w:ascii="Arial" w:eastAsia="Times New Roman" w:hAnsi="Arial" w:cs="Arial"/>
          <w:color w:val="000000"/>
          <w:lang w:val="hr-HR" w:eastAsia="zh-CN"/>
        </w:rPr>
      </w:pPr>
      <w:r w:rsidRPr="002F340F">
        <w:rPr>
          <w:rFonts w:ascii="Calibri" w:eastAsia="DengXian" w:hAnsi="Calibri" w:cs="Arial"/>
          <w:noProof/>
          <w:sz w:val="22"/>
          <w:szCs w:val="22"/>
          <w:lang w:val="en-GB" w:eastAsia="zh-CN"/>
        </w:rPr>
        <mc:AlternateContent>
          <mc:Choice Requires="wpi">
            <w:drawing>
              <wp:anchor distT="0" distB="0" distL="114300" distR="114300" simplePos="0" relativeHeight="251659264" behindDoc="0" locked="0" layoutInCell="1" allowOverlap="1" wp14:anchorId="7E93E217" wp14:editId="0A558046">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type w14:anchorId="3446524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64.1pt;margin-top:-17.7pt;width:72.5pt;height: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">
                <v:imagedata r:id="rId10" o:title=""/>
                <o:lock v:ext="edit" rotation="t" verticies="t" shapetype="t"/>
              </v:shape>
            </w:pict>
          </mc:Fallback>
        </mc:AlternateContent>
      </w:r>
      <w:r w:rsidRPr="002F340F">
        <w:rPr>
          <w:rFonts w:ascii="Calibri" w:eastAsia="DengXian" w:hAnsi="Calibri" w:cs="Arial"/>
          <w:noProof/>
          <w:sz w:val="22"/>
          <w:szCs w:val="22"/>
          <w:lang w:val="en-GB" w:eastAsia="zh-CN"/>
        </w:rPr>
        <mc:AlternateContent>
          <mc:Choice Requires="wpi">
            <w:drawing>
              <wp:anchor distT="0" distB="0" distL="114300" distR="114300" simplePos="0" relativeHeight="251660288" behindDoc="0" locked="0" layoutInCell="1" allowOverlap="1" wp14:anchorId="0D26B0E9" wp14:editId="205D85F5">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w:pict>
              <v:shape w14:anchorId="6DFA681F" id="Ink 15" o:spid="_x0000_s1026" type="#_x0000_t75" style="position:absolute;margin-left:-164.1pt;margin-top:18.35pt;width:72.5pt;height: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">
                <v:imagedata r:id="rId12" o:title=""/>
                <o:lock v:ext="edit" rotation="t" verticies="t" shapetype="t"/>
              </v:shape>
            </w:pict>
          </mc:Fallback>
        </mc:AlternateContent>
      </w:r>
      <w:r w:rsidRPr="002F340F">
        <w:rPr>
          <w:rFonts w:ascii="Calibri" w:eastAsia="DengXian" w:hAnsi="Calibri" w:cs="Arial"/>
          <w:noProof/>
          <w:sz w:val="22"/>
          <w:szCs w:val="22"/>
          <w:lang w:val="en-GB" w:eastAsia="zh-CN"/>
        </w:rPr>
        <mc:AlternateContent>
          <mc:Choice Requires="wpi">
            <w:drawing>
              <wp:anchor distT="0" distB="0" distL="114300" distR="114300" simplePos="0" relativeHeight="251661312" behindDoc="0" locked="0" layoutInCell="1" allowOverlap="1" wp14:anchorId="3EE8BB08" wp14:editId="015BF023">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6CF54EAE" id="Ink 14" o:spid="_x0000_s1026" type="#_x0000_t75" style="position:absolute;margin-left:-164.1pt;margin-top:-16.9pt;width:72.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">
                <v:imagedata r:id="rId10" o:title=""/>
                <o:lock v:ext="edit" rotation="t" verticies="t" shapetype="t"/>
              </v:shape>
            </w:pict>
          </mc:Fallback>
        </mc:AlternateContent>
      </w:r>
      <w:r w:rsidRPr="002F340F">
        <w:rPr>
          <w:rFonts w:ascii="Calibri" w:eastAsia="DengXian" w:hAnsi="Calibri" w:cs="Arial"/>
          <w:noProof/>
          <w:sz w:val="22"/>
          <w:szCs w:val="22"/>
          <w:lang w:val="en-GB" w:eastAsia="zh-CN"/>
        </w:rPr>
        <mc:AlternateContent>
          <mc:Choice Requires="wpi">
            <w:drawing>
              <wp:anchor distT="0" distB="0" distL="114300" distR="114300" simplePos="0" relativeHeight="251662336" behindDoc="0" locked="0" layoutInCell="1" allowOverlap="1" wp14:anchorId="3F18141B" wp14:editId="19C81BCA">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71AE6A4E" id="Ink 11" o:spid="_x0000_s1026" type="#_x0000_t75" style="position:absolute;margin-left:-188.65pt;margin-top:-17.05pt;width:72.5pt;height: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">
                <v:imagedata r:id="rId10" o:title=""/>
                <o:lock v:ext="edit" rotation="t" verticies="t" shapetype="t"/>
              </v:shape>
            </w:pict>
          </mc:Fallback>
        </mc:AlternateContent>
      </w:r>
      <w:r w:rsidRPr="002F340F">
        <w:rPr>
          <w:rFonts w:ascii="Arial" w:eastAsia="Times New Roman" w:hAnsi="Arial" w:cs="Arial"/>
          <w:color w:val="000000"/>
          <w:lang w:val="hr-HR" w:eastAsia="zh-CN"/>
        </w:rPr>
        <w:t>I, Foram Jadav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3C952709" w14:textId="77777777" w:rsidR="002F340F" w:rsidRPr="002F340F" w:rsidRDefault="002F340F" w:rsidP="002F340F">
      <w:pPr>
        <w:spacing w:after="200" w:line="276" w:lineRule="auto"/>
        <w:rPr>
          <w:rFonts w:ascii="Arial" w:eastAsia="Times New Roman" w:hAnsi="Arial" w:cs="Arial"/>
          <w:color w:val="000000"/>
          <w:lang w:val="hr-HR" w:eastAsia="zh-CN"/>
        </w:rPr>
      </w:pPr>
    </w:p>
    <w:p w14:paraId="41074C81" w14:textId="77777777" w:rsidR="002F340F" w:rsidRPr="002F340F" w:rsidRDefault="002F340F" w:rsidP="002F340F">
      <w:pPr>
        <w:spacing w:after="200" w:line="276" w:lineRule="auto"/>
        <w:rPr>
          <w:rFonts w:ascii="Arial" w:eastAsia="Times New Roman" w:hAnsi="Arial" w:cs="Arial"/>
          <w:color w:val="000000"/>
          <w:lang w:val="hr-HR" w:eastAsia="zh-CN"/>
        </w:rPr>
      </w:pPr>
    </w:p>
    <w:p w14:paraId="500EBF3D" w14:textId="77777777" w:rsidR="002F340F" w:rsidRPr="002F340F" w:rsidRDefault="002F340F" w:rsidP="002F340F">
      <w:pPr>
        <w:spacing w:after="200" w:line="276" w:lineRule="auto"/>
        <w:rPr>
          <w:rFonts w:ascii="Arial" w:eastAsia="Times New Roman" w:hAnsi="Arial" w:cs="Arial"/>
          <w:color w:val="000000"/>
          <w:lang w:val="hr-HR" w:eastAsia="zh-CN"/>
        </w:rPr>
      </w:pPr>
      <w:r w:rsidRPr="002F340F">
        <w:rPr>
          <w:rFonts w:ascii="Arial" w:eastAsia="Times New Roman" w:hAnsi="Arial" w:cs="Arial"/>
          <w:color w:val="000000"/>
          <w:lang w:val="hr-HR" w:eastAsia="zh-CN"/>
        </w:rPr>
        <w:t>Signed:………………………………………………</w:t>
      </w:r>
    </w:p>
    <w:p w14:paraId="60CB60D9" w14:textId="77777777" w:rsidR="002F340F" w:rsidRPr="002F340F" w:rsidRDefault="002F340F" w:rsidP="002F340F">
      <w:pPr>
        <w:spacing w:after="200" w:line="276" w:lineRule="auto"/>
        <w:rPr>
          <w:rFonts w:ascii="Arial" w:eastAsia="Times New Roman" w:hAnsi="Arial" w:cs="Arial"/>
          <w:color w:val="000000"/>
          <w:lang w:val="hr-HR" w:eastAsia="zh-CN"/>
        </w:rPr>
      </w:pPr>
    </w:p>
    <w:p w14:paraId="754F4EED" w14:textId="77777777" w:rsidR="002F340F" w:rsidRPr="002F340F" w:rsidRDefault="002F340F" w:rsidP="002F340F">
      <w:pPr>
        <w:spacing w:after="200" w:line="276" w:lineRule="auto"/>
        <w:rPr>
          <w:rFonts w:ascii="Arial" w:eastAsia="Times New Roman" w:hAnsi="Arial" w:cs="Arial"/>
          <w:color w:val="000000"/>
          <w:lang w:val="hr-HR" w:eastAsia="zh-CN"/>
        </w:rPr>
      </w:pPr>
      <w:r w:rsidRPr="002F340F">
        <w:rPr>
          <w:rFonts w:ascii="Arial" w:eastAsia="Times New Roman" w:hAnsi="Arial" w:cs="Arial"/>
          <w:color w:val="000000"/>
          <w:lang w:val="hr-HR" w:eastAsia="zh-CN"/>
        </w:rPr>
        <w:t>Date:...………………………………………………</w:t>
      </w:r>
    </w:p>
    <w:p w14:paraId="1487B820" w14:textId="2DCDC7DB" w:rsidR="002F340F" w:rsidRPr="002F340F" w:rsidRDefault="002F340F" w:rsidP="002F340F">
      <w:pPr>
        <w:spacing w:after="157" w:line="259" w:lineRule="auto"/>
        <w:ind w:right="2357"/>
        <w:rPr>
          <w:rFonts w:ascii="Arial" w:eastAsia="DengXian" w:hAnsi="Arial" w:cs="Arial"/>
          <w:b/>
          <w:bCs/>
          <w:lang w:val="en-GB" w:eastAsia="zh-CN"/>
        </w:rPr>
      </w:pPr>
    </w:p>
    <w:p w14:paraId="043F7145" w14:textId="2E3A2FCE" w:rsidR="003F29DA" w:rsidRPr="003F29DA" w:rsidRDefault="003F29DA" w:rsidP="002F340F">
      <w:pPr>
        <w:spacing w:line="360" w:lineRule="auto"/>
        <w:jc w:val="center"/>
        <w:rPr>
          <w:rFonts w:ascii="Arial" w:hAnsi="Arial" w:cs="Arial"/>
          <w:sz w:val="22"/>
          <w:szCs w:val="22"/>
        </w:rPr>
      </w:pPr>
    </w:p>
    <w:p w14:paraId="5BBFC411" w14:textId="77777777" w:rsidR="003F29DA" w:rsidRPr="003F29DA" w:rsidRDefault="003F29DA" w:rsidP="002F690B">
      <w:pPr>
        <w:spacing w:line="360" w:lineRule="auto"/>
        <w:jc w:val="both"/>
        <w:rPr>
          <w:rFonts w:ascii="Arial" w:hAnsi="Arial" w:cs="Arial"/>
          <w:sz w:val="22"/>
          <w:szCs w:val="22"/>
        </w:rPr>
      </w:pPr>
    </w:p>
    <w:p w14:paraId="16C2C6F1" w14:textId="77777777" w:rsidR="003F29DA" w:rsidRPr="003F29DA" w:rsidRDefault="003F29DA" w:rsidP="002F690B">
      <w:pPr>
        <w:spacing w:line="360" w:lineRule="auto"/>
        <w:jc w:val="both"/>
        <w:rPr>
          <w:rFonts w:ascii="Arial" w:hAnsi="Arial" w:cs="Arial"/>
          <w:sz w:val="22"/>
          <w:szCs w:val="22"/>
        </w:rPr>
      </w:pPr>
    </w:p>
    <w:p w14:paraId="1FCBA2A4" w14:textId="77777777" w:rsidR="003F29DA" w:rsidRPr="003F29DA" w:rsidRDefault="003F29DA" w:rsidP="002F690B">
      <w:pPr>
        <w:spacing w:line="360" w:lineRule="auto"/>
        <w:jc w:val="both"/>
        <w:rPr>
          <w:rFonts w:ascii="Arial" w:hAnsi="Arial" w:cs="Arial"/>
          <w:sz w:val="22"/>
          <w:szCs w:val="22"/>
        </w:rPr>
      </w:pPr>
    </w:p>
    <w:p w14:paraId="2C99FC82" w14:textId="77777777" w:rsidR="003F29DA" w:rsidRPr="003F29DA" w:rsidRDefault="003F29DA" w:rsidP="002F690B">
      <w:pPr>
        <w:spacing w:line="360" w:lineRule="auto"/>
        <w:jc w:val="both"/>
        <w:rPr>
          <w:rFonts w:ascii="Arial" w:hAnsi="Arial" w:cs="Arial"/>
          <w:sz w:val="22"/>
          <w:szCs w:val="22"/>
        </w:rPr>
      </w:pPr>
    </w:p>
    <w:p w14:paraId="78511283" w14:textId="77777777" w:rsidR="003F29DA" w:rsidRPr="003F29DA" w:rsidRDefault="003F29DA" w:rsidP="002F690B">
      <w:pPr>
        <w:spacing w:line="360" w:lineRule="auto"/>
        <w:jc w:val="both"/>
        <w:rPr>
          <w:rFonts w:ascii="Arial" w:hAnsi="Arial" w:cs="Arial"/>
          <w:sz w:val="22"/>
          <w:szCs w:val="22"/>
        </w:rPr>
      </w:pPr>
    </w:p>
    <w:p w14:paraId="0BD493FB" w14:textId="77777777" w:rsidR="003F29DA" w:rsidRPr="003F29DA" w:rsidRDefault="003F29DA" w:rsidP="002F690B">
      <w:pPr>
        <w:spacing w:line="360" w:lineRule="auto"/>
        <w:jc w:val="both"/>
        <w:rPr>
          <w:rFonts w:ascii="Arial" w:hAnsi="Arial" w:cs="Arial"/>
          <w:sz w:val="22"/>
          <w:szCs w:val="22"/>
        </w:rPr>
      </w:pPr>
    </w:p>
    <w:p w14:paraId="5A8DCDA5" w14:textId="77777777" w:rsidR="003F29DA" w:rsidRPr="003F29DA" w:rsidRDefault="003F29DA" w:rsidP="002F690B">
      <w:pPr>
        <w:spacing w:line="360" w:lineRule="auto"/>
        <w:jc w:val="both"/>
        <w:rPr>
          <w:rFonts w:ascii="Arial" w:hAnsi="Arial" w:cs="Arial"/>
          <w:sz w:val="22"/>
          <w:szCs w:val="22"/>
        </w:rPr>
      </w:pPr>
    </w:p>
    <w:p w14:paraId="49DED47B" w14:textId="77777777" w:rsidR="003F29DA" w:rsidRPr="003F29DA" w:rsidRDefault="003F29DA" w:rsidP="002F690B">
      <w:pPr>
        <w:spacing w:line="360" w:lineRule="auto"/>
        <w:jc w:val="both"/>
        <w:rPr>
          <w:rFonts w:ascii="Arial" w:hAnsi="Arial" w:cs="Arial"/>
          <w:sz w:val="22"/>
          <w:szCs w:val="22"/>
        </w:rPr>
      </w:pPr>
    </w:p>
    <w:p w14:paraId="4997F77D" w14:textId="77777777" w:rsidR="003F29DA" w:rsidRPr="003F29DA" w:rsidRDefault="003F29DA" w:rsidP="002F690B">
      <w:pPr>
        <w:spacing w:line="360" w:lineRule="auto"/>
        <w:jc w:val="both"/>
        <w:rPr>
          <w:rFonts w:ascii="Arial" w:hAnsi="Arial" w:cs="Arial"/>
          <w:sz w:val="22"/>
          <w:szCs w:val="22"/>
        </w:rPr>
      </w:pPr>
    </w:p>
    <w:p w14:paraId="6825BB3F" w14:textId="77777777" w:rsidR="003F29DA" w:rsidRPr="003F29DA" w:rsidRDefault="003F29DA" w:rsidP="002F690B">
      <w:pPr>
        <w:spacing w:line="360" w:lineRule="auto"/>
        <w:jc w:val="both"/>
        <w:rPr>
          <w:rFonts w:ascii="Arial" w:hAnsi="Arial" w:cs="Arial"/>
          <w:sz w:val="22"/>
          <w:szCs w:val="22"/>
        </w:rPr>
      </w:pPr>
    </w:p>
    <w:p w14:paraId="6C392933" w14:textId="77777777" w:rsidR="003F29DA" w:rsidRPr="003F29DA" w:rsidRDefault="003F29DA" w:rsidP="002F690B">
      <w:pPr>
        <w:spacing w:line="360" w:lineRule="auto"/>
        <w:jc w:val="both"/>
        <w:rPr>
          <w:rFonts w:ascii="Arial" w:hAnsi="Arial" w:cs="Arial"/>
          <w:sz w:val="22"/>
          <w:szCs w:val="22"/>
        </w:rPr>
      </w:pPr>
    </w:p>
    <w:p w14:paraId="410A8C04" w14:textId="77777777" w:rsidR="003F29DA" w:rsidRPr="003F29DA" w:rsidRDefault="003F29DA" w:rsidP="002F690B">
      <w:pPr>
        <w:spacing w:line="360" w:lineRule="auto"/>
        <w:jc w:val="both"/>
        <w:rPr>
          <w:rFonts w:ascii="Arial" w:hAnsi="Arial" w:cs="Arial"/>
          <w:sz w:val="22"/>
          <w:szCs w:val="22"/>
        </w:rPr>
      </w:pPr>
    </w:p>
    <w:p w14:paraId="39BCC3EE" w14:textId="77777777" w:rsidR="003F29DA" w:rsidRPr="003F29DA" w:rsidRDefault="003F29DA" w:rsidP="002F690B">
      <w:pPr>
        <w:spacing w:line="360" w:lineRule="auto"/>
        <w:jc w:val="both"/>
        <w:rPr>
          <w:rFonts w:ascii="Arial" w:hAnsi="Arial" w:cs="Arial"/>
          <w:sz w:val="22"/>
          <w:szCs w:val="22"/>
        </w:rPr>
      </w:pPr>
    </w:p>
    <w:p w14:paraId="5EDDFABC" w14:textId="77777777" w:rsidR="003F29DA" w:rsidRPr="003F29DA" w:rsidRDefault="003F29DA" w:rsidP="002F690B">
      <w:pPr>
        <w:spacing w:line="360" w:lineRule="auto"/>
        <w:jc w:val="both"/>
        <w:rPr>
          <w:rFonts w:ascii="Arial" w:hAnsi="Arial" w:cs="Arial"/>
          <w:sz w:val="22"/>
          <w:szCs w:val="22"/>
        </w:rPr>
      </w:pPr>
    </w:p>
    <w:p w14:paraId="782DB50B" w14:textId="77777777" w:rsidR="003F29DA" w:rsidRPr="003F29DA" w:rsidRDefault="003F29DA" w:rsidP="002F690B">
      <w:pPr>
        <w:spacing w:line="360" w:lineRule="auto"/>
        <w:jc w:val="both"/>
        <w:rPr>
          <w:rFonts w:ascii="Arial" w:hAnsi="Arial" w:cs="Arial"/>
          <w:sz w:val="22"/>
          <w:szCs w:val="22"/>
        </w:rPr>
      </w:pPr>
    </w:p>
    <w:p w14:paraId="3DC62CEF" w14:textId="77777777" w:rsidR="003F29DA" w:rsidRPr="003F29DA" w:rsidRDefault="003F29DA" w:rsidP="002F690B">
      <w:pPr>
        <w:spacing w:line="360" w:lineRule="auto"/>
        <w:jc w:val="both"/>
        <w:rPr>
          <w:rFonts w:ascii="Arial" w:hAnsi="Arial" w:cs="Arial"/>
          <w:sz w:val="22"/>
          <w:szCs w:val="22"/>
        </w:rPr>
      </w:pPr>
    </w:p>
    <w:p w14:paraId="3CD06E5C" w14:textId="2C720DDC" w:rsidR="003F29DA" w:rsidRPr="0050299A" w:rsidRDefault="0050299A" w:rsidP="002F690B">
      <w:pPr>
        <w:spacing w:line="360" w:lineRule="auto"/>
        <w:jc w:val="both"/>
        <w:rPr>
          <w:rFonts w:ascii="Arial" w:hAnsi="Arial" w:cs="Arial"/>
          <w:b/>
          <w:bCs/>
          <w:sz w:val="22"/>
          <w:szCs w:val="22"/>
        </w:rPr>
      </w:pPr>
      <w:r w:rsidRPr="0050299A">
        <w:rPr>
          <w:rFonts w:ascii="Arial" w:hAnsi="Arial" w:cs="Arial"/>
          <w:b/>
          <w:bCs/>
          <w:sz w:val="22"/>
          <w:szCs w:val="22"/>
        </w:rPr>
        <w:t>Acknowledgements</w:t>
      </w:r>
    </w:p>
    <w:p w14:paraId="61AA096F" w14:textId="696763C8" w:rsidR="002F340F" w:rsidRPr="002F340F" w:rsidRDefault="002F340F" w:rsidP="002F340F">
      <w:pPr>
        <w:spacing w:line="360" w:lineRule="auto"/>
        <w:jc w:val="both"/>
        <w:rPr>
          <w:rFonts w:ascii="Arial" w:hAnsi="Arial" w:cs="Arial"/>
          <w:sz w:val="22"/>
          <w:szCs w:val="22"/>
        </w:rPr>
      </w:pPr>
      <w:r w:rsidRPr="002F340F">
        <w:rPr>
          <w:rFonts w:ascii="Arial" w:hAnsi="Arial" w:cs="Arial"/>
          <w:sz w:val="22"/>
          <w:szCs w:val="22"/>
        </w:rPr>
        <w:t>I wish to express my gratitude to my supervisor,</w:t>
      </w:r>
      <w:r>
        <w:rPr>
          <w:rFonts w:ascii="Arial" w:hAnsi="Arial" w:cs="Arial"/>
          <w:sz w:val="22"/>
          <w:szCs w:val="22"/>
        </w:rPr>
        <w:t xml:space="preserve"> Brian </w:t>
      </w:r>
      <w:proofErr w:type="gramStart"/>
      <w:r>
        <w:rPr>
          <w:rFonts w:ascii="Arial" w:hAnsi="Arial" w:cs="Arial"/>
          <w:sz w:val="22"/>
          <w:szCs w:val="22"/>
        </w:rPr>
        <w:t>Mash</w:t>
      </w:r>
      <w:r w:rsidR="0050299A">
        <w:rPr>
          <w:rFonts w:ascii="Arial" w:hAnsi="Arial" w:cs="Arial"/>
          <w:sz w:val="22"/>
          <w:szCs w:val="22"/>
        </w:rPr>
        <w:t xml:space="preserve">umba </w:t>
      </w:r>
      <w:r w:rsidRPr="002F340F">
        <w:rPr>
          <w:rFonts w:ascii="Arial" w:hAnsi="Arial" w:cs="Arial"/>
          <w:sz w:val="22"/>
          <w:szCs w:val="22"/>
        </w:rPr>
        <w:t>,</w:t>
      </w:r>
      <w:proofErr w:type="gramEnd"/>
      <w:r w:rsidRPr="002F340F">
        <w:rPr>
          <w:rFonts w:ascii="Arial" w:hAnsi="Arial" w:cs="Arial"/>
          <w:sz w:val="22"/>
          <w:szCs w:val="22"/>
        </w:rPr>
        <w:t xml:space="preserve"> for his wise counsel, steadfast support, and perceptive critique throughout my dissertation. Their guidance and assistance have been crucial in shaping this work.</w:t>
      </w:r>
    </w:p>
    <w:p w14:paraId="5338D7CA" w14:textId="77777777" w:rsidR="002F340F" w:rsidRPr="002F340F" w:rsidRDefault="002F340F" w:rsidP="002F340F">
      <w:pPr>
        <w:spacing w:line="360" w:lineRule="auto"/>
        <w:jc w:val="both"/>
        <w:rPr>
          <w:rFonts w:ascii="Arial" w:hAnsi="Arial" w:cs="Arial"/>
          <w:sz w:val="22"/>
          <w:szCs w:val="22"/>
        </w:rPr>
      </w:pPr>
      <w:r w:rsidRPr="002F340F">
        <w:rPr>
          <w:rFonts w:ascii="Arial" w:hAnsi="Arial" w:cs="Arial"/>
          <w:sz w:val="22"/>
          <w:szCs w:val="22"/>
        </w:rPr>
        <w:t>Additionally, I would like to thank the academic and administrative staff at the University of Wales Trinity Saint David for their unwavering support and the librarians for guiding me through the research databases.</w:t>
      </w:r>
    </w:p>
    <w:p w14:paraId="46BB52E0" w14:textId="77777777" w:rsidR="002F340F" w:rsidRPr="002F340F" w:rsidRDefault="002F340F" w:rsidP="002F340F">
      <w:pPr>
        <w:spacing w:line="360" w:lineRule="auto"/>
        <w:jc w:val="both"/>
        <w:rPr>
          <w:rFonts w:ascii="Arial" w:hAnsi="Arial" w:cs="Arial"/>
          <w:sz w:val="22"/>
          <w:szCs w:val="22"/>
        </w:rPr>
      </w:pPr>
      <w:r w:rsidRPr="002F340F">
        <w:rPr>
          <w:rFonts w:ascii="Arial" w:hAnsi="Arial" w:cs="Arial"/>
          <w:sz w:val="22"/>
          <w:szCs w:val="22"/>
        </w:rPr>
        <w:t xml:space="preserve">I want to express my gratitude to my students and peers </w:t>
      </w:r>
      <w:proofErr w:type="gramStart"/>
      <w:r w:rsidRPr="002F340F">
        <w:rPr>
          <w:rFonts w:ascii="Arial" w:hAnsi="Arial" w:cs="Arial"/>
          <w:sz w:val="22"/>
          <w:szCs w:val="22"/>
        </w:rPr>
        <w:t>in particular for</w:t>
      </w:r>
      <w:proofErr w:type="gramEnd"/>
      <w:r w:rsidRPr="002F340F">
        <w:rPr>
          <w:rFonts w:ascii="Arial" w:hAnsi="Arial" w:cs="Arial"/>
          <w:sz w:val="22"/>
          <w:szCs w:val="22"/>
        </w:rPr>
        <w:t xml:space="preserve"> their support and collaboration during this academic journey.</w:t>
      </w:r>
    </w:p>
    <w:p w14:paraId="18378F05" w14:textId="1B6723D5" w:rsidR="003F29DA" w:rsidRPr="003F29DA" w:rsidRDefault="002F340F" w:rsidP="002F340F">
      <w:pPr>
        <w:spacing w:line="360" w:lineRule="auto"/>
        <w:jc w:val="both"/>
        <w:rPr>
          <w:rFonts w:ascii="Arial" w:hAnsi="Arial" w:cs="Arial"/>
          <w:sz w:val="22"/>
          <w:szCs w:val="22"/>
        </w:rPr>
      </w:pPr>
      <w:r w:rsidRPr="002F340F">
        <w:rPr>
          <w:rFonts w:ascii="Arial" w:hAnsi="Arial" w:cs="Arial"/>
          <w:sz w:val="22"/>
          <w:szCs w:val="22"/>
        </w:rPr>
        <w:t>Lastly, I would want to sincerely thank my family for their encouragement, patience, and belief in me during this challenging academic journey.</w:t>
      </w:r>
    </w:p>
    <w:p w14:paraId="26BAE2DE" w14:textId="77777777" w:rsidR="003F29DA" w:rsidRPr="003F29DA" w:rsidRDefault="003F29DA" w:rsidP="002F690B">
      <w:pPr>
        <w:spacing w:line="360" w:lineRule="auto"/>
        <w:jc w:val="both"/>
        <w:rPr>
          <w:rFonts w:ascii="Arial" w:hAnsi="Arial" w:cs="Arial"/>
          <w:sz w:val="22"/>
          <w:szCs w:val="22"/>
        </w:rPr>
      </w:pPr>
    </w:p>
    <w:p w14:paraId="528269BD" w14:textId="77777777" w:rsidR="003F29DA" w:rsidRPr="003F29DA" w:rsidRDefault="003F29DA" w:rsidP="002F690B">
      <w:pPr>
        <w:spacing w:line="360" w:lineRule="auto"/>
        <w:jc w:val="both"/>
        <w:rPr>
          <w:rFonts w:ascii="Arial" w:hAnsi="Arial" w:cs="Arial"/>
          <w:sz w:val="22"/>
          <w:szCs w:val="22"/>
        </w:rPr>
      </w:pPr>
    </w:p>
    <w:p w14:paraId="7BB1B6BD" w14:textId="77777777" w:rsidR="003F29DA" w:rsidRPr="003F29DA" w:rsidRDefault="003F29DA" w:rsidP="002F690B">
      <w:pPr>
        <w:spacing w:line="360" w:lineRule="auto"/>
        <w:jc w:val="both"/>
        <w:rPr>
          <w:rFonts w:ascii="Arial" w:hAnsi="Arial" w:cs="Arial"/>
          <w:sz w:val="22"/>
          <w:szCs w:val="22"/>
        </w:rPr>
      </w:pPr>
    </w:p>
    <w:p w14:paraId="36E6A42C" w14:textId="77777777" w:rsidR="003F29DA" w:rsidRPr="003F29DA" w:rsidRDefault="003F29DA" w:rsidP="002F690B">
      <w:pPr>
        <w:spacing w:line="360" w:lineRule="auto"/>
        <w:jc w:val="both"/>
        <w:rPr>
          <w:rFonts w:ascii="Arial" w:hAnsi="Arial" w:cs="Arial"/>
          <w:sz w:val="22"/>
          <w:szCs w:val="22"/>
        </w:rPr>
      </w:pPr>
    </w:p>
    <w:p w14:paraId="0FEE5B31" w14:textId="77777777" w:rsidR="003F29DA" w:rsidRPr="003F29DA" w:rsidRDefault="003F29DA" w:rsidP="002F690B">
      <w:pPr>
        <w:spacing w:line="360" w:lineRule="auto"/>
        <w:jc w:val="both"/>
        <w:rPr>
          <w:rFonts w:ascii="Arial" w:hAnsi="Arial" w:cs="Arial"/>
          <w:sz w:val="22"/>
          <w:szCs w:val="22"/>
        </w:rPr>
      </w:pPr>
    </w:p>
    <w:p w14:paraId="4E0D882B" w14:textId="77777777" w:rsidR="003F29DA" w:rsidRPr="003F29DA" w:rsidRDefault="003F29DA" w:rsidP="002F690B">
      <w:pPr>
        <w:spacing w:line="360" w:lineRule="auto"/>
        <w:jc w:val="both"/>
        <w:rPr>
          <w:rFonts w:ascii="Arial" w:hAnsi="Arial" w:cs="Arial"/>
          <w:sz w:val="22"/>
          <w:szCs w:val="22"/>
        </w:rPr>
      </w:pPr>
    </w:p>
    <w:p w14:paraId="0C3F080F" w14:textId="77777777" w:rsidR="003F29DA" w:rsidRPr="003F29DA" w:rsidRDefault="003F29DA" w:rsidP="002F690B">
      <w:pPr>
        <w:spacing w:line="360" w:lineRule="auto"/>
        <w:jc w:val="both"/>
        <w:rPr>
          <w:rFonts w:ascii="Arial" w:hAnsi="Arial" w:cs="Arial"/>
          <w:sz w:val="22"/>
          <w:szCs w:val="22"/>
        </w:rPr>
      </w:pPr>
    </w:p>
    <w:p w14:paraId="485C6BD6" w14:textId="77777777" w:rsidR="003F29DA" w:rsidRPr="003F29DA" w:rsidRDefault="003F29DA" w:rsidP="002F690B">
      <w:pPr>
        <w:spacing w:line="360" w:lineRule="auto"/>
        <w:jc w:val="both"/>
        <w:rPr>
          <w:rFonts w:ascii="Arial" w:hAnsi="Arial" w:cs="Arial"/>
          <w:sz w:val="22"/>
          <w:szCs w:val="22"/>
        </w:rPr>
      </w:pPr>
    </w:p>
    <w:p w14:paraId="04A95608" w14:textId="77777777" w:rsidR="003F29DA" w:rsidRPr="003F29DA" w:rsidRDefault="003F29DA" w:rsidP="002F690B">
      <w:pPr>
        <w:spacing w:line="360" w:lineRule="auto"/>
        <w:jc w:val="both"/>
        <w:rPr>
          <w:rFonts w:ascii="Arial" w:hAnsi="Arial" w:cs="Arial"/>
          <w:sz w:val="22"/>
          <w:szCs w:val="22"/>
        </w:rPr>
      </w:pPr>
    </w:p>
    <w:p w14:paraId="559F2234" w14:textId="77777777" w:rsidR="003F29DA" w:rsidRPr="003F29DA" w:rsidRDefault="003F29DA" w:rsidP="002F690B">
      <w:pPr>
        <w:spacing w:line="360" w:lineRule="auto"/>
        <w:jc w:val="both"/>
        <w:rPr>
          <w:rFonts w:ascii="Arial" w:hAnsi="Arial" w:cs="Arial"/>
          <w:sz w:val="22"/>
          <w:szCs w:val="22"/>
        </w:rPr>
      </w:pPr>
    </w:p>
    <w:p w14:paraId="1A44ECFB" w14:textId="77777777" w:rsidR="003F29DA" w:rsidRPr="003F29DA" w:rsidRDefault="003F29DA" w:rsidP="002F690B">
      <w:pPr>
        <w:spacing w:line="360" w:lineRule="auto"/>
        <w:jc w:val="both"/>
        <w:rPr>
          <w:rFonts w:ascii="Arial" w:hAnsi="Arial" w:cs="Arial"/>
          <w:sz w:val="22"/>
          <w:szCs w:val="22"/>
        </w:rPr>
      </w:pPr>
    </w:p>
    <w:p w14:paraId="0E16197F" w14:textId="77777777" w:rsidR="003F29DA" w:rsidRPr="003F29DA" w:rsidRDefault="003F29DA" w:rsidP="002F690B">
      <w:pPr>
        <w:spacing w:line="360" w:lineRule="auto"/>
        <w:jc w:val="both"/>
        <w:rPr>
          <w:rFonts w:ascii="Arial" w:hAnsi="Arial" w:cs="Arial"/>
          <w:sz w:val="22"/>
          <w:szCs w:val="22"/>
        </w:rPr>
      </w:pPr>
    </w:p>
    <w:p w14:paraId="32E860F3" w14:textId="77777777" w:rsidR="003F29DA" w:rsidRPr="003F29DA" w:rsidRDefault="003F29DA" w:rsidP="002F690B">
      <w:pPr>
        <w:spacing w:line="360" w:lineRule="auto"/>
        <w:jc w:val="both"/>
        <w:rPr>
          <w:rFonts w:ascii="Arial" w:hAnsi="Arial" w:cs="Arial"/>
          <w:sz w:val="22"/>
          <w:szCs w:val="22"/>
        </w:rPr>
      </w:pPr>
    </w:p>
    <w:p w14:paraId="70C1CE55" w14:textId="77777777" w:rsidR="003F29DA" w:rsidRPr="003F29DA" w:rsidRDefault="003F29DA" w:rsidP="002F690B">
      <w:pPr>
        <w:spacing w:line="360" w:lineRule="auto"/>
        <w:jc w:val="both"/>
        <w:rPr>
          <w:rFonts w:ascii="Arial" w:hAnsi="Arial" w:cs="Arial"/>
          <w:sz w:val="22"/>
          <w:szCs w:val="22"/>
        </w:rPr>
      </w:pPr>
    </w:p>
    <w:p w14:paraId="11E28F12" w14:textId="77777777" w:rsidR="003F29DA" w:rsidRPr="003F29DA" w:rsidRDefault="003F29DA" w:rsidP="002F690B">
      <w:pPr>
        <w:spacing w:line="360" w:lineRule="auto"/>
        <w:jc w:val="both"/>
        <w:rPr>
          <w:rFonts w:ascii="Arial" w:hAnsi="Arial" w:cs="Arial"/>
          <w:sz w:val="22"/>
          <w:szCs w:val="22"/>
        </w:rPr>
      </w:pPr>
    </w:p>
    <w:p w14:paraId="3A7506A6" w14:textId="77777777" w:rsidR="003F29DA" w:rsidRPr="003F29DA" w:rsidRDefault="003F29DA" w:rsidP="002F690B">
      <w:pPr>
        <w:spacing w:line="360" w:lineRule="auto"/>
        <w:jc w:val="both"/>
        <w:rPr>
          <w:rFonts w:ascii="Arial" w:hAnsi="Arial" w:cs="Arial"/>
          <w:sz w:val="22"/>
          <w:szCs w:val="22"/>
        </w:rPr>
      </w:pPr>
    </w:p>
    <w:p w14:paraId="38EFE881" w14:textId="77777777" w:rsidR="0050299A" w:rsidRPr="00096385" w:rsidRDefault="0050299A" w:rsidP="0050299A">
      <w:pPr>
        <w:pStyle w:val="Heading1"/>
        <w:jc w:val="both"/>
        <w:rPr>
          <w:rFonts w:ascii="Arial" w:hAnsi="Arial" w:cs="Arial"/>
          <w:b/>
          <w:bCs/>
          <w:sz w:val="32"/>
          <w:szCs w:val="32"/>
        </w:rPr>
      </w:pPr>
      <w:r w:rsidRPr="00096385">
        <w:rPr>
          <w:rFonts w:ascii="Arial" w:hAnsi="Arial" w:cs="Arial"/>
          <w:b/>
          <w:bCs/>
          <w:sz w:val="32"/>
          <w:szCs w:val="32"/>
        </w:rPr>
        <w:lastRenderedPageBreak/>
        <w:t>ABSTRACT</w:t>
      </w:r>
    </w:p>
    <w:p w14:paraId="66B75F06" w14:textId="77777777" w:rsidR="0050299A" w:rsidRPr="003F29DA" w:rsidRDefault="0050299A" w:rsidP="0050299A">
      <w:pPr>
        <w:spacing w:line="360" w:lineRule="auto"/>
        <w:jc w:val="both"/>
        <w:rPr>
          <w:rFonts w:ascii="Arial" w:hAnsi="Arial" w:cs="Arial"/>
          <w:sz w:val="22"/>
          <w:szCs w:val="22"/>
        </w:rPr>
      </w:pPr>
      <w:r w:rsidRPr="003F29DA">
        <w:rPr>
          <w:rFonts w:ascii="Arial" w:hAnsi="Arial" w:cs="Arial"/>
          <w:sz w:val="22"/>
          <w:szCs w:val="22"/>
        </w:rPr>
        <w:t>In England, falls among older individuals are a significant public health concern, especially in urban areas where fall risk is increased by environmental risks, socioeconomic disparities, and service demands. Despite the widespread promotion of community-based physical therapy (CBPT) as a successful preventative measure, there is still a lack of data that is unique to urban settings in England. The purpose of this systematic review was to assess how well community-based physiotherapy interventions work to reduce falls among individuals in England's metropolitan regions who are 65 years of age or older.</w:t>
      </w:r>
    </w:p>
    <w:p w14:paraId="23C551EE" w14:textId="77777777" w:rsidR="0050299A" w:rsidRPr="003F29DA" w:rsidRDefault="0050299A" w:rsidP="0050299A">
      <w:pPr>
        <w:spacing w:line="360" w:lineRule="auto"/>
        <w:jc w:val="both"/>
        <w:rPr>
          <w:rFonts w:ascii="Arial" w:hAnsi="Arial" w:cs="Arial"/>
          <w:sz w:val="22"/>
          <w:szCs w:val="22"/>
        </w:rPr>
      </w:pPr>
      <w:r w:rsidRPr="003F29DA">
        <w:rPr>
          <w:rFonts w:ascii="Arial" w:hAnsi="Arial" w:cs="Arial"/>
          <w:sz w:val="22"/>
          <w:szCs w:val="22"/>
        </w:rPr>
        <w:t>A systematic review process guided by PRISMA was used. Six databases, including MEDLINE, CINAHL, PubMed, Scopus, Web of Science, and the Cochrane Library, were searched electronically for studies published between 2010 and 2024. Included were studies that targeted older persons in urban or metropolitan settings with community-based, physiotherapy-led fall prevention programs. Due to variations in research designs and outcome measures, twelve papers that satisfied the inclusion criteria were synthesized using a narrative and thematic approach. Cochrane and Joanna Briggs Institute instruments were used for the quality assessment.</w:t>
      </w:r>
    </w:p>
    <w:p w14:paraId="63E4EEC0" w14:textId="77777777" w:rsidR="0050299A" w:rsidRPr="003F29DA" w:rsidRDefault="0050299A" w:rsidP="0050299A">
      <w:pPr>
        <w:spacing w:line="360" w:lineRule="auto"/>
        <w:jc w:val="both"/>
        <w:rPr>
          <w:rFonts w:ascii="Arial" w:hAnsi="Arial" w:cs="Arial"/>
          <w:sz w:val="22"/>
          <w:szCs w:val="22"/>
        </w:rPr>
      </w:pPr>
      <w:r w:rsidRPr="003F29DA">
        <w:rPr>
          <w:rFonts w:ascii="Arial" w:hAnsi="Arial" w:cs="Arial"/>
          <w:sz w:val="22"/>
          <w:szCs w:val="22"/>
        </w:rPr>
        <w:t>Results showed steady increases in gait stability, strength, balance, and functional mobility, among other physical outcomes. There were also clear psychological advantages, such as decreased fear of falling, higher self-efficacy, and improved confidence. With group-based therapies encouraging motivation, peer support, and decreased isolation, social engagement emerged as a crucial adherence facilitator. Significant contextual obstacles were found, too, such as transportation challenges, environmental risks, socioeconomic disadvantages, linguistic and cultural hurdles, and service capacity limitations in crowded metropolitan locations.</w:t>
      </w:r>
    </w:p>
    <w:p w14:paraId="60A82D0A" w14:textId="77777777" w:rsidR="0050299A" w:rsidRDefault="0050299A" w:rsidP="0050299A">
      <w:pPr>
        <w:spacing w:line="360" w:lineRule="auto"/>
        <w:jc w:val="both"/>
        <w:rPr>
          <w:rFonts w:ascii="Arial" w:hAnsi="Arial" w:cs="Arial"/>
          <w:sz w:val="22"/>
          <w:szCs w:val="22"/>
        </w:rPr>
      </w:pPr>
      <w:r w:rsidRPr="003F29DA">
        <w:rPr>
          <w:rFonts w:ascii="Arial" w:hAnsi="Arial" w:cs="Arial"/>
          <w:sz w:val="22"/>
          <w:szCs w:val="22"/>
        </w:rPr>
        <w:t xml:space="preserve">According to the review's findings, community-based physiotherapy therapies help older persons in metropolitan England achieve better physical, psychological, and social outcomes while lowering their risk of falling. Interventions must be psychologically informed, culturally sensitive, and supported by multidisciplinary and multi-sector collaboration </w:t>
      </w:r>
      <w:proofErr w:type="gramStart"/>
      <w:r w:rsidRPr="003F29DA">
        <w:rPr>
          <w:rFonts w:ascii="Arial" w:hAnsi="Arial" w:cs="Arial"/>
          <w:sz w:val="22"/>
          <w:szCs w:val="22"/>
        </w:rPr>
        <w:t>in order to</w:t>
      </w:r>
      <w:proofErr w:type="gramEnd"/>
      <w:r w:rsidRPr="003F29DA">
        <w:rPr>
          <w:rFonts w:ascii="Arial" w:hAnsi="Arial" w:cs="Arial"/>
          <w:sz w:val="22"/>
          <w:szCs w:val="22"/>
        </w:rPr>
        <w:t xml:space="preserve"> maximize efficacy and equality. The extension of community-based physiotherapy as a fundamental element of urban fall prevention initiatives and healthy aging policies is supported by these findings.</w:t>
      </w:r>
    </w:p>
    <w:p w14:paraId="18657F41" w14:textId="6B450278" w:rsidR="00096385" w:rsidRDefault="00096385" w:rsidP="0050299A">
      <w:pPr>
        <w:tabs>
          <w:tab w:val="left" w:pos="1344"/>
        </w:tabs>
        <w:spacing w:line="360" w:lineRule="auto"/>
        <w:jc w:val="both"/>
        <w:rPr>
          <w:rFonts w:ascii="Arial" w:hAnsi="Arial" w:cs="Arial"/>
          <w:sz w:val="22"/>
          <w:szCs w:val="22"/>
        </w:rPr>
      </w:pPr>
    </w:p>
    <w:p w14:paraId="0F60D33E" w14:textId="77777777" w:rsidR="00096385" w:rsidRDefault="00096385" w:rsidP="002F690B">
      <w:pPr>
        <w:spacing w:line="360" w:lineRule="auto"/>
        <w:jc w:val="both"/>
        <w:rPr>
          <w:rFonts w:ascii="Arial" w:hAnsi="Arial" w:cs="Arial"/>
          <w:sz w:val="22"/>
          <w:szCs w:val="22"/>
        </w:rPr>
      </w:pPr>
    </w:p>
    <w:sdt>
      <w:sdtPr>
        <w:rPr>
          <w:rFonts w:asciiTheme="minorHAnsi" w:eastAsiaTheme="minorHAnsi" w:hAnsiTheme="minorHAnsi" w:cstheme="minorBidi"/>
          <w:color w:val="auto"/>
          <w:kern w:val="2"/>
          <w:sz w:val="24"/>
          <w:szCs w:val="24"/>
          <w:lang w:val="en-IN"/>
          <w14:ligatures w14:val="standardContextual"/>
        </w:rPr>
        <w:id w:val="-1806223826"/>
        <w:docPartObj>
          <w:docPartGallery w:val="Table of Contents"/>
          <w:docPartUnique/>
        </w:docPartObj>
      </w:sdtPr>
      <w:sdtEndPr>
        <w:rPr>
          <w:b/>
          <w:bCs/>
          <w:noProof/>
        </w:rPr>
      </w:sdtEndPr>
      <w:sdtContent>
        <w:p w14:paraId="1636D2C4" w14:textId="1D8F1A82" w:rsidR="005D7A7A" w:rsidRPr="005D7A7A" w:rsidRDefault="005D7A7A">
          <w:pPr>
            <w:pStyle w:val="TOCHeading"/>
            <w:rPr>
              <w:rFonts w:ascii="Arial" w:hAnsi="Arial" w:cs="Arial"/>
              <w:b/>
              <w:bCs/>
            </w:rPr>
          </w:pPr>
          <w:r w:rsidRPr="005D7A7A">
            <w:rPr>
              <w:rFonts w:ascii="Arial" w:hAnsi="Arial" w:cs="Arial"/>
              <w:b/>
              <w:bCs/>
            </w:rPr>
            <w:t>Table of Contents</w:t>
          </w:r>
        </w:p>
        <w:p w14:paraId="718C1680" w14:textId="5C26C258" w:rsidR="002F340F" w:rsidRDefault="005D7A7A">
          <w:pPr>
            <w:pStyle w:val="TOC1"/>
            <w:tabs>
              <w:tab w:val="right" w:leader="dot" w:pos="8302"/>
            </w:tabs>
            <w:rPr>
              <w:rFonts w:eastAsiaTheme="minorEastAsia"/>
              <w:noProof/>
              <w:lang w:eastAsia="en-IN"/>
            </w:rPr>
          </w:pPr>
          <w:r>
            <w:fldChar w:fldCharType="begin"/>
          </w:r>
          <w:r>
            <w:instrText xml:space="preserve"> TOC \o "1-3" \h \z \u </w:instrText>
          </w:r>
          <w:r>
            <w:fldChar w:fldCharType="separate"/>
          </w:r>
          <w:hyperlink w:anchor="_Toc219805102" w:history="1">
            <w:r w:rsidR="002F340F" w:rsidRPr="00467CF0">
              <w:rPr>
                <w:rStyle w:val="Hyperlink"/>
                <w:rFonts w:ascii="Arial" w:hAnsi="Arial" w:cs="Arial"/>
                <w:b/>
                <w:bCs/>
                <w:noProof/>
              </w:rPr>
              <w:t>ABSTRACT</w:t>
            </w:r>
            <w:r w:rsidR="002F340F">
              <w:rPr>
                <w:noProof/>
                <w:webHidden/>
              </w:rPr>
              <w:tab/>
            </w:r>
            <w:r w:rsidR="002F340F">
              <w:rPr>
                <w:noProof/>
                <w:webHidden/>
              </w:rPr>
              <w:fldChar w:fldCharType="begin"/>
            </w:r>
            <w:r w:rsidR="002F340F">
              <w:rPr>
                <w:noProof/>
                <w:webHidden/>
              </w:rPr>
              <w:instrText xml:space="preserve"> PAGEREF _Toc219805102 \h </w:instrText>
            </w:r>
            <w:r w:rsidR="002F340F">
              <w:rPr>
                <w:noProof/>
                <w:webHidden/>
              </w:rPr>
            </w:r>
            <w:r w:rsidR="002F340F">
              <w:rPr>
                <w:noProof/>
                <w:webHidden/>
              </w:rPr>
              <w:fldChar w:fldCharType="separate"/>
            </w:r>
            <w:r w:rsidR="002F340F">
              <w:rPr>
                <w:noProof/>
                <w:webHidden/>
              </w:rPr>
              <w:t>9</w:t>
            </w:r>
            <w:r w:rsidR="002F340F">
              <w:rPr>
                <w:noProof/>
                <w:webHidden/>
              </w:rPr>
              <w:fldChar w:fldCharType="end"/>
            </w:r>
          </w:hyperlink>
        </w:p>
        <w:p w14:paraId="26482210" w14:textId="05F2F5A2" w:rsidR="002F340F" w:rsidRDefault="002F340F">
          <w:pPr>
            <w:pStyle w:val="TOC1"/>
            <w:tabs>
              <w:tab w:val="right" w:leader="dot" w:pos="8302"/>
            </w:tabs>
            <w:rPr>
              <w:rFonts w:eastAsiaTheme="minorEastAsia"/>
              <w:noProof/>
              <w:lang w:eastAsia="en-IN"/>
            </w:rPr>
          </w:pPr>
          <w:hyperlink w:anchor="_Toc219805103" w:history="1">
            <w:r w:rsidRPr="00467CF0">
              <w:rPr>
                <w:rStyle w:val="Hyperlink"/>
                <w:rFonts w:ascii="Arial" w:hAnsi="Arial" w:cs="Arial"/>
                <w:b/>
                <w:bCs/>
                <w:noProof/>
              </w:rPr>
              <w:t>Chapter 1: Introduction</w:t>
            </w:r>
            <w:r>
              <w:rPr>
                <w:noProof/>
                <w:webHidden/>
              </w:rPr>
              <w:tab/>
            </w:r>
            <w:r>
              <w:rPr>
                <w:noProof/>
                <w:webHidden/>
              </w:rPr>
              <w:fldChar w:fldCharType="begin"/>
            </w:r>
            <w:r>
              <w:rPr>
                <w:noProof/>
                <w:webHidden/>
              </w:rPr>
              <w:instrText xml:space="preserve"> PAGEREF _Toc219805103 \h </w:instrText>
            </w:r>
            <w:r>
              <w:rPr>
                <w:noProof/>
                <w:webHidden/>
              </w:rPr>
            </w:r>
            <w:r>
              <w:rPr>
                <w:noProof/>
                <w:webHidden/>
              </w:rPr>
              <w:fldChar w:fldCharType="separate"/>
            </w:r>
            <w:r>
              <w:rPr>
                <w:noProof/>
                <w:webHidden/>
              </w:rPr>
              <w:t>10</w:t>
            </w:r>
            <w:r>
              <w:rPr>
                <w:noProof/>
                <w:webHidden/>
              </w:rPr>
              <w:fldChar w:fldCharType="end"/>
            </w:r>
          </w:hyperlink>
        </w:p>
        <w:p w14:paraId="384F9981" w14:textId="4CC5BA7A" w:rsidR="002F340F" w:rsidRDefault="002F340F">
          <w:pPr>
            <w:pStyle w:val="TOC2"/>
            <w:tabs>
              <w:tab w:val="right" w:leader="dot" w:pos="8302"/>
            </w:tabs>
            <w:rPr>
              <w:rFonts w:eastAsiaTheme="minorEastAsia"/>
              <w:noProof/>
              <w:lang w:eastAsia="en-IN"/>
            </w:rPr>
          </w:pPr>
          <w:hyperlink w:anchor="_Toc219805104" w:history="1">
            <w:r w:rsidRPr="00467CF0">
              <w:rPr>
                <w:rStyle w:val="Hyperlink"/>
                <w:rFonts w:ascii="Arial" w:hAnsi="Arial" w:cs="Arial"/>
                <w:b/>
                <w:bCs/>
                <w:noProof/>
              </w:rPr>
              <w:t>1.1 Background</w:t>
            </w:r>
            <w:r>
              <w:rPr>
                <w:noProof/>
                <w:webHidden/>
              </w:rPr>
              <w:tab/>
            </w:r>
            <w:r>
              <w:rPr>
                <w:noProof/>
                <w:webHidden/>
              </w:rPr>
              <w:fldChar w:fldCharType="begin"/>
            </w:r>
            <w:r>
              <w:rPr>
                <w:noProof/>
                <w:webHidden/>
              </w:rPr>
              <w:instrText xml:space="preserve"> PAGEREF _Toc219805104 \h </w:instrText>
            </w:r>
            <w:r>
              <w:rPr>
                <w:noProof/>
                <w:webHidden/>
              </w:rPr>
            </w:r>
            <w:r>
              <w:rPr>
                <w:noProof/>
                <w:webHidden/>
              </w:rPr>
              <w:fldChar w:fldCharType="separate"/>
            </w:r>
            <w:r>
              <w:rPr>
                <w:noProof/>
                <w:webHidden/>
              </w:rPr>
              <w:t>10</w:t>
            </w:r>
            <w:r>
              <w:rPr>
                <w:noProof/>
                <w:webHidden/>
              </w:rPr>
              <w:fldChar w:fldCharType="end"/>
            </w:r>
          </w:hyperlink>
        </w:p>
        <w:p w14:paraId="60C0AD99" w14:textId="1CCE5142" w:rsidR="002F340F" w:rsidRDefault="002F340F">
          <w:pPr>
            <w:pStyle w:val="TOC2"/>
            <w:tabs>
              <w:tab w:val="right" w:leader="dot" w:pos="8302"/>
            </w:tabs>
            <w:rPr>
              <w:rFonts w:eastAsiaTheme="minorEastAsia"/>
              <w:noProof/>
              <w:lang w:eastAsia="en-IN"/>
            </w:rPr>
          </w:pPr>
          <w:hyperlink w:anchor="_Toc219805105" w:history="1">
            <w:r w:rsidRPr="00467CF0">
              <w:rPr>
                <w:rStyle w:val="Hyperlink"/>
                <w:rFonts w:ascii="Arial" w:hAnsi="Arial" w:cs="Arial"/>
                <w:b/>
                <w:bCs/>
                <w:noProof/>
              </w:rPr>
              <w:t>1.2 Problem Statement</w:t>
            </w:r>
            <w:r>
              <w:rPr>
                <w:noProof/>
                <w:webHidden/>
              </w:rPr>
              <w:tab/>
            </w:r>
            <w:r>
              <w:rPr>
                <w:noProof/>
                <w:webHidden/>
              </w:rPr>
              <w:fldChar w:fldCharType="begin"/>
            </w:r>
            <w:r>
              <w:rPr>
                <w:noProof/>
                <w:webHidden/>
              </w:rPr>
              <w:instrText xml:space="preserve"> PAGEREF _Toc219805105 \h </w:instrText>
            </w:r>
            <w:r>
              <w:rPr>
                <w:noProof/>
                <w:webHidden/>
              </w:rPr>
            </w:r>
            <w:r>
              <w:rPr>
                <w:noProof/>
                <w:webHidden/>
              </w:rPr>
              <w:fldChar w:fldCharType="separate"/>
            </w:r>
            <w:r>
              <w:rPr>
                <w:noProof/>
                <w:webHidden/>
              </w:rPr>
              <w:t>11</w:t>
            </w:r>
            <w:r>
              <w:rPr>
                <w:noProof/>
                <w:webHidden/>
              </w:rPr>
              <w:fldChar w:fldCharType="end"/>
            </w:r>
          </w:hyperlink>
        </w:p>
        <w:p w14:paraId="5AD0A836" w14:textId="2CFD5700" w:rsidR="002F340F" w:rsidRDefault="002F340F">
          <w:pPr>
            <w:pStyle w:val="TOC2"/>
            <w:tabs>
              <w:tab w:val="right" w:leader="dot" w:pos="8302"/>
            </w:tabs>
            <w:rPr>
              <w:rFonts w:eastAsiaTheme="minorEastAsia"/>
              <w:noProof/>
              <w:lang w:eastAsia="en-IN"/>
            </w:rPr>
          </w:pPr>
          <w:hyperlink w:anchor="_Toc219805106" w:history="1">
            <w:r w:rsidRPr="00467CF0">
              <w:rPr>
                <w:rStyle w:val="Hyperlink"/>
                <w:rFonts w:ascii="Arial" w:hAnsi="Arial" w:cs="Arial"/>
                <w:b/>
                <w:bCs/>
                <w:noProof/>
              </w:rPr>
              <w:t>1.3 Rationale and Significance of the Study</w:t>
            </w:r>
            <w:r>
              <w:rPr>
                <w:noProof/>
                <w:webHidden/>
              </w:rPr>
              <w:tab/>
            </w:r>
            <w:r>
              <w:rPr>
                <w:noProof/>
                <w:webHidden/>
              </w:rPr>
              <w:fldChar w:fldCharType="begin"/>
            </w:r>
            <w:r>
              <w:rPr>
                <w:noProof/>
                <w:webHidden/>
              </w:rPr>
              <w:instrText xml:space="preserve"> PAGEREF _Toc219805106 \h </w:instrText>
            </w:r>
            <w:r>
              <w:rPr>
                <w:noProof/>
                <w:webHidden/>
              </w:rPr>
            </w:r>
            <w:r>
              <w:rPr>
                <w:noProof/>
                <w:webHidden/>
              </w:rPr>
              <w:fldChar w:fldCharType="separate"/>
            </w:r>
            <w:r>
              <w:rPr>
                <w:noProof/>
                <w:webHidden/>
              </w:rPr>
              <w:t>12</w:t>
            </w:r>
            <w:r>
              <w:rPr>
                <w:noProof/>
                <w:webHidden/>
              </w:rPr>
              <w:fldChar w:fldCharType="end"/>
            </w:r>
          </w:hyperlink>
        </w:p>
        <w:p w14:paraId="11D21376" w14:textId="1C54AC3A" w:rsidR="002F340F" w:rsidRDefault="002F340F">
          <w:pPr>
            <w:pStyle w:val="TOC2"/>
            <w:tabs>
              <w:tab w:val="right" w:leader="dot" w:pos="8302"/>
            </w:tabs>
            <w:rPr>
              <w:rFonts w:eastAsiaTheme="minorEastAsia"/>
              <w:noProof/>
              <w:lang w:eastAsia="en-IN"/>
            </w:rPr>
          </w:pPr>
          <w:hyperlink w:anchor="_Toc219805107" w:history="1">
            <w:r w:rsidRPr="00467CF0">
              <w:rPr>
                <w:rStyle w:val="Hyperlink"/>
                <w:rFonts w:ascii="Arial" w:hAnsi="Arial" w:cs="Arial"/>
                <w:b/>
                <w:bCs/>
                <w:noProof/>
              </w:rPr>
              <w:t>1.4 Research Aim and Objectives</w:t>
            </w:r>
            <w:r>
              <w:rPr>
                <w:noProof/>
                <w:webHidden/>
              </w:rPr>
              <w:tab/>
            </w:r>
            <w:r>
              <w:rPr>
                <w:noProof/>
                <w:webHidden/>
              </w:rPr>
              <w:fldChar w:fldCharType="begin"/>
            </w:r>
            <w:r>
              <w:rPr>
                <w:noProof/>
                <w:webHidden/>
              </w:rPr>
              <w:instrText xml:space="preserve"> PAGEREF _Toc219805107 \h </w:instrText>
            </w:r>
            <w:r>
              <w:rPr>
                <w:noProof/>
                <w:webHidden/>
              </w:rPr>
            </w:r>
            <w:r>
              <w:rPr>
                <w:noProof/>
                <w:webHidden/>
              </w:rPr>
              <w:fldChar w:fldCharType="separate"/>
            </w:r>
            <w:r>
              <w:rPr>
                <w:noProof/>
                <w:webHidden/>
              </w:rPr>
              <w:t>13</w:t>
            </w:r>
            <w:r>
              <w:rPr>
                <w:noProof/>
                <w:webHidden/>
              </w:rPr>
              <w:fldChar w:fldCharType="end"/>
            </w:r>
          </w:hyperlink>
        </w:p>
        <w:p w14:paraId="4341424D" w14:textId="383B3E3C" w:rsidR="002F340F" w:rsidRDefault="002F340F">
          <w:pPr>
            <w:pStyle w:val="TOC2"/>
            <w:tabs>
              <w:tab w:val="right" w:leader="dot" w:pos="8302"/>
            </w:tabs>
            <w:rPr>
              <w:rFonts w:eastAsiaTheme="minorEastAsia"/>
              <w:noProof/>
              <w:lang w:eastAsia="en-IN"/>
            </w:rPr>
          </w:pPr>
          <w:hyperlink w:anchor="_Toc219805108" w:history="1">
            <w:r w:rsidRPr="00467CF0">
              <w:rPr>
                <w:rStyle w:val="Hyperlink"/>
                <w:rFonts w:ascii="Arial" w:hAnsi="Arial" w:cs="Arial"/>
                <w:b/>
                <w:bCs/>
                <w:noProof/>
              </w:rPr>
              <w:t>1.5 Overview of the Dissertation Structure</w:t>
            </w:r>
            <w:r>
              <w:rPr>
                <w:noProof/>
                <w:webHidden/>
              </w:rPr>
              <w:tab/>
            </w:r>
            <w:r>
              <w:rPr>
                <w:noProof/>
                <w:webHidden/>
              </w:rPr>
              <w:fldChar w:fldCharType="begin"/>
            </w:r>
            <w:r>
              <w:rPr>
                <w:noProof/>
                <w:webHidden/>
              </w:rPr>
              <w:instrText xml:space="preserve"> PAGEREF _Toc219805108 \h </w:instrText>
            </w:r>
            <w:r>
              <w:rPr>
                <w:noProof/>
                <w:webHidden/>
              </w:rPr>
            </w:r>
            <w:r>
              <w:rPr>
                <w:noProof/>
                <w:webHidden/>
              </w:rPr>
              <w:fldChar w:fldCharType="separate"/>
            </w:r>
            <w:r>
              <w:rPr>
                <w:noProof/>
                <w:webHidden/>
              </w:rPr>
              <w:t>13</w:t>
            </w:r>
            <w:r>
              <w:rPr>
                <w:noProof/>
                <w:webHidden/>
              </w:rPr>
              <w:fldChar w:fldCharType="end"/>
            </w:r>
          </w:hyperlink>
        </w:p>
        <w:p w14:paraId="399952CC" w14:textId="529626ED" w:rsidR="002F340F" w:rsidRDefault="002F340F">
          <w:pPr>
            <w:pStyle w:val="TOC2"/>
            <w:tabs>
              <w:tab w:val="right" w:leader="dot" w:pos="8302"/>
            </w:tabs>
            <w:rPr>
              <w:rFonts w:eastAsiaTheme="minorEastAsia"/>
              <w:noProof/>
              <w:lang w:eastAsia="en-IN"/>
            </w:rPr>
          </w:pPr>
          <w:hyperlink w:anchor="_Toc219805109" w:history="1">
            <w:r w:rsidRPr="00467CF0">
              <w:rPr>
                <w:rStyle w:val="Hyperlink"/>
                <w:rFonts w:ascii="Arial" w:hAnsi="Arial" w:cs="Arial"/>
                <w:b/>
                <w:bCs/>
                <w:noProof/>
              </w:rPr>
              <w:t>1.6 Summary</w:t>
            </w:r>
            <w:r>
              <w:rPr>
                <w:noProof/>
                <w:webHidden/>
              </w:rPr>
              <w:tab/>
            </w:r>
            <w:r>
              <w:rPr>
                <w:noProof/>
                <w:webHidden/>
              </w:rPr>
              <w:fldChar w:fldCharType="begin"/>
            </w:r>
            <w:r>
              <w:rPr>
                <w:noProof/>
                <w:webHidden/>
              </w:rPr>
              <w:instrText xml:space="preserve"> PAGEREF _Toc219805109 \h </w:instrText>
            </w:r>
            <w:r>
              <w:rPr>
                <w:noProof/>
                <w:webHidden/>
              </w:rPr>
            </w:r>
            <w:r>
              <w:rPr>
                <w:noProof/>
                <w:webHidden/>
              </w:rPr>
              <w:fldChar w:fldCharType="separate"/>
            </w:r>
            <w:r>
              <w:rPr>
                <w:noProof/>
                <w:webHidden/>
              </w:rPr>
              <w:t>14</w:t>
            </w:r>
            <w:r>
              <w:rPr>
                <w:noProof/>
                <w:webHidden/>
              </w:rPr>
              <w:fldChar w:fldCharType="end"/>
            </w:r>
          </w:hyperlink>
        </w:p>
        <w:p w14:paraId="4A0A393F" w14:textId="342F371F" w:rsidR="002F340F" w:rsidRDefault="002F340F">
          <w:pPr>
            <w:pStyle w:val="TOC1"/>
            <w:tabs>
              <w:tab w:val="right" w:leader="dot" w:pos="8302"/>
            </w:tabs>
            <w:rPr>
              <w:rFonts w:eastAsiaTheme="minorEastAsia"/>
              <w:noProof/>
              <w:lang w:eastAsia="en-IN"/>
            </w:rPr>
          </w:pPr>
          <w:hyperlink w:anchor="_Toc219805110" w:history="1">
            <w:r w:rsidRPr="00467CF0">
              <w:rPr>
                <w:rStyle w:val="Hyperlink"/>
                <w:rFonts w:ascii="Arial" w:hAnsi="Arial" w:cs="Arial"/>
                <w:b/>
                <w:bCs/>
                <w:noProof/>
              </w:rPr>
              <w:t>Chapter 2: Literature Review and Theoretical Framework</w:t>
            </w:r>
            <w:r>
              <w:rPr>
                <w:noProof/>
                <w:webHidden/>
              </w:rPr>
              <w:tab/>
            </w:r>
            <w:r>
              <w:rPr>
                <w:noProof/>
                <w:webHidden/>
              </w:rPr>
              <w:fldChar w:fldCharType="begin"/>
            </w:r>
            <w:r>
              <w:rPr>
                <w:noProof/>
                <w:webHidden/>
              </w:rPr>
              <w:instrText xml:space="preserve"> PAGEREF _Toc219805110 \h </w:instrText>
            </w:r>
            <w:r>
              <w:rPr>
                <w:noProof/>
                <w:webHidden/>
              </w:rPr>
            </w:r>
            <w:r>
              <w:rPr>
                <w:noProof/>
                <w:webHidden/>
              </w:rPr>
              <w:fldChar w:fldCharType="separate"/>
            </w:r>
            <w:r>
              <w:rPr>
                <w:noProof/>
                <w:webHidden/>
              </w:rPr>
              <w:t>15</w:t>
            </w:r>
            <w:r>
              <w:rPr>
                <w:noProof/>
                <w:webHidden/>
              </w:rPr>
              <w:fldChar w:fldCharType="end"/>
            </w:r>
          </w:hyperlink>
        </w:p>
        <w:p w14:paraId="0542F743" w14:textId="65049F5C" w:rsidR="002F340F" w:rsidRDefault="002F340F">
          <w:pPr>
            <w:pStyle w:val="TOC2"/>
            <w:tabs>
              <w:tab w:val="right" w:leader="dot" w:pos="8302"/>
            </w:tabs>
            <w:rPr>
              <w:rFonts w:eastAsiaTheme="minorEastAsia"/>
              <w:noProof/>
              <w:lang w:eastAsia="en-IN"/>
            </w:rPr>
          </w:pPr>
          <w:hyperlink w:anchor="_Toc219805111" w:history="1">
            <w:r w:rsidRPr="00467CF0">
              <w:rPr>
                <w:rStyle w:val="Hyperlink"/>
                <w:rFonts w:ascii="Arial" w:hAnsi="Arial" w:cs="Arial"/>
                <w:b/>
                <w:bCs/>
                <w:noProof/>
              </w:rPr>
              <w:t>2.1 Introduction</w:t>
            </w:r>
            <w:r>
              <w:rPr>
                <w:noProof/>
                <w:webHidden/>
              </w:rPr>
              <w:tab/>
            </w:r>
            <w:r>
              <w:rPr>
                <w:noProof/>
                <w:webHidden/>
              </w:rPr>
              <w:fldChar w:fldCharType="begin"/>
            </w:r>
            <w:r>
              <w:rPr>
                <w:noProof/>
                <w:webHidden/>
              </w:rPr>
              <w:instrText xml:space="preserve"> PAGEREF _Toc219805111 \h </w:instrText>
            </w:r>
            <w:r>
              <w:rPr>
                <w:noProof/>
                <w:webHidden/>
              </w:rPr>
            </w:r>
            <w:r>
              <w:rPr>
                <w:noProof/>
                <w:webHidden/>
              </w:rPr>
              <w:fldChar w:fldCharType="separate"/>
            </w:r>
            <w:r>
              <w:rPr>
                <w:noProof/>
                <w:webHidden/>
              </w:rPr>
              <w:t>15</w:t>
            </w:r>
            <w:r>
              <w:rPr>
                <w:noProof/>
                <w:webHidden/>
              </w:rPr>
              <w:fldChar w:fldCharType="end"/>
            </w:r>
          </w:hyperlink>
        </w:p>
        <w:p w14:paraId="751482DA" w14:textId="45A60B3B" w:rsidR="002F340F" w:rsidRDefault="002F340F">
          <w:pPr>
            <w:pStyle w:val="TOC2"/>
            <w:tabs>
              <w:tab w:val="right" w:leader="dot" w:pos="8302"/>
            </w:tabs>
            <w:rPr>
              <w:rFonts w:eastAsiaTheme="minorEastAsia"/>
              <w:noProof/>
              <w:lang w:eastAsia="en-IN"/>
            </w:rPr>
          </w:pPr>
          <w:hyperlink w:anchor="_Toc219805112" w:history="1">
            <w:r w:rsidRPr="00467CF0">
              <w:rPr>
                <w:rStyle w:val="Hyperlink"/>
                <w:rFonts w:ascii="Arial" w:hAnsi="Arial" w:cs="Arial"/>
                <w:b/>
                <w:bCs/>
                <w:noProof/>
              </w:rPr>
              <w:t>2.2 Epidemiology of Falls Among Older Adults</w:t>
            </w:r>
            <w:r>
              <w:rPr>
                <w:noProof/>
                <w:webHidden/>
              </w:rPr>
              <w:tab/>
            </w:r>
            <w:r>
              <w:rPr>
                <w:noProof/>
                <w:webHidden/>
              </w:rPr>
              <w:fldChar w:fldCharType="begin"/>
            </w:r>
            <w:r>
              <w:rPr>
                <w:noProof/>
                <w:webHidden/>
              </w:rPr>
              <w:instrText xml:space="preserve"> PAGEREF _Toc219805112 \h </w:instrText>
            </w:r>
            <w:r>
              <w:rPr>
                <w:noProof/>
                <w:webHidden/>
              </w:rPr>
            </w:r>
            <w:r>
              <w:rPr>
                <w:noProof/>
                <w:webHidden/>
              </w:rPr>
              <w:fldChar w:fldCharType="separate"/>
            </w:r>
            <w:r>
              <w:rPr>
                <w:noProof/>
                <w:webHidden/>
              </w:rPr>
              <w:t>16</w:t>
            </w:r>
            <w:r>
              <w:rPr>
                <w:noProof/>
                <w:webHidden/>
              </w:rPr>
              <w:fldChar w:fldCharType="end"/>
            </w:r>
          </w:hyperlink>
        </w:p>
        <w:p w14:paraId="2EECEA45" w14:textId="2729232B" w:rsidR="002F340F" w:rsidRDefault="002F340F">
          <w:pPr>
            <w:pStyle w:val="TOC3"/>
            <w:tabs>
              <w:tab w:val="right" w:leader="dot" w:pos="8302"/>
            </w:tabs>
            <w:rPr>
              <w:rFonts w:eastAsiaTheme="minorEastAsia"/>
              <w:noProof/>
              <w:lang w:eastAsia="en-IN"/>
            </w:rPr>
          </w:pPr>
          <w:hyperlink w:anchor="_Toc219805113" w:history="1">
            <w:r w:rsidRPr="00467CF0">
              <w:rPr>
                <w:rStyle w:val="Hyperlink"/>
                <w:rFonts w:ascii="Arial" w:hAnsi="Arial" w:cs="Arial"/>
                <w:b/>
                <w:bCs/>
                <w:noProof/>
              </w:rPr>
              <w:t>2.2.1 Global Epidemiology</w:t>
            </w:r>
            <w:r>
              <w:rPr>
                <w:noProof/>
                <w:webHidden/>
              </w:rPr>
              <w:tab/>
            </w:r>
            <w:r>
              <w:rPr>
                <w:noProof/>
                <w:webHidden/>
              </w:rPr>
              <w:fldChar w:fldCharType="begin"/>
            </w:r>
            <w:r>
              <w:rPr>
                <w:noProof/>
                <w:webHidden/>
              </w:rPr>
              <w:instrText xml:space="preserve"> PAGEREF _Toc219805113 \h </w:instrText>
            </w:r>
            <w:r>
              <w:rPr>
                <w:noProof/>
                <w:webHidden/>
              </w:rPr>
            </w:r>
            <w:r>
              <w:rPr>
                <w:noProof/>
                <w:webHidden/>
              </w:rPr>
              <w:fldChar w:fldCharType="separate"/>
            </w:r>
            <w:r>
              <w:rPr>
                <w:noProof/>
                <w:webHidden/>
              </w:rPr>
              <w:t>16</w:t>
            </w:r>
            <w:r>
              <w:rPr>
                <w:noProof/>
                <w:webHidden/>
              </w:rPr>
              <w:fldChar w:fldCharType="end"/>
            </w:r>
          </w:hyperlink>
        </w:p>
        <w:p w14:paraId="51E42352" w14:textId="082A08C5" w:rsidR="002F340F" w:rsidRDefault="002F340F">
          <w:pPr>
            <w:pStyle w:val="TOC2"/>
            <w:tabs>
              <w:tab w:val="right" w:leader="dot" w:pos="8302"/>
            </w:tabs>
            <w:rPr>
              <w:rFonts w:eastAsiaTheme="minorEastAsia"/>
              <w:noProof/>
              <w:lang w:eastAsia="en-IN"/>
            </w:rPr>
          </w:pPr>
          <w:hyperlink w:anchor="_Toc219805114" w:history="1">
            <w:r w:rsidRPr="00467CF0">
              <w:rPr>
                <w:rStyle w:val="Hyperlink"/>
                <w:rFonts w:ascii="Arial" w:hAnsi="Arial" w:cs="Arial"/>
                <w:b/>
                <w:bCs/>
                <w:noProof/>
              </w:rPr>
              <w:t>2.2.2 Epidemiology in the United Kingdom</w:t>
            </w:r>
            <w:r>
              <w:rPr>
                <w:noProof/>
                <w:webHidden/>
              </w:rPr>
              <w:tab/>
            </w:r>
            <w:r>
              <w:rPr>
                <w:noProof/>
                <w:webHidden/>
              </w:rPr>
              <w:fldChar w:fldCharType="begin"/>
            </w:r>
            <w:r>
              <w:rPr>
                <w:noProof/>
                <w:webHidden/>
              </w:rPr>
              <w:instrText xml:space="preserve"> PAGEREF _Toc219805114 \h </w:instrText>
            </w:r>
            <w:r>
              <w:rPr>
                <w:noProof/>
                <w:webHidden/>
              </w:rPr>
            </w:r>
            <w:r>
              <w:rPr>
                <w:noProof/>
                <w:webHidden/>
              </w:rPr>
              <w:fldChar w:fldCharType="separate"/>
            </w:r>
            <w:r>
              <w:rPr>
                <w:noProof/>
                <w:webHidden/>
              </w:rPr>
              <w:t>17</w:t>
            </w:r>
            <w:r>
              <w:rPr>
                <w:noProof/>
                <w:webHidden/>
              </w:rPr>
              <w:fldChar w:fldCharType="end"/>
            </w:r>
          </w:hyperlink>
        </w:p>
        <w:p w14:paraId="382BDADB" w14:textId="25A4019A" w:rsidR="002F340F" w:rsidRDefault="002F340F">
          <w:pPr>
            <w:pStyle w:val="TOC3"/>
            <w:tabs>
              <w:tab w:val="right" w:leader="dot" w:pos="8302"/>
            </w:tabs>
            <w:rPr>
              <w:rFonts w:eastAsiaTheme="minorEastAsia"/>
              <w:noProof/>
              <w:lang w:eastAsia="en-IN"/>
            </w:rPr>
          </w:pPr>
          <w:hyperlink w:anchor="_Toc219805115" w:history="1">
            <w:r w:rsidRPr="00467CF0">
              <w:rPr>
                <w:rStyle w:val="Hyperlink"/>
                <w:rFonts w:ascii="Arial" w:hAnsi="Arial" w:cs="Arial"/>
                <w:b/>
                <w:bCs/>
                <w:noProof/>
              </w:rPr>
              <w:t>2.2.3 Urban and Metropolitan England Context</w:t>
            </w:r>
            <w:r>
              <w:rPr>
                <w:noProof/>
                <w:webHidden/>
              </w:rPr>
              <w:tab/>
            </w:r>
            <w:r>
              <w:rPr>
                <w:noProof/>
                <w:webHidden/>
              </w:rPr>
              <w:fldChar w:fldCharType="begin"/>
            </w:r>
            <w:r>
              <w:rPr>
                <w:noProof/>
                <w:webHidden/>
              </w:rPr>
              <w:instrText xml:space="preserve"> PAGEREF _Toc219805115 \h </w:instrText>
            </w:r>
            <w:r>
              <w:rPr>
                <w:noProof/>
                <w:webHidden/>
              </w:rPr>
            </w:r>
            <w:r>
              <w:rPr>
                <w:noProof/>
                <w:webHidden/>
              </w:rPr>
              <w:fldChar w:fldCharType="separate"/>
            </w:r>
            <w:r>
              <w:rPr>
                <w:noProof/>
                <w:webHidden/>
              </w:rPr>
              <w:t>18</w:t>
            </w:r>
            <w:r>
              <w:rPr>
                <w:noProof/>
                <w:webHidden/>
              </w:rPr>
              <w:fldChar w:fldCharType="end"/>
            </w:r>
          </w:hyperlink>
        </w:p>
        <w:p w14:paraId="0577C3C7" w14:textId="2C5B248A" w:rsidR="002F340F" w:rsidRDefault="002F340F">
          <w:pPr>
            <w:pStyle w:val="TOC2"/>
            <w:tabs>
              <w:tab w:val="right" w:leader="dot" w:pos="8302"/>
            </w:tabs>
            <w:rPr>
              <w:rFonts w:eastAsiaTheme="minorEastAsia"/>
              <w:noProof/>
              <w:lang w:eastAsia="en-IN"/>
            </w:rPr>
          </w:pPr>
          <w:hyperlink w:anchor="_Toc219805116" w:history="1">
            <w:r w:rsidRPr="00467CF0">
              <w:rPr>
                <w:rStyle w:val="Hyperlink"/>
                <w:rFonts w:ascii="Arial" w:hAnsi="Arial" w:cs="Arial"/>
                <w:b/>
                <w:bCs/>
                <w:noProof/>
              </w:rPr>
              <w:t>2.3 Risk Factors for Falls</w:t>
            </w:r>
            <w:r>
              <w:rPr>
                <w:noProof/>
                <w:webHidden/>
              </w:rPr>
              <w:tab/>
            </w:r>
            <w:r>
              <w:rPr>
                <w:noProof/>
                <w:webHidden/>
              </w:rPr>
              <w:fldChar w:fldCharType="begin"/>
            </w:r>
            <w:r>
              <w:rPr>
                <w:noProof/>
                <w:webHidden/>
              </w:rPr>
              <w:instrText xml:space="preserve"> PAGEREF _Toc219805116 \h </w:instrText>
            </w:r>
            <w:r>
              <w:rPr>
                <w:noProof/>
                <w:webHidden/>
              </w:rPr>
            </w:r>
            <w:r>
              <w:rPr>
                <w:noProof/>
                <w:webHidden/>
              </w:rPr>
              <w:fldChar w:fldCharType="separate"/>
            </w:r>
            <w:r>
              <w:rPr>
                <w:noProof/>
                <w:webHidden/>
              </w:rPr>
              <w:t>19</w:t>
            </w:r>
            <w:r>
              <w:rPr>
                <w:noProof/>
                <w:webHidden/>
              </w:rPr>
              <w:fldChar w:fldCharType="end"/>
            </w:r>
          </w:hyperlink>
        </w:p>
        <w:p w14:paraId="5E9E4FF4" w14:textId="68797D8B" w:rsidR="002F340F" w:rsidRDefault="002F340F">
          <w:pPr>
            <w:pStyle w:val="TOC3"/>
            <w:tabs>
              <w:tab w:val="right" w:leader="dot" w:pos="8302"/>
            </w:tabs>
            <w:rPr>
              <w:rFonts w:eastAsiaTheme="minorEastAsia"/>
              <w:noProof/>
              <w:lang w:eastAsia="en-IN"/>
            </w:rPr>
          </w:pPr>
          <w:hyperlink w:anchor="_Toc219805117" w:history="1">
            <w:r w:rsidRPr="00467CF0">
              <w:rPr>
                <w:rStyle w:val="Hyperlink"/>
                <w:rFonts w:ascii="Arial" w:hAnsi="Arial" w:cs="Arial"/>
                <w:b/>
                <w:bCs/>
                <w:noProof/>
              </w:rPr>
              <w:t>2.3.1 Intrinsic Risk Factors</w:t>
            </w:r>
            <w:r>
              <w:rPr>
                <w:noProof/>
                <w:webHidden/>
              </w:rPr>
              <w:tab/>
            </w:r>
            <w:r>
              <w:rPr>
                <w:noProof/>
                <w:webHidden/>
              </w:rPr>
              <w:fldChar w:fldCharType="begin"/>
            </w:r>
            <w:r>
              <w:rPr>
                <w:noProof/>
                <w:webHidden/>
              </w:rPr>
              <w:instrText xml:space="preserve"> PAGEREF _Toc219805117 \h </w:instrText>
            </w:r>
            <w:r>
              <w:rPr>
                <w:noProof/>
                <w:webHidden/>
              </w:rPr>
            </w:r>
            <w:r>
              <w:rPr>
                <w:noProof/>
                <w:webHidden/>
              </w:rPr>
              <w:fldChar w:fldCharType="separate"/>
            </w:r>
            <w:r>
              <w:rPr>
                <w:noProof/>
                <w:webHidden/>
              </w:rPr>
              <w:t>19</w:t>
            </w:r>
            <w:r>
              <w:rPr>
                <w:noProof/>
                <w:webHidden/>
              </w:rPr>
              <w:fldChar w:fldCharType="end"/>
            </w:r>
          </w:hyperlink>
        </w:p>
        <w:p w14:paraId="7A6E395A" w14:textId="7390BBFF" w:rsidR="002F340F" w:rsidRDefault="002F340F">
          <w:pPr>
            <w:pStyle w:val="TOC3"/>
            <w:tabs>
              <w:tab w:val="right" w:leader="dot" w:pos="8302"/>
            </w:tabs>
            <w:rPr>
              <w:rFonts w:eastAsiaTheme="minorEastAsia"/>
              <w:noProof/>
              <w:lang w:eastAsia="en-IN"/>
            </w:rPr>
          </w:pPr>
          <w:hyperlink w:anchor="_Toc219805118" w:history="1">
            <w:r w:rsidRPr="00467CF0">
              <w:rPr>
                <w:rStyle w:val="Hyperlink"/>
                <w:rFonts w:ascii="Arial" w:hAnsi="Arial" w:cs="Arial"/>
                <w:b/>
                <w:bCs/>
                <w:noProof/>
              </w:rPr>
              <w:t>2.3.2 Extrinsic (Environmental) Risk Factors</w:t>
            </w:r>
            <w:r>
              <w:rPr>
                <w:noProof/>
                <w:webHidden/>
              </w:rPr>
              <w:tab/>
            </w:r>
            <w:r>
              <w:rPr>
                <w:noProof/>
                <w:webHidden/>
              </w:rPr>
              <w:fldChar w:fldCharType="begin"/>
            </w:r>
            <w:r>
              <w:rPr>
                <w:noProof/>
                <w:webHidden/>
              </w:rPr>
              <w:instrText xml:space="preserve"> PAGEREF _Toc219805118 \h </w:instrText>
            </w:r>
            <w:r>
              <w:rPr>
                <w:noProof/>
                <w:webHidden/>
              </w:rPr>
            </w:r>
            <w:r>
              <w:rPr>
                <w:noProof/>
                <w:webHidden/>
              </w:rPr>
              <w:fldChar w:fldCharType="separate"/>
            </w:r>
            <w:r>
              <w:rPr>
                <w:noProof/>
                <w:webHidden/>
              </w:rPr>
              <w:t>20</w:t>
            </w:r>
            <w:r>
              <w:rPr>
                <w:noProof/>
                <w:webHidden/>
              </w:rPr>
              <w:fldChar w:fldCharType="end"/>
            </w:r>
          </w:hyperlink>
        </w:p>
        <w:p w14:paraId="719B193E" w14:textId="2F4D1F95" w:rsidR="002F340F" w:rsidRDefault="002F340F">
          <w:pPr>
            <w:pStyle w:val="TOC3"/>
            <w:tabs>
              <w:tab w:val="right" w:leader="dot" w:pos="8302"/>
            </w:tabs>
            <w:rPr>
              <w:rFonts w:eastAsiaTheme="minorEastAsia"/>
              <w:noProof/>
              <w:lang w:eastAsia="en-IN"/>
            </w:rPr>
          </w:pPr>
          <w:hyperlink w:anchor="_Toc219805119" w:history="1">
            <w:r w:rsidRPr="00467CF0">
              <w:rPr>
                <w:rStyle w:val="Hyperlink"/>
                <w:rFonts w:ascii="Arial" w:hAnsi="Arial" w:cs="Arial"/>
                <w:b/>
                <w:bCs/>
                <w:noProof/>
              </w:rPr>
              <w:t>2.3.3 Behavioural Risk Factors</w:t>
            </w:r>
            <w:r>
              <w:rPr>
                <w:noProof/>
                <w:webHidden/>
              </w:rPr>
              <w:tab/>
            </w:r>
            <w:r>
              <w:rPr>
                <w:noProof/>
                <w:webHidden/>
              </w:rPr>
              <w:fldChar w:fldCharType="begin"/>
            </w:r>
            <w:r>
              <w:rPr>
                <w:noProof/>
                <w:webHidden/>
              </w:rPr>
              <w:instrText xml:space="preserve"> PAGEREF _Toc219805119 \h </w:instrText>
            </w:r>
            <w:r>
              <w:rPr>
                <w:noProof/>
                <w:webHidden/>
              </w:rPr>
            </w:r>
            <w:r>
              <w:rPr>
                <w:noProof/>
                <w:webHidden/>
              </w:rPr>
              <w:fldChar w:fldCharType="separate"/>
            </w:r>
            <w:r>
              <w:rPr>
                <w:noProof/>
                <w:webHidden/>
              </w:rPr>
              <w:t>20</w:t>
            </w:r>
            <w:r>
              <w:rPr>
                <w:noProof/>
                <w:webHidden/>
              </w:rPr>
              <w:fldChar w:fldCharType="end"/>
            </w:r>
          </w:hyperlink>
        </w:p>
        <w:p w14:paraId="662460EC" w14:textId="623D611A" w:rsidR="002F340F" w:rsidRDefault="002F340F">
          <w:pPr>
            <w:pStyle w:val="TOC3"/>
            <w:tabs>
              <w:tab w:val="right" w:leader="dot" w:pos="8302"/>
            </w:tabs>
            <w:rPr>
              <w:rFonts w:eastAsiaTheme="minorEastAsia"/>
              <w:noProof/>
              <w:lang w:eastAsia="en-IN"/>
            </w:rPr>
          </w:pPr>
          <w:hyperlink w:anchor="_Toc219805120" w:history="1">
            <w:r w:rsidRPr="00467CF0">
              <w:rPr>
                <w:rStyle w:val="Hyperlink"/>
                <w:rFonts w:ascii="Arial" w:hAnsi="Arial" w:cs="Arial"/>
                <w:b/>
                <w:bCs/>
                <w:noProof/>
              </w:rPr>
              <w:t>2.3.4 Socioeconomic &amp; Cultural Determinants</w:t>
            </w:r>
            <w:r>
              <w:rPr>
                <w:noProof/>
                <w:webHidden/>
              </w:rPr>
              <w:tab/>
            </w:r>
            <w:r>
              <w:rPr>
                <w:noProof/>
                <w:webHidden/>
              </w:rPr>
              <w:fldChar w:fldCharType="begin"/>
            </w:r>
            <w:r>
              <w:rPr>
                <w:noProof/>
                <w:webHidden/>
              </w:rPr>
              <w:instrText xml:space="preserve"> PAGEREF _Toc219805120 \h </w:instrText>
            </w:r>
            <w:r>
              <w:rPr>
                <w:noProof/>
                <w:webHidden/>
              </w:rPr>
            </w:r>
            <w:r>
              <w:rPr>
                <w:noProof/>
                <w:webHidden/>
              </w:rPr>
              <w:fldChar w:fldCharType="separate"/>
            </w:r>
            <w:r>
              <w:rPr>
                <w:noProof/>
                <w:webHidden/>
              </w:rPr>
              <w:t>20</w:t>
            </w:r>
            <w:r>
              <w:rPr>
                <w:noProof/>
                <w:webHidden/>
              </w:rPr>
              <w:fldChar w:fldCharType="end"/>
            </w:r>
          </w:hyperlink>
        </w:p>
        <w:p w14:paraId="1CA73240" w14:textId="426E7EFD" w:rsidR="002F340F" w:rsidRDefault="002F340F">
          <w:pPr>
            <w:pStyle w:val="TOC3"/>
            <w:tabs>
              <w:tab w:val="right" w:leader="dot" w:pos="8302"/>
            </w:tabs>
            <w:rPr>
              <w:rFonts w:eastAsiaTheme="minorEastAsia"/>
              <w:noProof/>
              <w:lang w:eastAsia="en-IN"/>
            </w:rPr>
          </w:pPr>
          <w:hyperlink w:anchor="_Toc219805121" w:history="1">
            <w:r w:rsidRPr="00467CF0">
              <w:rPr>
                <w:rStyle w:val="Hyperlink"/>
                <w:rFonts w:ascii="Arial" w:hAnsi="Arial" w:cs="Arial"/>
                <w:b/>
                <w:bCs/>
                <w:noProof/>
              </w:rPr>
              <w:t>2.3.5 Interaction Between Risk Factors</w:t>
            </w:r>
            <w:r>
              <w:rPr>
                <w:noProof/>
                <w:webHidden/>
              </w:rPr>
              <w:tab/>
            </w:r>
            <w:r>
              <w:rPr>
                <w:noProof/>
                <w:webHidden/>
              </w:rPr>
              <w:fldChar w:fldCharType="begin"/>
            </w:r>
            <w:r>
              <w:rPr>
                <w:noProof/>
                <w:webHidden/>
              </w:rPr>
              <w:instrText xml:space="preserve"> PAGEREF _Toc219805121 \h </w:instrText>
            </w:r>
            <w:r>
              <w:rPr>
                <w:noProof/>
                <w:webHidden/>
              </w:rPr>
            </w:r>
            <w:r>
              <w:rPr>
                <w:noProof/>
                <w:webHidden/>
              </w:rPr>
              <w:fldChar w:fldCharType="separate"/>
            </w:r>
            <w:r>
              <w:rPr>
                <w:noProof/>
                <w:webHidden/>
              </w:rPr>
              <w:t>21</w:t>
            </w:r>
            <w:r>
              <w:rPr>
                <w:noProof/>
                <w:webHidden/>
              </w:rPr>
              <w:fldChar w:fldCharType="end"/>
            </w:r>
          </w:hyperlink>
        </w:p>
        <w:p w14:paraId="553F8609" w14:textId="420E8B09" w:rsidR="002F340F" w:rsidRDefault="002F340F">
          <w:pPr>
            <w:pStyle w:val="TOC2"/>
            <w:tabs>
              <w:tab w:val="right" w:leader="dot" w:pos="8302"/>
            </w:tabs>
            <w:rPr>
              <w:rFonts w:eastAsiaTheme="minorEastAsia"/>
              <w:noProof/>
              <w:lang w:eastAsia="en-IN"/>
            </w:rPr>
          </w:pPr>
          <w:hyperlink w:anchor="_Toc219805122" w:history="1">
            <w:r w:rsidRPr="00467CF0">
              <w:rPr>
                <w:rStyle w:val="Hyperlink"/>
                <w:rFonts w:ascii="Arial" w:hAnsi="Arial" w:cs="Arial"/>
                <w:b/>
                <w:bCs/>
                <w:noProof/>
              </w:rPr>
              <w:t>2.4 The Role of Physiotherapy in Fall Prevention</w:t>
            </w:r>
            <w:r>
              <w:rPr>
                <w:noProof/>
                <w:webHidden/>
              </w:rPr>
              <w:tab/>
            </w:r>
            <w:r>
              <w:rPr>
                <w:noProof/>
                <w:webHidden/>
              </w:rPr>
              <w:fldChar w:fldCharType="begin"/>
            </w:r>
            <w:r>
              <w:rPr>
                <w:noProof/>
                <w:webHidden/>
              </w:rPr>
              <w:instrText xml:space="preserve"> PAGEREF _Toc219805122 \h </w:instrText>
            </w:r>
            <w:r>
              <w:rPr>
                <w:noProof/>
                <w:webHidden/>
              </w:rPr>
            </w:r>
            <w:r>
              <w:rPr>
                <w:noProof/>
                <w:webHidden/>
              </w:rPr>
              <w:fldChar w:fldCharType="separate"/>
            </w:r>
            <w:r>
              <w:rPr>
                <w:noProof/>
                <w:webHidden/>
              </w:rPr>
              <w:t>21</w:t>
            </w:r>
            <w:r>
              <w:rPr>
                <w:noProof/>
                <w:webHidden/>
              </w:rPr>
              <w:fldChar w:fldCharType="end"/>
            </w:r>
          </w:hyperlink>
        </w:p>
        <w:p w14:paraId="0105D75F" w14:textId="5A908570" w:rsidR="002F340F" w:rsidRDefault="002F340F">
          <w:pPr>
            <w:pStyle w:val="TOC3"/>
            <w:tabs>
              <w:tab w:val="right" w:leader="dot" w:pos="8302"/>
            </w:tabs>
            <w:rPr>
              <w:rFonts w:eastAsiaTheme="minorEastAsia"/>
              <w:noProof/>
              <w:lang w:eastAsia="en-IN"/>
            </w:rPr>
          </w:pPr>
          <w:hyperlink w:anchor="_Toc219805123" w:history="1">
            <w:r w:rsidRPr="00467CF0">
              <w:rPr>
                <w:rStyle w:val="Hyperlink"/>
                <w:rFonts w:ascii="Arial" w:hAnsi="Arial" w:cs="Arial"/>
                <w:b/>
                <w:bCs/>
                <w:noProof/>
              </w:rPr>
              <w:t>2.4.1 Exercise-Based Physiotherapy Interventions</w:t>
            </w:r>
            <w:r>
              <w:rPr>
                <w:noProof/>
                <w:webHidden/>
              </w:rPr>
              <w:tab/>
            </w:r>
            <w:r>
              <w:rPr>
                <w:noProof/>
                <w:webHidden/>
              </w:rPr>
              <w:fldChar w:fldCharType="begin"/>
            </w:r>
            <w:r>
              <w:rPr>
                <w:noProof/>
                <w:webHidden/>
              </w:rPr>
              <w:instrText xml:space="preserve"> PAGEREF _Toc219805123 \h </w:instrText>
            </w:r>
            <w:r>
              <w:rPr>
                <w:noProof/>
                <w:webHidden/>
              </w:rPr>
            </w:r>
            <w:r>
              <w:rPr>
                <w:noProof/>
                <w:webHidden/>
              </w:rPr>
              <w:fldChar w:fldCharType="separate"/>
            </w:r>
            <w:r>
              <w:rPr>
                <w:noProof/>
                <w:webHidden/>
              </w:rPr>
              <w:t>21</w:t>
            </w:r>
            <w:r>
              <w:rPr>
                <w:noProof/>
                <w:webHidden/>
              </w:rPr>
              <w:fldChar w:fldCharType="end"/>
            </w:r>
          </w:hyperlink>
        </w:p>
        <w:p w14:paraId="582411A8" w14:textId="63A2F353" w:rsidR="002F340F" w:rsidRDefault="002F340F">
          <w:pPr>
            <w:pStyle w:val="TOC3"/>
            <w:tabs>
              <w:tab w:val="right" w:leader="dot" w:pos="8302"/>
            </w:tabs>
            <w:rPr>
              <w:rFonts w:eastAsiaTheme="minorEastAsia"/>
              <w:noProof/>
              <w:lang w:eastAsia="en-IN"/>
            </w:rPr>
          </w:pPr>
          <w:hyperlink w:anchor="_Toc219805124" w:history="1">
            <w:r w:rsidRPr="00467CF0">
              <w:rPr>
                <w:rStyle w:val="Hyperlink"/>
                <w:rFonts w:ascii="Arial" w:hAnsi="Arial" w:cs="Arial"/>
                <w:b/>
                <w:bCs/>
                <w:noProof/>
              </w:rPr>
              <w:t>2.4.2 Home and Environmental Assessments</w:t>
            </w:r>
            <w:r>
              <w:rPr>
                <w:noProof/>
                <w:webHidden/>
              </w:rPr>
              <w:tab/>
            </w:r>
            <w:r>
              <w:rPr>
                <w:noProof/>
                <w:webHidden/>
              </w:rPr>
              <w:fldChar w:fldCharType="begin"/>
            </w:r>
            <w:r>
              <w:rPr>
                <w:noProof/>
                <w:webHidden/>
              </w:rPr>
              <w:instrText xml:space="preserve"> PAGEREF _Toc219805124 \h </w:instrText>
            </w:r>
            <w:r>
              <w:rPr>
                <w:noProof/>
                <w:webHidden/>
              </w:rPr>
            </w:r>
            <w:r>
              <w:rPr>
                <w:noProof/>
                <w:webHidden/>
              </w:rPr>
              <w:fldChar w:fldCharType="separate"/>
            </w:r>
            <w:r>
              <w:rPr>
                <w:noProof/>
                <w:webHidden/>
              </w:rPr>
              <w:t>22</w:t>
            </w:r>
            <w:r>
              <w:rPr>
                <w:noProof/>
                <w:webHidden/>
              </w:rPr>
              <w:fldChar w:fldCharType="end"/>
            </w:r>
          </w:hyperlink>
        </w:p>
        <w:p w14:paraId="7AC63212" w14:textId="0D6745B8" w:rsidR="002F340F" w:rsidRDefault="002F340F">
          <w:pPr>
            <w:pStyle w:val="TOC3"/>
            <w:tabs>
              <w:tab w:val="right" w:leader="dot" w:pos="8302"/>
            </w:tabs>
            <w:rPr>
              <w:rFonts w:eastAsiaTheme="minorEastAsia"/>
              <w:noProof/>
              <w:lang w:eastAsia="en-IN"/>
            </w:rPr>
          </w:pPr>
          <w:hyperlink w:anchor="_Toc219805125" w:history="1">
            <w:r w:rsidRPr="00467CF0">
              <w:rPr>
                <w:rStyle w:val="Hyperlink"/>
                <w:rFonts w:ascii="Arial" w:hAnsi="Arial" w:cs="Arial"/>
                <w:b/>
                <w:bCs/>
                <w:noProof/>
              </w:rPr>
              <w:t>2.4.3 Multidisciplinary Collaboration</w:t>
            </w:r>
            <w:r>
              <w:rPr>
                <w:noProof/>
                <w:webHidden/>
              </w:rPr>
              <w:tab/>
            </w:r>
            <w:r>
              <w:rPr>
                <w:noProof/>
                <w:webHidden/>
              </w:rPr>
              <w:fldChar w:fldCharType="begin"/>
            </w:r>
            <w:r>
              <w:rPr>
                <w:noProof/>
                <w:webHidden/>
              </w:rPr>
              <w:instrText xml:space="preserve"> PAGEREF _Toc219805125 \h </w:instrText>
            </w:r>
            <w:r>
              <w:rPr>
                <w:noProof/>
                <w:webHidden/>
              </w:rPr>
            </w:r>
            <w:r>
              <w:rPr>
                <w:noProof/>
                <w:webHidden/>
              </w:rPr>
              <w:fldChar w:fldCharType="separate"/>
            </w:r>
            <w:r>
              <w:rPr>
                <w:noProof/>
                <w:webHidden/>
              </w:rPr>
              <w:t>23</w:t>
            </w:r>
            <w:r>
              <w:rPr>
                <w:noProof/>
                <w:webHidden/>
              </w:rPr>
              <w:fldChar w:fldCharType="end"/>
            </w:r>
          </w:hyperlink>
        </w:p>
        <w:p w14:paraId="207BD241" w14:textId="3394A5E9" w:rsidR="002F340F" w:rsidRDefault="002F340F">
          <w:pPr>
            <w:pStyle w:val="TOC3"/>
            <w:tabs>
              <w:tab w:val="right" w:leader="dot" w:pos="8302"/>
            </w:tabs>
            <w:rPr>
              <w:rFonts w:eastAsiaTheme="minorEastAsia"/>
              <w:noProof/>
              <w:lang w:eastAsia="en-IN"/>
            </w:rPr>
          </w:pPr>
          <w:hyperlink w:anchor="_Toc219805126" w:history="1">
            <w:r w:rsidRPr="00467CF0">
              <w:rPr>
                <w:rStyle w:val="Hyperlink"/>
                <w:rFonts w:ascii="Arial" w:hAnsi="Arial" w:cs="Arial"/>
                <w:b/>
                <w:bCs/>
                <w:noProof/>
              </w:rPr>
              <w:t>2.4.4 Behavioural Coaching and Adherence</w:t>
            </w:r>
            <w:r>
              <w:rPr>
                <w:noProof/>
                <w:webHidden/>
              </w:rPr>
              <w:tab/>
            </w:r>
            <w:r>
              <w:rPr>
                <w:noProof/>
                <w:webHidden/>
              </w:rPr>
              <w:fldChar w:fldCharType="begin"/>
            </w:r>
            <w:r>
              <w:rPr>
                <w:noProof/>
                <w:webHidden/>
              </w:rPr>
              <w:instrText xml:space="preserve"> PAGEREF _Toc219805126 \h </w:instrText>
            </w:r>
            <w:r>
              <w:rPr>
                <w:noProof/>
                <w:webHidden/>
              </w:rPr>
            </w:r>
            <w:r>
              <w:rPr>
                <w:noProof/>
                <w:webHidden/>
              </w:rPr>
              <w:fldChar w:fldCharType="separate"/>
            </w:r>
            <w:r>
              <w:rPr>
                <w:noProof/>
                <w:webHidden/>
              </w:rPr>
              <w:t>23</w:t>
            </w:r>
            <w:r>
              <w:rPr>
                <w:noProof/>
                <w:webHidden/>
              </w:rPr>
              <w:fldChar w:fldCharType="end"/>
            </w:r>
          </w:hyperlink>
        </w:p>
        <w:p w14:paraId="493DC8E0" w14:textId="66B71A27" w:rsidR="002F340F" w:rsidRDefault="002F340F">
          <w:pPr>
            <w:pStyle w:val="TOC2"/>
            <w:tabs>
              <w:tab w:val="right" w:leader="dot" w:pos="8302"/>
            </w:tabs>
            <w:rPr>
              <w:rFonts w:eastAsiaTheme="minorEastAsia"/>
              <w:noProof/>
              <w:lang w:eastAsia="en-IN"/>
            </w:rPr>
          </w:pPr>
          <w:hyperlink w:anchor="_Toc219805127" w:history="1">
            <w:r w:rsidRPr="00467CF0">
              <w:rPr>
                <w:rStyle w:val="Hyperlink"/>
                <w:rFonts w:ascii="Arial" w:hAnsi="Arial" w:cs="Arial"/>
                <w:b/>
                <w:bCs/>
                <w:noProof/>
              </w:rPr>
              <w:t>2.5 Community-Based Physiotherapy Interventions</w:t>
            </w:r>
            <w:r>
              <w:rPr>
                <w:noProof/>
                <w:webHidden/>
              </w:rPr>
              <w:tab/>
            </w:r>
            <w:r>
              <w:rPr>
                <w:noProof/>
                <w:webHidden/>
              </w:rPr>
              <w:fldChar w:fldCharType="begin"/>
            </w:r>
            <w:r>
              <w:rPr>
                <w:noProof/>
                <w:webHidden/>
              </w:rPr>
              <w:instrText xml:space="preserve"> PAGEREF _Toc219805127 \h </w:instrText>
            </w:r>
            <w:r>
              <w:rPr>
                <w:noProof/>
                <w:webHidden/>
              </w:rPr>
            </w:r>
            <w:r>
              <w:rPr>
                <w:noProof/>
                <w:webHidden/>
              </w:rPr>
              <w:fldChar w:fldCharType="separate"/>
            </w:r>
            <w:r>
              <w:rPr>
                <w:noProof/>
                <w:webHidden/>
              </w:rPr>
              <w:t>23</w:t>
            </w:r>
            <w:r>
              <w:rPr>
                <w:noProof/>
                <w:webHidden/>
              </w:rPr>
              <w:fldChar w:fldCharType="end"/>
            </w:r>
          </w:hyperlink>
        </w:p>
        <w:p w14:paraId="62501B3B" w14:textId="764C77F1" w:rsidR="002F340F" w:rsidRDefault="002F340F">
          <w:pPr>
            <w:pStyle w:val="TOC3"/>
            <w:tabs>
              <w:tab w:val="right" w:leader="dot" w:pos="8302"/>
            </w:tabs>
            <w:rPr>
              <w:rFonts w:eastAsiaTheme="minorEastAsia"/>
              <w:noProof/>
              <w:lang w:eastAsia="en-IN"/>
            </w:rPr>
          </w:pPr>
          <w:hyperlink w:anchor="_Toc219805128" w:history="1">
            <w:r w:rsidRPr="00467CF0">
              <w:rPr>
                <w:rStyle w:val="Hyperlink"/>
                <w:rFonts w:ascii="Arial" w:hAnsi="Arial" w:cs="Arial"/>
                <w:b/>
                <w:bCs/>
                <w:noProof/>
              </w:rPr>
              <w:t>2.5.1 Models of Community Delivery</w:t>
            </w:r>
            <w:r>
              <w:rPr>
                <w:noProof/>
                <w:webHidden/>
              </w:rPr>
              <w:tab/>
            </w:r>
            <w:r>
              <w:rPr>
                <w:noProof/>
                <w:webHidden/>
              </w:rPr>
              <w:fldChar w:fldCharType="begin"/>
            </w:r>
            <w:r>
              <w:rPr>
                <w:noProof/>
                <w:webHidden/>
              </w:rPr>
              <w:instrText xml:space="preserve"> PAGEREF _Toc219805128 \h </w:instrText>
            </w:r>
            <w:r>
              <w:rPr>
                <w:noProof/>
                <w:webHidden/>
              </w:rPr>
            </w:r>
            <w:r>
              <w:rPr>
                <w:noProof/>
                <w:webHidden/>
              </w:rPr>
              <w:fldChar w:fldCharType="separate"/>
            </w:r>
            <w:r>
              <w:rPr>
                <w:noProof/>
                <w:webHidden/>
              </w:rPr>
              <w:t>23</w:t>
            </w:r>
            <w:r>
              <w:rPr>
                <w:noProof/>
                <w:webHidden/>
              </w:rPr>
              <w:fldChar w:fldCharType="end"/>
            </w:r>
          </w:hyperlink>
        </w:p>
        <w:p w14:paraId="363188D1" w14:textId="61F21B5D" w:rsidR="002F340F" w:rsidRDefault="002F340F">
          <w:pPr>
            <w:pStyle w:val="TOC3"/>
            <w:tabs>
              <w:tab w:val="right" w:leader="dot" w:pos="8302"/>
            </w:tabs>
            <w:rPr>
              <w:rFonts w:eastAsiaTheme="minorEastAsia"/>
              <w:noProof/>
              <w:lang w:eastAsia="en-IN"/>
            </w:rPr>
          </w:pPr>
          <w:hyperlink w:anchor="_Toc219805129" w:history="1">
            <w:r w:rsidRPr="00467CF0">
              <w:rPr>
                <w:rStyle w:val="Hyperlink"/>
                <w:rFonts w:ascii="Arial" w:hAnsi="Arial" w:cs="Arial"/>
                <w:b/>
                <w:bCs/>
                <w:noProof/>
              </w:rPr>
              <w:t>2.5.2 Barriers to Implementation</w:t>
            </w:r>
            <w:r>
              <w:rPr>
                <w:noProof/>
                <w:webHidden/>
              </w:rPr>
              <w:tab/>
            </w:r>
            <w:r>
              <w:rPr>
                <w:noProof/>
                <w:webHidden/>
              </w:rPr>
              <w:fldChar w:fldCharType="begin"/>
            </w:r>
            <w:r>
              <w:rPr>
                <w:noProof/>
                <w:webHidden/>
              </w:rPr>
              <w:instrText xml:space="preserve"> PAGEREF _Toc219805129 \h </w:instrText>
            </w:r>
            <w:r>
              <w:rPr>
                <w:noProof/>
                <w:webHidden/>
              </w:rPr>
            </w:r>
            <w:r>
              <w:rPr>
                <w:noProof/>
                <w:webHidden/>
              </w:rPr>
              <w:fldChar w:fldCharType="separate"/>
            </w:r>
            <w:r>
              <w:rPr>
                <w:noProof/>
                <w:webHidden/>
              </w:rPr>
              <w:t>24</w:t>
            </w:r>
            <w:r>
              <w:rPr>
                <w:noProof/>
                <w:webHidden/>
              </w:rPr>
              <w:fldChar w:fldCharType="end"/>
            </w:r>
          </w:hyperlink>
        </w:p>
        <w:p w14:paraId="255A805C" w14:textId="39992E54" w:rsidR="002F340F" w:rsidRDefault="002F340F">
          <w:pPr>
            <w:pStyle w:val="TOC3"/>
            <w:tabs>
              <w:tab w:val="right" w:leader="dot" w:pos="8302"/>
            </w:tabs>
            <w:rPr>
              <w:rFonts w:eastAsiaTheme="minorEastAsia"/>
              <w:noProof/>
              <w:lang w:eastAsia="en-IN"/>
            </w:rPr>
          </w:pPr>
          <w:hyperlink w:anchor="_Toc219805130" w:history="1">
            <w:r w:rsidRPr="00467CF0">
              <w:rPr>
                <w:rStyle w:val="Hyperlink"/>
                <w:rFonts w:ascii="Arial" w:hAnsi="Arial" w:cs="Arial"/>
                <w:b/>
                <w:bCs/>
                <w:noProof/>
              </w:rPr>
              <w:t>2.5.3 Facilitators to Implementation</w:t>
            </w:r>
            <w:r>
              <w:rPr>
                <w:noProof/>
                <w:webHidden/>
              </w:rPr>
              <w:tab/>
            </w:r>
            <w:r>
              <w:rPr>
                <w:noProof/>
                <w:webHidden/>
              </w:rPr>
              <w:fldChar w:fldCharType="begin"/>
            </w:r>
            <w:r>
              <w:rPr>
                <w:noProof/>
                <w:webHidden/>
              </w:rPr>
              <w:instrText xml:space="preserve"> PAGEREF _Toc219805130 \h </w:instrText>
            </w:r>
            <w:r>
              <w:rPr>
                <w:noProof/>
                <w:webHidden/>
              </w:rPr>
            </w:r>
            <w:r>
              <w:rPr>
                <w:noProof/>
                <w:webHidden/>
              </w:rPr>
              <w:fldChar w:fldCharType="separate"/>
            </w:r>
            <w:r>
              <w:rPr>
                <w:noProof/>
                <w:webHidden/>
              </w:rPr>
              <w:t>24</w:t>
            </w:r>
            <w:r>
              <w:rPr>
                <w:noProof/>
                <w:webHidden/>
              </w:rPr>
              <w:fldChar w:fldCharType="end"/>
            </w:r>
          </w:hyperlink>
        </w:p>
        <w:p w14:paraId="1BFB195F" w14:textId="5D193862" w:rsidR="002F340F" w:rsidRDefault="002F340F">
          <w:pPr>
            <w:pStyle w:val="TOC3"/>
            <w:tabs>
              <w:tab w:val="right" w:leader="dot" w:pos="8302"/>
            </w:tabs>
            <w:rPr>
              <w:rFonts w:eastAsiaTheme="minorEastAsia"/>
              <w:noProof/>
              <w:lang w:eastAsia="en-IN"/>
            </w:rPr>
          </w:pPr>
          <w:hyperlink w:anchor="_Toc219805131" w:history="1">
            <w:r w:rsidRPr="00467CF0">
              <w:rPr>
                <w:rStyle w:val="Hyperlink"/>
                <w:rFonts w:ascii="Arial" w:hAnsi="Arial" w:cs="Arial"/>
                <w:b/>
                <w:bCs/>
                <w:noProof/>
              </w:rPr>
              <w:t>2.5.4 Effectiveness of Community-Based Interventions</w:t>
            </w:r>
            <w:r>
              <w:rPr>
                <w:noProof/>
                <w:webHidden/>
              </w:rPr>
              <w:tab/>
            </w:r>
            <w:r>
              <w:rPr>
                <w:noProof/>
                <w:webHidden/>
              </w:rPr>
              <w:fldChar w:fldCharType="begin"/>
            </w:r>
            <w:r>
              <w:rPr>
                <w:noProof/>
                <w:webHidden/>
              </w:rPr>
              <w:instrText xml:space="preserve"> PAGEREF _Toc219805131 \h </w:instrText>
            </w:r>
            <w:r>
              <w:rPr>
                <w:noProof/>
                <w:webHidden/>
              </w:rPr>
            </w:r>
            <w:r>
              <w:rPr>
                <w:noProof/>
                <w:webHidden/>
              </w:rPr>
              <w:fldChar w:fldCharType="separate"/>
            </w:r>
            <w:r>
              <w:rPr>
                <w:noProof/>
                <w:webHidden/>
              </w:rPr>
              <w:t>25</w:t>
            </w:r>
            <w:r>
              <w:rPr>
                <w:noProof/>
                <w:webHidden/>
              </w:rPr>
              <w:fldChar w:fldCharType="end"/>
            </w:r>
          </w:hyperlink>
        </w:p>
        <w:p w14:paraId="0B092416" w14:textId="0BDE239A" w:rsidR="002F340F" w:rsidRDefault="002F340F">
          <w:pPr>
            <w:pStyle w:val="TOC3"/>
            <w:tabs>
              <w:tab w:val="right" w:leader="dot" w:pos="8302"/>
            </w:tabs>
            <w:rPr>
              <w:rFonts w:eastAsiaTheme="minorEastAsia"/>
              <w:noProof/>
              <w:lang w:eastAsia="en-IN"/>
            </w:rPr>
          </w:pPr>
          <w:hyperlink w:anchor="_Toc219805132" w:history="1">
            <w:r w:rsidRPr="00467CF0">
              <w:rPr>
                <w:rStyle w:val="Hyperlink"/>
                <w:rFonts w:ascii="Arial" w:hAnsi="Arial" w:cs="Arial"/>
                <w:b/>
                <w:bCs/>
                <w:noProof/>
              </w:rPr>
              <w:t>2.5.5 Equity and Access</w:t>
            </w:r>
            <w:r>
              <w:rPr>
                <w:noProof/>
                <w:webHidden/>
              </w:rPr>
              <w:tab/>
            </w:r>
            <w:r>
              <w:rPr>
                <w:noProof/>
                <w:webHidden/>
              </w:rPr>
              <w:fldChar w:fldCharType="begin"/>
            </w:r>
            <w:r>
              <w:rPr>
                <w:noProof/>
                <w:webHidden/>
              </w:rPr>
              <w:instrText xml:space="preserve"> PAGEREF _Toc219805132 \h </w:instrText>
            </w:r>
            <w:r>
              <w:rPr>
                <w:noProof/>
                <w:webHidden/>
              </w:rPr>
            </w:r>
            <w:r>
              <w:rPr>
                <w:noProof/>
                <w:webHidden/>
              </w:rPr>
              <w:fldChar w:fldCharType="separate"/>
            </w:r>
            <w:r>
              <w:rPr>
                <w:noProof/>
                <w:webHidden/>
              </w:rPr>
              <w:t>25</w:t>
            </w:r>
            <w:r>
              <w:rPr>
                <w:noProof/>
                <w:webHidden/>
              </w:rPr>
              <w:fldChar w:fldCharType="end"/>
            </w:r>
          </w:hyperlink>
        </w:p>
        <w:p w14:paraId="78BA19E9" w14:textId="369033C4" w:rsidR="002F340F" w:rsidRDefault="002F340F">
          <w:pPr>
            <w:pStyle w:val="TOC3"/>
            <w:tabs>
              <w:tab w:val="right" w:leader="dot" w:pos="8302"/>
            </w:tabs>
            <w:rPr>
              <w:rFonts w:eastAsiaTheme="minorEastAsia"/>
              <w:noProof/>
              <w:lang w:eastAsia="en-IN"/>
            </w:rPr>
          </w:pPr>
          <w:hyperlink w:anchor="_Toc219805133" w:history="1">
            <w:r w:rsidRPr="00467CF0">
              <w:rPr>
                <w:rStyle w:val="Hyperlink"/>
                <w:rFonts w:ascii="Arial" w:hAnsi="Arial" w:cs="Arial"/>
                <w:b/>
                <w:bCs/>
                <w:noProof/>
              </w:rPr>
              <w:t>2.5.6 Social Wellbeing and Engagement</w:t>
            </w:r>
            <w:r>
              <w:rPr>
                <w:noProof/>
                <w:webHidden/>
              </w:rPr>
              <w:tab/>
            </w:r>
            <w:r>
              <w:rPr>
                <w:noProof/>
                <w:webHidden/>
              </w:rPr>
              <w:fldChar w:fldCharType="begin"/>
            </w:r>
            <w:r>
              <w:rPr>
                <w:noProof/>
                <w:webHidden/>
              </w:rPr>
              <w:instrText xml:space="preserve"> PAGEREF _Toc219805133 \h </w:instrText>
            </w:r>
            <w:r>
              <w:rPr>
                <w:noProof/>
                <w:webHidden/>
              </w:rPr>
            </w:r>
            <w:r>
              <w:rPr>
                <w:noProof/>
                <w:webHidden/>
              </w:rPr>
              <w:fldChar w:fldCharType="separate"/>
            </w:r>
            <w:r>
              <w:rPr>
                <w:noProof/>
                <w:webHidden/>
              </w:rPr>
              <w:t>26</w:t>
            </w:r>
            <w:r>
              <w:rPr>
                <w:noProof/>
                <w:webHidden/>
              </w:rPr>
              <w:fldChar w:fldCharType="end"/>
            </w:r>
          </w:hyperlink>
        </w:p>
        <w:p w14:paraId="1680E925" w14:textId="183E71B9" w:rsidR="002F340F" w:rsidRDefault="002F340F">
          <w:pPr>
            <w:pStyle w:val="TOC3"/>
            <w:tabs>
              <w:tab w:val="right" w:leader="dot" w:pos="8302"/>
            </w:tabs>
            <w:rPr>
              <w:rFonts w:eastAsiaTheme="minorEastAsia"/>
              <w:noProof/>
              <w:lang w:eastAsia="en-IN"/>
            </w:rPr>
          </w:pPr>
          <w:hyperlink w:anchor="_Toc219805134" w:history="1">
            <w:r w:rsidRPr="00467CF0">
              <w:rPr>
                <w:rStyle w:val="Hyperlink"/>
                <w:rFonts w:ascii="Arial" w:hAnsi="Arial" w:cs="Arial"/>
                <w:b/>
                <w:bCs/>
                <w:noProof/>
              </w:rPr>
              <w:t>2.5.7 Sustainability and Long-Term Adherence in Community-Based Physiotherapy</w:t>
            </w:r>
            <w:r>
              <w:rPr>
                <w:noProof/>
                <w:webHidden/>
              </w:rPr>
              <w:tab/>
            </w:r>
            <w:r>
              <w:rPr>
                <w:noProof/>
                <w:webHidden/>
              </w:rPr>
              <w:fldChar w:fldCharType="begin"/>
            </w:r>
            <w:r>
              <w:rPr>
                <w:noProof/>
                <w:webHidden/>
              </w:rPr>
              <w:instrText xml:space="preserve"> PAGEREF _Toc219805134 \h </w:instrText>
            </w:r>
            <w:r>
              <w:rPr>
                <w:noProof/>
                <w:webHidden/>
              </w:rPr>
            </w:r>
            <w:r>
              <w:rPr>
                <w:noProof/>
                <w:webHidden/>
              </w:rPr>
              <w:fldChar w:fldCharType="separate"/>
            </w:r>
            <w:r>
              <w:rPr>
                <w:noProof/>
                <w:webHidden/>
              </w:rPr>
              <w:t>26</w:t>
            </w:r>
            <w:r>
              <w:rPr>
                <w:noProof/>
                <w:webHidden/>
              </w:rPr>
              <w:fldChar w:fldCharType="end"/>
            </w:r>
          </w:hyperlink>
        </w:p>
        <w:p w14:paraId="6A7D00B0" w14:textId="6A96FD24" w:rsidR="002F340F" w:rsidRDefault="002F340F">
          <w:pPr>
            <w:pStyle w:val="TOC2"/>
            <w:tabs>
              <w:tab w:val="right" w:leader="dot" w:pos="8302"/>
            </w:tabs>
            <w:rPr>
              <w:rFonts w:eastAsiaTheme="minorEastAsia"/>
              <w:noProof/>
              <w:lang w:eastAsia="en-IN"/>
            </w:rPr>
          </w:pPr>
          <w:hyperlink w:anchor="_Toc219805135" w:history="1">
            <w:r w:rsidRPr="00467CF0">
              <w:rPr>
                <w:rStyle w:val="Hyperlink"/>
                <w:rFonts w:ascii="Arial" w:hAnsi="Arial" w:cs="Arial"/>
                <w:b/>
                <w:bCs/>
                <w:noProof/>
              </w:rPr>
              <w:t>2.6 Theoretical Frameworks</w:t>
            </w:r>
            <w:r>
              <w:rPr>
                <w:noProof/>
                <w:webHidden/>
              </w:rPr>
              <w:tab/>
            </w:r>
            <w:r>
              <w:rPr>
                <w:noProof/>
                <w:webHidden/>
              </w:rPr>
              <w:fldChar w:fldCharType="begin"/>
            </w:r>
            <w:r>
              <w:rPr>
                <w:noProof/>
                <w:webHidden/>
              </w:rPr>
              <w:instrText xml:space="preserve"> PAGEREF _Toc219805135 \h </w:instrText>
            </w:r>
            <w:r>
              <w:rPr>
                <w:noProof/>
                <w:webHidden/>
              </w:rPr>
            </w:r>
            <w:r>
              <w:rPr>
                <w:noProof/>
                <w:webHidden/>
              </w:rPr>
              <w:fldChar w:fldCharType="separate"/>
            </w:r>
            <w:r>
              <w:rPr>
                <w:noProof/>
                <w:webHidden/>
              </w:rPr>
              <w:t>27</w:t>
            </w:r>
            <w:r>
              <w:rPr>
                <w:noProof/>
                <w:webHidden/>
              </w:rPr>
              <w:fldChar w:fldCharType="end"/>
            </w:r>
          </w:hyperlink>
        </w:p>
        <w:p w14:paraId="58904E61" w14:textId="14B5D8E3" w:rsidR="002F340F" w:rsidRDefault="002F340F">
          <w:pPr>
            <w:pStyle w:val="TOC3"/>
            <w:tabs>
              <w:tab w:val="right" w:leader="dot" w:pos="8302"/>
            </w:tabs>
            <w:rPr>
              <w:rFonts w:eastAsiaTheme="minorEastAsia"/>
              <w:noProof/>
              <w:lang w:eastAsia="en-IN"/>
            </w:rPr>
          </w:pPr>
          <w:hyperlink w:anchor="_Toc219805136" w:history="1">
            <w:r w:rsidRPr="00467CF0">
              <w:rPr>
                <w:rStyle w:val="Hyperlink"/>
                <w:rFonts w:ascii="Arial" w:hAnsi="Arial" w:cs="Arial"/>
                <w:b/>
                <w:bCs/>
                <w:noProof/>
              </w:rPr>
              <w:t>2.6.1 Health Belief Model (HBM)</w:t>
            </w:r>
            <w:r>
              <w:rPr>
                <w:noProof/>
                <w:webHidden/>
              </w:rPr>
              <w:tab/>
            </w:r>
            <w:r>
              <w:rPr>
                <w:noProof/>
                <w:webHidden/>
              </w:rPr>
              <w:fldChar w:fldCharType="begin"/>
            </w:r>
            <w:r>
              <w:rPr>
                <w:noProof/>
                <w:webHidden/>
              </w:rPr>
              <w:instrText xml:space="preserve"> PAGEREF _Toc219805136 \h </w:instrText>
            </w:r>
            <w:r>
              <w:rPr>
                <w:noProof/>
                <w:webHidden/>
              </w:rPr>
            </w:r>
            <w:r>
              <w:rPr>
                <w:noProof/>
                <w:webHidden/>
              </w:rPr>
              <w:fldChar w:fldCharType="separate"/>
            </w:r>
            <w:r>
              <w:rPr>
                <w:noProof/>
                <w:webHidden/>
              </w:rPr>
              <w:t>27</w:t>
            </w:r>
            <w:r>
              <w:rPr>
                <w:noProof/>
                <w:webHidden/>
              </w:rPr>
              <w:fldChar w:fldCharType="end"/>
            </w:r>
          </w:hyperlink>
        </w:p>
        <w:p w14:paraId="331BD567" w14:textId="180A65C6" w:rsidR="002F340F" w:rsidRDefault="002F340F">
          <w:pPr>
            <w:pStyle w:val="TOC3"/>
            <w:tabs>
              <w:tab w:val="right" w:leader="dot" w:pos="8302"/>
            </w:tabs>
            <w:rPr>
              <w:rFonts w:eastAsiaTheme="minorEastAsia"/>
              <w:noProof/>
              <w:lang w:eastAsia="en-IN"/>
            </w:rPr>
          </w:pPr>
          <w:hyperlink w:anchor="_Toc219805137" w:history="1">
            <w:r w:rsidRPr="00467CF0">
              <w:rPr>
                <w:rStyle w:val="Hyperlink"/>
                <w:rFonts w:ascii="Arial" w:hAnsi="Arial" w:cs="Arial"/>
                <w:b/>
                <w:bCs/>
                <w:noProof/>
              </w:rPr>
              <w:t>2.6.2 Social Ecological Model (SEM)</w:t>
            </w:r>
            <w:r>
              <w:rPr>
                <w:noProof/>
                <w:webHidden/>
              </w:rPr>
              <w:tab/>
            </w:r>
            <w:r>
              <w:rPr>
                <w:noProof/>
                <w:webHidden/>
              </w:rPr>
              <w:fldChar w:fldCharType="begin"/>
            </w:r>
            <w:r>
              <w:rPr>
                <w:noProof/>
                <w:webHidden/>
              </w:rPr>
              <w:instrText xml:space="preserve"> PAGEREF _Toc219805137 \h </w:instrText>
            </w:r>
            <w:r>
              <w:rPr>
                <w:noProof/>
                <w:webHidden/>
              </w:rPr>
            </w:r>
            <w:r>
              <w:rPr>
                <w:noProof/>
                <w:webHidden/>
              </w:rPr>
              <w:fldChar w:fldCharType="separate"/>
            </w:r>
            <w:r>
              <w:rPr>
                <w:noProof/>
                <w:webHidden/>
              </w:rPr>
              <w:t>27</w:t>
            </w:r>
            <w:r>
              <w:rPr>
                <w:noProof/>
                <w:webHidden/>
              </w:rPr>
              <w:fldChar w:fldCharType="end"/>
            </w:r>
          </w:hyperlink>
        </w:p>
        <w:p w14:paraId="4DD6950D" w14:textId="2D605FEB" w:rsidR="002F340F" w:rsidRDefault="002F340F">
          <w:pPr>
            <w:pStyle w:val="TOC3"/>
            <w:tabs>
              <w:tab w:val="right" w:leader="dot" w:pos="8302"/>
            </w:tabs>
            <w:rPr>
              <w:rFonts w:eastAsiaTheme="minorEastAsia"/>
              <w:noProof/>
              <w:lang w:eastAsia="en-IN"/>
            </w:rPr>
          </w:pPr>
          <w:hyperlink w:anchor="_Toc219805138" w:history="1">
            <w:r w:rsidRPr="00467CF0">
              <w:rPr>
                <w:rStyle w:val="Hyperlink"/>
                <w:rFonts w:ascii="Arial" w:hAnsi="Arial" w:cs="Arial"/>
                <w:b/>
                <w:bCs/>
                <w:noProof/>
              </w:rPr>
              <w:t>2.6.3 Integration of HBM and SEM</w:t>
            </w:r>
            <w:r>
              <w:rPr>
                <w:noProof/>
                <w:webHidden/>
              </w:rPr>
              <w:tab/>
            </w:r>
            <w:r>
              <w:rPr>
                <w:noProof/>
                <w:webHidden/>
              </w:rPr>
              <w:fldChar w:fldCharType="begin"/>
            </w:r>
            <w:r>
              <w:rPr>
                <w:noProof/>
                <w:webHidden/>
              </w:rPr>
              <w:instrText xml:space="preserve"> PAGEREF _Toc219805138 \h </w:instrText>
            </w:r>
            <w:r>
              <w:rPr>
                <w:noProof/>
                <w:webHidden/>
              </w:rPr>
            </w:r>
            <w:r>
              <w:rPr>
                <w:noProof/>
                <w:webHidden/>
              </w:rPr>
              <w:fldChar w:fldCharType="separate"/>
            </w:r>
            <w:r>
              <w:rPr>
                <w:noProof/>
                <w:webHidden/>
              </w:rPr>
              <w:t>28</w:t>
            </w:r>
            <w:r>
              <w:rPr>
                <w:noProof/>
                <w:webHidden/>
              </w:rPr>
              <w:fldChar w:fldCharType="end"/>
            </w:r>
          </w:hyperlink>
        </w:p>
        <w:p w14:paraId="3C20FC40" w14:textId="42A2D289" w:rsidR="002F340F" w:rsidRDefault="002F340F">
          <w:pPr>
            <w:pStyle w:val="TOC3"/>
            <w:tabs>
              <w:tab w:val="right" w:leader="dot" w:pos="8302"/>
            </w:tabs>
            <w:rPr>
              <w:rFonts w:eastAsiaTheme="minorEastAsia"/>
              <w:noProof/>
              <w:lang w:eastAsia="en-IN"/>
            </w:rPr>
          </w:pPr>
          <w:hyperlink w:anchor="_Toc219805139" w:history="1">
            <w:r w:rsidRPr="00467CF0">
              <w:rPr>
                <w:rStyle w:val="Hyperlink"/>
                <w:rFonts w:ascii="Arial" w:hAnsi="Arial" w:cs="Arial"/>
                <w:b/>
                <w:bCs/>
                <w:noProof/>
              </w:rPr>
              <w:t>2.6.4 Justification for Selection of Theoretical Models</w:t>
            </w:r>
            <w:r>
              <w:rPr>
                <w:noProof/>
                <w:webHidden/>
              </w:rPr>
              <w:tab/>
            </w:r>
            <w:r>
              <w:rPr>
                <w:noProof/>
                <w:webHidden/>
              </w:rPr>
              <w:fldChar w:fldCharType="begin"/>
            </w:r>
            <w:r>
              <w:rPr>
                <w:noProof/>
                <w:webHidden/>
              </w:rPr>
              <w:instrText xml:space="preserve"> PAGEREF _Toc219805139 \h </w:instrText>
            </w:r>
            <w:r>
              <w:rPr>
                <w:noProof/>
                <w:webHidden/>
              </w:rPr>
            </w:r>
            <w:r>
              <w:rPr>
                <w:noProof/>
                <w:webHidden/>
              </w:rPr>
              <w:fldChar w:fldCharType="separate"/>
            </w:r>
            <w:r>
              <w:rPr>
                <w:noProof/>
                <w:webHidden/>
              </w:rPr>
              <w:t>29</w:t>
            </w:r>
            <w:r>
              <w:rPr>
                <w:noProof/>
                <w:webHidden/>
              </w:rPr>
              <w:fldChar w:fldCharType="end"/>
            </w:r>
          </w:hyperlink>
        </w:p>
        <w:p w14:paraId="5879E5A3" w14:textId="1F1E1643" w:rsidR="002F340F" w:rsidRDefault="002F340F">
          <w:pPr>
            <w:pStyle w:val="TOC2"/>
            <w:tabs>
              <w:tab w:val="right" w:leader="dot" w:pos="8302"/>
            </w:tabs>
            <w:rPr>
              <w:rFonts w:eastAsiaTheme="minorEastAsia"/>
              <w:noProof/>
              <w:lang w:eastAsia="en-IN"/>
            </w:rPr>
          </w:pPr>
          <w:hyperlink w:anchor="_Toc219805140" w:history="1">
            <w:r w:rsidRPr="00467CF0">
              <w:rPr>
                <w:rStyle w:val="Hyperlink"/>
                <w:rFonts w:ascii="Arial" w:hAnsi="Arial" w:cs="Arial"/>
                <w:b/>
                <w:bCs/>
                <w:noProof/>
              </w:rPr>
              <w:t>2.7 Gaps in the Literature</w:t>
            </w:r>
            <w:r>
              <w:rPr>
                <w:noProof/>
                <w:webHidden/>
              </w:rPr>
              <w:tab/>
            </w:r>
            <w:r>
              <w:rPr>
                <w:noProof/>
                <w:webHidden/>
              </w:rPr>
              <w:fldChar w:fldCharType="begin"/>
            </w:r>
            <w:r>
              <w:rPr>
                <w:noProof/>
                <w:webHidden/>
              </w:rPr>
              <w:instrText xml:space="preserve"> PAGEREF _Toc219805140 \h </w:instrText>
            </w:r>
            <w:r>
              <w:rPr>
                <w:noProof/>
                <w:webHidden/>
              </w:rPr>
            </w:r>
            <w:r>
              <w:rPr>
                <w:noProof/>
                <w:webHidden/>
              </w:rPr>
              <w:fldChar w:fldCharType="separate"/>
            </w:r>
            <w:r>
              <w:rPr>
                <w:noProof/>
                <w:webHidden/>
              </w:rPr>
              <w:t>30</w:t>
            </w:r>
            <w:r>
              <w:rPr>
                <w:noProof/>
                <w:webHidden/>
              </w:rPr>
              <w:fldChar w:fldCharType="end"/>
            </w:r>
          </w:hyperlink>
        </w:p>
        <w:p w14:paraId="576B7581" w14:textId="61C18DF1" w:rsidR="002F340F" w:rsidRDefault="002F340F">
          <w:pPr>
            <w:pStyle w:val="TOC3"/>
            <w:tabs>
              <w:tab w:val="right" w:leader="dot" w:pos="8302"/>
            </w:tabs>
            <w:rPr>
              <w:rFonts w:eastAsiaTheme="minorEastAsia"/>
              <w:noProof/>
              <w:lang w:eastAsia="en-IN"/>
            </w:rPr>
          </w:pPr>
          <w:hyperlink w:anchor="_Toc219805141" w:history="1">
            <w:r w:rsidRPr="00467CF0">
              <w:rPr>
                <w:rStyle w:val="Hyperlink"/>
                <w:rFonts w:ascii="Arial" w:hAnsi="Arial" w:cs="Arial"/>
                <w:b/>
                <w:bCs/>
                <w:noProof/>
              </w:rPr>
              <w:t>2.7.1 Lack of Urban-Specific Evidence</w:t>
            </w:r>
            <w:r>
              <w:rPr>
                <w:noProof/>
                <w:webHidden/>
              </w:rPr>
              <w:tab/>
            </w:r>
            <w:r>
              <w:rPr>
                <w:noProof/>
                <w:webHidden/>
              </w:rPr>
              <w:fldChar w:fldCharType="begin"/>
            </w:r>
            <w:r>
              <w:rPr>
                <w:noProof/>
                <w:webHidden/>
              </w:rPr>
              <w:instrText xml:space="preserve"> PAGEREF _Toc219805141 \h </w:instrText>
            </w:r>
            <w:r>
              <w:rPr>
                <w:noProof/>
                <w:webHidden/>
              </w:rPr>
            </w:r>
            <w:r>
              <w:rPr>
                <w:noProof/>
                <w:webHidden/>
              </w:rPr>
              <w:fldChar w:fldCharType="separate"/>
            </w:r>
            <w:r>
              <w:rPr>
                <w:noProof/>
                <w:webHidden/>
              </w:rPr>
              <w:t>30</w:t>
            </w:r>
            <w:r>
              <w:rPr>
                <w:noProof/>
                <w:webHidden/>
              </w:rPr>
              <w:fldChar w:fldCharType="end"/>
            </w:r>
          </w:hyperlink>
        </w:p>
        <w:p w14:paraId="5087C727" w14:textId="1A5275FC" w:rsidR="002F340F" w:rsidRDefault="002F340F">
          <w:pPr>
            <w:pStyle w:val="TOC3"/>
            <w:tabs>
              <w:tab w:val="right" w:leader="dot" w:pos="8302"/>
            </w:tabs>
            <w:rPr>
              <w:rFonts w:eastAsiaTheme="minorEastAsia"/>
              <w:noProof/>
              <w:lang w:eastAsia="en-IN"/>
            </w:rPr>
          </w:pPr>
          <w:hyperlink w:anchor="_Toc219805142" w:history="1">
            <w:r w:rsidRPr="00467CF0">
              <w:rPr>
                <w:rStyle w:val="Hyperlink"/>
                <w:rFonts w:ascii="Arial" w:hAnsi="Arial" w:cs="Arial"/>
                <w:b/>
                <w:bCs/>
                <w:noProof/>
              </w:rPr>
              <w:t>2.7.2 Lack of Long-Term Follow-Up</w:t>
            </w:r>
            <w:r>
              <w:rPr>
                <w:noProof/>
                <w:webHidden/>
              </w:rPr>
              <w:tab/>
            </w:r>
            <w:r>
              <w:rPr>
                <w:noProof/>
                <w:webHidden/>
              </w:rPr>
              <w:fldChar w:fldCharType="begin"/>
            </w:r>
            <w:r>
              <w:rPr>
                <w:noProof/>
                <w:webHidden/>
              </w:rPr>
              <w:instrText xml:space="preserve"> PAGEREF _Toc219805142 \h </w:instrText>
            </w:r>
            <w:r>
              <w:rPr>
                <w:noProof/>
                <w:webHidden/>
              </w:rPr>
            </w:r>
            <w:r>
              <w:rPr>
                <w:noProof/>
                <w:webHidden/>
              </w:rPr>
              <w:fldChar w:fldCharType="separate"/>
            </w:r>
            <w:r>
              <w:rPr>
                <w:noProof/>
                <w:webHidden/>
              </w:rPr>
              <w:t>30</w:t>
            </w:r>
            <w:r>
              <w:rPr>
                <w:noProof/>
                <w:webHidden/>
              </w:rPr>
              <w:fldChar w:fldCharType="end"/>
            </w:r>
          </w:hyperlink>
        </w:p>
        <w:p w14:paraId="03F01596" w14:textId="520EBA20" w:rsidR="002F340F" w:rsidRDefault="002F340F">
          <w:pPr>
            <w:pStyle w:val="TOC3"/>
            <w:tabs>
              <w:tab w:val="right" w:leader="dot" w:pos="8302"/>
            </w:tabs>
            <w:rPr>
              <w:rFonts w:eastAsiaTheme="minorEastAsia"/>
              <w:noProof/>
              <w:lang w:eastAsia="en-IN"/>
            </w:rPr>
          </w:pPr>
          <w:hyperlink w:anchor="_Toc219805143" w:history="1">
            <w:r w:rsidRPr="00467CF0">
              <w:rPr>
                <w:rStyle w:val="Hyperlink"/>
                <w:rFonts w:ascii="Arial" w:hAnsi="Arial" w:cs="Arial"/>
                <w:b/>
                <w:bCs/>
                <w:noProof/>
              </w:rPr>
              <w:t>2.7.3 Methodological Variability</w:t>
            </w:r>
            <w:r>
              <w:rPr>
                <w:noProof/>
                <w:webHidden/>
              </w:rPr>
              <w:tab/>
            </w:r>
            <w:r>
              <w:rPr>
                <w:noProof/>
                <w:webHidden/>
              </w:rPr>
              <w:fldChar w:fldCharType="begin"/>
            </w:r>
            <w:r>
              <w:rPr>
                <w:noProof/>
                <w:webHidden/>
              </w:rPr>
              <w:instrText xml:space="preserve"> PAGEREF _Toc219805143 \h </w:instrText>
            </w:r>
            <w:r>
              <w:rPr>
                <w:noProof/>
                <w:webHidden/>
              </w:rPr>
            </w:r>
            <w:r>
              <w:rPr>
                <w:noProof/>
                <w:webHidden/>
              </w:rPr>
              <w:fldChar w:fldCharType="separate"/>
            </w:r>
            <w:r>
              <w:rPr>
                <w:noProof/>
                <w:webHidden/>
              </w:rPr>
              <w:t>31</w:t>
            </w:r>
            <w:r>
              <w:rPr>
                <w:noProof/>
                <w:webHidden/>
              </w:rPr>
              <w:fldChar w:fldCharType="end"/>
            </w:r>
          </w:hyperlink>
        </w:p>
        <w:p w14:paraId="2C78DCFB" w14:textId="219165C9" w:rsidR="002F340F" w:rsidRDefault="002F340F">
          <w:pPr>
            <w:pStyle w:val="TOC3"/>
            <w:tabs>
              <w:tab w:val="right" w:leader="dot" w:pos="8302"/>
            </w:tabs>
            <w:rPr>
              <w:rFonts w:eastAsiaTheme="minorEastAsia"/>
              <w:noProof/>
              <w:lang w:eastAsia="en-IN"/>
            </w:rPr>
          </w:pPr>
          <w:hyperlink w:anchor="_Toc219805144" w:history="1">
            <w:r w:rsidRPr="00467CF0">
              <w:rPr>
                <w:rStyle w:val="Hyperlink"/>
                <w:rFonts w:ascii="Arial" w:hAnsi="Arial" w:cs="Arial"/>
                <w:b/>
                <w:bCs/>
                <w:noProof/>
              </w:rPr>
              <w:t>2.7.4 Lack of Qualitative/Psychosocial Evidence</w:t>
            </w:r>
            <w:r>
              <w:rPr>
                <w:noProof/>
                <w:webHidden/>
              </w:rPr>
              <w:tab/>
            </w:r>
            <w:r>
              <w:rPr>
                <w:noProof/>
                <w:webHidden/>
              </w:rPr>
              <w:fldChar w:fldCharType="begin"/>
            </w:r>
            <w:r>
              <w:rPr>
                <w:noProof/>
                <w:webHidden/>
              </w:rPr>
              <w:instrText xml:space="preserve"> PAGEREF _Toc219805144 \h </w:instrText>
            </w:r>
            <w:r>
              <w:rPr>
                <w:noProof/>
                <w:webHidden/>
              </w:rPr>
            </w:r>
            <w:r>
              <w:rPr>
                <w:noProof/>
                <w:webHidden/>
              </w:rPr>
              <w:fldChar w:fldCharType="separate"/>
            </w:r>
            <w:r>
              <w:rPr>
                <w:noProof/>
                <w:webHidden/>
              </w:rPr>
              <w:t>31</w:t>
            </w:r>
            <w:r>
              <w:rPr>
                <w:noProof/>
                <w:webHidden/>
              </w:rPr>
              <w:fldChar w:fldCharType="end"/>
            </w:r>
          </w:hyperlink>
        </w:p>
        <w:p w14:paraId="33C25995" w14:textId="63C9E2D7" w:rsidR="002F340F" w:rsidRDefault="002F340F">
          <w:pPr>
            <w:pStyle w:val="TOC3"/>
            <w:tabs>
              <w:tab w:val="right" w:leader="dot" w:pos="8302"/>
            </w:tabs>
            <w:rPr>
              <w:rFonts w:eastAsiaTheme="minorEastAsia"/>
              <w:noProof/>
              <w:lang w:eastAsia="en-IN"/>
            </w:rPr>
          </w:pPr>
          <w:hyperlink w:anchor="_Toc219805145" w:history="1">
            <w:r w:rsidRPr="00467CF0">
              <w:rPr>
                <w:rStyle w:val="Hyperlink"/>
                <w:rFonts w:ascii="Arial" w:hAnsi="Arial" w:cs="Arial"/>
                <w:b/>
                <w:bCs/>
                <w:noProof/>
              </w:rPr>
              <w:t>2.7.5 Cost-Effectiveness Gaps</w:t>
            </w:r>
            <w:r>
              <w:rPr>
                <w:noProof/>
                <w:webHidden/>
              </w:rPr>
              <w:tab/>
            </w:r>
            <w:r>
              <w:rPr>
                <w:noProof/>
                <w:webHidden/>
              </w:rPr>
              <w:fldChar w:fldCharType="begin"/>
            </w:r>
            <w:r>
              <w:rPr>
                <w:noProof/>
                <w:webHidden/>
              </w:rPr>
              <w:instrText xml:space="preserve"> PAGEREF _Toc219805145 \h </w:instrText>
            </w:r>
            <w:r>
              <w:rPr>
                <w:noProof/>
                <w:webHidden/>
              </w:rPr>
            </w:r>
            <w:r>
              <w:rPr>
                <w:noProof/>
                <w:webHidden/>
              </w:rPr>
              <w:fldChar w:fldCharType="separate"/>
            </w:r>
            <w:r>
              <w:rPr>
                <w:noProof/>
                <w:webHidden/>
              </w:rPr>
              <w:t>31</w:t>
            </w:r>
            <w:r>
              <w:rPr>
                <w:noProof/>
                <w:webHidden/>
              </w:rPr>
              <w:fldChar w:fldCharType="end"/>
            </w:r>
          </w:hyperlink>
        </w:p>
        <w:p w14:paraId="41F37F26" w14:textId="30ABDAFB" w:rsidR="002F340F" w:rsidRDefault="002F340F">
          <w:pPr>
            <w:pStyle w:val="TOC3"/>
            <w:tabs>
              <w:tab w:val="right" w:leader="dot" w:pos="8302"/>
            </w:tabs>
            <w:rPr>
              <w:rFonts w:eastAsiaTheme="minorEastAsia"/>
              <w:noProof/>
              <w:lang w:eastAsia="en-IN"/>
            </w:rPr>
          </w:pPr>
          <w:hyperlink w:anchor="_Toc219805146" w:history="1">
            <w:r w:rsidRPr="00467CF0">
              <w:rPr>
                <w:rStyle w:val="Hyperlink"/>
                <w:rFonts w:ascii="Arial" w:hAnsi="Arial" w:cs="Arial"/>
                <w:b/>
                <w:bCs/>
                <w:noProof/>
              </w:rPr>
              <w:t>2.7.6 Inconsistent Application of Theory</w:t>
            </w:r>
            <w:r>
              <w:rPr>
                <w:noProof/>
                <w:webHidden/>
              </w:rPr>
              <w:tab/>
            </w:r>
            <w:r>
              <w:rPr>
                <w:noProof/>
                <w:webHidden/>
              </w:rPr>
              <w:fldChar w:fldCharType="begin"/>
            </w:r>
            <w:r>
              <w:rPr>
                <w:noProof/>
                <w:webHidden/>
              </w:rPr>
              <w:instrText xml:space="preserve"> PAGEREF _Toc219805146 \h </w:instrText>
            </w:r>
            <w:r>
              <w:rPr>
                <w:noProof/>
                <w:webHidden/>
              </w:rPr>
            </w:r>
            <w:r>
              <w:rPr>
                <w:noProof/>
                <w:webHidden/>
              </w:rPr>
              <w:fldChar w:fldCharType="separate"/>
            </w:r>
            <w:r>
              <w:rPr>
                <w:noProof/>
                <w:webHidden/>
              </w:rPr>
              <w:t>32</w:t>
            </w:r>
            <w:r>
              <w:rPr>
                <w:noProof/>
                <w:webHidden/>
              </w:rPr>
              <w:fldChar w:fldCharType="end"/>
            </w:r>
          </w:hyperlink>
        </w:p>
        <w:p w14:paraId="35619C5D" w14:textId="354F2F7A" w:rsidR="002F340F" w:rsidRDefault="002F340F">
          <w:pPr>
            <w:pStyle w:val="TOC2"/>
            <w:tabs>
              <w:tab w:val="right" w:leader="dot" w:pos="8302"/>
            </w:tabs>
            <w:rPr>
              <w:rFonts w:eastAsiaTheme="minorEastAsia"/>
              <w:noProof/>
              <w:lang w:eastAsia="en-IN"/>
            </w:rPr>
          </w:pPr>
          <w:hyperlink w:anchor="_Toc219805147" w:history="1">
            <w:r w:rsidRPr="00467CF0">
              <w:rPr>
                <w:rStyle w:val="Hyperlink"/>
                <w:rFonts w:ascii="Arial" w:hAnsi="Arial" w:cs="Arial"/>
                <w:b/>
                <w:bCs/>
                <w:noProof/>
              </w:rPr>
              <w:t>2.8 Summary</w:t>
            </w:r>
            <w:r>
              <w:rPr>
                <w:noProof/>
                <w:webHidden/>
              </w:rPr>
              <w:tab/>
            </w:r>
            <w:r>
              <w:rPr>
                <w:noProof/>
                <w:webHidden/>
              </w:rPr>
              <w:fldChar w:fldCharType="begin"/>
            </w:r>
            <w:r>
              <w:rPr>
                <w:noProof/>
                <w:webHidden/>
              </w:rPr>
              <w:instrText xml:space="preserve"> PAGEREF _Toc219805147 \h </w:instrText>
            </w:r>
            <w:r>
              <w:rPr>
                <w:noProof/>
                <w:webHidden/>
              </w:rPr>
            </w:r>
            <w:r>
              <w:rPr>
                <w:noProof/>
                <w:webHidden/>
              </w:rPr>
              <w:fldChar w:fldCharType="separate"/>
            </w:r>
            <w:r>
              <w:rPr>
                <w:noProof/>
                <w:webHidden/>
              </w:rPr>
              <w:t>32</w:t>
            </w:r>
            <w:r>
              <w:rPr>
                <w:noProof/>
                <w:webHidden/>
              </w:rPr>
              <w:fldChar w:fldCharType="end"/>
            </w:r>
          </w:hyperlink>
        </w:p>
        <w:p w14:paraId="7CB8612A" w14:textId="732E1B84" w:rsidR="002F340F" w:rsidRDefault="002F340F">
          <w:pPr>
            <w:pStyle w:val="TOC3"/>
            <w:tabs>
              <w:tab w:val="right" w:leader="dot" w:pos="8302"/>
            </w:tabs>
            <w:rPr>
              <w:rFonts w:eastAsiaTheme="minorEastAsia"/>
              <w:noProof/>
              <w:lang w:eastAsia="en-IN"/>
            </w:rPr>
          </w:pPr>
          <w:hyperlink w:anchor="_Toc219805148" w:history="1">
            <w:r w:rsidRPr="00467CF0">
              <w:rPr>
                <w:rStyle w:val="Hyperlink"/>
                <w:rFonts w:ascii="Arial" w:hAnsi="Arial" w:cs="Arial"/>
                <w:b/>
                <w:bCs/>
                <w:noProof/>
              </w:rPr>
              <w:t>2.9 Synthesis of Literature and Conceptual Framework</w:t>
            </w:r>
            <w:r>
              <w:rPr>
                <w:noProof/>
                <w:webHidden/>
              </w:rPr>
              <w:tab/>
            </w:r>
            <w:r>
              <w:rPr>
                <w:noProof/>
                <w:webHidden/>
              </w:rPr>
              <w:fldChar w:fldCharType="begin"/>
            </w:r>
            <w:r>
              <w:rPr>
                <w:noProof/>
                <w:webHidden/>
              </w:rPr>
              <w:instrText xml:space="preserve"> PAGEREF _Toc219805148 \h </w:instrText>
            </w:r>
            <w:r>
              <w:rPr>
                <w:noProof/>
                <w:webHidden/>
              </w:rPr>
            </w:r>
            <w:r>
              <w:rPr>
                <w:noProof/>
                <w:webHidden/>
              </w:rPr>
              <w:fldChar w:fldCharType="separate"/>
            </w:r>
            <w:r>
              <w:rPr>
                <w:noProof/>
                <w:webHidden/>
              </w:rPr>
              <w:t>33</w:t>
            </w:r>
            <w:r>
              <w:rPr>
                <w:noProof/>
                <w:webHidden/>
              </w:rPr>
              <w:fldChar w:fldCharType="end"/>
            </w:r>
          </w:hyperlink>
        </w:p>
        <w:p w14:paraId="4874901A" w14:textId="70F3351B" w:rsidR="002F340F" w:rsidRDefault="002F340F">
          <w:pPr>
            <w:pStyle w:val="TOC1"/>
            <w:tabs>
              <w:tab w:val="right" w:leader="dot" w:pos="8302"/>
            </w:tabs>
            <w:rPr>
              <w:rFonts w:eastAsiaTheme="minorEastAsia"/>
              <w:noProof/>
              <w:lang w:eastAsia="en-IN"/>
            </w:rPr>
          </w:pPr>
          <w:hyperlink w:anchor="_Toc219805149" w:history="1">
            <w:r w:rsidRPr="00467CF0">
              <w:rPr>
                <w:rStyle w:val="Hyperlink"/>
                <w:rFonts w:ascii="Arial" w:hAnsi="Arial" w:cs="Arial"/>
                <w:b/>
                <w:bCs/>
                <w:noProof/>
              </w:rPr>
              <w:t>Chapter 3: Methodology</w:t>
            </w:r>
            <w:r>
              <w:rPr>
                <w:noProof/>
                <w:webHidden/>
              </w:rPr>
              <w:tab/>
            </w:r>
            <w:r>
              <w:rPr>
                <w:noProof/>
                <w:webHidden/>
              </w:rPr>
              <w:fldChar w:fldCharType="begin"/>
            </w:r>
            <w:r>
              <w:rPr>
                <w:noProof/>
                <w:webHidden/>
              </w:rPr>
              <w:instrText xml:space="preserve"> PAGEREF _Toc219805149 \h </w:instrText>
            </w:r>
            <w:r>
              <w:rPr>
                <w:noProof/>
                <w:webHidden/>
              </w:rPr>
            </w:r>
            <w:r>
              <w:rPr>
                <w:noProof/>
                <w:webHidden/>
              </w:rPr>
              <w:fldChar w:fldCharType="separate"/>
            </w:r>
            <w:r>
              <w:rPr>
                <w:noProof/>
                <w:webHidden/>
              </w:rPr>
              <w:t>33</w:t>
            </w:r>
            <w:r>
              <w:rPr>
                <w:noProof/>
                <w:webHidden/>
              </w:rPr>
              <w:fldChar w:fldCharType="end"/>
            </w:r>
          </w:hyperlink>
        </w:p>
        <w:p w14:paraId="3AC91B6C" w14:textId="3C480A03" w:rsidR="002F340F" w:rsidRDefault="002F340F">
          <w:pPr>
            <w:pStyle w:val="TOC2"/>
            <w:tabs>
              <w:tab w:val="right" w:leader="dot" w:pos="8302"/>
            </w:tabs>
            <w:rPr>
              <w:rFonts w:eastAsiaTheme="minorEastAsia"/>
              <w:noProof/>
              <w:lang w:eastAsia="en-IN"/>
            </w:rPr>
          </w:pPr>
          <w:hyperlink w:anchor="_Toc219805150" w:history="1">
            <w:r w:rsidRPr="00467CF0">
              <w:rPr>
                <w:rStyle w:val="Hyperlink"/>
                <w:rFonts w:ascii="Arial" w:hAnsi="Arial" w:cs="Arial"/>
                <w:b/>
                <w:bCs/>
                <w:noProof/>
              </w:rPr>
              <w:t>3.1 Introduction</w:t>
            </w:r>
            <w:r>
              <w:rPr>
                <w:noProof/>
                <w:webHidden/>
              </w:rPr>
              <w:tab/>
            </w:r>
            <w:r>
              <w:rPr>
                <w:noProof/>
                <w:webHidden/>
              </w:rPr>
              <w:fldChar w:fldCharType="begin"/>
            </w:r>
            <w:r>
              <w:rPr>
                <w:noProof/>
                <w:webHidden/>
              </w:rPr>
              <w:instrText xml:space="preserve"> PAGEREF _Toc219805150 \h </w:instrText>
            </w:r>
            <w:r>
              <w:rPr>
                <w:noProof/>
                <w:webHidden/>
              </w:rPr>
            </w:r>
            <w:r>
              <w:rPr>
                <w:noProof/>
                <w:webHidden/>
              </w:rPr>
              <w:fldChar w:fldCharType="separate"/>
            </w:r>
            <w:r>
              <w:rPr>
                <w:noProof/>
                <w:webHidden/>
              </w:rPr>
              <w:t>33</w:t>
            </w:r>
            <w:r>
              <w:rPr>
                <w:noProof/>
                <w:webHidden/>
              </w:rPr>
              <w:fldChar w:fldCharType="end"/>
            </w:r>
          </w:hyperlink>
        </w:p>
        <w:p w14:paraId="502DE03D" w14:textId="6225134C" w:rsidR="002F340F" w:rsidRDefault="002F340F">
          <w:pPr>
            <w:pStyle w:val="TOC2"/>
            <w:tabs>
              <w:tab w:val="right" w:leader="dot" w:pos="8302"/>
            </w:tabs>
            <w:rPr>
              <w:rFonts w:eastAsiaTheme="minorEastAsia"/>
              <w:noProof/>
              <w:lang w:eastAsia="en-IN"/>
            </w:rPr>
          </w:pPr>
          <w:hyperlink w:anchor="_Toc219805151" w:history="1">
            <w:r w:rsidRPr="00467CF0">
              <w:rPr>
                <w:rStyle w:val="Hyperlink"/>
                <w:rFonts w:ascii="Arial" w:hAnsi="Arial" w:cs="Arial"/>
                <w:b/>
                <w:bCs/>
                <w:noProof/>
              </w:rPr>
              <w:t>3.2 Research Design</w:t>
            </w:r>
            <w:r>
              <w:rPr>
                <w:noProof/>
                <w:webHidden/>
              </w:rPr>
              <w:tab/>
            </w:r>
            <w:r>
              <w:rPr>
                <w:noProof/>
                <w:webHidden/>
              </w:rPr>
              <w:fldChar w:fldCharType="begin"/>
            </w:r>
            <w:r>
              <w:rPr>
                <w:noProof/>
                <w:webHidden/>
              </w:rPr>
              <w:instrText xml:space="preserve"> PAGEREF _Toc219805151 \h </w:instrText>
            </w:r>
            <w:r>
              <w:rPr>
                <w:noProof/>
                <w:webHidden/>
              </w:rPr>
            </w:r>
            <w:r>
              <w:rPr>
                <w:noProof/>
                <w:webHidden/>
              </w:rPr>
              <w:fldChar w:fldCharType="separate"/>
            </w:r>
            <w:r>
              <w:rPr>
                <w:noProof/>
                <w:webHidden/>
              </w:rPr>
              <w:t>34</w:t>
            </w:r>
            <w:r>
              <w:rPr>
                <w:noProof/>
                <w:webHidden/>
              </w:rPr>
              <w:fldChar w:fldCharType="end"/>
            </w:r>
          </w:hyperlink>
        </w:p>
        <w:p w14:paraId="0B00747B" w14:textId="26DB046D" w:rsidR="002F340F" w:rsidRDefault="002F340F">
          <w:pPr>
            <w:pStyle w:val="TOC2"/>
            <w:tabs>
              <w:tab w:val="right" w:leader="dot" w:pos="8302"/>
            </w:tabs>
            <w:rPr>
              <w:rFonts w:eastAsiaTheme="minorEastAsia"/>
              <w:noProof/>
              <w:lang w:eastAsia="en-IN"/>
            </w:rPr>
          </w:pPr>
          <w:hyperlink w:anchor="_Toc219805152" w:history="1">
            <w:r w:rsidRPr="00467CF0">
              <w:rPr>
                <w:rStyle w:val="Hyperlink"/>
                <w:rFonts w:ascii="Arial" w:hAnsi="Arial" w:cs="Arial"/>
                <w:b/>
                <w:bCs/>
                <w:noProof/>
              </w:rPr>
              <w:t>3.3 Research Paradigm</w:t>
            </w:r>
            <w:r>
              <w:rPr>
                <w:noProof/>
                <w:webHidden/>
              </w:rPr>
              <w:tab/>
            </w:r>
            <w:r>
              <w:rPr>
                <w:noProof/>
                <w:webHidden/>
              </w:rPr>
              <w:fldChar w:fldCharType="begin"/>
            </w:r>
            <w:r>
              <w:rPr>
                <w:noProof/>
                <w:webHidden/>
              </w:rPr>
              <w:instrText xml:space="preserve"> PAGEREF _Toc219805152 \h </w:instrText>
            </w:r>
            <w:r>
              <w:rPr>
                <w:noProof/>
                <w:webHidden/>
              </w:rPr>
            </w:r>
            <w:r>
              <w:rPr>
                <w:noProof/>
                <w:webHidden/>
              </w:rPr>
              <w:fldChar w:fldCharType="separate"/>
            </w:r>
            <w:r>
              <w:rPr>
                <w:noProof/>
                <w:webHidden/>
              </w:rPr>
              <w:t>35</w:t>
            </w:r>
            <w:r>
              <w:rPr>
                <w:noProof/>
                <w:webHidden/>
              </w:rPr>
              <w:fldChar w:fldCharType="end"/>
            </w:r>
          </w:hyperlink>
        </w:p>
        <w:p w14:paraId="2B8150E0" w14:textId="767F952E" w:rsidR="002F340F" w:rsidRDefault="002F340F">
          <w:pPr>
            <w:pStyle w:val="TOC2"/>
            <w:tabs>
              <w:tab w:val="right" w:leader="dot" w:pos="8302"/>
            </w:tabs>
            <w:rPr>
              <w:rFonts w:eastAsiaTheme="minorEastAsia"/>
              <w:noProof/>
              <w:lang w:eastAsia="en-IN"/>
            </w:rPr>
          </w:pPr>
          <w:hyperlink w:anchor="_Toc219805153" w:history="1">
            <w:r w:rsidRPr="00467CF0">
              <w:rPr>
                <w:rStyle w:val="Hyperlink"/>
                <w:rFonts w:ascii="Arial" w:hAnsi="Arial" w:cs="Arial"/>
                <w:b/>
                <w:bCs/>
                <w:noProof/>
              </w:rPr>
              <w:t>3.4 Research Questions and Objectives</w:t>
            </w:r>
            <w:r>
              <w:rPr>
                <w:noProof/>
                <w:webHidden/>
              </w:rPr>
              <w:tab/>
            </w:r>
            <w:r>
              <w:rPr>
                <w:noProof/>
                <w:webHidden/>
              </w:rPr>
              <w:fldChar w:fldCharType="begin"/>
            </w:r>
            <w:r>
              <w:rPr>
                <w:noProof/>
                <w:webHidden/>
              </w:rPr>
              <w:instrText xml:space="preserve"> PAGEREF _Toc219805153 \h </w:instrText>
            </w:r>
            <w:r>
              <w:rPr>
                <w:noProof/>
                <w:webHidden/>
              </w:rPr>
            </w:r>
            <w:r>
              <w:rPr>
                <w:noProof/>
                <w:webHidden/>
              </w:rPr>
              <w:fldChar w:fldCharType="separate"/>
            </w:r>
            <w:r>
              <w:rPr>
                <w:noProof/>
                <w:webHidden/>
              </w:rPr>
              <w:t>36</w:t>
            </w:r>
            <w:r>
              <w:rPr>
                <w:noProof/>
                <w:webHidden/>
              </w:rPr>
              <w:fldChar w:fldCharType="end"/>
            </w:r>
          </w:hyperlink>
        </w:p>
        <w:p w14:paraId="1B087213" w14:textId="49F6249F" w:rsidR="002F340F" w:rsidRDefault="002F340F">
          <w:pPr>
            <w:pStyle w:val="TOC2"/>
            <w:tabs>
              <w:tab w:val="right" w:leader="dot" w:pos="8302"/>
            </w:tabs>
            <w:rPr>
              <w:rFonts w:eastAsiaTheme="minorEastAsia"/>
              <w:noProof/>
              <w:lang w:eastAsia="en-IN"/>
            </w:rPr>
          </w:pPr>
          <w:hyperlink w:anchor="_Toc219805154" w:history="1">
            <w:r w:rsidRPr="00467CF0">
              <w:rPr>
                <w:rStyle w:val="Hyperlink"/>
                <w:rFonts w:ascii="Arial" w:hAnsi="Arial" w:cs="Arial"/>
                <w:b/>
                <w:bCs/>
                <w:noProof/>
              </w:rPr>
              <w:t>3.5 Search Strategy</w:t>
            </w:r>
            <w:r>
              <w:rPr>
                <w:noProof/>
                <w:webHidden/>
              </w:rPr>
              <w:tab/>
            </w:r>
            <w:r>
              <w:rPr>
                <w:noProof/>
                <w:webHidden/>
              </w:rPr>
              <w:fldChar w:fldCharType="begin"/>
            </w:r>
            <w:r>
              <w:rPr>
                <w:noProof/>
                <w:webHidden/>
              </w:rPr>
              <w:instrText xml:space="preserve"> PAGEREF _Toc219805154 \h </w:instrText>
            </w:r>
            <w:r>
              <w:rPr>
                <w:noProof/>
                <w:webHidden/>
              </w:rPr>
            </w:r>
            <w:r>
              <w:rPr>
                <w:noProof/>
                <w:webHidden/>
              </w:rPr>
              <w:fldChar w:fldCharType="separate"/>
            </w:r>
            <w:r>
              <w:rPr>
                <w:noProof/>
                <w:webHidden/>
              </w:rPr>
              <w:t>37</w:t>
            </w:r>
            <w:r>
              <w:rPr>
                <w:noProof/>
                <w:webHidden/>
              </w:rPr>
              <w:fldChar w:fldCharType="end"/>
            </w:r>
          </w:hyperlink>
        </w:p>
        <w:p w14:paraId="2E0D0E6E" w14:textId="10541E9C" w:rsidR="002F340F" w:rsidRDefault="002F340F">
          <w:pPr>
            <w:pStyle w:val="TOC2"/>
            <w:tabs>
              <w:tab w:val="right" w:leader="dot" w:pos="8302"/>
            </w:tabs>
            <w:rPr>
              <w:rFonts w:eastAsiaTheme="minorEastAsia"/>
              <w:noProof/>
              <w:lang w:eastAsia="en-IN"/>
            </w:rPr>
          </w:pPr>
          <w:hyperlink w:anchor="_Toc219805155" w:history="1">
            <w:r w:rsidRPr="00467CF0">
              <w:rPr>
                <w:rStyle w:val="Hyperlink"/>
                <w:rFonts w:ascii="Arial" w:hAnsi="Arial" w:cs="Arial"/>
                <w:b/>
                <w:bCs/>
                <w:noProof/>
              </w:rPr>
              <w:t>3.6 Inclusion and Exclusion Criteria</w:t>
            </w:r>
            <w:r>
              <w:rPr>
                <w:noProof/>
                <w:webHidden/>
              </w:rPr>
              <w:tab/>
            </w:r>
            <w:r>
              <w:rPr>
                <w:noProof/>
                <w:webHidden/>
              </w:rPr>
              <w:fldChar w:fldCharType="begin"/>
            </w:r>
            <w:r>
              <w:rPr>
                <w:noProof/>
                <w:webHidden/>
              </w:rPr>
              <w:instrText xml:space="preserve"> PAGEREF _Toc219805155 \h </w:instrText>
            </w:r>
            <w:r>
              <w:rPr>
                <w:noProof/>
                <w:webHidden/>
              </w:rPr>
            </w:r>
            <w:r>
              <w:rPr>
                <w:noProof/>
                <w:webHidden/>
              </w:rPr>
              <w:fldChar w:fldCharType="separate"/>
            </w:r>
            <w:r>
              <w:rPr>
                <w:noProof/>
                <w:webHidden/>
              </w:rPr>
              <w:t>38</w:t>
            </w:r>
            <w:r>
              <w:rPr>
                <w:noProof/>
                <w:webHidden/>
              </w:rPr>
              <w:fldChar w:fldCharType="end"/>
            </w:r>
          </w:hyperlink>
        </w:p>
        <w:p w14:paraId="45EF6F65" w14:textId="242020E6" w:rsidR="002F340F" w:rsidRDefault="002F340F">
          <w:pPr>
            <w:pStyle w:val="TOC2"/>
            <w:tabs>
              <w:tab w:val="right" w:leader="dot" w:pos="8302"/>
            </w:tabs>
            <w:rPr>
              <w:rFonts w:eastAsiaTheme="minorEastAsia"/>
              <w:noProof/>
              <w:lang w:eastAsia="en-IN"/>
            </w:rPr>
          </w:pPr>
          <w:hyperlink w:anchor="_Toc219805156" w:history="1">
            <w:r w:rsidRPr="00467CF0">
              <w:rPr>
                <w:rStyle w:val="Hyperlink"/>
                <w:rFonts w:ascii="Arial" w:hAnsi="Arial" w:cs="Arial"/>
                <w:b/>
                <w:bCs/>
                <w:noProof/>
              </w:rPr>
              <w:t>3.7 Study Selection and PRISMA Flow Narrative</w:t>
            </w:r>
            <w:r>
              <w:rPr>
                <w:noProof/>
                <w:webHidden/>
              </w:rPr>
              <w:tab/>
            </w:r>
            <w:r>
              <w:rPr>
                <w:noProof/>
                <w:webHidden/>
              </w:rPr>
              <w:fldChar w:fldCharType="begin"/>
            </w:r>
            <w:r>
              <w:rPr>
                <w:noProof/>
                <w:webHidden/>
              </w:rPr>
              <w:instrText xml:space="preserve"> PAGEREF _Toc219805156 \h </w:instrText>
            </w:r>
            <w:r>
              <w:rPr>
                <w:noProof/>
                <w:webHidden/>
              </w:rPr>
            </w:r>
            <w:r>
              <w:rPr>
                <w:noProof/>
                <w:webHidden/>
              </w:rPr>
              <w:fldChar w:fldCharType="separate"/>
            </w:r>
            <w:r>
              <w:rPr>
                <w:noProof/>
                <w:webHidden/>
              </w:rPr>
              <w:t>40</w:t>
            </w:r>
            <w:r>
              <w:rPr>
                <w:noProof/>
                <w:webHidden/>
              </w:rPr>
              <w:fldChar w:fldCharType="end"/>
            </w:r>
          </w:hyperlink>
        </w:p>
        <w:p w14:paraId="0D9162F1" w14:textId="73965F1B" w:rsidR="002F340F" w:rsidRDefault="002F340F">
          <w:pPr>
            <w:pStyle w:val="TOC2"/>
            <w:tabs>
              <w:tab w:val="right" w:leader="dot" w:pos="8302"/>
            </w:tabs>
            <w:rPr>
              <w:rFonts w:eastAsiaTheme="minorEastAsia"/>
              <w:noProof/>
              <w:lang w:eastAsia="en-IN"/>
            </w:rPr>
          </w:pPr>
          <w:hyperlink w:anchor="_Toc219805157" w:history="1">
            <w:r w:rsidRPr="00467CF0">
              <w:rPr>
                <w:rStyle w:val="Hyperlink"/>
                <w:rFonts w:ascii="Arial" w:hAnsi="Arial" w:cs="Arial"/>
                <w:b/>
                <w:bCs/>
                <w:noProof/>
              </w:rPr>
              <w:t>3.8 Data Extraction</w:t>
            </w:r>
            <w:r>
              <w:rPr>
                <w:noProof/>
                <w:webHidden/>
              </w:rPr>
              <w:tab/>
            </w:r>
            <w:r>
              <w:rPr>
                <w:noProof/>
                <w:webHidden/>
              </w:rPr>
              <w:fldChar w:fldCharType="begin"/>
            </w:r>
            <w:r>
              <w:rPr>
                <w:noProof/>
                <w:webHidden/>
              </w:rPr>
              <w:instrText xml:space="preserve"> PAGEREF _Toc219805157 \h </w:instrText>
            </w:r>
            <w:r>
              <w:rPr>
                <w:noProof/>
                <w:webHidden/>
              </w:rPr>
            </w:r>
            <w:r>
              <w:rPr>
                <w:noProof/>
                <w:webHidden/>
              </w:rPr>
              <w:fldChar w:fldCharType="separate"/>
            </w:r>
            <w:r>
              <w:rPr>
                <w:noProof/>
                <w:webHidden/>
              </w:rPr>
              <w:t>41</w:t>
            </w:r>
            <w:r>
              <w:rPr>
                <w:noProof/>
                <w:webHidden/>
              </w:rPr>
              <w:fldChar w:fldCharType="end"/>
            </w:r>
          </w:hyperlink>
        </w:p>
        <w:p w14:paraId="1D8D6496" w14:textId="1C79CC04" w:rsidR="002F340F" w:rsidRDefault="002F340F">
          <w:pPr>
            <w:pStyle w:val="TOC2"/>
            <w:tabs>
              <w:tab w:val="right" w:leader="dot" w:pos="8302"/>
            </w:tabs>
            <w:rPr>
              <w:rFonts w:eastAsiaTheme="minorEastAsia"/>
              <w:noProof/>
              <w:lang w:eastAsia="en-IN"/>
            </w:rPr>
          </w:pPr>
          <w:hyperlink w:anchor="_Toc219805158" w:history="1">
            <w:r w:rsidRPr="00467CF0">
              <w:rPr>
                <w:rStyle w:val="Hyperlink"/>
                <w:rFonts w:ascii="Arial" w:hAnsi="Arial" w:cs="Arial"/>
                <w:b/>
                <w:bCs/>
                <w:noProof/>
              </w:rPr>
              <w:t>3.9 Quality Appraisal</w:t>
            </w:r>
            <w:r>
              <w:rPr>
                <w:noProof/>
                <w:webHidden/>
              </w:rPr>
              <w:tab/>
            </w:r>
            <w:r>
              <w:rPr>
                <w:noProof/>
                <w:webHidden/>
              </w:rPr>
              <w:fldChar w:fldCharType="begin"/>
            </w:r>
            <w:r>
              <w:rPr>
                <w:noProof/>
                <w:webHidden/>
              </w:rPr>
              <w:instrText xml:space="preserve"> PAGEREF _Toc219805158 \h </w:instrText>
            </w:r>
            <w:r>
              <w:rPr>
                <w:noProof/>
                <w:webHidden/>
              </w:rPr>
            </w:r>
            <w:r>
              <w:rPr>
                <w:noProof/>
                <w:webHidden/>
              </w:rPr>
              <w:fldChar w:fldCharType="separate"/>
            </w:r>
            <w:r>
              <w:rPr>
                <w:noProof/>
                <w:webHidden/>
              </w:rPr>
              <w:t>42</w:t>
            </w:r>
            <w:r>
              <w:rPr>
                <w:noProof/>
                <w:webHidden/>
              </w:rPr>
              <w:fldChar w:fldCharType="end"/>
            </w:r>
          </w:hyperlink>
        </w:p>
        <w:p w14:paraId="54588856" w14:textId="6322C8C9" w:rsidR="002F340F" w:rsidRDefault="002F340F">
          <w:pPr>
            <w:pStyle w:val="TOC2"/>
            <w:tabs>
              <w:tab w:val="right" w:leader="dot" w:pos="8302"/>
            </w:tabs>
            <w:rPr>
              <w:rFonts w:eastAsiaTheme="minorEastAsia"/>
              <w:noProof/>
              <w:lang w:eastAsia="en-IN"/>
            </w:rPr>
          </w:pPr>
          <w:hyperlink w:anchor="_Toc219805159" w:history="1">
            <w:r w:rsidRPr="00467CF0">
              <w:rPr>
                <w:rStyle w:val="Hyperlink"/>
                <w:rFonts w:ascii="Arial" w:hAnsi="Arial" w:cs="Arial"/>
                <w:b/>
                <w:bCs/>
                <w:noProof/>
              </w:rPr>
              <w:t>3.10 Data Synthesis</w:t>
            </w:r>
            <w:r>
              <w:rPr>
                <w:noProof/>
                <w:webHidden/>
              </w:rPr>
              <w:tab/>
            </w:r>
            <w:r>
              <w:rPr>
                <w:noProof/>
                <w:webHidden/>
              </w:rPr>
              <w:fldChar w:fldCharType="begin"/>
            </w:r>
            <w:r>
              <w:rPr>
                <w:noProof/>
                <w:webHidden/>
              </w:rPr>
              <w:instrText xml:space="preserve"> PAGEREF _Toc219805159 \h </w:instrText>
            </w:r>
            <w:r>
              <w:rPr>
                <w:noProof/>
                <w:webHidden/>
              </w:rPr>
            </w:r>
            <w:r>
              <w:rPr>
                <w:noProof/>
                <w:webHidden/>
              </w:rPr>
              <w:fldChar w:fldCharType="separate"/>
            </w:r>
            <w:r>
              <w:rPr>
                <w:noProof/>
                <w:webHidden/>
              </w:rPr>
              <w:t>43</w:t>
            </w:r>
            <w:r>
              <w:rPr>
                <w:noProof/>
                <w:webHidden/>
              </w:rPr>
              <w:fldChar w:fldCharType="end"/>
            </w:r>
          </w:hyperlink>
        </w:p>
        <w:p w14:paraId="63732DC5" w14:textId="1B7BF0F4" w:rsidR="002F340F" w:rsidRDefault="002F340F">
          <w:pPr>
            <w:pStyle w:val="TOC2"/>
            <w:tabs>
              <w:tab w:val="right" w:leader="dot" w:pos="8302"/>
            </w:tabs>
            <w:rPr>
              <w:rFonts w:eastAsiaTheme="minorEastAsia"/>
              <w:noProof/>
              <w:lang w:eastAsia="en-IN"/>
            </w:rPr>
          </w:pPr>
          <w:hyperlink w:anchor="_Toc219805160" w:history="1">
            <w:r w:rsidRPr="00467CF0">
              <w:rPr>
                <w:rStyle w:val="Hyperlink"/>
                <w:rFonts w:ascii="Arial" w:hAnsi="Arial" w:cs="Arial"/>
                <w:b/>
                <w:bCs/>
                <w:noProof/>
              </w:rPr>
              <w:t>3.11 Ethical Considerations</w:t>
            </w:r>
            <w:r>
              <w:rPr>
                <w:noProof/>
                <w:webHidden/>
              </w:rPr>
              <w:tab/>
            </w:r>
            <w:r>
              <w:rPr>
                <w:noProof/>
                <w:webHidden/>
              </w:rPr>
              <w:fldChar w:fldCharType="begin"/>
            </w:r>
            <w:r>
              <w:rPr>
                <w:noProof/>
                <w:webHidden/>
              </w:rPr>
              <w:instrText xml:space="preserve"> PAGEREF _Toc219805160 \h </w:instrText>
            </w:r>
            <w:r>
              <w:rPr>
                <w:noProof/>
                <w:webHidden/>
              </w:rPr>
            </w:r>
            <w:r>
              <w:rPr>
                <w:noProof/>
                <w:webHidden/>
              </w:rPr>
              <w:fldChar w:fldCharType="separate"/>
            </w:r>
            <w:r>
              <w:rPr>
                <w:noProof/>
                <w:webHidden/>
              </w:rPr>
              <w:t>43</w:t>
            </w:r>
            <w:r>
              <w:rPr>
                <w:noProof/>
                <w:webHidden/>
              </w:rPr>
              <w:fldChar w:fldCharType="end"/>
            </w:r>
          </w:hyperlink>
        </w:p>
        <w:p w14:paraId="54AFD94C" w14:textId="703278B5" w:rsidR="002F340F" w:rsidRDefault="002F340F">
          <w:pPr>
            <w:pStyle w:val="TOC3"/>
            <w:tabs>
              <w:tab w:val="right" w:leader="dot" w:pos="8302"/>
            </w:tabs>
            <w:rPr>
              <w:rFonts w:eastAsiaTheme="minorEastAsia"/>
              <w:noProof/>
              <w:lang w:eastAsia="en-IN"/>
            </w:rPr>
          </w:pPr>
          <w:hyperlink w:anchor="_Toc219805161" w:history="1">
            <w:r w:rsidRPr="00467CF0">
              <w:rPr>
                <w:rStyle w:val="Hyperlink"/>
                <w:rFonts w:ascii="Arial" w:hAnsi="Arial" w:cs="Arial"/>
                <w:b/>
                <w:bCs/>
                <w:noProof/>
              </w:rPr>
              <w:t>3.12 Patient and Public Involvement Considerations</w:t>
            </w:r>
            <w:r>
              <w:rPr>
                <w:noProof/>
                <w:webHidden/>
              </w:rPr>
              <w:tab/>
            </w:r>
            <w:r>
              <w:rPr>
                <w:noProof/>
                <w:webHidden/>
              </w:rPr>
              <w:fldChar w:fldCharType="begin"/>
            </w:r>
            <w:r>
              <w:rPr>
                <w:noProof/>
                <w:webHidden/>
              </w:rPr>
              <w:instrText xml:space="preserve"> PAGEREF _Toc219805161 \h </w:instrText>
            </w:r>
            <w:r>
              <w:rPr>
                <w:noProof/>
                <w:webHidden/>
              </w:rPr>
            </w:r>
            <w:r>
              <w:rPr>
                <w:noProof/>
                <w:webHidden/>
              </w:rPr>
              <w:fldChar w:fldCharType="separate"/>
            </w:r>
            <w:r>
              <w:rPr>
                <w:noProof/>
                <w:webHidden/>
              </w:rPr>
              <w:t>44</w:t>
            </w:r>
            <w:r>
              <w:rPr>
                <w:noProof/>
                <w:webHidden/>
              </w:rPr>
              <w:fldChar w:fldCharType="end"/>
            </w:r>
          </w:hyperlink>
        </w:p>
        <w:p w14:paraId="793026AD" w14:textId="4C4FA983" w:rsidR="002F340F" w:rsidRDefault="002F340F">
          <w:pPr>
            <w:pStyle w:val="TOC1"/>
            <w:tabs>
              <w:tab w:val="right" w:leader="dot" w:pos="8302"/>
            </w:tabs>
            <w:rPr>
              <w:rFonts w:eastAsiaTheme="minorEastAsia"/>
              <w:noProof/>
              <w:lang w:eastAsia="en-IN"/>
            </w:rPr>
          </w:pPr>
          <w:hyperlink w:anchor="_Toc219805162" w:history="1">
            <w:r w:rsidRPr="00467CF0">
              <w:rPr>
                <w:rStyle w:val="Hyperlink"/>
                <w:rFonts w:ascii="Arial" w:hAnsi="Arial" w:cs="Arial"/>
                <w:b/>
                <w:bCs/>
                <w:noProof/>
              </w:rPr>
              <w:t>CHAPTER 4: RESULTS</w:t>
            </w:r>
            <w:r>
              <w:rPr>
                <w:noProof/>
                <w:webHidden/>
              </w:rPr>
              <w:tab/>
            </w:r>
            <w:r>
              <w:rPr>
                <w:noProof/>
                <w:webHidden/>
              </w:rPr>
              <w:fldChar w:fldCharType="begin"/>
            </w:r>
            <w:r>
              <w:rPr>
                <w:noProof/>
                <w:webHidden/>
              </w:rPr>
              <w:instrText xml:space="preserve"> PAGEREF _Toc219805162 \h </w:instrText>
            </w:r>
            <w:r>
              <w:rPr>
                <w:noProof/>
                <w:webHidden/>
              </w:rPr>
            </w:r>
            <w:r>
              <w:rPr>
                <w:noProof/>
                <w:webHidden/>
              </w:rPr>
              <w:fldChar w:fldCharType="separate"/>
            </w:r>
            <w:r>
              <w:rPr>
                <w:noProof/>
                <w:webHidden/>
              </w:rPr>
              <w:t>45</w:t>
            </w:r>
            <w:r>
              <w:rPr>
                <w:noProof/>
                <w:webHidden/>
              </w:rPr>
              <w:fldChar w:fldCharType="end"/>
            </w:r>
          </w:hyperlink>
        </w:p>
        <w:p w14:paraId="4748B488" w14:textId="1C932A12" w:rsidR="002F340F" w:rsidRDefault="002F340F">
          <w:pPr>
            <w:pStyle w:val="TOC2"/>
            <w:tabs>
              <w:tab w:val="right" w:leader="dot" w:pos="8302"/>
            </w:tabs>
            <w:rPr>
              <w:rFonts w:eastAsiaTheme="minorEastAsia"/>
              <w:noProof/>
              <w:lang w:eastAsia="en-IN"/>
            </w:rPr>
          </w:pPr>
          <w:hyperlink w:anchor="_Toc219805163" w:history="1">
            <w:r w:rsidRPr="00467CF0">
              <w:rPr>
                <w:rStyle w:val="Hyperlink"/>
                <w:rFonts w:ascii="Arial" w:hAnsi="Arial" w:cs="Arial"/>
                <w:b/>
                <w:bCs/>
                <w:noProof/>
              </w:rPr>
              <w:t>4.1 Introduction</w:t>
            </w:r>
            <w:r>
              <w:rPr>
                <w:noProof/>
                <w:webHidden/>
              </w:rPr>
              <w:tab/>
            </w:r>
            <w:r>
              <w:rPr>
                <w:noProof/>
                <w:webHidden/>
              </w:rPr>
              <w:fldChar w:fldCharType="begin"/>
            </w:r>
            <w:r>
              <w:rPr>
                <w:noProof/>
                <w:webHidden/>
              </w:rPr>
              <w:instrText xml:space="preserve"> PAGEREF _Toc219805163 \h </w:instrText>
            </w:r>
            <w:r>
              <w:rPr>
                <w:noProof/>
                <w:webHidden/>
              </w:rPr>
            </w:r>
            <w:r>
              <w:rPr>
                <w:noProof/>
                <w:webHidden/>
              </w:rPr>
              <w:fldChar w:fldCharType="separate"/>
            </w:r>
            <w:r>
              <w:rPr>
                <w:noProof/>
                <w:webHidden/>
              </w:rPr>
              <w:t>45</w:t>
            </w:r>
            <w:r>
              <w:rPr>
                <w:noProof/>
                <w:webHidden/>
              </w:rPr>
              <w:fldChar w:fldCharType="end"/>
            </w:r>
          </w:hyperlink>
        </w:p>
        <w:p w14:paraId="4B429EA5" w14:textId="26E9B583" w:rsidR="002F340F" w:rsidRDefault="002F340F">
          <w:pPr>
            <w:pStyle w:val="TOC2"/>
            <w:tabs>
              <w:tab w:val="right" w:leader="dot" w:pos="8302"/>
            </w:tabs>
            <w:rPr>
              <w:rFonts w:eastAsiaTheme="minorEastAsia"/>
              <w:noProof/>
              <w:lang w:eastAsia="en-IN"/>
            </w:rPr>
          </w:pPr>
          <w:hyperlink w:anchor="_Toc219805164" w:history="1">
            <w:r w:rsidRPr="00467CF0">
              <w:rPr>
                <w:rStyle w:val="Hyperlink"/>
                <w:rFonts w:ascii="Arial" w:hAnsi="Arial" w:cs="Arial"/>
                <w:b/>
                <w:bCs/>
                <w:noProof/>
              </w:rPr>
              <w:t>4.2 Systematic Search of Databases</w:t>
            </w:r>
            <w:r>
              <w:rPr>
                <w:noProof/>
                <w:webHidden/>
              </w:rPr>
              <w:tab/>
            </w:r>
            <w:r>
              <w:rPr>
                <w:noProof/>
                <w:webHidden/>
              </w:rPr>
              <w:fldChar w:fldCharType="begin"/>
            </w:r>
            <w:r>
              <w:rPr>
                <w:noProof/>
                <w:webHidden/>
              </w:rPr>
              <w:instrText xml:space="preserve"> PAGEREF _Toc219805164 \h </w:instrText>
            </w:r>
            <w:r>
              <w:rPr>
                <w:noProof/>
                <w:webHidden/>
              </w:rPr>
            </w:r>
            <w:r>
              <w:rPr>
                <w:noProof/>
                <w:webHidden/>
              </w:rPr>
              <w:fldChar w:fldCharType="separate"/>
            </w:r>
            <w:r>
              <w:rPr>
                <w:noProof/>
                <w:webHidden/>
              </w:rPr>
              <w:t>46</w:t>
            </w:r>
            <w:r>
              <w:rPr>
                <w:noProof/>
                <w:webHidden/>
              </w:rPr>
              <w:fldChar w:fldCharType="end"/>
            </w:r>
          </w:hyperlink>
        </w:p>
        <w:p w14:paraId="55CD0698" w14:textId="67C8621C" w:rsidR="002F340F" w:rsidRDefault="002F340F">
          <w:pPr>
            <w:pStyle w:val="TOC2"/>
            <w:tabs>
              <w:tab w:val="right" w:leader="dot" w:pos="8302"/>
            </w:tabs>
            <w:rPr>
              <w:rFonts w:eastAsiaTheme="minorEastAsia"/>
              <w:noProof/>
              <w:lang w:eastAsia="en-IN"/>
            </w:rPr>
          </w:pPr>
          <w:hyperlink w:anchor="_Toc219805165" w:history="1">
            <w:r w:rsidRPr="00467CF0">
              <w:rPr>
                <w:rStyle w:val="Hyperlink"/>
                <w:rFonts w:ascii="Arial" w:hAnsi="Arial" w:cs="Arial"/>
                <w:b/>
                <w:bCs/>
                <w:noProof/>
              </w:rPr>
              <w:t>4.3 Characteristics of Included Studies</w:t>
            </w:r>
            <w:r>
              <w:rPr>
                <w:noProof/>
                <w:webHidden/>
              </w:rPr>
              <w:tab/>
            </w:r>
            <w:r>
              <w:rPr>
                <w:noProof/>
                <w:webHidden/>
              </w:rPr>
              <w:fldChar w:fldCharType="begin"/>
            </w:r>
            <w:r>
              <w:rPr>
                <w:noProof/>
                <w:webHidden/>
              </w:rPr>
              <w:instrText xml:space="preserve"> PAGEREF _Toc219805165 \h </w:instrText>
            </w:r>
            <w:r>
              <w:rPr>
                <w:noProof/>
                <w:webHidden/>
              </w:rPr>
            </w:r>
            <w:r>
              <w:rPr>
                <w:noProof/>
                <w:webHidden/>
              </w:rPr>
              <w:fldChar w:fldCharType="separate"/>
            </w:r>
            <w:r>
              <w:rPr>
                <w:noProof/>
                <w:webHidden/>
              </w:rPr>
              <w:t>46</w:t>
            </w:r>
            <w:r>
              <w:rPr>
                <w:noProof/>
                <w:webHidden/>
              </w:rPr>
              <w:fldChar w:fldCharType="end"/>
            </w:r>
          </w:hyperlink>
        </w:p>
        <w:p w14:paraId="3582C937" w14:textId="063C2A28" w:rsidR="002F340F" w:rsidRDefault="002F340F">
          <w:pPr>
            <w:pStyle w:val="TOC2"/>
            <w:tabs>
              <w:tab w:val="right" w:leader="dot" w:pos="8302"/>
            </w:tabs>
            <w:rPr>
              <w:rFonts w:eastAsiaTheme="minorEastAsia"/>
              <w:noProof/>
              <w:lang w:eastAsia="en-IN"/>
            </w:rPr>
          </w:pPr>
          <w:hyperlink w:anchor="_Toc219805166" w:history="1">
            <w:r w:rsidRPr="00467CF0">
              <w:rPr>
                <w:rStyle w:val="Hyperlink"/>
                <w:rFonts w:ascii="Arial" w:hAnsi="Arial" w:cs="Arial"/>
                <w:b/>
                <w:bCs/>
                <w:noProof/>
              </w:rPr>
              <w:t>4.4 Data Extraction and Synthesis</w:t>
            </w:r>
            <w:r>
              <w:rPr>
                <w:noProof/>
                <w:webHidden/>
              </w:rPr>
              <w:tab/>
            </w:r>
            <w:r>
              <w:rPr>
                <w:noProof/>
                <w:webHidden/>
              </w:rPr>
              <w:fldChar w:fldCharType="begin"/>
            </w:r>
            <w:r>
              <w:rPr>
                <w:noProof/>
                <w:webHidden/>
              </w:rPr>
              <w:instrText xml:space="preserve"> PAGEREF _Toc219805166 \h </w:instrText>
            </w:r>
            <w:r>
              <w:rPr>
                <w:noProof/>
                <w:webHidden/>
              </w:rPr>
            </w:r>
            <w:r>
              <w:rPr>
                <w:noProof/>
                <w:webHidden/>
              </w:rPr>
              <w:fldChar w:fldCharType="separate"/>
            </w:r>
            <w:r>
              <w:rPr>
                <w:noProof/>
                <w:webHidden/>
              </w:rPr>
              <w:t>47</w:t>
            </w:r>
            <w:r>
              <w:rPr>
                <w:noProof/>
                <w:webHidden/>
              </w:rPr>
              <w:fldChar w:fldCharType="end"/>
            </w:r>
          </w:hyperlink>
        </w:p>
        <w:p w14:paraId="756E0E35" w14:textId="5EFE3153" w:rsidR="002F340F" w:rsidRDefault="002F340F">
          <w:pPr>
            <w:pStyle w:val="TOC2"/>
            <w:tabs>
              <w:tab w:val="right" w:leader="dot" w:pos="8302"/>
            </w:tabs>
            <w:rPr>
              <w:rFonts w:eastAsiaTheme="minorEastAsia"/>
              <w:noProof/>
              <w:lang w:eastAsia="en-IN"/>
            </w:rPr>
          </w:pPr>
          <w:hyperlink w:anchor="_Toc219805167" w:history="1">
            <w:r w:rsidRPr="00467CF0">
              <w:rPr>
                <w:rStyle w:val="Hyperlink"/>
                <w:rFonts w:ascii="Arial" w:hAnsi="Arial" w:cs="Arial"/>
                <w:b/>
                <w:bCs/>
                <w:noProof/>
              </w:rPr>
              <w:t>4.5 Overall Common Themes Identified</w:t>
            </w:r>
            <w:r>
              <w:rPr>
                <w:noProof/>
                <w:webHidden/>
              </w:rPr>
              <w:tab/>
            </w:r>
            <w:r>
              <w:rPr>
                <w:noProof/>
                <w:webHidden/>
              </w:rPr>
              <w:fldChar w:fldCharType="begin"/>
            </w:r>
            <w:r>
              <w:rPr>
                <w:noProof/>
                <w:webHidden/>
              </w:rPr>
              <w:instrText xml:space="preserve"> PAGEREF _Toc219805167 \h </w:instrText>
            </w:r>
            <w:r>
              <w:rPr>
                <w:noProof/>
                <w:webHidden/>
              </w:rPr>
            </w:r>
            <w:r>
              <w:rPr>
                <w:noProof/>
                <w:webHidden/>
              </w:rPr>
              <w:fldChar w:fldCharType="separate"/>
            </w:r>
            <w:r>
              <w:rPr>
                <w:noProof/>
                <w:webHidden/>
              </w:rPr>
              <w:t>48</w:t>
            </w:r>
            <w:r>
              <w:rPr>
                <w:noProof/>
                <w:webHidden/>
              </w:rPr>
              <w:fldChar w:fldCharType="end"/>
            </w:r>
          </w:hyperlink>
        </w:p>
        <w:p w14:paraId="1A23EF2F" w14:textId="079FEA68" w:rsidR="002F340F" w:rsidRDefault="002F340F">
          <w:pPr>
            <w:pStyle w:val="TOC3"/>
            <w:tabs>
              <w:tab w:val="right" w:leader="dot" w:pos="8302"/>
            </w:tabs>
            <w:rPr>
              <w:rFonts w:eastAsiaTheme="minorEastAsia"/>
              <w:noProof/>
              <w:lang w:eastAsia="en-IN"/>
            </w:rPr>
          </w:pPr>
          <w:hyperlink w:anchor="_Toc219805168" w:history="1">
            <w:r w:rsidRPr="00467CF0">
              <w:rPr>
                <w:rStyle w:val="Hyperlink"/>
                <w:rFonts w:ascii="Arial" w:hAnsi="Arial" w:cs="Arial"/>
                <w:b/>
                <w:bCs/>
                <w:noProof/>
              </w:rPr>
              <w:t>4.5.1 Physiological and Functional Improvements</w:t>
            </w:r>
            <w:r>
              <w:rPr>
                <w:noProof/>
                <w:webHidden/>
              </w:rPr>
              <w:tab/>
            </w:r>
            <w:r>
              <w:rPr>
                <w:noProof/>
                <w:webHidden/>
              </w:rPr>
              <w:fldChar w:fldCharType="begin"/>
            </w:r>
            <w:r>
              <w:rPr>
                <w:noProof/>
                <w:webHidden/>
              </w:rPr>
              <w:instrText xml:space="preserve"> PAGEREF _Toc219805168 \h </w:instrText>
            </w:r>
            <w:r>
              <w:rPr>
                <w:noProof/>
                <w:webHidden/>
              </w:rPr>
            </w:r>
            <w:r>
              <w:rPr>
                <w:noProof/>
                <w:webHidden/>
              </w:rPr>
              <w:fldChar w:fldCharType="separate"/>
            </w:r>
            <w:r>
              <w:rPr>
                <w:noProof/>
                <w:webHidden/>
              </w:rPr>
              <w:t>48</w:t>
            </w:r>
            <w:r>
              <w:rPr>
                <w:noProof/>
                <w:webHidden/>
              </w:rPr>
              <w:fldChar w:fldCharType="end"/>
            </w:r>
          </w:hyperlink>
        </w:p>
        <w:p w14:paraId="6F9B8F26" w14:textId="4C7AD282" w:rsidR="002F340F" w:rsidRDefault="002F340F">
          <w:pPr>
            <w:pStyle w:val="TOC3"/>
            <w:tabs>
              <w:tab w:val="right" w:leader="dot" w:pos="8302"/>
            </w:tabs>
            <w:rPr>
              <w:rFonts w:eastAsiaTheme="minorEastAsia"/>
              <w:noProof/>
              <w:lang w:eastAsia="en-IN"/>
            </w:rPr>
          </w:pPr>
          <w:hyperlink w:anchor="_Toc219805169" w:history="1">
            <w:r w:rsidRPr="00467CF0">
              <w:rPr>
                <w:rStyle w:val="Hyperlink"/>
                <w:rFonts w:ascii="Arial" w:hAnsi="Arial" w:cs="Arial"/>
                <w:b/>
                <w:bCs/>
                <w:noProof/>
              </w:rPr>
              <w:t>4.5.2 Psychological and Behavioural Change</w:t>
            </w:r>
            <w:r>
              <w:rPr>
                <w:noProof/>
                <w:webHidden/>
              </w:rPr>
              <w:tab/>
            </w:r>
            <w:r>
              <w:rPr>
                <w:noProof/>
                <w:webHidden/>
              </w:rPr>
              <w:fldChar w:fldCharType="begin"/>
            </w:r>
            <w:r>
              <w:rPr>
                <w:noProof/>
                <w:webHidden/>
              </w:rPr>
              <w:instrText xml:space="preserve"> PAGEREF _Toc219805169 \h </w:instrText>
            </w:r>
            <w:r>
              <w:rPr>
                <w:noProof/>
                <w:webHidden/>
              </w:rPr>
            </w:r>
            <w:r>
              <w:rPr>
                <w:noProof/>
                <w:webHidden/>
              </w:rPr>
              <w:fldChar w:fldCharType="separate"/>
            </w:r>
            <w:r>
              <w:rPr>
                <w:noProof/>
                <w:webHidden/>
              </w:rPr>
              <w:t>49</w:t>
            </w:r>
            <w:r>
              <w:rPr>
                <w:noProof/>
                <w:webHidden/>
              </w:rPr>
              <w:fldChar w:fldCharType="end"/>
            </w:r>
          </w:hyperlink>
        </w:p>
        <w:p w14:paraId="3DCFA409" w14:textId="27C2F96C" w:rsidR="002F340F" w:rsidRDefault="002F340F">
          <w:pPr>
            <w:pStyle w:val="TOC3"/>
            <w:tabs>
              <w:tab w:val="right" w:leader="dot" w:pos="8302"/>
            </w:tabs>
            <w:rPr>
              <w:rFonts w:eastAsiaTheme="minorEastAsia"/>
              <w:noProof/>
              <w:lang w:eastAsia="en-IN"/>
            </w:rPr>
          </w:pPr>
          <w:hyperlink w:anchor="_Toc219805170" w:history="1">
            <w:r w:rsidRPr="00467CF0">
              <w:rPr>
                <w:rStyle w:val="Hyperlink"/>
                <w:rFonts w:ascii="Arial" w:hAnsi="Arial" w:cs="Arial"/>
                <w:b/>
                <w:bCs/>
                <w:noProof/>
              </w:rPr>
              <w:t>4.5.3 Social Engagement and Support</w:t>
            </w:r>
            <w:r>
              <w:rPr>
                <w:noProof/>
                <w:webHidden/>
              </w:rPr>
              <w:tab/>
            </w:r>
            <w:r>
              <w:rPr>
                <w:noProof/>
                <w:webHidden/>
              </w:rPr>
              <w:fldChar w:fldCharType="begin"/>
            </w:r>
            <w:r>
              <w:rPr>
                <w:noProof/>
                <w:webHidden/>
              </w:rPr>
              <w:instrText xml:space="preserve"> PAGEREF _Toc219805170 \h </w:instrText>
            </w:r>
            <w:r>
              <w:rPr>
                <w:noProof/>
                <w:webHidden/>
              </w:rPr>
            </w:r>
            <w:r>
              <w:rPr>
                <w:noProof/>
                <w:webHidden/>
              </w:rPr>
              <w:fldChar w:fldCharType="separate"/>
            </w:r>
            <w:r>
              <w:rPr>
                <w:noProof/>
                <w:webHidden/>
              </w:rPr>
              <w:t>51</w:t>
            </w:r>
            <w:r>
              <w:rPr>
                <w:noProof/>
                <w:webHidden/>
              </w:rPr>
              <w:fldChar w:fldCharType="end"/>
            </w:r>
          </w:hyperlink>
        </w:p>
        <w:p w14:paraId="61D4B13A" w14:textId="31671868" w:rsidR="002F340F" w:rsidRDefault="002F340F">
          <w:pPr>
            <w:pStyle w:val="TOC3"/>
            <w:tabs>
              <w:tab w:val="right" w:leader="dot" w:pos="8302"/>
            </w:tabs>
            <w:rPr>
              <w:rFonts w:eastAsiaTheme="minorEastAsia"/>
              <w:noProof/>
              <w:lang w:eastAsia="en-IN"/>
            </w:rPr>
          </w:pPr>
          <w:hyperlink w:anchor="_Toc219805171" w:history="1">
            <w:r w:rsidRPr="00467CF0">
              <w:rPr>
                <w:rStyle w:val="Hyperlink"/>
                <w:rFonts w:ascii="Arial" w:hAnsi="Arial" w:cs="Arial"/>
                <w:b/>
                <w:bCs/>
                <w:noProof/>
              </w:rPr>
              <w:t>4.5.4 Environmental and Contextual Barriers</w:t>
            </w:r>
            <w:r>
              <w:rPr>
                <w:noProof/>
                <w:webHidden/>
              </w:rPr>
              <w:tab/>
            </w:r>
            <w:r>
              <w:rPr>
                <w:noProof/>
                <w:webHidden/>
              </w:rPr>
              <w:fldChar w:fldCharType="begin"/>
            </w:r>
            <w:r>
              <w:rPr>
                <w:noProof/>
                <w:webHidden/>
              </w:rPr>
              <w:instrText xml:space="preserve"> PAGEREF _Toc219805171 \h </w:instrText>
            </w:r>
            <w:r>
              <w:rPr>
                <w:noProof/>
                <w:webHidden/>
              </w:rPr>
            </w:r>
            <w:r>
              <w:rPr>
                <w:noProof/>
                <w:webHidden/>
              </w:rPr>
              <w:fldChar w:fldCharType="separate"/>
            </w:r>
            <w:r>
              <w:rPr>
                <w:noProof/>
                <w:webHidden/>
              </w:rPr>
              <w:t>52</w:t>
            </w:r>
            <w:r>
              <w:rPr>
                <w:noProof/>
                <w:webHidden/>
              </w:rPr>
              <w:fldChar w:fldCharType="end"/>
            </w:r>
          </w:hyperlink>
        </w:p>
        <w:p w14:paraId="379FF49C" w14:textId="7C0FCB42" w:rsidR="002F340F" w:rsidRDefault="002F340F">
          <w:pPr>
            <w:pStyle w:val="TOC2"/>
            <w:tabs>
              <w:tab w:val="right" w:leader="dot" w:pos="8302"/>
            </w:tabs>
            <w:rPr>
              <w:rFonts w:eastAsiaTheme="minorEastAsia"/>
              <w:noProof/>
              <w:lang w:eastAsia="en-IN"/>
            </w:rPr>
          </w:pPr>
          <w:hyperlink w:anchor="_Toc219805172" w:history="1">
            <w:r w:rsidRPr="00467CF0">
              <w:rPr>
                <w:rStyle w:val="Hyperlink"/>
                <w:rFonts w:ascii="Arial" w:hAnsi="Arial" w:cs="Arial"/>
                <w:b/>
                <w:bCs/>
                <w:noProof/>
              </w:rPr>
              <w:t>4.6 Summary of Main Findings</w:t>
            </w:r>
            <w:r>
              <w:rPr>
                <w:noProof/>
                <w:webHidden/>
              </w:rPr>
              <w:tab/>
            </w:r>
            <w:r>
              <w:rPr>
                <w:noProof/>
                <w:webHidden/>
              </w:rPr>
              <w:fldChar w:fldCharType="begin"/>
            </w:r>
            <w:r>
              <w:rPr>
                <w:noProof/>
                <w:webHidden/>
              </w:rPr>
              <w:instrText xml:space="preserve"> PAGEREF _Toc219805172 \h </w:instrText>
            </w:r>
            <w:r>
              <w:rPr>
                <w:noProof/>
                <w:webHidden/>
              </w:rPr>
            </w:r>
            <w:r>
              <w:rPr>
                <w:noProof/>
                <w:webHidden/>
              </w:rPr>
              <w:fldChar w:fldCharType="separate"/>
            </w:r>
            <w:r>
              <w:rPr>
                <w:noProof/>
                <w:webHidden/>
              </w:rPr>
              <w:t>53</w:t>
            </w:r>
            <w:r>
              <w:rPr>
                <w:noProof/>
                <w:webHidden/>
              </w:rPr>
              <w:fldChar w:fldCharType="end"/>
            </w:r>
          </w:hyperlink>
        </w:p>
        <w:p w14:paraId="0E77C5CA" w14:textId="5CBBC1E4" w:rsidR="002F340F" w:rsidRDefault="002F340F">
          <w:pPr>
            <w:pStyle w:val="TOC2"/>
            <w:tabs>
              <w:tab w:val="right" w:leader="dot" w:pos="8302"/>
            </w:tabs>
            <w:rPr>
              <w:rFonts w:eastAsiaTheme="minorEastAsia"/>
              <w:noProof/>
              <w:lang w:eastAsia="en-IN"/>
            </w:rPr>
          </w:pPr>
          <w:hyperlink w:anchor="_Toc219805173" w:history="1">
            <w:r w:rsidRPr="00467CF0">
              <w:rPr>
                <w:rStyle w:val="Hyperlink"/>
                <w:rFonts w:ascii="Arial" w:hAnsi="Arial" w:cs="Arial"/>
                <w:b/>
                <w:bCs/>
                <w:noProof/>
              </w:rPr>
              <w:t>4.7 Chapter Summary</w:t>
            </w:r>
            <w:r>
              <w:rPr>
                <w:noProof/>
                <w:webHidden/>
              </w:rPr>
              <w:tab/>
            </w:r>
            <w:r>
              <w:rPr>
                <w:noProof/>
                <w:webHidden/>
              </w:rPr>
              <w:fldChar w:fldCharType="begin"/>
            </w:r>
            <w:r>
              <w:rPr>
                <w:noProof/>
                <w:webHidden/>
              </w:rPr>
              <w:instrText xml:space="preserve"> PAGEREF _Toc219805173 \h </w:instrText>
            </w:r>
            <w:r>
              <w:rPr>
                <w:noProof/>
                <w:webHidden/>
              </w:rPr>
            </w:r>
            <w:r>
              <w:rPr>
                <w:noProof/>
                <w:webHidden/>
              </w:rPr>
              <w:fldChar w:fldCharType="separate"/>
            </w:r>
            <w:r>
              <w:rPr>
                <w:noProof/>
                <w:webHidden/>
              </w:rPr>
              <w:t>53</w:t>
            </w:r>
            <w:r>
              <w:rPr>
                <w:noProof/>
                <w:webHidden/>
              </w:rPr>
              <w:fldChar w:fldCharType="end"/>
            </w:r>
          </w:hyperlink>
        </w:p>
        <w:p w14:paraId="23EB83F1" w14:textId="628C455A" w:rsidR="002F340F" w:rsidRDefault="002F340F">
          <w:pPr>
            <w:pStyle w:val="TOC1"/>
            <w:tabs>
              <w:tab w:val="right" w:leader="dot" w:pos="8302"/>
            </w:tabs>
            <w:rPr>
              <w:rFonts w:eastAsiaTheme="minorEastAsia"/>
              <w:noProof/>
              <w:lang w:eastAsia="en-IN"/>
            </w:rPr>
          </w:pPr>
          <w:hyperlink w:anchor="_Toc219805174" w:history="1">
            <w:r w:rsidRPr="00467CF0">
              <w:rPr>
                <w:rStyle w:val="Hyperlink"/>
                <w:rFonts w:ascii="Arial" w:hAnsi="Arial" w:cs="Arial"/>
                <w:b/>
                <w:bCs/>
                <w:noProof/>
              </w:rPr>
              <w:t>CHAPTER 5: CONCLUSION AND RECOMMENDATIONS</w:t>
            </w:r>
            <w:r>
              <w:rPr>
                <w:noProof/>
                <w:webHidden/>
              </w:rPr>
              <w:tab/>
            </w:r>
            <w:r>
              <w:rPr>
                <w:noProof/>
                <w:webHidden/>
              </w:rPr>
              <w:fldChar w:fldCharType="begin"/>
            </w:r>
            <w:r>
              <w:rPr>
                <w:noProof/>
                <w:webHidden/>
              </w:rPr>
              <w:instrText xml:space="preserve"> PAGEREF _Toc219805174 \h </w:instrText>
            </w:r>
            <w:r>
              <w:rPr>
                <w:noProof/>
                <w:webHidden/>
              </w:rPr>
            </w:r>
            <w:r>
              <w:rPr>
                <w:noProof/>
                <w:webHidden/>
              </w:rPr>
              <w:fldChar w:fldCharType="separate"/>
            </w:r>
            <w:r>
              <w:rPr>
                <w:noProof/>
                <w:webHidden/>
              </w:rPr>
              <w:t>54</w:t>
            </w:r>
            <w:r>
              <w:rPr>
                <w:noProof/>
                <w:webHidden/>
              </w:rPr>
              <w:fldChar w:fldCharType="end"/>
            </w:r>
          </w:hyperlink>
        </w:p>
        <w:p w14:paraId="1D3178D0" w14:textId="47615ABE" w:rsidR="002F340F" w:rsidRDefault="002F340F">
          <w:pPr>
            <w:pStyle w:val="TOC2"/>
            <w:tabs>
              <w:tab w:val="right" w:leader="dot" w:pos="8302"/>
            </w:tabs>
            <w:rPr>
              <w:rFonts w:eastAsiaTheme="minorEastAsia"/>
              <w:noProof/>
              <w:lang w:eastAsia="en-IN"/>
            </w:rPr>
          </w:pPr>
          <w:hyperlink w:anchor="_Toc219805175" w:history="1">
            <w:r w:rsidRPr="00467CF0">
              <w:rPr>
                <w:rStyle w:val="Hyperlink"/>
                <w:rFonts w:ascii="Arial" w:hAnsi="Arial" w:cs="Arial"/>
                <w:b/>
                <w:bCs/>
                <w:noProof/>
              </w:rPr>
              <w:t>5.1 Introduction</w:t>
            </w:r>
            <w:r>
              <w:rPr>
                <w:noProof/>
                <w:webHidden/>
              </w:rPr>
              <w:tab/>
            </w:r>
            <w:r>
              <w:rPr>
                <w:noProof/>
                <w:webHidden/>
              </w:rPr>
              <w:fldChar w:fldCharType="begin"/>
            </w:r>
            <w:r>
              <w:rPr>
                <w:noProof/>
                <w:webHidden/>
              </w:rPr>
              <w:instrText xml:space="preserve"> PAGEREF _Toc219805175 \h </w:instrText>
            </w:r>
            <w:r>
              <w:rPr>
                <w:noProof/>
                <w:webHidden/>
              </w:rPr>
            </w:r>
            <w:r>
              <w:rPr>
                <w:noProof/>
                <w:webHidden/>
              </w:rPr>
              <w:fldChar w:fldCharType="separate"/>
            </w:r>
            <w:r>
              <w:rPr>
                <w:noProof/>
                <w:webHidden/>
              </w:rPr>
              <w:t>54</w:t>
            </w:r>
            <w:r>
              <w:rPr>
                <w:noProof/>
                <w:webHidden/>
              </w:rPr>
              <w:fldChar w:fldCharType="end"/>
            </w:r>
          </w:hyperlink>
        </w:p>
        <w:p w14:paraId="0DF48940" w14:textId="2BD9C87C" w:rsidR="002F340F" w:rsidRDefault="002F340F">
          <w:pPr>
            <w:pStyle w:val="TOC2"/>
            <w:tabs>
              <w:tab w:val="right" w:leader="dot" w:pos="8302"/>
            </w:tabs>
            <w:rPr>
              <w:rFonts w:eastAsiaTheme="minorEastAsia"/>
              <w:noProof/>
              <w:lang w:eastAsia="en-IN"/>
            </w:rPr>
          </w:pPr>
          <w:hyperlink w:anchor="_Toc219805176" w:history="1">
            <w:r w:rsidRPr="00467CF0">
              <w:rPr>
                <w:rStyle w:val="Hyperlink"/>
                <w:rFonts w:ascii="Arial" w:hAnsi="Arial" w:cs="Arial"/>
                <w:b/>
                <w:bCs/>
                <w:noProof/>
              </w:rPr>
              <w:t>5.2 Summary of Key Findings</w:t>
            </w:r>
            <w:r>
              <w:rPr>
                <w:noProof/>
                <w:webHidden/>
              </w:rPr>
              <w:tab/>
            </w:r>
            <w:r>
              <w:rPr>
                <w:noProof/>
                <w:webHidden/>
              </w:rPr>
              <w:fldChar w:fldCharType="begin"/>
            </w:r>
            <w:r>
              <w:rPr>
                <w:noProof/>
                <w:webHidden/>
              </w:rPr>
              <w:instrText xml:space="preserve"> PAGEREF _Toc219805176 \h </w:instrText>
            </w:r>
            <w:r>
              <w:rPr>
                <w:noProof/>
                <w:webHidden/>
              </w:rPr>
            </w:r>
            <w:r>
              <w:rPr>
                <w:noProof/>
                <w:webHidden/>
              </w:rPr>
              <w:fldChar w:fldCharType="separate"/>
            </w:r>
            <w:r>
              <w:rPr>
                <w:noProof/>
                <w:webHidden/>
              </w:rPr>
              <w:t>54</w:t>
            </w:r>
            <w:r>
              <w:rPr>
                <w:noProof/>
                <w:webHidden/>
              </w:rPr>
              <w:fldChar w:fldCharType="end"/>
            </w:r>
          </w:hyperlink>
        </w:p>
        <w:p w14:paraId="79420CE0" w14:textId="0D23E4B2" w:rsidR="002F340F" w:rsidRDefault="002F340F">
          <w:pPr>
            <w:pStyle w:val="TOC2"/>
            <w:tabs>
              <w:tab w:val="right" w:leader="dot" w:pos="8302"/>
            </w:tabs>
            <w:rPr>
              <w:rFonts w:eastAsiaTheme="minorEastAsia"/>
              <w:noProof/>
              <w:lang w:eastAsia="en-IN"/>
            </w:rPr>
          </w:pPr>
          <w:hyperlink w:anchor="_Toc219805177" w:history="1">
            <w:r w:rsidRPr="00467CF0">
              <w:rPr>
                <w:rStyle w:val="Hyperlink"/>
                <w:rFonts w:ascii="Arial" w:hAnsi="Arial" w:cs="Arial"/>
                <w:b/>
                <w:bCs/>
                <w:noProof/>
              </w:rPr>
              <w:t>5.3 Implications for Physiotherapy Practice</w:t>
            </w:r>
            <w:r>
              <w:rPr>
                <w:noProof/>
                <w:webHidden/>
              </w:rPr>
              <w:tab/>
            </w:r>
            <w:r>
              <w:rPr>
                <w:noProof/>
                <w:webHidden/>
              </w:rPr>
              <w:fldChar w:fldCharType="begin"/>
            </w:r>
            <w:r>
              <w:rPr>
                <w:noProof/>
                <w:webHidden/>
              </w:rPr>
              <w:instrText xml:space="preserve"> PAGEREF _Toc219805177 \h </w:instrText>
            </w:r>
            <w:r>
              <w:rPr>
                <w:noProof/>
                <w:webHidden/>
              </w:rPr>
            </w:r>
            <w:r>
              <w:rPr>
                <w:noProof/>
                <w:webHidden/>
              </w:rPr>
              <w:fldChar w:fldCharType="separate"/>
            </w:r>
            <w:r>
              <w:rPr>
                <w:noProof/>
                <w:webHidden/>
              </w:rPr>
              <w:t>55</w:t>
            </w:r>
            <w:r>
              <w:rPr>
                <w:noProof/>
                <w:webHidden/>
              </w:rPr>
              <w:fldChar w:fldCharType="end"/>
            </w:r>
          </w:hyperlink>
        </w:p>
        <w:p w14:paraId="75F4E927" w14:textId="3BA0EC15" w:rsidR="002F340F" w:rsidRDefault="002F340F">
          <w:pPr>
            <w:pStyle w:val="TOC3"/>
            <w:tabs>
              <w:tab w:val="right" w:leader="dot" w:pos="8302"/>
            </w:tabs>
            <w:rPr>
              <w:rFonts w:eastAsiaTheme="minorEastAsia"/>
              <w:noProof/>
              <w:lang w:eastAsia="en-IN"/>
            </w:rPr>
          </w:pPr>
          <w:hyperlink w:anchor="_Toc219805178" w:history="1">
            <w:r w:rsidRPr="00467CF0">
              <w:rPr>
                <w:rStyle w:val="Hyperlink"/>
                <w:rFonts w:ascii="Arial" w:hAnsi="Arial" w:cs="Arial"/>
                <w:b/>
                <w:bCs/>
                <w:noProof/>
              </w:rPr>
              <w:t>5.3.1 Integrating Psychological and Behavioural Support</w:t>
            </w:r>
            <w:r>
              <w:rPr>
                <w:noProof/>
                <w:webHidden/>
              </w:rPr>
              <w:tab/>
            </w:r>
            <w:r>
              <w:rPr>
                <w:noProof/>
                <w:webHidden/>
              </w:rPr>
              <w:fldChar w:fldCharType="begin"/>
            </w:r>
            <w:r>
              <w:rPr>
                <w:noProof/>
                <w:webHidden/>
              </w:rPr>
              <w:instrText xml:space="preserve"> PAGEREF _Toc219805178 \h </w:instrText>
            </w:r>
            <w:r>
              <w:rPr>
                <w:noProof/>
                <w:webHidden/>
              </w:rPr>
            </w:r>
            <w:r>
              <w:rPr>
                <w:noProof/>
                <w:webHidden/>
              </w:rPr>
              <w:fldChar w:fldCharType="separate"/>
            </w:r>
            <w:r>
              <w:rPr>
                <w:noProof/>
                <w:webHidden/>
              </w:rPr>
              <w:t>56</w:t>
            </w:r>
            <w:r>
              <w:rPr>
                <w:noProof/>
                <w:webHidden/>
              </w:rPr>
              <w:fldChar w:fldCharType="end"/>
            </w:r>
          </w:hyperlink>
        </w:p>
        <w:p w14:paraId="4FA18011" w14:textId="7FD16521" w:rsidR="002F340F" w:rsidRDefault="002F340F">
          <w:pPr>
            <w:pStyle w:val="TOC3"/>
            <w:tabs>
              <w:tab w:val="right" w:leader="dot" w:pos="8302"/>
            </w:tabs>
            <w:rPr>
              <w:rFonts w:eastAsiaTheme="minorEastAsia"/>
              <w:noProof/>
              <w:lang w:eastAsia="en-IN"/>
            </w:rPr>
          </w:pPr>
          <w:hyperlink w:anchor="_Toc219805179" w:history="1">
            <w:r w:rsidRPr="00467CF0">
              <w:rPr>
                <w:rStyle w:val="Hyperlink"/>
                <w:rFonts w:ascii="Arial" w:hAnsi="Arial" w:cs="Arial"/>
                <w:b/>
                <w:bCs/>
                <w:noProof/>
              </w:rPr>
              <w:t>5.3.2 Prioritising Strength and Balance Training</w:t>
            </w:r>
            <w:r>
              <w:rPr>
                <w:noProof/>
                <w:webHidden/>
              </w:rPr>
              <w:tab/>
            </w:r>
            <w:r>
              <w:rPr>
                <w:noProof/>
                <w:webHidden/>
              </w:rPr>
              <w:fldChar w:fldCharType="begin"/>
            </w:r>
            <w:r>
              <w:rPr>
                <w:noProof/>
                <w:webHidden/>
              </w:rPr>
              <w:instrText xml:space="preserve"> PAGEREF _Toc219805179 \h </w:instrText>
            </w:r>
            <w:r>
              <w:rPr>
                <w:noProof/>
                <w:webHidden/>
              </w:rPr>
            </w:r>
            <w:r>
              <w:rPr>
                <w:noProof/>
                <w:webHidden/>
              </w:rPr>
              <w:fldChar w:fldCharType="separate"/>
            </w:r>
            <w:r>
              <w:rPr>
                <w:noProof/>
                <w:webHidden/>
              </w:rPr>
              <w:t>56</w:t>
            </w:r>
            <w:r>
              <w:rPr>
                <w:noProof/>
                <w:webHidden/>
              </w:rPr>
              <w:fldChar w:fldCharType="end"/>
            </w:r>
          </w:hyperlink>
        </w:p>
        <w:p w14:paraId="01BAF29B" w14:textId="681CA4F1" w:rsidR="002F340F" w:rsidRDefault="002F340F">
          <w:pPr>
            <w:pStyle w:val="TOC3"/>
            <w:tabs>
              <w:tab w:val="right" w:leader="dot" w:pos="8302"/>
            </w:tabs>
            <w:rPr>
              <w:rFonts w:eastAsiaTheme="minorEastAsia"/>
              <w:noProof/>
              <w:lang w:eastAsia="en-IN"/>
            </w:rPr>
          </w:pPr>
          <w:hyperlink w:anchor="_Toc219805180" w:history="1">
            <w:r w:rsidRPr="00467CF0">
              <w:rPr>
                <w:rStyle w:val="Hyperlink"/>
                <w:rFonts w:ascii="Arial" w:hAnsi="Arial" w:cs="Arial"/>
                <w:b/>
                <w:bCs/>
                <w:noProof/>
              </w:rPr>
              <w:t>5.3.3 Enhancing Accessibility Through Diverse Delivery Models</w:t>
            </w:r>
            <w:r>
              <w:rPr>
                <w:noProof/>
                <w:webHidden/>
              </w:rPr>
              <w:tab/>
            </w:r>
            <w:r>
              <w:rPr>
                <w:noProof/>
                <w:webHidden/>
              </w:rPr>
              <w:fldChar w:fldCharType="begin"/>
            </w:r>
            <w:r>
              <w:rPr>
                <w:noProof/>
                <w:webHidden/>
              </w:rPr>
              <w:instrText xml:space="preserve"> PAGEREF _Toc219805180 \h </w:instrText>
            </w:r>
            <w:r>
              <w:rPr>
                <w:noProof/>
                <w:webHidden/>
              </w:rPr>
            </w:r>
            <w:r>
              <w:rPr>
                <w:noProof/>
                <w:webHidden/>
              </w:rPr>
              <w:fldChar w:fldCharType="separate"/>
            </w:r>
            <w:r>
              <w:rPr>
                <w:noProof/>
                <w:webHidden/>
              </w:rPr>
              <w:t>56</w:t>
            </w:r>
            <w:r>
              <w:rPr>
                <w:noProof/>
                <w:webHidden/>
              </w:rPr>
              <w:fldChar w:fldCharType="end"/>
            </w:r>
          </w:hyperlink>
        </w:p>
        <w:p w14:paraId="7BF9E365" w14:textId="04DA768F" w:rsidR="002F340F" w:rsidRDefault="002F340F">
          <w:pPr>
            <w:pStyle w:val="TOC3"/>
            <w:tabs>
              <w:tab w:val="right" w:leader="dot" w:pos="8302"/>
            </w:tabs>
            <w:rPr>
              <w:rFonts w:eastAsiaTheme="minorEastAsia"/>
              <w:noProof/>
              <w:lang w:eastAsia="en-IN"/>
            </w:rPr>
          </w:pPr>
          <w:hyperlink w:anchor="_Toc219805181" w:history="1">
            <w:r w:rsidRPr="00467CF0">
              <w:rPr>
                <w:rStyle w:val="Hyperlink"/>
                <w:rFonts w:ascii="Arial" w:hAnsi="Arial" w:cs="Arial"/>
                <w:b/>
                <w:bCs/>
                <w:noProof/>
              </w:rPr>
              <w:t>5.3.4 Tailoring Interventions to Metropolitan Diversity</w:t>
            </w:r>
            <w:r>
              <w:rPr>
                <w:noProof/>
                <w:webHidden/>
              </w:rPr>
              <w:tab/>
            </w:r>
            <w:r>
              <w:rPr>
                <w:noProof/>
                <w:webHidden/>
              </w:rPr>
              <w:fldChar w:fldCharType="begin"/>
            </w:r>
            <w:r>
              <w:rPr>
                <w:noProof/>
                <w:webHidden/>
              </w:rPr>
              <w:instrText xml:space="preserve"> PAGEREF _Toc219805181 \h </w:instrText>
            </w:r>
            <w:r>
              <w:rPr>
                <w:noProof/>
                <w:webHidden/>
              </w:rPr>
            </w:r>
            <w:r>
              <w:rPr>
                <w:noProof/>
                <w:webHidden/>
              </w:rPr>
              <w:fldChar w:fldCharType="separate"/>
            </w:r>
            <w:r>
              <w:rPr>
                <w:noProof/>
                <w:webHidden/>
              </w:rPr>
              <w:t>57</w:t>
            </w:r>
            <w:r>
              <w:rPr>
                <w:noProof/>
                <w:webHidden/>
              </w:rPr>
              <w:fldChar w:fldCharType="end"/>
            </w:r>
          </w:hyperlink>
        </w:p>
        <w:p w14:paraId="3C9597A6" w14:textId="28B1F9EB" w:rsidR="002F340F" w:rsidRDefault="002F340F">
          <w:pPr>
            <w:pStyle w:val="TOC2"/>
            <w:tabs>
              <w:tab w:val="right" w:leader="dot" w:pos="8302"/>
            </w:tabs>
            <w:rPr>
              <w:rFonts w:eastAsiaTheme="minorEastAsia"/>
              <w:noProof/>
              <w:lang w:eastAsia="en-IN"/>
            </w:rPr>
          </w:pPr>
          <w:hyperlink w:anchor="_Toc219805182" w:history="1">
            <w:r w:rsidRPr="00467CF0">
              <w:rPr>
                <w:rStyle w:val="Hyperlink"/>
                <w:rFonts w:ascii="Arial" w:hAnsi="Arial" w:cs="Arial"/>
                <w:b/>
                <w:bCs/>
                <w:noProof/>
              </w:rPr>
              <w:t>5.4 Implications for Public Health and Urban Policy</w:t>
            </w:r>
            <w:r>
              <w:rPr>
                <w:noProof/>
                <w:webHidden/>
              </w:rPr>
              <w:tab/>
            </w:r>
            <w:r>
              <w:rPr>
                <w:noProof/>
                <w:webHidden/>
              </w:rPr>
              <w:fldChar w:fldCharType="begin"/>
            </w:r>
            <w:r>
              <w:rPr>
                <w:noProof/>
                <w:webHidden/>
              </w:rPr>
              <w:instrText xml:space="preserve"> PAGEREF _Toc219805182 \h </w:instrText>
            </w:r>
            <w:r>
              <w:rPr>
                <w:noProof/>
                <w:webHidden/>
              </w:rPr>
            </w:r>
            <w:r>
              <w:rPr>
                <w:noProof/>
                <w:webHidden/>
              </w:rPr>
              <w:fldChar w:fldCharType="separate"/>
            </w:r>
            <w:r>
              <w:rPr>
                <w:noProof/>
                <w:webHidden/>
              </w:rPr>
              <w:t>57</w:t>
            </w:r>
            <w:r>
              <w:rPr>
                <w:noProof/>
                <w:webHidden/>
              </w:rPr>
              <w:fldChar w:fldCharType="end"/>
            </w:r>
          </w:hyperlink>
        </w:p>
        <w:p w14:paraId="51E792BF" w14:textId="3D8E7832" w:rsidR="002F340F" w:rsidRDefault="002F340F">
          <w:pPr>
            <w:pStyle w:val="TOC3"/>
            <w:tabs>
              <w:tab w:val="right" w:leader="dot" w:pos="8302"/>
            </w:tabs>
            <w:rPr>
              <w:rFonts w:eastAsiaTheme="minorEastAsia"/>
              <w:noProof/>
              <w:lang w:eastAsia="en-IN"/>
            </w:rPr>
          </w:pPr>
          <w:hyperlink w:anchor="_Toc219805183" w:history="1">
            <w:r w:rsidRPr="00467CF0">
              <w:rPr>
                <w:rStyle w:val="Hyperlink"/>
                <w:rFonts w:ascii="Arial" w:hAnsi="Arial" w:cs="Arial"/>
                <w:b/>
                <w:bCs/>
                <w:noProof/>
              </w:rPr>
              <w:t>5.4.1 Collaborative Approaches Across Sectors</w:t>
            </w:r>
            <w:r>
              <w:rPr>
                <w:noProof/>
                <w:webHidden/>
              </w:rPr>
              <w:tab/>
            </w:r>
            <w:r>
              <w:rPr>
                <w:noProof/>
                <w:webHidden/>
              </w:rPr>
              <w:fldChar w:fldCharType="begin"/>
            </w:r>
            <w:r>
              <w:rPr>
                <w:noProof/>
                <w:webHidden/>
              </w:rPr>
              <w:instrText xml:space="preserve"> PAGEREF _Toc219805183 \h </w:instrText>
            </w:r>
            <w:r>
              <w:rPr>
                <w:noProof/>
                <w:webHidden/>
              </w:rPr>
            </w:r>
            <w:r>
              <w:rPr>
                <w:noProof/>
                <w:webHidden/>
              </w:rPr>
              <w:fldChar w:fldCharType="separate"/>
            </w:r>
            <w:r>
              <w:rPr>
                <w:noProof/>
                <w:webHidden/>
              </w:rPr>
              <w:t>57</w:t>
            </w:r>
            <w:r>
              <w:rPr>
                <w:noProof/>
                <w:webHidden/>
              </w:rPr>
              <w:fldChar w:fldCharType="end"/>
            </w:r>
          </w:hyperlink>
        </w:p>
        <w:p w14:paraId="3BF58241" w14:textId="0076D93D" w:rsidR="002F340F" w:rsidRDefault="002F340F">
          <w:pPr>
            <w:pStyle w:val="TOC3"/>
            <w:tabs>
              <w:tab w:val="right" w:leader="dot" w:pos="8302"/>
            </w:tabs>
            <w:rPr>
              <w:rFonts w:eastAsiaTheme="minorEastAsia"/>
              <w:noProof/>
              <w:lang w:eastAsia="en-IN"/>
            </w:rPr>
          </w:pPr>
          <w:hyperlink w:anchor="_Toc219805184" w:history="1">
            <w:r w:rsidRPr="00467CF0">
              <w:rPr>
                <w:rStyle w:val="Hyperlink"/>
                <w:rFonts w:ascii="Arial" w:hAnsi="Arial" w:cs="Arial"/>
                <w:b/>
                <w:bCs/>
                <w:noProof/>
              </w:rPr>
              <w:t>5.4.2 Diminishing Inequalities</w:t>
            </w:r>
            <w:r>
              <w:rPr>
                <w:noProof/>
                <w:webHidden/>
              </w:rPr>
              <w:tab/>
            </w:r>
            <w:r>
              <w:rPr>
                <w:noProof/>
                <w:webHidden/>
              </w:rPr>
              <w:fldChar w:fldCharType="begin"/>
            </w:r>
            <w:r>
              <w:rPr>
                <w:noProof/>
                <w:webHidden/>
              </w:rPr>
              <w:instrText xml:space="preserve"> PAGEREF _Toc219805184 \h </w:instrText>
            </w:r>
            <w:r>
              <w:rPr>
                <w:noProof/>
                <w:webHidden/>
              </w:rPr>
            </w:r>
            <w:r>
              <w:rPr>
                <w:noProof/>
                <w:webHidden/>
              </w:rPr>
              <w:fldChar w:fldCharType="separate"/>
            </w:r>
            <w:r>
              <w:rPr>
                <w:noProof/>
                <w:webHidden/>
              </w:rPr>
              <w:t>57</w:t>
            </w:r>
            <w:r>
              <w:rPr>
                <w:noProof/>
                <w:webHidden/>
              </w:rPr>
              <w:fldChar w:fldCharType="end"/>
            </w:r>
          </w:hyperlink>
        </w:p>
        <w:p w14:paraId="5492BB6C" w14:textId="341908A7" w:rsidR="002F340F" w:rsidRDefault="002F340F">
          <w:pPr>
            <w:pStyle w:val="TOC3"/>
            <w:tabs>
              <w:tab w:val="right" w:leader="dot" w:pos="8302"/>
            </w:tabs>
            <w:rPr>
              <w:rFonts w:eastAsiaTheme="minorEastAsia"/>
              <w:noProof/>
              <w:lang w:eastAsia="en-IN"/>
            </w:rPr>
          </w:pPr>
          <w:hyperlink w:anchor="_Toc219805185" w:history="1">
            <w:r w:rsidRPr="00467CF0">
              <w:rPr>
                <w:rStyle w:val="Hyperlink"/>
                <w:rFonts w:ascii="Arial" w:hAnsi="Arial" w:cs="Arial"/>
                <w:b/>
                <w:bCs/>
                <w:noProof/>
              </w:rPr>
              <w:t>5.4.3 Increasing the Capacity of NHS Physiotherapy</w:t>
            </w:r>
            <w:r>
              <w:rPr>
                <w:noProof/>
                <w:webHidden/>
              </w:rPr>
              <w:tab/>
            </w:r>
            <w:r>
              <w:rPr>
                <w:noProof/>
                <w:webHidden/>
              </w:rPr>
              <w:fldChar w:fldCharType="begin"/>
            </w:r>
            <w:r>
              <w:rPr>
                <w:noProof/>
                <w:webHidden/>
              </w:rPr>
              <w:instrText xml:space="preserve"> PAGEREF _Toc219805185 \h </w:instrText>
            </w:r>
            <w:r>
              <w:rPr>
                <w:noProof/>
                <w:webHidden/>
              </w:rPr>
            </w:r>
            <w:r>
              <w:rPr>
                <w:noProof/>
                <w:webHidden/>
              </w:rPr>
              <w:fldChar w:fldCharType="separate"/>
            </w:r>
            <w:r>
              <w:rPr>
                <w:noProof/>
                <w:webHidden/>
              </w:rPr>
              <w:t>58</w:t>
            </w:r>
            <w:r>
              <w:rPr>
                <w:noProof/>
                <w:webHidden/>
              </w:rPr>
              <w:fldChar w:fldCharType="end"/>
            </w:r>
          </w:hyperlink>
        </w:p>
        <w:p w14:paraId="1C2D06D6" w14:textId="7280EB96" w:rsidR="002F340F" w:rsidRDefault="002F340F">
          <w:pPr>
            <w:pStyle w:val="TOC2"/>
            <w:tabs>
              <w:tab w:val="right" w:leader="dot" w:pos="8302"/>
            </w:tabs>
            <w:rPr>
              <w:rFonts w:eastAsiaTheme="minorEastAsia"/>
              <w:noProof/>
              <w:lang w:eastAsia="en-IN"/>
            </w:rPr>
          </w:pPr>
          <w:hyperlink w:anchor="_Toc219805186" w:history="1">
            <w:r w:rsidRPr="00467CF0">
              <w:rPr>
                <w:rStyle w:val="Hyperlink"/>
                <w:rFonts w:ascii="Arial" w:hAnsi="Arial" w:cs="Arial"/>
                <w:b/>
                <w:bCs/>
                <w:noProof/>
              </w:rPr>
              <w:t>5.5 Consequences for Upcoming Studies</w:t>
            </w:r>
            <w:r>
              <w:rPr>
                <w:noProof/>
                <w:webHidden/>
              </w:rPr>
              <w:tab/>
            </w:r>
            <w:r>
              <w:rPr>
                <w:noProof/>
                <w:webHidden/>
              </w:rPr>
              <w:fldChar w:fldCharType="begin"/>
            </w:r>
            <w:r>
              <w:rPr>
                <w:noProof/>
                <w:webHidden/>
              </w:rPr>
              <w:instrText xml:space="preserve"> PAGEREF _Toc219805186 \h </w:instrText>
            </w:r>
            <w:r>
              <w:rPr>
                <w:noProof/>
                <w:webHidden/>
              </w:rPr>
            </w:r>
            <w:r>
              <w:rPr>
                <w:noProof/>
                <w:webHidden/>
              </w:rPr>
              <w:fldChar w:fldCharType="separate"/>
            </w:r>
            <w:r>
              <w:rPr>
                <w:noProof/>
                <w:webHidden/>
              </w:rPr>
              <w:t>58</w:t>
            </w:r>
            <w:r>
              <w:rPr>
                <w:noProof/>
                <w:webHidden/>
              </w:rPr>
              <w:fldChar w:fldCharType="end"/>
            </w:r>
          </w:hyperlink>
        </w:p>
        <w:p w14:paraId="066C091A" w14:textId="209444D1" w:rsidR="002F340F" w:rsidRDefault="002F340F">
          <w:pPr>
            <w:pStyle w:val="TOC3"/>
            <w:tabs>
              <w:tab w:val="right" w:leader="dot" w:pos="8302"/>
            </w:tabs>
            <w:rPr>
              <w:rFonts w:eastAsiaTheme="minorEastAsia"/>
              <w:noProof/>
              <w:lang w:eastAsia="en-IN"/>
            </w:rPr>
          </w:pPr>
          <w:hyperlink w:anchor="_Toc219805187" w:history="1">
            <w:r w:rsidRPr="00467CF0">
              <w:rPr>
                <w:rStyle w:val="Hyperlink"/>
                <w:rFonts w:ascii="Arial" w:hAnsi="Arial" w:cs="Arial"/>
                <w:b/>
                <w:bCs/>
                <w:noProof/>
              </w:rPr>
              <w:t>5.5.1 Extended Monitoring</w:t>
            </w:r>
            <w:r>
              <w:rPr>
                <w:noProof/>
                <w:webHidden/>
              </w:rPr>
              <w:tab/>
            </w:r>
            <w:r>
              <w:rPr>
                <w:noProof/>
                <w:webHidden/>
              </w:rPr>
              <w:fldChar w:fldCharType="begin"/>
            </w:r>
            <w:r>
              <w:rPr>
                <w:noProof/>
                <w:webHidden/>
              </w:rPr>
              <w:instrText xml:space="preserve"> PAGEREF _Toc219805187 \h </w:instrText>
            </w:r>
            <w:r>
              <w:rPr>
                <w:noProof/>
                <w:webHidden/>
              </w:rPr>
            </w:r>
            <w:r>
              <w:rPr>
                <w:noProof/>
                <w:webHidden/>
              </w:rPr>
              <w:fldChar w:fldCharType="separate"/>
            </w:r>
            <w:r>
              <w:rPr>
                <w:noProof/>
                <w:webHidden/>
              </w:rPr>
              <w:t>58</w:t>
            </w:r>
            <w:r>
              <w:rPr>
                <w:noProof/>
                <w:webHidden/>
              </w:rPr>
              <w:fldChar w:fldCharType="end"/>
            </w:r>
          </w:hyperlink>
        </w:p>
        <w:p w14:paraId="79A5D740" w14:textId="4AA34883" w:rsidR="002F340F" w:rsidRDefault="002F340F">
          <w:pPr>
            <w:pStyle w:val="TOC3"/>
            <w:tabs>
              <w:tab w:val="right" w:leader="dot" w:pos="8302"/>
            </w:tabs>
            <w:rPr>
              <w:rFonts w:eastAsiaTheme="minorEastAsia"/>
              <w:noProof/>
              <w:lang w:eastAsia="en-IN"/>
            </w:rPr>
          </w:pPr>
          <w:hyperlink w:anchor="_Toc219805188" w:history="1">
            <w:r w:rsidRPr="00467CF0">
              <w:rPr>
                <w:rStyle w:val="Hyperlink"/>
                <w:rFonts w:ascii="Arial" w:hAnsi="Arial" w:cs="Arial"/>
                <w:b/>
                <w:bCs/>
                <w:noProof/>
              </w:rPr>
              <w:t>5.5.2 Inclusion and Diversity</w:t>
            </w:r>
            <w:r>
              <w:rPr>
                <w:noProof/>
                <w:webHidden/>
              </w:rPr>
              <w:tab/>
            </w:r>
            <w:r>
              <w:rPr>
                <w:noProof/>
                <w:webHidden/>
              </w:rPr>
              <w:fldChar w:fldCharType="begin"/>
            </w:r>
            <w:r>
              <w:rPr>
                <w:noProof/>
                <w:webHidden/>
              </w:rPr>
              <w:instrText xml:space="preserve"> PAGEREF _Toc219805188 \h </w:instrText>
            </w:r>
            <w:r>
              <w:rPr>
                <w:noProof/>
                <w:webHidden/>
              </w:rPr>
            </w:r>
            <w:r>
              <w:rPr>
                <w:noProof/>
                <w:webHidden/>
              </w:rPr>
              <w:fldChar w:fldCharType="separate"/>
            </w:r>
            <w:r>
              <w:rPr>
                <w:noProof/>
                <w:webHidden/>
              </w:rPr>
              <w:t>58</w:t>
            </w:r>
            <w:r>
              <w:rPr>
                <w:noProof/>
                <w:webHidden/>
              </w:rPr>
              <w:fldChar w:fldCharType="end"/>
            </w:r>
          </w:hyperlink>
        </w:p>
        <w:p w14:paraId="6A3FA3EA" w14:textId="24DE17C6" w:rsidR="002F340F" w:rsidRDefault="002F340F">
          <w:pPr>
            <w:pStyle w:val="TOC3"/>
            <w:tabs>
              <w:tab w:val="right" w:leader="dot" w:pos="8302"/>
            </w:tabs>
            <w:rPr>
              <w:rFonts w:eastAsiaTheme="minorEastAsia"/>
              <w:noProof/>
              <w:lang w:eastAsia="en-IN"/>
            </w:rPr>
          </w:pPr>
          <w:hyperlink w:anchor="_Toc219805189" w:history="1">
            <w:r w:rsidRPr="00467CF0">
              <w:rPr>
                <w:rStyle w:val="Hyperlink"/>
                <w:rFonts w:ascii="Arial" w:hAnsi="Arial" w:cs="Arial"/>
                <w:b/>
                <w:bCs/>
                <w:noProof/>
              </w:rPr>
              <w:t>5.5.3 Standardized Measures of Outcomes</w:t>
            </w:r>
            <w:r>
              <w:rPr>
                <w:noProof/>
                <w:webHidden/>
              </w:rPr>
              <w:tab/>
            </w:r>
            <w:r>
              <w:rPr>
                <w:noProof/>
                <w:webHidden/>
              </w:rPr>
              <w:fldChar w:fldCharType="begin"/>
            </w:r>
            <w:r>
              <w:rPr>
                <w:noProof/>
                <w:webHidden/>
              </w:rPr>
              <w:instrText xml:space="preserve"> PAGEREF _Toc219805189 \h </w:instrText>
            </w:r>
            <w:r>
              <w:rPr>
                <w:noProof/>
                <w:webHidden/>
              </w:rPr>
            </w:r>
            <w:r>
              <w:rPr>
                <w:noProof/>
                <w:webHidden/>
              </w:rPr>
              <w:fldChar w:fldCharType="separate"/>
            </w:r>
            <w:r>
              <w:rPr>
                <w:noProof/>
                <w:webHidden/>
              </w:rPr>
              <w:t>58</w:t>
            </w:r>
            <w:r>
              <w:rPr>
                <w:noProof/>
                <w:webHidden/>
              </w:rPr>
              <w:fldChar w:fldCharType="end"/>
            </w:r>
          </w:hyperlink>
        </w:p>
        <w:p w14:paraId="268036FA" w14:textId="5B14BE7B" w:rsidR="002F340F" w:rsidRDefault="002F340F">
          <w:pPr>
            <w:pStyle w:val="TOC3"/>
            <w:tabs>
              <w:tab w:val="right" w:leader="dot" w:pos="8302"/>
            </w:tabs>
            <w:rPr>
              <w:rFonts w:eastAsiaTheme="minorEastAsia"/>
              <w:noProof/>
              <w:lang w:eastAsia="en-IN"/>
            </w:rPr>
          </w:pPr>
          <w:hyperlink w:anchor="_Toc219805190" w:history="1">
            <w:r w:rsidRPr="00467CF0">
              <w:rPr>
                <w:rStyle w:val="Hyperlink"/>
                <w:rFonts w:ascii="Arial" w:hAnsi="Arial" w:cs="Arial"/>
                <w:b/>
                <w:bCs/>
                <w:noProof/>
              </w:rPr>
              <w:t>5.5.4 Assessing Hybrid and Telehealth Models</w:t>
            </w:r>
            <w:r>
              <w:rPr>
                <w:noProof/>
                <w:webHidden/>
              </w:rPr>
              <w:tab/>
            </w:r>
            <w:r>
              <w:rPr>
                <w:noProof/>
                <w:webHidden/>
              </w:rPr>
              <w:fldChar w:fldCharType="begin"/>
            </w:r>
            <w:r>
              <w:rPr>
                <w:noProof/>
                <w:webHidden/>
              </w:rPr>
              <w:instrText xml:space="preserve"> PAGEREF _Toc219805190 \h </w:instrText>
            </w:r>
            <w:r>
              <w:rPr>
                <w:noProof/>
                <w:webHidden/>
              </w:rPr>
            </w:r>
            <w:r>
              <w:rPr>
                <w:noProof/>
                <w:webHidden/>
              </w:rPr>
              <w:fldChar w:fldCharType="separate"/>
            </w:r>
            <w:r>
              <w:rPr>
                <w:noProof/>
                <w:webHidden/>
              </w:rPr>
              <w:t>58</w:t>
            </w:r>
            <w:r>
              <w:rPr>
                <w:noProof/>
                <w:webHidden/>
              </w:rPr>
              <w:fldChar w:fldCharType="end"/>
            </w:r>
          </w:hyperlink>
        </w:p>
        <w:p w14:paraId="1FC9EF09" w14:textId="2FC8BBD6" w:rsidR="002F340F" w:rsidRDefault="002F340F">
          <w:pPr>
            <w:pStyle w:val="TOC2"/>
            <w:tabs>
              <w:tab w:val="right" w:leader="dot" w:pos="8302"/>
            </w:tabs>
            <w:rPr>
              <w:rFonts w:eastAsiaTheme="minorEastAsia"/>
              <w:noProof/>
              <w:lang w:eastAsia="en-IN"/>
            </w:rPr>
          </w:pPr>
          <w:hyperlink w:anchor="_Toc219805191" w:history="1">
            <w:r w:rsidRPr="00467CF0">
              <w:rPr>
                <w:rStyle w:val="Hyperlink"/>
                <w:rFonts w:ascii="Arial" w:hAnsi="Arial" w:cs="Arial"/>
                <w:b/>
                <w:bCs/>
                <w:noProof/>
              </w:rPr>
              <w:t>5.6 Strengths and Limitations of This Dissertation</w:t>
            </w:r>
            <w:r>
              <w:rPr>
                <w:noProof/>
                <w:webHidden/>
              </w:rPr>
              <w:tab/>
            </w:r>
            <w:r>
              <w:rPr>
                <w:noProof/>
                <w:webHidden/>
              </w:rPr>
              <w:fldChar w:fldCharType="begin"/>
            </w:r>
            <w:r>
              <w:rPr>
                <w:noProof/>
                <w:webHidden/>
              </w:rPr>
              <w:instrText xml:space="preserve"> PAGEREF _Toc219805191 \h </w:instrText>
            </w:r>
            <w:r>
              <w:rPr>
                <w:noProof/>
                <w:webHidden/>
              </w:rPr>
            </w:r>
            <w:r>
              <w:rPr>
                <w:noProof/>
                <w:webHidden/>
              </w:rPr>
              <w:fldChar w:fldCharType="separate"/>
            </w:r>
            <w:r>
              <w:rPr>
                <w:noProof/>
                <w:webHidden/>
              </w:rPr>
              <w:t>58</w:t>
            </w:r>
            <w:r>
              <w:rPr>
                <w:noProof/>
                <w:webHidden/>
              </w:rPr>
              <w:fldChar w:fldCharType="end"/>
            </w:r>
          </w:hyperlink>
        </w:p>
        <w:p w14:paraId="20E3FA6C" w14:textId="5E76B507" w:rsidR="002F340F" w:rsidRDefault="002F340F">
          <w:pPr>
            <w:pStyle w:val="TOC2"/>
            <w:tabs>
              <w:tab w:val="right" w:leader="dot" w:pos="8302"/>
            </w:tabs>
            <w:rPr>
              <w:rFonts w:eastAsiaTheme="minorEastAsia"/>
              <w:noProof/>
              <w:lang w:eastAsia="en-IN"/>
            </w:rPr>
          </w:pPr>
          <w:hyperlink w:anchor="_Toc219805192" w:history="1">
            <w:r w:rsidRPr="00467CF0">
              <w:rPr>
                <w:rStyle w:val="Hyperlink"/>
                <w:rFonts w:ascii="Arial" w:hAnsi="Arial" w:cs="Arial"/>
                <w:b/>
                <w:bCs/>
                <w:noProof/>
              </w:rPr>
              <w:t>5.7 Overall Conclusion</w:t>
            </w:r>
            <w:r>
              <w:rPr>
                <w:noProof/>
                <w:webHidden/>
              </w:rPr>
              <w:tab/>
            </w:r>
            <w:r>
              <w:rPr>
                <w:noProof/>
                <w:webHidden/>
              </w:rPr>
              <w:fldChar w:fldCharType="begin"/>
            </w:r>
            <w:r>
              <w:rPr>
                <w:noProof/>
                <w:webHidden/>
              </w:rPr>
              <w:instrText xml:space="preserve"> PAGEREF _Toc219805192 \h </w:instrText>
            </w:r>
            <w:r>
              <w:rPr>
                <w:noProof/>
                <w:webHidden/>
              </w:rPr>
            </w:r>
            <w:r>
              <w:rPr>
                <w:noProof/>
                <w:webHidden/>
              </w:rPr>
              <w:fldChar w:fldCharType="separate"/>
            </w:r>
            <w:r>
              <w:rPr>
                <w:noProof/>
                <w:webHidden/>
              </w:rPr>
              <w:t>60</w:t>
            </w:r>
            <w:r>
              <w:rPr>
                <w:noProof/>
                <w:webHidden/>
              </w:rPr>
              <w:fldChar w:fldCharType="end"/>
            </w:r>
          </w:hyperlink>
        </w:p>
        <w:p w14:paraId="650AC604" w14:textId="5AA81AAF" w:rsidR="002F340F" w:rsidRDefault="002F340F">
          <w:pPr>
            <w:pStyle w:val="TOC1"/>
            <w:tabs>
              <w:tab w:val="right" w:leader="dot" w:pos="8302"/>
            </w:tabs>
            <w:rPr>
              <w:rFonts w:eastAsiaTheme="minorEastAsia"/>
              <w:noProof/>
              <w:lang w:eastAsia="en-IN"/>
            </w:rPr>
          </w:pPr>
          <w:hyperlink w:anchor="_Toc219805193" w:history="1">
            <w:r w:rsidRPr="00467CF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_Toc219805193 \h </w:instrText>
            </w:r>
            <w:r>
              <w:rPr>
                <w:noProof/>
                <w:webHidden/>
              </w:rPr>
            </w:r>
            <w:r>
              <w:rPr>
                <w:noProof/>
                <w:webHidden/>
              </w:rPr>
              <w:fldChar w:fldCharType="separate"/>
            </w:r>
            <w:r>
              <w:rPr>
                <w:noProof/>
                <w:webHidden/>
              </w:rPr>
              <w:t>61</w:t>
            </w:r>
            <w:r>
              <w:rPr>
                <w:noProof/>
                <w:webHidden/>
              </w:rPr>
              <w:fldChar w:fldCharType="end"/>
            </w:r>
          </w:hyperlink>
        </w:p>
        <w:p w14:paraId="695B7DEA" w14:textId="767CAC16" w:rsidR="002F340F" w:rsidRDefault="002F340F">
          <w:pPr>
            <w:pStyle w:val="TOC1"/>
            <w:tabs>
              <w:tab w:val="right" w:leader="dot" w:pos="8302"/>
            </w:tabs>
            <w:rPr>
              <w:rFonts w:eastAsiaTheme="minorEastAsia"/>
              <w:noProof/>
              <w:lang w:eastAsia="en-IN"/>
            </w:rPr>
          </w:pPr>
          <w:hyperlink w:anchor="_Toc219805194" w:history="1">
            <w:r w:rsidRPr="00467CF0">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_Toc219805194 \h </w:instrText>
            </w:r>
            <w:r>
              <w:rPr>
                <w:noProof/>
                <w:webHidden/>
              </w:rPr>
            </w:r>
            <w:r>
              <w:rPr>
                <w:noProof/>
                <w:webHidden/>
              </w:rPr>
              <w:fldChar w:fldCharType="separate"/>
            </w:r>
            <w:r>
              <w:rPr>
                <w:noProof/>
                <w:webHidden/>
              </w:rPr>
              <w:t>68</w:t>
            </w:r>
            <w:r>
              <w:rPr>
                <w:noProof/>
                <w:webHidden/>
              </w:rPr>
              <w:fldChar w:fldCharType="end"/>
            </w:r>
          </w:hyperlink>
        </w:p>
        <w:p w14:paraId="1FFDCD25" w14:textId="4F43DD21" w:rsidR="00096385" w:rsidRPr="003C75C6" w:rsidRDefault="005D7A7A" w:rsidP="003C75C6">
          <w:r>
            <w:rPr>
              <w:b/>
              <w:bCs/>
              <w:noProof/>
            </w:rPr>
            <w:fldChar w:fldCharType="end"/>
          </w:r>
        </w:p>
      </w:sdtContent>
    </w:sdt>
    <w:bookmarkStart w:id="1" w:name="_Hlk219805868" w:displacedByCustomXml="prev"/>
    <w:p w14:paraId="44D52FFA" w14:textId="532A7CAD" w:rsidR="003F29DA" w:rsidRPr="00096385" w:rsidRDefault="003F29DA" w:rsidP="002F690B">
      <w:pPr>
        <w:pStyle w:val="Heading1"/>
        <w:jc w:val="both"/>
        <w:rPr>
          <w:rFonts w:ascii="Arial" w:hAnsi="Arial" w:cs="Arial"/>
          <w:b/>
          <w:bCs/>
          <w:sz w:val="32"/>
          <w:szCs w:val="32"/>
        </w:rPr>
      </w:pPr>
      <w:bookmarkStart w:id="2" w:name="_Toc219805103"/>
      <w:bookmarkEnd w:id="1"/>
      <w:r w:rsidRPr="00096385">
        <w:rPr>
          <w:rFonts w:ascii="Arial" w:hAnsi="Arial" w:cs="Arial"/>
          <w:b/>
          <w:bCs/>
          <w:sz w:val="32"/>
          <w:szCs w:val="32"/>
        </w:rPr>
        <w:lastRenderedPageBreak/>
        <w:t>Chapter 1: Introduction</w:t>
      </w:r>
      <w:bookmarkEnd w:id="2"/>
    </w:p>
    <w:p w14:paraId="419E51AD" w14:textId="283C1001" w:rsidR="003F29DA" w:rsidRPr="00096385" w:rsidRDefault="003F29DA" w:rsidP="002F690B">
      <w:pPr>
        <w:pStyle w:val="Heading2"/>
        <w:jc w:val="both"/>
        <w:rPr>
          <w:rFonts w:ascii="Arial" w:hAnsi="Arial" w:cs="Arial"/>
          <w:b/>
          <w:bCs/>
          <w:sz w:val="28"/>
          <w:szCs w:val="28"/>
        </w:rPr>
      </w:pPr>
      <w:bookmarkStart w:id="3" w:name="_Toc219805104"/>
      <w:r w:rsidRPr="00096385">
        <w:rPr>
          <w:rFonts w:ascii="Arial" w:hAnsi="Arial" w:cs="Arial"/>
          <w:b/>
          <w:bCs/>
          <w:sz w:val="28"/>
          <w:szCs w:val="28"/>
        </w:rPr>
        <w:t>1.1</w:t>
      </w:r>
      <w:r w:rsidR="00096385" w:rsidRPr="00096385">
        <w:rPr>
          <w:rFonts w:ascii="Arial" w:hAnsi="Arial" w:cs="Arial"/>
          <w:b/>
          <w:bCs/>
          <w:sz w:val="28"/>
          <w:szCs w:val="28"/>
        </w:rPr>
        <w:t xml:space="preserve"> </w:t>
      </w:r>
      <w:r w:rsidRPr="00096385">
        <w:rPr>
          <w:rFonts w:ascii="Arial" w:hAnsi="Arial" w:cs="Arial"/>
          <w:b/>
          <w:bCs/>
          <w:sz w:val="28"/>
          <w:szCs w:val="28"/>
        </w:rPr>
        <w:t>Background</w:t>
      </w:r>
      <w:bookmarkEnd w:id="3"/>
    </w:p>
    <w:p w14:paraId="10D84BCF" w14:textId="7E9B68E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Falls among older adults represent a significant global public health challenge and are a leading cause of morbidity, mortality and healthcare expenditure worldwide</w:t>
      </w:r>
      <w:r w:rsidR="00F05A3C">
        <w:rPr>
          <w:rFonts w:ascii="Arial" w:hAnsi="Arial" w:cs="Arial"/>
          <w:sz w:val="22"/>
          <w:szCs w:val="22"/>
        </w:rPr>
        <w:t xml:space="preserve"> </w:t>
      </w:r>
      <w:r w:rsidR="00F05A3C" w:rsidRPr="00F05A3C">
        <w:rPr>
          <w:rFonts w:ascii="Arial" w:hAnsi="Arial" w:cs="Arial"/>
          <w:sz w:val="22"/>
          <w:szCs w:val="22"/>
        </w:rPr>
        <w:t>- (Chen et al., 2025)</w:t>
      </w:r>
      <w:r w:rsidRPr="003F29DA">
        <w:rPr>
          <w:rFonts w:ascii="Arial" w:hAnsi="Arial" w:cs="Arial"/>
          <w:sz w:val="22"/>
          <w:szCs w:val="22"/>
        </w:rPr>
        <w:t xml:space="preserve">. </w:t>
      </w:r>
      <w:r w:rsidR="001D1041" w:rsidRPr="001D1041">
        <w:rPr>
          <w:rFonts w:ascii="Arial" w:hAnsi="Arial" w:cs="Arial"/>
          <w:sz w:val="22"/>
          <w:szCs w:val="22"/>
        </w:rPr>
        <w:t>Global population aging has increased the incidence of age-related disorders such frailty, sarcopenia, and multimorbidity, all of which significantly raise older persons' risk of falls and fall-related injuries</w:t>
      </w:r>
      <w:r w:rsidR="001D1041">
        <w:rPr>
          <w:rFonts w:ascii="Arial" w:hAnsi="Arial" w:cs="Arial"/>
          <w:sz w:val="22"/>
          <w:szCs w:val="22"/>
        </w:rPr>
        <w:t xml:space="preserve"> </w:t>
      </w:r>
      <w:r w:rsidR="001D1041" w:rsidRPr="001D1041">
        <w:rPr>
          <w:rFonts w:ascii="Arial" w:hAnsi="Arial" w:cs="Arial"/>
          <w:sz w:val="22"/>
          <w:szCs w:val="22"/>
        </w:rPr>
        <w:t>(Beard et al., 2016; Clegg et al., 2013).</w:t>
      </w:r>
      <w:r w:rsidR="001D1041">
        <w:rPr>
          <w:rFonts w:ascii="Arial" w:hAnsi="Arial" w:cs="Arial"/>
          <w:sz w:val="22"/>
          <w:szCs w:val="22"/>
        </w:rPr>
        <w:t xml:space="preserve"> </w:t>
      </w:r>
      <w:r w:rsidRPr="003F29DA">
        <w:rPr>
          <w:rFonts w:ascii="Arial" w:hAnsi="Arial" w:cs="Arial"/>
          <w:sz w:val="22"/>
          <w:szCs w:val="22"/>
        </w:rPr>
        <w:t>A fall is defined by the World Health Organization (WHO) as “an event which results in a person coming to rest inadvertently on the ground, floor or other lower level” (WHO, 2021). Globally, approximately 30% of individuals aged 65 years and over experience at least one fall annually, with around half of these incidents resulting in injury, ranging from minor soft tissue damage to fractures and traumatic brain injury (Smith et al., 2023; World Health Organization, 2021). In addition to physical injury, falls are associated with substantial psychological consequences, including fear of falling, loss of confidence, anxiety and social withdrawal all of which contribute to reduced independence and poorer quality of life among older adults (Brown and Jones, 2022; Green et al., 2021</w:t>
      </w:r>
      <w:r w:rsidR="004F41A2">
        <w:rPr>
          <w:rFonts w:ascii="Arial" w:hAnsi="Arial" w:cs="Arial"/>
          <w:sz w:val="22"/>
          <w:szCs w:val="22"/>
        </w:rPr>
        <w:t xml:space="preserve">; </w:t>
      </w:r>
      <w:r w:rsidR="004F41A2" w:rsidRPr="004F41A2">
        <w:rPr>
          <w:rFonts w:ascii="Arial" w:hAnsi="Arial" w:cs="Arial"/>
          <w:sz w:val="22"/>
          <w:szCs w:val="22"/>
        </w:rPr>
        <w:t>Yardley et al., 2018; Denkinger et al., 2015</w:t>
      </w:r>
      <w:r w:rsidRPr="003F29DA">
        <w:rPr>
          <w:rFonts w:ascii="Arial" w:hAnsi="Arial" w:cs="Arial"/>
          <w:sz w:val="22"/>
          <w:szCs w:val="22"/>
        </w:rPr>
        <w:t>).</w:t>
      </w:r>
      <w:r w:rsidR="001D1041">
        <w:rPr>
          <w:rFonts w:ascii="Arial" w:hAnsi="Arial" w:cs="Arial"/>
          <w:sz w:val="22"/>
          <w:szCs w:val="22"/>
        </w:rPr>
        <w:t xml:space="preserve"> </w:t>
      </w:r>
      <w:r w:rsidR="001D1041" w:rsidRPr="001D1041">
        <w:rPr>
          <w:rFonts w:ascii="Arial" w:hAnsi="Arial" w:cs="Arial"/>
          <w:sz w:val="22"/>
          <w:szCs w:val="22"/>
        </w:rPr>
        <w:t>Fear of falling has also been found to be a predictor of future falls because avoiding activities can hasten functional deterioration and physical deconditioning, which feeds the vulnerability cycle</w:t>
      </w:r>
      <w:r w:rsidR="001D1041">
        <w:rPr>
          <w:rFonts w:ascii="Arial" w:hAnsi="Arial" w:cs="Arial"/>
          <w:sz w:val="22"/>
          <w:szCs w:val="22"/>
        </w:rPr>
        <w:t xml:space="preserve"> </w:t>
      </w:r>
      <w:r w:rsidR="001D1041" w:rsidRPr="001D1041">
        <w:rPr>
          <w:rFonts w:ascii="Arial" w:hAnsi="Arial" w:cs="Arial"/>
          <w:sz w:val="22"/>
          <w:szCs w:val="22"/>
        </w:rPr>
        <w:t>(</w:t>
      </w:r>
      <w:proofErr w:type="spellStart"/>
      <w:r w:rsidR="001D1041" w:rsidRPr="001D1041">
        <w:rPr>
          <w:rFonts w:ascii="Arial" w:hAnsi="Arial" w:cs="Arial"/>
          <w:sz w:val="22"/>
          <w:szCs w:val="22"/>
        </w:rPr>
        <w:t>Delbaere</w:t>
      </w:r>
      <w:proofErr w:type="spellEnd"/>
      <w:r w:rsidR="001D1041" w:rsidRPr="001D1041">
        <w:rPr>
          <w:rFonts w:ascii="Arial" w:hAnsi="Arial" w:cs="Arial"/>
          <w:sz w:val="22"/>
          <w:szCs w:val="22"/>
        </w:rPr>
        <w:t xml:space="preserve"> et al., 2010; Zijlstra et al., 2007).</w:t>
      </w:r>
    </w:p>
    <w:p w14:paraId="5795A1FB" w14:textId="152E3289"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Falls among older adults remain a major concern for public health agencies and the National Health Service (NHS) in England. Public Health England reports that </w:t>
      </w:r>
      <w:proofErr w:type="gramStart"/>
      <w:r w:rsidRPr="003F29DA">
        <w:rPr>
          <w:rFonts w:ascii="Arial" w:hAnsi="Arial" w:cs="Arial"/>
          <w:sz w:val="22"/>
          <w:szCs w:val="22"/>
        </w:rPr>
        <w:t>falls</w:t>
      </w:r>
      <w:proofErr w:type="gramEnd"/>
      <w:r w:rsidRPr="003F29DA">
        <w:rPr>
          <w:rFonts w:ascii="Arial" w:hAnsi="Arial" w:cs="Arial"/>
          <w:sz w:val="22"/>
          <w:szCs w:val="22"/>
        </w:rPr>
        <w:t xml:space="preserve"> account for over 220,000 hospital admissions annually and represent the leading cause of injury-related admissions among people aged 65 years and above (Public Health England, 2020). </w:t>
      </w:r>
      <w:proofErr w:type="gramStart"/>
      <w:r w:rsidRPr="003F29DA">
        <w:rPr>
          <w:rFonts w:ascii="Arial" w:hAnsi="Arial" w:cs="Arial"/>
          <w:sz w:val="22"/>
          <w:szCs w:val="22"/>
        </w:rPr>
        <w:t>The majority of</w:t>
      </w:r>
      <w:proofErr w:type="gramEnd"/>
      <w:r w:rsidRPr="003F29DA">
        <w:rPr>
          <w:rFonts w:ascii="Arial" w:hAnsi="Arial" w:cs="Arial"/>
          <w:sz w:val="22"/>
          <w:szCs w:val="22"/>
        </w:rPr>
        <w:t xml:space="preserve"> falls occur within community settings, particularly private homes and residential care environments (NHS Digital, 2022). Demographic projections indicate that approximately one in four individuals in the United Kingdom will be aged 65 years or older by 2040, intensifying demand on health and social care services (Office for National Statistics, 2021). Consequently, fall prevention among community-dwelling older adults has become a national public health priority.</w:t>
      </w:r>
      <w:r w:rsidR="001D1041">
        <w:rPr>
          <w:rFonts w:ascii="Arial" w:hAnsi="Arial" w:cs="Arial"/>
          <w:sz w:val="22"/>
          <w:szCs w:val="22"/>
        </w:rPr>
        <w:t xml:space="preserve"> </w:t>
      </w:r>
      <w:r w:rsidR="001D1041" w:rsidRPr="001D1041">
        <w:rPr>
          <w:rFonts w:ascii="Arial" w:hAnsi="Arial" w:cs="Arial"/>
          <w:sz w:val="22"/>
          <w:szCs w:val="22"/>
        </w:rPr>
        <w:t>Research from throughout the world indicates that community-based preventive strategies are more economical than reactive hospital-based treatment, especially when interventions focus on modifiable risk factors prior to major injury</w:t>
      </w:r>
      <w:r w:rsidR="001D1041">
        <w:rPr>
          <w:rFonts w:ascii="Arial" w:hAnsi="Arial" w:cs="Arial"/>
          <w:sz w:val="22"/>
          <w:szCs w:val="22"/>
        </w:rPr>
        <w:t xml:space="preserve"> </w:t>
      </w:r>
      <w:r w:rsidR="001D1041" w:rsidRPr="001D1041">
        <w:rPr>
          <w:rFonts w:ascii="Arial" w:hAnsi="Arial" w:cs="Arial"/>
          <w:sz w:val="22"/>
          <w:szCs w:val="22"/>
        </w:rPr>
        <w:t>(Tinetti et al., 2014; Briggs et al., 2018).</w:t>
      </w:r>
      <w:r w:rsidR="001D1041">
        <w:rPr>
          <w:rFonts w:ascii="Arial" w:hAnsi="Arial" w:cs="Arial"/>
          <w:sz w:val="22"/>
          <w:szCs w:val="22"/>
        </w:rPr>
        <w:t xml:space="preserve"> </w:t>
      </w:r>
    </w:p>
    <w:p w14:paraId="57E93EE2" w14:textId="670DF923" w:rsidR="003F29DA" w:rsidRDefault="003F29DA" w:rsidP="002F690B">
      <w:pPr>
        <w:spacing w:line="360" w:lineRule="auto"/>
        <w:jc w:val="both"/>
        <w:rPr>
          <w:rFonts w:ascii="Arial" w:hAnsi="Arial" w:cs="Arial"/>
          <w:sz w:val="22"/>
          <w:szCs w:val="22"/>
        </w:rPr>
      </w:pPr>
      <w:r w:rsidRPr="003F29DA">
        <w:rPr>
          <w:rFonts w:ascii="Arial" w:hAnsi="Arial" w:cs="Arial"/>
          <w:sz w:val="22"/>
          <w:szCs w:val="22"/>
        </w:rPr>
        <w:lastRenderedPageBreak/>
        <w:t>There is growing recognition of the role of physiotherapy-led interventions in reducing fall risk and improving functional independence in older populations. Community-based physiotherapy programs commonly incorporate balance training, muscle strengthening, gait re-education and education on environmental risk modification (Turner et al., 2020; Sherrington et al., 2019). These interventions align with the objectives of the NHS Long Term Plan, which emphasizes preventative, community-based care to reduce avoidable hospital admissions and promote healthy ageing (NHS England, 2019). However, variations in service accessibility, program delivery and patient outcomes persist across urban areas, raising concerns regarding equity, consistency and overall effectiveness of community-based fall prevention services (Davies and Patel, 2022).</w:t>
      </w:r>
      <w:r w:rsidR="001D1041">
        <w:rPr>
          <w:rFonts w:ascii="Arial" w:hAnsi="Arial" w:cs="Arial"/>
          <w:sz w:val="22"/>
          <w:szCs w:val="22"/>
        </w:rPr>
        <w:t xml:space="preserve"> </w:t>
      </w:r>
      <w:r w:rsidR="001D1041" w:rsidRPr="001D1041">
        <w:rPr>
          <w:rFonts w:ascii="Arial" w:hAnsi="Arial" w:cs="Arial"/>
          <w:sz w:val="22"/>
          <w:szCs w:val="22"/>
        </w:rPr>
        <w:t>The most vulnerable older persons may not get timely access to physiotherapy-led fall prevention programs due to the fragmented service delivery and unreliable referral processes that are common in urban healthcare systems</w:t>
      </w:r>
      <w:r w:rsidR="001D1041">
        <w:rPr>
          <w:rFonts w:ascii="Arial" w:hAnsi="Arial" w:cs="Arial"/>
          <w:sz w:val="22"/>
          <w:szCs w:val="22"/>
        </w:rPr>
        <w:t xml:space="preserve"> </w:t>
      </w:r>
      <w:r w:rsidR="001D1041" w:rsidRPr="001D1041">
        <w:rPr>
          <w:rFonts w:ascii="Arial" w:hAnsi="Arial" w:cs="Arial"/>
          <w:sz w:val="22"/>
          <w:szCs w:val="22"/>
        </w:rPr>
        <w:t>(Imison et al., 2017; Alderwick et al., 2019).</w:t>
      </w:r>
    </w:p>
    <w:p w14:paraId="5E3B6ACD" w14:textId="77777777" w:rsidR="00096385" w:rsidRPr="003F29DA" w:rsidRDefault="00096385" w:rsidP="002F690B">
      <w:pPr>
        <w:spacing w:line="360" w:lineRule="auto"/>
        <w:jc w:val="both"/>
        <w:rPr>
          <w:rFonts w:ascii="Arial" w:hAnsi="Arial" w:cs="Arial"/>
          <w:sz w:val="22"/>
          <w:szCs w:val="22"/>
        </w:rPr>
      </w:pPr>
    </w:p>
    <w:p w14:paraId="64CDDD23" w14:textId="0EAE6D70" w:rsidR="003F29DA" w:rsidRPr="00096385" w:rsidRDefault="003F29DA" w:rsidP="002F690B">
      <w:pPr>
        <w:pStyle w:val="Heading2"/>
        <w:jc w:val="both"/>
        <w:rPr>
          <w:rFonts w:ascii="Arial" w:hAnsi="Arial" w:cs="Arial"/>
          <w:b/>
          <w:bCs/>
          <w:sz w:val="28"/>
          <w:szCs w:val="28"/>
        </w:rPr>
      </w:pPr>
      <w:bookmarkStart w:id="4" w:name="_Toc219805105"/>
      <w:r w:rsidRPr="00096385">
        <w:rPr>
          <w:rFonts w:ascii="Arial" w:hAnsi="Arial" w:cs="Arial"/>
          <w:b/>
          <w:bCs/>
          <w:sz w:val="28"/>
          <w:szCs w:val="28"/>
        </w:rPr>
        <w:t>1.2</w:t>
      </w:r>
      <w:r w:rsidR="00096385" w:rsidRPr="00096385">
        <w:rPr>
          <w:rFonts w:ascii="Arial" w:hAnsi="Arial" w:cs="Arial"/>
          <w:b/>
          <w:bCs/>
          <w:sz w:val="28"/>
          <w:szCs w:val="28"/>
        </w:rPr>
        <w:t xml:space="preserve"> </w:t>
      </w:r>
      <w:r w:rsidRPr="00096385">
        <w:rPr>
          <w:rFonts w:ascii="Arial" w:hAnsi="Arial" w:cs="Arial"/>
          <w:b/>
          <w:bCs/>
          <w:sz w:val="28"/>
          <w:szCs w:val="28"/>
        </w:rPr>
        <w:t>Problem Statement</w:t>
      </w:r>
      <w:bookmarkEnd w:id="4"/>
    </w:p>
    <w:p w14:paraId="48A96440" w14:textId="3C4C4D9D"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The rising incidence of falls among older </w:t>
      </w:r>
      <w:r w:rsidR="00096385" w:rsidRPr="003F29DA">
        <w:rPr>
          <w:rFonts w:ascii="Arial" w:hAnsi="Arial" w:cs="Arial"/>
          <w:sz w:val="22"/>
          <w:szCs w:val="22"/>
        </w:rPr>
        <w:t>adults’</w:t>
      </w:r>
      <w:r w:rsidRPr="003F29DA">
        <w:rPr>
          <w:rFonts w:ascii="Arial" w:hAnsi="Arial" w:cs="Arial"/>
          <w:sz w:val="22"/>
          <w:szCs w:val="22"/>
        </w:rPr>
        <w:t xml:space="preserve"> places considerable strain on individuals, families and healthcare systems in England. Although multiple fall prevention strategies have been developed, uncertainty remains regarding the effectiveness of community-based physiotherapy interventions specifically within urban environments. Existing evidence suggests that physiotherapy-led programs can improve balance, mobility and functional capacity while reducing fall frequency (Johnson et al., 2021; Sherrington et al., 2019).</w:t>
      </w:r>
      <w:r w:rsidR="00644B45">
        <w:rPr>
          <w:rFonts w:ascii="Arial" w:hAnsi="Arial" w:cs="Arial"/>
          <w:sz w:val="22"/>
          <w:szCs w:val="22"/>
        </w:rPr>
        <w:t xml:space="preserve"> </w:t>
      </w:r>
      <w:r w:rsidR="00644B45" w:rsidRPr="00644B45">
        <w:rPr>
          <w:rFonts w:ascii="Arial" w:hAnsi="Arial" w:cs="Arial"/>
          <w:sz w:val="22"/>
          <w:szCs w:val="22"/>
        </w:rPr>
        <w:t>Despite these advantages, program intensity, length, and participant adherence seem to affect intervention success, underscoring the significance of optimizing intervention design and delivery within actual community contexts</w:t>
      </w:r>
      <w:r w:rsidR="00644B45">
        <w:rPr>
          <w:rFonts w:ascii="Arial" w:hAnsi="Arial" w:cs="Arial"/>
          <w:sz w:val="22"/>
          <w:szCs w:val="22"/>
        </w:rPr>
        <w:t xml:space="preserve"> </w:t>
      </w:r>
      <w:r w:rsidR="00644B45" w:rsidRPr="00644B45">
        <w:rPr>
          <w:rFonts w:ascii="Arial" w:hAnsi="Arial" w:cs="Arial"/>
          <w:sz w:val="22"/>
          <w:szCs w:val="22"/>
        </w:rPr>
        <w:t>(Lesinski et al., 2015; Sherrington et al., 2017).</w:t>
      </w:r>
    </w:p>
    <w:p w14:paraId="00B0DF6F" w14:textId="0C7EBF2C"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However, reported outcomes vary considerably due to differences in intervention intensity, program design, participant adherence and availability of local resources (Turner et al., 2020</w:t>
      </w:r>
      <w:r w:rsidR="004F41A2">
        <w:rPr>
          <w:rFonts w:ascii="Arial" w:hAnsi="Arial" w:cs="Arial"/>
          <w:sz w:val="22"/>
          <w:szCs w:val="22"/>
        </w:rPr>
        <w:t xml:space="preserve">; </w:t>
      </w:r>
      <w:r w:rsidR="004F41A2" w:rsidRPr="004F41A2">
        <w:rPr>
          <w:rFonts w:ascii="Arial" w:hAnsi="Arial" w:cs="Arial"/>
          <w:sz w:val="22"/>
          <w:szCs w:val="22"/>
        </w:rPr>
        <w:t>Hopewell et al., 2018</w:t>
      </w:r>
      <w:r w:rsidR="004F41A2">
        <w:rPr>
          <w:rFonts w:ascii="Arial" w:hAnsi="Arial" w:cs="Arial"/>
          <w:sz w:val="22"/>
          <w:szCs w:val="22"/>
        </w:rPr>
        <w:t xml:space="preserve">; </w:t>
      </w:r>
      <w:r w:rsidR="004F41A2" w:rsidRPr="004F41A2">
        <w:rPr>
          <w:rFonts w:ascii="Arial" w:hAnsi="Arial" w:cs="Arial"/>
          <w:sz w:val="22"/>
          <w:szCs w:val="22"/>
        </w:rPr>
        <w:t>Gillespie et al., 2012</w:t>
      </w:r>
      <w:r w:rsidRPr="003F29DA">
        <w:rPr>
          <w:rFonts w:ascii="Arial" w:hAnsi="Arial" w:cs="Arial"/>
          <w:sz w:val="22"/>
          <w:szCs w:val="22"/>
        </w:rPr>
        <w:t>).</w:t>
      </w:r>
    </w:p>
    <w:p w14:paraId="1C785AAD" w14:textId="7CFC81E6"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Urban environments present additional challenges that may influence both fall risk and service delivery, including higher population density, limited access to safe outdoor spaces, social deprivation and health inequalities (Davies and Patel, 2022; Marmot et al., 2020).</w:t>
      </w:r>
      <w:r w:rsidR="00644B45">
        <w:rPr>
          <w:rFonts w:ascii="Arial" w:hAnsi="Arial" w:cs="Arial"/>
          <w:sz w:val="22"/>
          <w:szCs w:val="22"/>
        </w:rPr>
        <w:t xml:space="preserve"> </w:t>
      </w:r>
      <w:r w:rsidR="00644B45" w:rsidRPr="00644B45">
        <w:rPr>
          <w:rFonts w:ascii="Arial" w:hAnsi="Arial" w:cs="Arial"/>
          <w:sz w:val="22"/>
          <w:szCs w:val="22"/>
        </w:rPr>
        <w:t xml:space="preserve">Among older persons living in cities, </w:t>
      </w:r>
      <w:proofErr w:type="spellStart"/>
      <w:r w:rsidR="00644B45" w:rsidRPr="00644B45">
        <w:rPr>
          <w:rFonts w:ascii="Arial" w:hAnsi="Arial" w:cs="Arial"/>
          <w:sz w:val="22"/>
          <w:szCs w:val="22"/>
        </w:rPr>
        <w:t>neighborhood</w:t>
      </w:r>
      <w:proofErr w:type="spellEnd"/>
      <w:r w:rsidR="00644B45" w:rsidRPr="00644B45">
        <w:rPr>
          <w:rFonts w:ascii="Arial" w:hAnsi="Arial" w:cs="Arial"/>
          <w:sz w:val="22"/>
          <w:szCs w:val="22"/>
        </w:rPr>
        <w:t xml:space="preserve"> deprivation and poorly constructed environments have been independently linked to increased fall injury </w:t>
      </w:r>
      <w:r w:rsidR="00644B45" w:rsidRPr="00644B45">
        <w:rPr>
          <w:rFonts w:ascii="Arial" w:hAnsi="Arial" w:cs="Arial"/>
          <w:sz w:val="22"/>
          <w:szCs w:val="22"/>
        </w:rPr>
        <w:lastRenderedPageBreak/>
        <w:t>rates, decreased mobility, and decreased participation in preventative physical activity</w:t>
      </w:r>
      <w:r w:rsidR="00644B45">
        <w:rPr>
          <w:rFonts w:ascii="Arial" w:hAnsi="Arial" w:cs="Arial"/>
          <w:sz w:val="22"/>
          <w:szCs w:val="22"/>
        </w:rPr>
        <w:t xml:space="preserve"> </w:t>
      </w:r>
      <w:r w:rsidR="00644B45" w:rsidRPr="00644B45">
        <w:rPr>
          <w:rFonts w:ascii="Arial" w:hAnsi="Arial" w:cs="Arial"/>
          <w:sz w:val="22"/>
          <w:szCs w:val="22"/>
        </w:rPr>
        <w:t>(Barnett et al., 2017; Curl et al., 2015).</w:t>
      </w:r>
    </w:p>
    <w:p w14:paraId="503B5EE9"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Despite these contextual factors, much of the existing literature combines urban and rural data, limiting its applicability to metropolitan populations. Given the distinct healthcare structures and community dynamics within England’s urban areas, there is a clear need for context-specific evidence to inform commissioning, clinical practice and public health policy. In the absence of robust synthesis, professionals may struggle to design fall prevention interventions that are equitable, effective and sustainable. Consequently, a systematic review focusing on community-based physiotherapy interventions for fall prevention in urban-dwelling older adults in England is both timely and necessary.</w:t>
      </w:r>
    </w:p>
    <w:p w14:paraId="10B5019A" w14:textId="77777777" w:rsidR="003F29DA" w:rsidRPr="003F29DA" w:rsidRDefault="003F29DA" w:rsidP="002F690B">
      <w:pPr>
        <w:spacing w:line="360" w:lineRule="auto"/>
        <w:jc w:val="both"/>
        <w:rPr>
          <w:rFonts w:ascii="Arial" w:hAnsi="Arial" w:cs="Arial"/>
          <w:sz w:val="22"/>
          <w:szCs w:val="22"/>
        </w:rPr>
      </w:pPr>
    </w:p>
    <w:p w14:paraId="475B5F91" w14:textId="404CBB97" w:rsidR="003F29DA" w:rsidRPr="00535BEE" w:rsidRDefault="003F29DA" w:rsidP="002F690B">
      <w:pPr>
        <w:pStyle w:val="Heading2"/>
        <w:jc w:val="both"/>
        <w:rPr>
          <w:rFonts w:ascii="Arial" w:hAnsi="Arial" w:cs="Arial"/>
          <w:b/>
          <w:bCs/>
          <w:sz w:val="28"/>
          <w:szCs w:val="28"/>
        </w:rPr>
      </w:pPr>
      <w:bookmarkStart w:id="5" w:name="_Toc219805106"/>
      <w:r w:rsidRPr="00535BEE">
        <w:rPr>
          <w:rFonts w:ascii="Arial" w:hAnsi="Arial" w:cs="Arial"/>
          <w:b/>
          <w:bCs/>
          <w:sz w:val="28"/>
          <w:szCs w:val="28"/>
        </w:rPr>
        <w:t>1.3</w:t>
      </w:r>
      <w:r w:rsidR="00096385" w:rsidRPr="00535BEE">
        <w:rPr>
          <w:rFonts w:ascii="Arial" w:hAnsi="Arial" w:cs="Arial"/>
          <w:b/>
          <w:bCs/>
          <w:sz w:val="28"/>
          <w:szCs w:val="28"/>
        </w:rPr>
        <w:t xml:space="preserve"> </w:t>
      </w:r>
      <w:r w:rsidRPr="00535BEE">
        <w:rPr>
          <w:rFonts w:ascii="Arial" w:hAnsi="Arial" w:cs="Arial"/>
          <w:b/>
          <w:bCs/>
          <w:sz w:val="28"/>
          <w:szCs w:val="28"/>
        </w:rPr>
        <w:t>Rationale and Significance of the Study</w:t>
      </w:r>
      <w:bookmarkEnd w:id="5"/>
    </w:p>
    <w:p w14:paraId="770D032A" w14:textId="34BA21E5"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This dissertation is underpinned by the interaction between population ageing, fall-related morbidity and the long-term sustainability of health and social care systems. As life expectancy continues to rise, reducing preventable hospital admissions and maintaining functional independence have become central components of healthy ageing strategies (WHO, 2021; NHS England, 2019). Falls remain one of the most preventable causes of injury among older adults, yet they account for a substantial proportion of emergency admissions, long-term disability and social care dependency (Green et al., 2021; Public Health England, 2020). </w:t>
      </w:r>
      <w:r w:rsidR="00644B45" w:rsidRPr="00644B45">
        <w:rPr>
          <w:rFonts w:ascii="Arial" w:hAnsi="Arial" w:cs="Arial"/>
          <w:sz w:val="22"/>
          <w:szCs w:val="22"/>
        </w:rPr>
        <w:t>Effective fall prevention techniques can result in considerable cost savings by lowering emergency admissions, institutionalization, and long-term need on social care services, according to health economic assessments</w:t>
      </w:r>
      <w:r w:rsidR="00644B45">
        <w:rPr>
          <w:rFonts w:ascii="Arial" w:hAnsi="Arial" w:cs="Arial"/>
          <w:sz w:val="22"/>
          <w:szCs w:val="22"/>
        </w:rPr>
        <w:t xml:space="preserve"> </w:t>
      </w:r>
      <w:r w:rsidR="00644B45" w:rsidRPr="00644B45">
        <w:rPr>
          <w:rFonts w:ascii="Arial" w:hAnsi="Arial" w:cs="Arial"/>
          <w:sz w:val="22"/>
          <w:szCs w:val="22"/>
        </w:rPr>
        <w:t>(Wittenberg et al., 2018; Kingston et al., 2018).</w:t>
      </w:r>
    </w:p>
    <w:p w14:paraId="1CBD1C8E" w14:textId="5728AC2E"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Community-based physiotherapy interventions offer a proactive approach to fall prevention by targeting modifiable risk factors through structured exercise programs, functional training and environmental adaptations (Sherrington et al., 2019). This approach aligns with the WHO Integrated Care for Older People (ICOPE) framework, which advocates person- centred, preventative and multidisciplinary care delivered as close to home as possible (WHO, 2021). Physiotherapists are particularly well positioned to lead such interventions due to their expertise in mobility, balance and strength rehabilitation.</w:t>
      </w:r>
      <w:r w:rsidR="00644B45">
        <w:rPr>
          <w:rFonts w:ascii="Arial" w:hAnsi="Arial" w:cs="Arial"/>
          <w:sz w:val="22"/>
          <w:szCs w:val="22"/>
        </w:rPr>
        <w:t xml:space="preserve"> </w:t>
      </w:r>
      <w:r w:rsidR="00644B45" w:rsidRPr="00644B45">
        <w:rPr>
          <w:rFonts w:ascii="Arial" w:hAnsi="Arial" w:cs="Arial"/>
          <w:sz w:val="22"/>
          <w:szCs w:val="22"/>
        </w:rPr>
        <w:t xml:space="preserve">Research demonstrates better functional outcomes when physiotherapy is combined with </w:t>
      </w:r>
      <w:proofErr w:type="spellStart"/>
      <w:r w:rsidR="00644B45" w:rsidRPr="00644B45">
        <w:rPr>
          <w:rFonts w:ascii="Arial" w:hAnsi="Arial" w:cs="Arial"/>
          <w:sz w:val="22"/>
          <w:szCs w:val="22"/>
        </w:rPr>
        <w:t>behavioral</w:t>
      </w:r>
      <w:proofErr w:type="spellEnd"/>
      <w:r w:rsidR="00644B45" w:rsidRPr="00644B45">
        <w:rPr>
          <w:rFonts w:ascii="Arial" w:hAnsi="Arial" w:cs="Arial"/>
          <w:sz w:val="22"/>
          <w:szCs w:val="22"/>
        </w:rPr>
        <w:t xml:space="preserve"> and environmental measures, supporting the leadership role of physiotherapists in multidisciplinary fall prevention teams</w:t>
      </w:r>
      <w:r w:rsidR="00644B45">
        <w:rPr>
          <w:rFonts w:ascii="Arial" w:hAnsi="Arial" w:cs="Arial"/>
          <w:sz w:val="22"/>
          <w:szCs w:val="22"/>
        </w:rPr>
        <w:t xml:space="preserve"> </w:t>
      </w:r>
      <w:r w:rsidR="00644B45" w:rsidRPr="00644B45">
        <w:rPr>
          <w:rFonts w:ascii="Arial" w:hAnsi="Arial" w:cs="Arial"/>
          <w:sz w:val="22"/>
          <w:szCs w:val="22"/>
        </w:rPr>
        <w:t>(</w:t>
      </w:r>
      <w:proofErr w:type="spellStart"/>
      <w:r w:rsidR="00644B45" w:rsidRPr="00644B45">
        <w:rPr>
          <w:rFonts w:ascii="Arial" w:hAnsi="Arial" w:cs="Arial"/>
          <w:sz w:val="22"/>
          <w:szCs w:val="22"/>
        </w:rPr>
        <w:t>Pighills</w:t>
      </w:r>
      <w:proofErr w:type="spellEnd"/>
      <w:r w:rsidR="00644B45" w:rsidRPr="00644B45">
        <w:rPr>
          <w:rFonts w:ascii="Arial" w:hAnsi="Arial" w:cs="Arial"/>
          <w:sz w:val="22"/>
          <w:szCs w:val="22"/>
        </w:rPr>
        <w:t xml:space="preserve"> et al., 2011; Clemson et al., 2012).</w:t>
      </w:r>
      <w:r w:rsidRPr="003F29DA">
        <w:rPr>
          <w:rFonts w:ascii="Arial" w:hAnsi="Arial" w:cs="Arial"/>
          <w:sz w:val="22"/>
          <w:szCs w:val="22"/>
        </w:rPr>
        <w:t xml:space="preserve"> By focusing on community settings, this </w:t>
      </w:r>
      <w:r w:rsidRPr="003F29DA">
        <w:rPr>
          <w:rFonts w:ascii="Arial" w:hAnsi="Arial" w:cs="Arial"/>
          <w:sz w:val="22"/>
          <w:szCs w:val="22"/>
        </w:rPr>
        <w:lastRenderedPageBreak/>
        <w:t>study acknowledges the importance of delivering care within environments where older adults live and socialise, thereby reducing reliance on acute hospital services.</w:t>
      </w:r>
    </w:p>
    <w:p w14:paraId="1DFD3048"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The significance of this study lies in several key areas. First, it addresses a notable gap in the literature by synthesizing evidence specific to urban areas of England, which are characterized by diverse socioeconomic conditions and complex healthcare delivery models. Second, the findings have the potential to inform commissioning decisions, physiotherapy practice and public health policy, contributing to the development of more equitable and effective fall prevention strategies. Finally, the use of systematic review methodology enhances transparency and rigour, supporting evidence-based decision-making within public health and social care contexts.</w:t>
      </w:r>
    </w:p>
    <w:p w14:paraId="1531F295" w14:textId="77777777" w:rsidR="003F29DA" w:rsidRPr="003F29DA" w:rsidRDefault="003F29DA" w:rsidP="002F690B">
      <w:pPr>
        <w:spacing w:line="360" w:lineRule="auto"/>
        <w:jc w:val="both"/>
        <w:rPr>
          <w:rFonts w:ascii="Arial" w:hAnsi="Arial" w:cs="Arial"/>
          <w:sz w:val="22"/>
          <w:szCs w:val="22"/>
        </w:rPr>
      </w:pPr>
    </w:p>
    <w:p w14:paraId="3A7E07DB" w14:textId="6FF52324" w:rsidR="003F29DA" w:rsidRPr="00535BEE" w:rsidRDefault="003F29DA" w:rsidP="002F690B">
      <w:pPr>
        <w:pStyle w:val="Heading2"/>
        <w:jc w:val="both"/>
        <w:rPr>
          <w:rFonts w:ascii="Arial" w:hAnsi="Arial" w:cs="Arial"/>
          <w:b/>
          <w:bCs/>
          <w:sz w:val="28"/>
          <w:szCs w:val="28"/>
        </w:rPr>
      </w:pPr>
      <w:bookmarkStart w:id="6" w:name="_Toc219805107"/>
      <w:r w:rsidRPr="00535BEE">
        <w:rPr>
          <w:rFonts w:ascii="Arial" w:hAnsi="Arial" w:cs="Arial"/>
          <w:b/>
          <w:bCs/>
          <w:sz w:val="28"/>
          <w:szCs w:val="28"/>
        </w:rPr>
        <w:t>1.4</w:t>
      </w:r>
      <w:r w:rsidR="00535BEE" w:rsidRPr="00535BEE">
        <w:rPr>
          <w:rFonts w:ascii="Arial" w:hAnsi="Arial" w:cs="Arial"/>
          <w:b/>
          <w:bCs/>
          <w:sz w:val="28"/>
          <w:szCs w:val="28"/>
        </w:rPr>
        <w:t xml:space="preserve"> </w:t>
      </w:r>
      <w:r w:rsidRPr="00535BEE">
        <w:rPr>
          <w:rFonts w:ascii="Arial" w:hAnsi="Arial" w:cs="Arial"/>
          <w:b/>
          <w:bCs/>
          <w:sz w:val="28"/>
          <w:szCs w:val="28"/>
        </w:rPr>
        <w:t>Research Aim and Objectives</w:t>
      </w:r>
      <w:bookmarkEnd w:id="6"/>
    </w:p>
    <w:p w14:paraId="10001D26" w14:textId="77777777" w:rsidR="003F29DA" w:rsidRPr="00535BEE" w:rsidRDefault="003F29DA" w:rsidP="002F690B">
      <w:pPr>
        <w:spacing w:line="360" w:lineRule="auto"/>
        <w:jc w:val="both"/>
        <w:rPr>
          <w:rFonts w:ascii="Arial" w:hAnsi="Arial" w:cs="Arial"/>
          <w:b/>
          <w:bCs/>
          <w:sz w:val="22"/>
          <w:szCs w:val="22"/>
        </w:rPr>
      </w:pPr>
      <w:r w:rsidRPr="00535BEE">
        <w:rPr>
          <w:rFonts w:ascii="Arial" w:hAnsi="Arial" w:cs="Arial"/>
          <w:b/>
          <w:bCs/>
          <w:sz w:val="22"/>
          <w:szCs w:val="22"/>
        </w:rPr>
        <w:t>Aim:</w:t>
      </w:r>
    </w:p>
    <w:p w14:paraId="77912BCE" w14:textId="2A52218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To investigate the effectiveness of community-based physiotherapy interventions in reducing falls among older adults aged 65 years and above living in metropolitan areas of England.</w:t>
      </w:r>
    </w:p>
    <w:p w14:paraId="174A6743" w14:textId="77777777" w:rsidR="003F29DA" w:rsidRPr="00535BEE" w:rsidRDefault="003F29DA" w:rsidP="002F690B">
      <w:pPr>
        <w:spacing w:line="360" w:lineRule="auto"/>
        <w:jc w:val="both"/>
        <w:rPr>
          <w:rFonts w:ascii="Arial" w:hAnsi="Arial" w:cs="Arial"/>
          <w:b/>
          <w:bCs/>
          <w:sz w:val="22"/>
          <w:szCs w:val="22"/>
        </w:rPr>
      </w:pPr>
      <w:r w:rsidRPr="00535BEE">
        <w:rPr>
          <w:rFonts w:ascii="Arial" w:hAnsi="Arial" w:cs="Arial"/>
          <w:b/>
          <w:bCs/>
          <w:sz w:val="22"/>
          <w:szCs w:val="22"/>
        </w:rPr>
        <w:t>Objectives:</w:t>
      </w:r>
    </w:p>
    <w:p w14:paraId="038A0BB9" w14:textId="77777777" w:rsidR="00535BEE" w:rsidRDefault="003F29DA" w:rsidP="002F690B">
      <w:pPr>
        <w:pStyle w:val="ListParagraph"/>
        <w:numPr>
          <w:ilvl w:val="0"/>
          <w:numId w:val="1"/>
        </w:numPr>
        <w:spacing w:line="360" w:lineRule="auto"/>
        <w:jc w:val="both"/>
        <w:rPr>
          <w:rFonts w:ascii="Arial" w:hAnsi="Arial" w:cs="Arial"/>
          <w:sz w:val="22"/>
          <w:szCs w:val="22"/>
        </w:rPr>
      </w:pPr>
      <w:r w:rsidRPr="00535BEE">
        <w:rPr>
          <w:rFonts w:ascii="Arial" w:hAnsi="Arial" w:cs="Arial"/>
          <w:sz w:val="22"/>
          <w:szCs w:val="22"/>
        </w:rPr>
        <w:t>To examine the incidence of falls and associated risk factors among older adults in metropolitan areas of England.</w:t>
      </w:r>
    </w:p>
    <w:p w14:paraId="61C530D1" w14:textId="77777777" w:rsidR="00535BEE" w:rsidRDefault="003F29DA" w:rsidP="002F690B">
      <w:pPr>
        <w:pStyle w:val="ListParagraph"/>
        <w:numPr>
          <w:ilvl w:val="0"/>
          <w:numId w:val="1"/>
        </w:numPr>
        <w:spacing w:line="360" w:lineRule="auto"/>
        <w:jc w:val="both"/>
        <w:rPr>
          <w:rFonts w:ascii="Arial" w:hAnsi="Arial" w:cs="Arial"/>
          <w:sz w:val="22"/>
          <w:szCs w:val="22"/>
        </w:rPr>
      </w:pPr>
      <w:r w:rsidRPr="00535BEE">
        <w:rPr>
          <w:rFonts w:ascii="Arial" w:hAnsi="Arial" w:cs="Arial"/>
          <w:sz w:val="22"/>
          <w:szCs w:val="22"/>
        </w:rPr>
        <w:t>To evaluate the design and delivery of existing community-based physiotherapy fall prevention programs.</w:t>
      </w:r>
    </w:p>
    <w:p w14:paraId="0B758B41" w14:textId="715FAD75" w:rsidR="003F29DA" w:rsidRPr="00535BEE" w:rsidRDefault="003F29DA" w:rsidP="002F690B">
      <w:pPr>
        <w:pStyle w:val="ListParagraph"/>
        <w:numPr>
          <w:ilvl w:val="0"/>
          <w:numId w:val="1"/>
        </w:numPr>
        <w:spacing w:line="360" w:lineRule="auto"/>
        <w:jc w:val="both"/>
        <w:rPr>
          <w:rFonts w:ascii="Arial" w:hAnsi="Arial" w:cs="Arial"/>
          <w:sz w:val="22"/>
          <w:szCs w:val="22"/>
        </w:rPr>
      </w:pPr>
      <w:r w:rsidRPr="00535BEE">
        <w:rPr>
          <w:rFonts w:ascii="Arial" w:hAnsi="Arial" w:cs="Arial"/>
          <w:sz w:val="22"/>
          <w:szCs w:val="22"/>
        </w:rPr>
        <w:t xml:space="preserve">To assess the effectiveness of these interventions in improving functional mobility and reducing fall-related events. </w:t>
      </w:r>
    </w:p>
    <w:p w14:paraId="376BE1A1"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To develop evidence-based recommendations for enhancing the planning, implementation and evaluation of community-based physiotherapy fall prevention initiatives in urban England.</w:t>
      </w:r>
    </w:p>
    <w:p w14:paraId="40BBACFD" w14:textId="77777777" w:rsidR="003F29DA" w:rsidRPr="003F29DA" w:rsidRDefault="003F29DA" w:rsidP="002F690B">
      <w:pPr>
        <w:spacing w:line="360" w:lineRule="auto"/>
        <w:jc w:val="both"/>
        <w:rPr>
          <w:rFonts w:ascii="Arial" w:hAnsi="Arial" w:cs="Arial"/>
          <w:sz w:val="22"/>
          <w:szCs w:val="22"/>
        </w:rPr>
      </w:pPr>
    </w:p>
    <w:p w14:paraId="042A3457" w14:textId="671B205B" w:rsidR="003F29DA" w:rsidRPr="00535BEE" w:rsidRDefault="003F29DA" w:rsidP="002F690B">
      <w:pPr>
        <w:pStyle w:val="Heading2"/>
        <w:jc w:val="both"/>
        <w:rPr>
          <w:rFonts w:ascii="Arial" w:hAnsi="Arial" w:cs="Arial"/>
          <w:b/>
          <w:bCs/>
          <w:sz w:val="22"/>
          <w:szCs w:val="22"/>
        </w:rPr>
      </w:pPr>
      <w:bookmarkStart w:id="7" w:name="_Toc219805108"/>
      <w:r w:rsidRPr="00535BEE">
        <w:rPr>
          <w:rFonts w:ascii="Arial" w:hAnsi="Arial" w:cs="Arial"/>
          <w:b/>
          <w:bCs/>
          <w:sz w:val="28"/>
          <w:szCs w:val="28"/>
        </w:rPr>
        <w:t>1.5</w:t>
      </w:r>
      <w:r w:rsidR="00535BEE" w:rsidRPr="00535BEE">
        <w:rPr>
          <w:rFonts w:ascii="Arial" w:hAnsi="Arial" w:cs="Arial"/>
          <w:b/>
          <w:bCs/>
          <w:sz w:val="28"/>
          <w:szCs w:val="28"/>
        </w:rPr>
        <w:t xml:space="preserve"> </w:t>
      </w:r>
      <w:r w:rsidRPr="00535BEE">
        <w:rPr>
          <w:rFonts w:ascii="Arial" w:hAnsi="Arial" w:cs="Arial"/>
          <w:b/>
          <w:bCs/>
          <w:sz w:val="28"/>
          <w:szCs w:val="28"/>
        </w:rPr>
        <w:t>Overview of the Dissertation Structure</w:t>
      </w:r>
      <w:bookmarkEnd w:id="7"/>
    </w:p>
    <w:p w14:paraId="62268D39"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This dissertation is structured into five chapters. Chapter 1 introduces the study by outlining the background, problem statement, rationale, research aim and objectives. Chapter 2 provides a critical review of the literature relating to community-based physiotherapy interventions for fall prevention in older adults. Chapter 3 details the </w:t>
      </w:r>
      <w:r w:rsidRPr="003F29DA">
        <w:rPr>
          <w:rFonts w:ascii="Arial" w:hAnsi="Arial" w:cs="Arial"/>
          <w:sz w:val="22"/>
          <w:szCs w:val="22"/>
        </w:rPr>
        <w:lastRenderedPageBreak/>
        <w:t>systematic review methodology, including the search strategy, inclusion and exclusion criteria and the PRISMA-guided study selection process. Chapter 4 presents the findings of the review, including characteristics and synthesis of the included studies. Chapter 5 discusses the findings in relation to existing literature, outlines the strengths and limitations of the review and offers recommendations for future research and practice.</w:t>
      </w:r>
    </w:p>
    <w:p w14:paraId="7C04B692" w14:textId="77777777" w:rsidR="003F29DA" w:rsidRPr="003F29DA" w:rsidRDefault="003F29DA" w:rsidP="002F690B">
      <w:pPr>
        <w:spacing w:line="360" w:lineRule="auto"/>
        <w:jc w:val="both"/>
        <w:rPr>
          <w:rFonts w:ascii="Arial" w:hAnsi="Arial" w:cs="Arial"/>
          <w:sz w:val="22"/>
          <w:szCs w:val="22"/>
        </w:rPr>
      </w:pPr>
    </w:p>
    <w:p w14:paraId="154E5310" w14:textId="148D6430" w:rsidR="003F29DA" w:rsidRPr="00535BEE" w:rsidRDefault="003F29DA" w:rsidP="002F690B">
      <w:pPr>
        <w:pStyle w:val="Heading2"/>
        <w:jc w:val="both"/>
        <w:rPr>
          <w:rFonts w:ascii="Arial" w:hAnsi="Arial" w:cs="Arial"/>
          <w:b/>
          <w:bCs/>
          <w:sz w:val="28"/>
          <w:szCs w:val="28"/>
        </w:rPr>
      </w:pPr>
      <w:bookmarkStart w:id="8" w:name="_Toc219805109"/>
      <w:r w:rsidRPr="00535BEE">
        <w:rPr>
          <w:rFonts w:ascii="Arial" w:hAnsi="Arial" w:cs="Arial"/>
          <w:b/>
          <w:bCs/>
          <w:sz w:val="28"/>
          <w:szCs w:val="28"/>
        </w:rPr>
        <w:t>1.6</w:t>
      </w:r>
      <w:r w:rsidR="00535BEE" w:rsidRPr="00535BEE">
        <w:rPr>
          <w:rFonts w:ascii="Arial" w:hAnsi="Arial" w:cs="Arial"/>
          <w:b/>
          <w:bCs/>
          <w:sz w:val="28"/>
          <w:szCs w:val="28"/>
        </w:rPr>
        <w:t xml:space="preserve"> </w:t>
      </w:r>
      <w:r w:rsidRPr="00535BEE">
        <w:rPr>
          <w:rFonts w:ascii="Arial" w:hAnsi="Arial" w:cs="Arial"/>
          <w:b/>
          <w:bCs/>
          <w:sz w:val="28"/>
          <w:szCs w:val="28"/>
        </w:rPr>
        <w:t>Summary</w:t>
      </w:r>
      <w:bookmarkEnd w:id="8"/>
    </w:p>
    <w:p w14:paraId="78D53F3C" w14:textId="23A01F5B"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This chapter has established the significance of falls among older adults as a pressing public health issue and highlighted the potential role of community-based physiotherapy in fall prevention. The chapter has contextualized the study within England’s urban healthcare landscape and defined the research aim and objectives. Effective fall prevention frequently involves multidisciplinary collaboration between physiotherapists, nurses, occupational therapists and social workers (Clark et al., 2020). Addressing physical, psychological and environmental risk factors through coordinated intervention has been shown to improve outcomes. Evidence suggests that multidisciplinary approaches are particularly effective in urban settings characterized by complex health and social needs, producing superior outcomes compared to single-profession interventions (Brown and Li, 2022). </w:t>
      </w:r>
      <w:proofErr w:type="gramStart"/>
      <w:r w:rsidR="003902B9" w:rsidRPr="003902B9">
        <w:rPr>
          <w:rFonts w:ascii="Arial" w:hAnsi="Arial" w:cs="Arial"/>
          <w:sz w:val="22"/>
          <w:szCs w:val="22"/>
        </w:rPr>
        <w:t>In order to</w:t>
      </w:r>
      <w:proofErr w:type="gramEnd"/>
      <w:r w:rsidR="003902B9" w:rsidRPr="003902B9">
        <w:rPr>
          <w:rFonts w:ascii="Arial" w:hAnsi="Arial" w:cs="Arial"/>
          <w:sz w:val="22"/>
          <w:szCs w:val="22"/>
        </w:rPr>
        <w:t xml:space="preserve"> encourage healthy aging and address health disparities among older populations, integrated, community-based rehabilitation approaches have been suggested as essential elements of sustainable urban health systems</w:t>
      </w:r>
      <w:r w:rsidR="003902B9" w:rsidRPr="003902B9">
        <w:t xml:space="preserve"> </w:t>
      </w:r>
      <w:r w:rsidR="003902B9" w:rsidRPr="003902B9">
        <w:rPr>
          <w:rFonts w:ascii="Arial" w:hAnsi="Arial" w:cs="Arial"/>
          <w:sz w:val="22"/>
          <w:szCs w:val="22"/>
        </w:rPr>
        <w:t>(Rechel et al., 2013; Humphries et al., 2020</w:t>
      </w:r>
      <w:r w:rsidR="003902B9">
        <w:rPr>
          <w:rFonts w:ascii="Arial" w:hAnsi="Arial" w:cs="Arial"/>
          <w:sz w:val="22"/>
          <w:szCs w:val="22"/>
        </w:rPr>
        <w:t>)</w:t>
      </w:r>
      <w:r w:rsidR="003902B9" w:rsidRPr="003902B9">
        <w:rPr>
          <w:rFonts w:ascii="Arial" w:hAnsi="Arial" w:cs="Arial"/>
          <w:sz w:val="22"/>
          <w:szCs w:val="22"/>
        </w:rPr>
        <w:t>.</w:t>
      </w:r>
      <w:r w:rsidR="003902B9">
        <w:rPr>
          <w:rFonts w:ascii="Arial" w:hAnsi="Arial" w:cs="Arial"/>
          <w:sz w:val="22"/>
          <w:szCs w:val="22"/>
        </w:rPr>
        <w:t xml:space="preserve"> </w:t>
      </w:r>
      <w:r w:rsidRPr="003F29DA">
        <w:rPr>
          <w:rFonts w:ascii="Arial" w:hAnsi="Arial" w:cs="Arial"/>
          <w:sz w:val="22"/>
          <w:szCs w:val="22"/>
        </w:rPr>
        <w:t>The following chapter will critically examine the existing evidence base and identify gaps in current knowledge.</w:t>
      </w:r>
    </w:p>
    <w:p w14:paraId="1F339319" w14:textId="77777777" w:rsidR="00535BEE" w:rsidRDefault="00535BEE" w:rsidP="002F690B">
      <w:pPr>
        <w:spacing w:line="360" w:lineRule="auto"/>
        <w:jc w:val="both"/>
        <w:rPr>
          <w:rFonts w:ascii="Arial" w:hAnsi="Arial" w:cs="Arial"/>
          <w:sz w:val="22"/>
          <w:szCs w:val="22"/>
        </w:rPr>
      </w:pPr>
    </w:p>
    <w:p w14:paraId="4A161E37" w14:textId="77777777" w:rsidR="003902B9" w:rsidRDefault="003902B9" w:rsidP="002F690B">
      <w:pPr>
        <w:spacing w:line="360" w:lineRule="auto"/>
        <w:jc w:val="both"/>
        <w:rPr>
          <w:rFonts w:ascii="Arial" w:hAnsi="Arial" w:cs="Arial"/>
          <w:sz w:val="22"/>
          <w:szCs w:val="22"/>
        </w:rPr>
      </w:pPr>
    </w:p>
    <w:p w14:paraId="7502701D" w14:textId="77777777" w:rsidR="003902B9" w:rsidRDefault="003902B9" w:rsidP="002F690B">
      <w:pPr>
        <w:spacing w:line="360" w:lineRule="auto"/>
        <w:jc w:val="both"/>
        <w:rPr>
          <w:rFonts w:ascii="Arial" w:hAnsi="Arial" w:cs="Arial"/>
          <w:sz w:val="22"/>
          <w:szCs w:val="22"/>
        </w:rPr>
      </w:pPr>
    </w:p>
    <w:p w14:paraId="1D0089BD" w14:textId="77777777" w:rsidR="003902B9" w:rsidRDefault="003902B9" w:rsidP="002F690B">
      <w:pPr>
        <w:spacing w:line="360" w:lineRule="auto"/>
        <w:jc w:val="both"/>
        <w:rPr>
          <w:rFonts w:ascii="Arial" w:hAnsi="Arial" w:cs="Arial"/>
          <w:sz w:val="22"/>
          <w:szCs w:val="22"/>
        </w:rPr>
      </w:pPr>
    </w:p>
    <w:p w14:paraId="7932C26A" w14:textId="46F94A60" w:rsidR="003F29DA" w:rsidRPr="00535BEE" w:rsidRDefault="003F29DA" w:rsidP="002F690B">
      <w:pPr>
        <w:pStyle w:val="Heading1"/>
        <w:rPr>
          <w:rFonts w:ascii="Arial" w:hAnsi="Arial" w:cs="Arial"/>
          <w:b/>
          <w:bCs/>
          <w:sz w:val="32"/>
          <w:szCs w:val="32"/>
        </w:rPr>
      </w:pPr>
      <w:bookmarkStart w:id="9" w:name="_Toc219805110"/>
      <w:r w:rsidRPr="00535BEE">
        <w:rPr>
          <w:rFonts w:ascii="Arial" w:hAnsi="Arial" w:cs="Arial"/>
          <w:b/>
          <w:bCs/>
          <w:sz w:val="32"/>
          <w:szCs w:val="32"/>
        </w:rPr>
        <w:lastRenderedPageBreak/>
        <w:t>Chapter</w:t>
      </w:r>
      <w:r w:rsidR="002F690B">
        <w:rPr>
          <w:rFonts w:ascii="Arial" w:hAnsi="Arial" w:cs="Arial"/>
          <w:b/>
          <w:bCs/>
          <w:sz w:val="32"/>
          <w:szCs w:val="32"/>
        </w:rPr>
        <w:t xml:space="preserve"> </w:t>
      </w:r>
      <w:r w:rsidRPr="00535BEE">
        <w:rPr>
          <w:rFonts w:ascii="Arial" w:hAnsi="Arial" w:cs="Arial"/>
          <w:b/>
          <w:bCs/>
          <w:sz w:val="32"/>
          <w:szCs w:val="32"/>
        </w:rPr>
        <w:t>2: Literature Review and Theoretical</w:t>
      </w:r>
      <w:r w:rsidR="002F690B">
        <w:rPr>
          <w:rFonts w:ascii="Arial" w:hAnsi="Arial" w:cs="Arial"/>
          <w:b/>
          <w:bCs/>
          <w:sz w:val="32"/>
          <w:szCs w:val="32"/>
        </w:rPr>
        <w:t xml:space="preserve"> </w:t>
      </w:r>
      <w:r w:rsidRPr="00535BEE">
        <w:rPr>
          <w:rFonts w:ascii="Arial" w:hAnsi="Arial" w:cs="Arial"/>
          <w:b/>
          <w:bCs/>
          <w:sz w:val="32"/>
          <w:szCs w:val="32"/>
        </w:rPr>
        <w:t>Framework</w:t>
      </w:r>
      <w:bookmarkEnd w:id="9"/>
    </w:p>
    <w:p w14:paraId="1CD6946C" w14:textId="4DD55E73" w:rsidR="003F29DA" w:rsidRPr="00535BEE" w:rsidRDefault="003F29DA" w:rsidP="002F690B">
      <w:pPr>
        <w:pStyle w:val="Heading2"/>
        <w:jc w:val="both"/>
        <w:rPr>
          <w:rFonts w:ascii="Arial" w:hAnsi="Arial" w:cs="Arial"/>
          <w:b/>
          <w:bCs/>
          <w:sz w:val="28"/>
          <w:szCs w:val="28"/>
        </w:rPr>
      </w:pPr>
      <w:bookmarkStart w:id="10" w:name="_Toc219805111"/>
      <w:r w:rsidRPr="00535BEE">
        <w:rPr>
          <w:rFonts w:ascii="Arial" w:hAnsi="Arial" w:cs="Arial"/>
          <w:b/>
          <w:bCs/>
          <w:sz w:val="28"/>
          <w:szCs w:val="28"/>
        </w:rPr>
        <w:t>2.1</w:t>
      </w:r>
      <w:r w:rsidR="00535BEE" w:rsidRPr="00535BEE">
        <w:rPr>
          <w:rFonts w:ascii="Arial" w:hAnsi="Arial" w:cs="Arial"/>
          <w:b/>
          <w:bCs/>
          <w:sz w:val="28"/>
          <w:szCs w:val="28"/>
        </w:rPr>
        <w:t xml:space="preserve"> </w:t>
      </w:r>
      <w:r w:rsidRPr="00535BEE">
        <w:rPr>
          <w:rFonts w:ascii="Arial" w:hAnsi="Arial" w:cs="Arial"/>
          <w:b/>
          <w:bCs/>
          <w:sz w:val="28"/>
          <w:szCs w:val="28"/>
        </w:rPr>
        <w:t>Introduction</w:t>
      </w:r>
      <w:bookmarkEnd w:id="10"/>
    </w:p>
    <w:p w14:paraId="2D36DA55" w14:textId="18996676"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Falls in older persons constitute a serious global public health hazard, increasingly acknowledged for their substantial clinical, social, and economic effects (World Health Organization (WHO), 2021;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w:t>
      </w:r>
      <w:r w:rsidR="00B1013A">
        <w:rPr>
          <w:rFonts w:ascii="Arial" w:hAnsi="Arial" w:cs="Arial"/>
          <w:sz w:val="22"/>
          <w:szCs w:val="22"/>
        </w:rPr>
        <w:t xml:space="preserve"> </w:t>
      </w:r>
      <w:r w:rsidR="00B1013A" w:rsidRPr="00B1013A">
        <w:rPr>
          <w:rFonts w:ascii="Arial" w:hAnsi="Arial" w:cs="Arial"/>
          <w:sz w:val="22"/>
          <w:szCs w:val="22"/>
        </w:rPr>
        <w:t>Falls should be viewed from a life-course and systems-based approach, according to current public health research, which acknowledges the cumulative impact of aging, socioeconomic deprivation, and environmental exposure on susceptibility in later life</w:t>
      </w:r>
      <w:r w:rsidR="00B1013A" w:rsidRPr="00B1013A">
        <w:t xml:space="preserve"> </w:t>
      </w:r>
      <w:r w:rsidR="00B1013A" w:rsidRPr="00B1013A">
        <w:rPr>
          <w:rFonts w:ascii="Arial" w:hAnsi="Arial" w:cs="Arial"/>
          <w:sz w:val="22"/>
          <w:szCs w:val="22"/>
        </w:rPr>
        <w:t>(Kuh et al., 2014; Dahlgren and Whitehead, 2007).</w:t>
      </w:r>
      <w:r w:rsidRPr="003F29DA">
        <w:rPr>
          <w:rFonts w:ascii="Arial" w:hAnsi="Arial" w:cs="Arial"/>
          <w:sz w:val="22"/>
          <w:szCs w:val="22"/>
        </w:rPr>
        <w:t xml:space="preserve"> With global populations ageing quickly, the frequency of falls and fall-related injuries is predicted to climb dramatically over the coming decades (WHO, 2021; United Nations, 2022). In the United Kingdom, and notably in metropolitan districts of England, the frequency of falls among older persons has reached proportions that deserve urgent attention from researchers, legislators, and healthcare practitioners (NICE, 2025; NICE, 2025a). Falls are increasingly regarded not only as discrete clinical incidences but as complex events impacted by physiological, behavioural, environmental, and societal aspects (NICE, 2025;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 Within this environment, physiotherapy has emerged as a fundamental method for fall prevention, particularly when administered in community settings where older individuals live and socialize (Sherrington et al., 2019; Sherrington et al., 2020). This marks a transition away from hospital-</w:t>
      </w:r>
      <w:proofErr w:type="spellStart"/>
      <w:r w:rsidRPr="003F29DA">
        <w:rPr>
          <w:rFonts w:ascii="Arial" w:hAnsi="Arial" w:cs="Arial"/>
          <w:sz w:val="22"/>
          <w:szCs w:val="22"/>
        </w:rPr>
        <w:t>centered</w:t>
      </w:r>
      <w:proofErr w:type="spellEnd"/>
      <w:r w:rsidRPr="003F29DA">
        <w:rPr>
          <w:rFonts w:ascii="Arial" w:hAnsi="Arial" w:cs="Arial"/>
          <w:sz w:val="22"/>
          <w:szCs w:val="22"/>
        </w:rPr>
        <w:t xml:space="preserve"> models of treatment towards preventative, holistic, and population- based methods congruent with modern public health ideas (NHS England, 2019; NICE, 2025).</w:t>
      </w:r>
    </w:p>
    <w:p w14:paraId="61BB8F0B" w14:textId="295596A8"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The potential of community-based physiotherapy programs to lower fall risk, increase functional capacity, and improve older individuals' quality of life has been increasingly demonstrated (Sherrington et al., 2019; Sherrington et al., 2020). These programs are generally administered outside traditional clinical facilities and include organized exercise classes, home-based training, environmental evaluations, educational components, and continuing monitoring and support (NICE, 2025;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 Their relevance coincides strongly with the NHS Long Term Plan, which highlights prevention, early intervention, and “care closer to home” as vital components of sustainable healthcare (NHS England, 2019). However, despite the acknowledged benefits of these interventions, very few studies have specifically looked at how they function in England's complex, diverse, and frequently underprivileged urban environments, where social injustices, environmental hazards, and obstacles to </w:t>
      </w:r>
      <w:r w:rsidRPr="003F29DA">
        <w:rPr>
          <w:rFonts w:ascii="Arial" w:hAnsi="Arial" w:cs="Arial"/>
          <w:sz w:val="22"/>
          <w:szCs w:val="22"/>
        </w:rPr>
        <w:lastRenderedPageBreak/>
        <w:t>healthcare access combine to increase the risk of falls (Marmot et al., 2020; NICE, 2025).</w:t>
      </w:r>
      <w:r w:rsidR="00B1013A">
        <w:rPr>
          <w:rFonts w:ascii="Arial" w:hAnsi="Arial" w:cs="Arial"/>
          <w:sz w:val="22"/>
          <w:szCs w:val="22"/>
        </w:rPr>
        <w:t xml:space="preserve"> </w:t>
      </w:r>
      <w:r w:rsidR="00B1013A" w:rsidRPr="00B1013A">
        <w:rPr>
          <w:rFonts w:ascii="Arial" w:hAnsi="Arial" w:cs="Arial"/>
          <w:sz w:val="22"/>
          <w:szCs w:val="22"/>
        </w:rPr>
        <w:t>Urban complexity can limit intervention efficacy through characteristics such service fragmentation, population turnover, and unequal resource allocation, according to research on health interventions in metropolitan environments</w:t>
      </w:r>
      <w:r w:rsidR="00B1013A">
        <w:rPr>
          <w:rFonts w:ascii="Arial" w:hAnsi="Arial" w:cs="Arial"/>
          <w:sz w:val="22"/>
          <w:szCs w:val="22"/>
        </w:rPr>
        <w:t xml:space="preserve"> </w:t>
      </w:r>
      <w:r w:rsidR="00B1013A" w:rsidRPr="00B1013A">
        <w:rPr>
          <w:rFonts w:ascii="Arial" w:hAnsi="Arial" w:cs="Arial"/>
          <w:sz w:val="22"/>
          <w:szCs w:val="22"/>
        </w:rPr>
        <w:t>(Greenhalgh et al., 2019; Allender et al., 2020).</w:t>
      </w:r>
    </w:p>
    <w:p w14:paraId="64FB9578" w14:textId="26FDBD23"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A theoretical understanding of fall-prevention </w:t>
      </w:r>
      <w:proofErr w:type="spellStart"/>
      <w:r w:rsidRPr="003F29DA">
        <w:rPr>
          <w:rFonts w:ascii="Arial" w:hAnsi="Arial" w:cs="Arial"/>
          <w:sz w:val="22"/>
          <w:szCs w:val="22"/>
        </w:rPr>
        <w:t>behavior</w:t>
      </w:r>
      <w:proofErr w:type="spellEnd"/>
      <w:r w:rsidRPr="003F29DA">
        <w:rPr>
          <w:rFonts w:ascii="Arial" w:hAnsi="Arial" w:cs="Arial"/>
          <w:sz w:val="22"/>
          <w:szCs w:val="22"/>
        </w:rPr>
        <w:t xml:space="preserve"> is crucial for examining intervention effectiveness. The Health Belief Model (HBM) and the Social Ecological Model (SEM), two often used </w:t>
      </w:r>
      <w:proofErr w:type="spellStart"/>
      <w:r w:rsidRPr="003F29DA">
        <w:rPr>
          <w:rFonts w:ascii="Arial" w:hAnsi="Arial" w:cs="Arial"/>
          <w:sz w:val="22"/>
          <w:szCs w:val="22"/>
        </w:rPr>
        <w:t>behavioral</w:t>
      </w:r>
      <w:proofErr w:type="spellEnd"/>
      <w:r w:rsidRPr="003F29DA">
        <w:rPr>
          <w:rFonts w:ascii="Arial" w:hAnsi="Arial" w:cs="Arial"/>
          <w:sz w:val="22"/>
          <w:szCs w:val="22"/>
        </w:rPr>
        <w:t xml:space="preserve"> and ecological frameworks, provide insightful information. HBM makes it easier to investigate older persons' perceptions of their susceptibility to falls, perceived advantages of preventative measures, obstacles to involvement, and levels of self-efficacy (Rosenstock, 1974; Bandura, 1997). The SEM supplements this by locating individual actions within wider layers of influence, including interpersonal relationships,</w:t>
      </w:r>
      <w:r w:rsidR="00B1013A">
        <w:rPr>
          <w:rFonts w:ascii="Arial" w:hAnsi="Arial" w:cs="Arial"/>
          <w:sz w:val="22"/>
          <w:szCs w:val="22"/>
        </w:rPr>
        <w:t xml:space="preserve"> </w:t>
      </w:r>
      <w:r w:rsidRPr="003F29DA">
        <w:rPr>
          <w:rFonts w:ascii="Arial" w:hAnsi="Arial" w:cs="Arial"/>
          <w:sz w:val="22"/>
          <w:szCs w:val="22"/>
        </w:rPr>
        <w:t>organizational structures, community surroundings, and public policy (Bronfenbrenner, 1977; McLeroy et al., 1988). When used together, these frameworks provide an integrated approach capable of highlighting both personal and environmental drivers of involvement in physiotherapy-based fall prevention (McLeroy et al., 1988;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w:t>
      </w:r>
    </w:p>
    <w:p w14:paraId="22A1FF47"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This chapter critically reviews the current body of evidence on fall epidemiology, risk factors, and community-based physiotherapy treatments, with special reference to metropolitan regions of England. It draws on epidemiological evidence to contextualize the scale and severity of the issue; reviews intrinsic, extrinsic, </w:t>
      </w:r>
      <w:proofErr w:type="spellStart"/>
      <w:r w:rsidRPr="003F29DA">
        <w:rPr>
          <w:rFonts w:ascii="Arial" w:hAnsi="Arial" w:cs="Arial"/>
          <w:sz w:val="22"/>
          <w:szCs w:val="22"/>
        </w:rPr>
        <w:t>behavioral</w:t>
      </w:r>
      <w:proofErr w:type="spellEnd"/>
      <w:r w:rsidRPr="003F29DA">
        <w:rPr>
          <w:rFonts w:ascii="Arial" w:hAnsi="Arial" w:cs="Arial"/>
          <w:sz w:val="22"/>
          <w:szCs w:val="22"/>
        </w:rPr>
        <w:t>, and socioeconomic determinants of fall risk; examines physiotherapy interventions and their effectiveness; and considers how theoretical frameworks inform intervention design and implementation. The chapter finishes by noting important gaps in the literature, underlining the need for a systematic review focusing exclusively on community-based physiotherapy in metropolitan England. (Public Health England, 2020; NICE, 2025)</w:t>
      </w:r>
    </w:p>
    <w:p w14:paraId="7634CC1F" w14:textId="77777777" w:rsidR="003F29DA" w:rsidRPr="003F29DA" w:rsidRDefault="003F29DA" w:rsidP="002F690B">
      <w:pPr>
        <w:spacing w:line="360" w:lineRule="auto"/>
        <w:jc w:val="both"/>
        <w:rPr>
          <w:rFonts w:ascii="Arial" w:hAnsi="Arial" w:cs="Arial"/>
          <w:sz w:val="22"/>
          <w:szCs w:val="22"/>
        </w:rPr>
      </w:pPr>
    </w:p>
    <w:p w14:paraId="0C386E04" w14:textId="6B09A968" w:rsidR="003F29DA" w:rsidRPr="00535BEE" w:rsidRDefault="003F29DA" w:rsidP="002F690B">
      <w:pPr>
        <w:pStyle w:val="Heading2"/>
        <w:jc w:val="both"/>
        <w:rPr>
          <w:rFonts w:ascii="Arial" w:hAnsi="Arial" w:cs="Arial"/>
          <w:b/>
          <w:bCs/>
          <w:sz w:val="28"/>
          <w:szCs w:val="28"/>
        </w:rPr>
      </w:pPr>
      <w:bookmarkStart w:id="11" w:name="_Toc219805112"/>
      <w:r w:rsidRPr="00535BEE">
        <w:rPr>
          <w:rFonts w:ascii="Arial" w:hAnsi="Arial" w:cs="Arial"/>
          <w:b/>
          <w:bCs/>
          <w:sz w:val="28"/>
          <w:szCs w:val="28"/>
        </w:rPr>
        <w:t>2.2</w:t>
      </w:r>
      <w:r w:rsidR="00535BEE" w:rsidRPr="00535BEE">
        <w:rPr>
          <w:rFonts w:ascii="Arial" w:hAnsi="Arial" w:cs="Arial"/>
          <w:b/>
          <w:bCs/>
          <w:sz w:val="28"/>
          <w:szCs w:val="28"/>
        </w:rPr>
        <w:t xml:space="preserve"> </w:t>
      </w:r>
      <w:r w:rsidRPr="00535BEE">
        <w:rPr>
          <w:rFonts w:ascii="Arial" w:hAnsi="Arial" w:cs="Arial"/>
          <w:b/>
          <w:bCs/>
          <w:sz w:val="28"/>
          <w:szCs w:val="28"/>
        </w:rPr>
        <w:t>Epidemiology of Falls Among Older Adults</w:t>
      </w:r>
      <w:bookmarkEnd w:id="11"/>
    </w:p>
    <w:p w14:paraId="39A6AF18" w14:textId="7F75A849" w:rsidR="003F29DA" w:rsidRPr="00535BEE" w:rsidRDefault="003F29DA" w:rsidP="002F690B">
      <w:pPr>
        <w:pStyle w:val="Heading3"/>
        <w:jc w:val="both"/>
        <w:rPr>
          <w:rFonts w:ascii="Arial" w:hAnsi="Arial" w:cs="Arial"/>
          <w:b/>
          <w:bCs/>
          <w:sz w:val="24"/>
          <w:szCs w:val="24"/>
        </w:rPr>
      </w:pPr>
      <w:bookmarkStart w:id="12" w:name="_Toc219805113"/>
      <w:r w:rsidRPr="00535BEE">
        <w:rPr>
          <w:rFonts w:ascii="Arial" w:hAnsi="Arial" w:cs="Arial"/>
          <w:b/>
          <w:bCs/>
          <w:sz w:val="24"/>
          <w:szCs w:val="24"/>
        </w:rPr>
        <w:t>2.2.1</w:t>
      </w:r>
      <w:r w:rsidR="00535BEE" w:rsidRPr="00535BEE">
        <w:rPr>
          <w:rFonts w:ascii="Arial" w:hAnsi="Arial" w:cs="Arial"/>
          <w:b/>
          <w:bCs/>
          <w:sz w:val="24"/>
          <w:szCs w:val="24"/>
        </w:rPr>
        <w:t xml:space="preserve"> </w:t>
      </w:r>
      <w:r w:rsidRPr="00535BEE">
        <w:rPr>
          <w:rFonts w:ascii="Arial" w:hAnsi="Arial" w:cs="Arial"/>
          <w:b/>
          <w:bCs/>
          <w:sz w:val="24"/>
          <w:szCs w:val="24"/>
        </w:rPr>
        <w:t>Global Epidemiology</w:t>
      </w:r>
      <w:bookmarkEnd w:id="12"/>
    </w:p>
    <w:p w14:paraId="68EDC0AD" w14:textId="02D30E32"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Falls are a primary cause of injury, disability, and death among older individuals worldwide</w:t>
      </w:r>
      <w:r w:rsidR="006C523E">
        <w:rPr>
          <w:rFonts w:ascii="Arial" w:hAnsi="Arial" w:cs="Arial"/>
          <w:sz w:val="22"/>
          <w:szCs w:val="22"/>
        </w:rPr>
        <w:t xml:space="preserve"> </w:t>
      </w:r>
      <w:r w:rsidR="006C523E" w:rsidRPr="006C523E">
        <w:rPr>
          <w:rFonts w:ascii="Arial" w:hAnsi="Arial" w:cs="Arial"/>
          <w:sz w:val="22"/>
          <w:szCs w:val="22"/>
        </w:rPr>
        <w:t>(WHO, 2021; Global Burden of Disease Study, 2019)</w:t>
      </w:r>
      <w:r w:rsidRPr="003F29DA">
        <w:rPr>
          <w:rFonts w:ascii="Arial" w:hAnsi="Arial" w:cs="Arial"/>
          <w:sz w:val="22"/>
          <w:szCs w:val="22"/>
        </w:rPr>
        <w:t xml:space="preserve">. According to estimates from the World Health Organization (WHO), there are around 684,000 fatal falls worldwide each year, making falls the second most prevalent cause of accidental </w:t>
      </w:r>
      <w:r w:rsidRPr="003F29DA">
        <w:rPr>
          <w:rFonts w:ascii="Arial" w:hAnsi="Arial" w:cs="Arial"/>
          <w:sz w:val="22"/>
          <w:szCs w:val="22"/>
        </w:rPr>
        <w:lastRenderedPageBreak/>
        <w:t>injury-related death after traffic accidents (WHO, 2021). Even more frequent are non-fatal falls; each year, over 37 million serious falls need medical treatment (WHO, 2021</w:t>
      </w:r>
      <w:r w:rsidR="006C523E">
        <w:rPr>
          <w:rFonts w:ascii="Arial" w:hAnsi="Arial" w:cs="Arial"/>
          <w:sz w:val="22"/>
          <w:szCs w:val="22"/>
        </w:rPr>
        <w:t xml:space="preserve">; </w:t>
      </w:r>
      <w:r w:rsidR="006C523E" w:rsidRPr="006C523E">
        <w:rPr>
          <w:rFonts w:ascii="Arial" w:hAnsi="Arial" w:cs="Arial"/>
          <w:sz w:val="22"/>
          <w:szCs w:val="22"/>
        </w:rPr>
        <w:t>Montero-</w:t>
      </w:r>
      <w:proofErr w:type="spellStart"/>
      <w:r w:rsidR="006C523E" w:rsidRPr="006C523E">
        <w:rPr>
          <w:rFonts w:ascii="Arial" w:hAnsi="Arial" w:cs="Arial"/>
          <w:sz w:val="22"/>
          <w:szCs w:val="22"/>
        </w:rPr>
        <w:t>Odasso</w:t>
      </w:r>
      <w:proofErr w:type="spellEnd"/>
      <w:r w:rsidR="006C523E" w:rsidRPr="006C523E">
        <w:rPr>
          <w:rFonts w:ascii="Arial" w:hAnsi="Arial" w:cs="Arial"/>
          <w:sz w:val="22"/>
          <w:szCs w:val="22"/>
        </w:rPr>
        <w:t xml:space="preserve"> et al., 2022</w:t>
      </w:r>
      <w:r w:rsidRPr="003F29DA">
        <w:rPr>
          <w:rFonts w:ascii="Arial" w:hAnsi="Arial" w:cs="Arial"/>
          <w:sz w:val="22"/>
          <w:szCs w:val="22"/>
        </w:rPr>
        <w:t>). These numbers underline the huge stress falls impose on health systems, particularly in nations with growing aging populations (WHO, 2021;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w:t>
      </w:r>
      <w:r w:rsidR="00B1013A">
        <w:rPr>
          <w:rFonts w:ascii="Arial" w:hAnsi="Arial" w:cs="Arial"/>
          <w:sz w:val="22"/>
          <w:szCs w:val="22"/>
        </w:rPr>
        <w:t xml:space="preserve"> </w:t>
      </w:r>
      <w:r w:rsidR="00B1013A" w:rsidRPr="00B1013A">
        <w:rPr>
          <w:rFonts w:ascii="Arial" w:hAnsi="Arial" w:cs="Arial"/>
          <w:sz w:val="22"/>
          <w:szCs w:val="22"/>
        </w:rPr>
        <w:t xml:space="preserve">According to projections, fall-related injuries will contribute </w:t>
      </w:r>
      <w:proofErr w:type="gramStart"/>
      <w:r w:rsidR="00B1013A" w:rsidRPr="00B1013A">
        <w:rPr>
          <w:rFonts w:ascii="Arial" w:hAnsi="Arial" w:cs="Arial"/>
          <w:sz w:val="22"/>
          <w:szCs w:val="22"/>
        </w:rPr>
        <w:t>more and more</w:t>
      </w:r>
      <w:proofErr w:type="gramEnd"/>
      <w:r w:rsidR="00B1013A" w:rsidRPr="00B1013A">
        <w:rPr>
          <w:rFonts w:ascii="Arial" w:hAnsi="Arial" w:cs="Arial"/>
          <w:sz w:val="22"/>
          <w:szCs w:val="22"/>
        </w:rPr>
        <w:t xml:space="preserve"> to disability-adjusted life years (DALYs) among older populations globally in the absence of effective preventative measures</w:t>
      </w:r>
      <w:r w:rsidR="00B1013A">
        <w:rPr>
          <w:rFonts w:ascii="Arial" w:hAnsi="Arial" w:cs="Arial"/>
          <w:sz w:val="22"/>
          <w:szCs w:val="22"/>
        </w:rPr>
        <w:t xml:space="preserve"> </w:t>
      </w:r>
      <w:r w:rsidR="00B1013A" w:rsidRPr="00B1013A">
        <w:rPr>
          <w:rFonts w:ascii="Arial" w:hAnsi="Arial" w:cs="Arial"/>
          <w:sz w:val="22"/>
          <w:szCs w:val="22"/>
        </w:rPr>
        <w:t>(Vos et al., 2020; Prince et al., 2015).</w:t>
      </w:r>
      <w:r w:rsidRPr="003F29DA">
        <w:rPr>
          <w:rFonts w:ascii="Arial" w:hAnsi="Arial" w:cs="Arial"/>
          <w:sz w:val="22"/>
          <w:szCs w:val="22"/>
        </w:rPr>
        <w:t xml:space="preserve"> In Europe, falls are one of the most frequent causes of injury-related emergency admissions</w:t>
      </w:r>
      <w:r w:rsidR="00535BEE">
        <w:rPr>
          <w:rFonts w:ascii="Arial" w:hAnsi="Arial" w:cs="Arial"/>
          <w:sz w:val="22"/>
          <w:szCs w:val="22"/>
        </w:rPr>
        <w:t>.</w:t>
      </w:r>
      <w:r w:rsidRPr="003F29DA">
        <w:rPr>
          <w:rFonts w:ascii="Arial" w:hAnsi="Arial" w:cs="Arial"/>
          <w:sz w:val="22"/>
          <w:szCs w:val="22"/>
        </w:rPr>
        <w:t xml:space="preserve"> </w:t>
      </w:r>
      <w:r w:rsidR="00B1013A">
        <w:rPr>
          <w:rFonts w:ascii="Arial" w:hAnsi="Arial" w:cs="Arial"/>
          <w:sz w:val="22"/>
          <w:szCs w:val="22"/>
        </w:rPr>
        <w:t>A</w:t>
      </w:r>
      <w:r w:rsidRPr="003F29DA">
        <w:rPr>
          <w:rFonts w:ascii="Arial" w:hAnsi="Arial" w:cs="Arial"/>
          <w:sz w:val="22"/>
          <w:szCs w:val="22"/>
        </w:rPr>
        <w:t>mong older persons, resulting to high morbidity, long-term functional deterioration, and limitations in independence (WHO, 2021;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w:t>
      </w:r>
    </w:p>
    <w:p w14:paraId="0405929B" w14:textId="77777777" w:rsidR="003F29DA" w:rsidRPr="003F29DA" w:rsidRDefault="003F29DA" w:rsidP="002F690B">
      <w:pPr>
        <w:spacing w:line="360" w:lineRule="auto"/>
        <w:jc w:val="both"/>
        <w:rPr>
          <w:rFonts w:ascii="Arial" w:hAnsi="Arial" w:cs="Arial"/>
          <w:sz w:val="22"/>
          <w:szCs w:val="22"/>
        </w:rPr>
      </w:pPr>
    </w:p>
    <w:p w14:paraId="7DA701AC" w14:textId="5866E9D4" w:rsidR="003F29DA" w:rsidRPr="00535BEE" w:rsidRDefault="003F29DA" w:rsidP="002F690B">
      <w:pPr>
        <w:pStyle w:val="Heading2"/>
        <w:jc w:val="both"/>
        <w:rPr>
          <w:rFonts w:ascii="Arial" w:hAnsi="Arial" w:cs="Arial"/>
          <w:b/>
          <w:bCs/>
          <w:sz w:val="24"/>
          <w:szCs w:val="24"/>
        </w:rPr>
      </w:pPr>
      <w:bookmarkStart w:id="13" w:name="_Toc219805114"/>
      <w:r w:rsidRPr="00535BEE">
        <w:rPr>
          <w:rFonts w:ascii="Arial" w:hAnsi="Arial" w:cs="Arial"/>
          <w:b/>
          <w:bCs/>
          <w:sz w:val="24"/>
          <w:szCs w:val="24"/>
        </w:rPr>
        <w:t>2.2.2</w:t>
      </w:r>
      <w:r w:rsidR="00535BEE" w:rsidRPr="00535BEE">
        <w:rPr>
          <w:rFonts w:ascii="Arial" w:hAnsi="Arial" w:cs="Arial"/>
          <w:b/>
          <w:bCs/>
          <w:sz w:val="24"/>
          <w:szCs w:val="24"/>
        </w:rPr>
        <w:t xml:space="preserve"> </w:t>
      </w:r>
      <w:r w:rsidRPr="00535BEE">
        <w:rPr>
          <w:rFonts w:ascii="Arial" w:hAnsi="Arial" w:cs="Arial"/>
          <w:b/>
          <w:bCs/>
          <w:sz w:val="24"/>
          <w:szCs w:val="24"/>
        </w:rPr>
        <w:t>Epidemiology in the United Kingdom</w:t>
      </w:r>
      <w:bookmarkEnd w:id="13"/>
    </w:p>
    <w:p w14:paraId="6DEDD821" w14:textId="3DFE1060"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In the United Kingdom, falls account for more than 220,000 emergency hospital admissions yearly for persons aged 65 years and over (NHS Digital, 2020). According to data from Public Health England, one in three adults over 65 falls at least once a year; for those over 80, the percentage increases to one in two (PHE, 2020). Falls are the major cause of injury- related death in this age range, particularly when age-related frailty, chronic illness, and mobility constraints grow (WHO, 2021; NICE, 2025).</w:t>
      </w:r>
      <w:r w:rsidR="00B87FA6">
        <w:rPr>
          <w:rFonts w:ascii="Arial" w:hAnsi="Arial" w:cs="Arial"/>
          <w:sz w:val="22"/>
          <w:szCs w:val="22"/>
        </w:rPr>
        <w:t xml:space="preserve"> </w:t>
      </w:r>
      <w:r w:rsidR="00B87FA6" w:rsidRPr="00B87FA6">
        <w:rPr>
          <w:rFonts w:ascii="Arial" w:hAnsi="Arial" w:cs="Arial"/>
          <w:sz w:val="22"/>
          <w:szCs w:val="22"/>
        </w:rPr>
        <w:t>Frailty has been demonstrated to independently predict post-fall mortality and fall incidence, highlighting the significance of early detection and focused preventative intervention in community settings</w:t>
      </w:r>
      <w:r w:rsidR="00B87FA6">
        <w:rPr>
          <w:rFonts w:ascii="Arial" w:hAnsi="Arial" w:cs="Arial"/>
          <w:sz w:val="22"/>
          <w:szCs w:val="22"/>
        </w:rPr>
        <w:t xml:space="preserve"> </w:t>
      </w:r>
      <w:r w:rsidR="00B87FA6" w:rsidRPr="00B87FA6">
        <w:rPr>
          <w:rFonts w:ascii="Arial" w:hAnsi="Arial" w:cs="Arial"/>
          <w:sz w:val="22"/>
          <w:szCs w:val="22"/>
        </w:rPr>
        <w:t xml:space="preserve">(Rockwood and </w:t>
      </w:r>
      <w:proofErr w:type="spellStart"/>
      <w:r w:rsidR="00B87FA6" w:rsidRPr="00B87FA6">
        <w:rPr>
          <w:rFonts w:ascii="Arial" w:hAnsi="Arial" w:cs="Arial"/>
          <w:sz w:val="22"/>
          <w:szCs w:val="22"/>
        </w:rPr>
        <w:t>Mitnitski</w:t>
      </w:r>
      <w:proofErr w:type="spellEnd"/>
      <w:r w:rsidR="00B87FA6" w:rsidRPr="00B87FA6">
        <w:rPr>
          <w:rFonts w:ascii="Arial" w:hAnsi="Arial" w:cs="Arial"/>
          <w:sz w:val="22"/>
          <w:szCs w:val="22"/>
        </w:rPr>
        <w:t>, 2011; Dent et al., 2019).</w:t>
      </w:r>
      <w:r w:rsidRPr="003F29DA">
        <w:rPr>
          <w:rFonts w:ascii="Arial" w:hAnsi="Arial" w:cs="Arial"/>
          <w:sz w:val="22"/>
          <w:szCs w:val="22"/>
        </w:rPr>
        <w:t xml:space="preserve"> In the UK, hip fractures are responsible for between 70,000 and 80,000 hospital admissions each year, making them one of the most dangerous fall-related outcomes (Royal College of Physicians, 2019). Hip fractures have high mortality rates; 20–30% of patients pass away within a year, and many more suffer irreversible loss of independence (NICE, 2025a; Royal College of Physicians, 2019).</w:t>
      </w:r>
    </w:p>
    <w:p w14:paraId="47395E1E" w14:textId="4B0C97AE"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The “220,000 emergency admissions” figure is directly supported by official indicator datasets and NICE communications (Office for Health Improvement and Disparities, 2025; NICE, 2025a). These have been added as supporting references alongside your original citation.</w:t>
      </w:r>
    </w:p>
    <w:p w14:paraId="7EDC7B83"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In the UK, falls have a substantial economic impact. The yearly direct cost of falls to health and social care, including ambulance services, emergency medical care, surgical treatment, rehabilitation, and long-term community assistance, is estimated by NHS England (2019) to be over £2.3 billion (NHS England, 2019; NICE, 2015). Long-</w:t>
      </w:r>
      <w:r w:rsidRPr="003F29DA">
        <w:rPr>
          <w:rFonts w:ascii="Arial" w:hAnsi="Arial" w:cs="Arial"/>
          <w:sz w:val="22"/>
          <w:szCs w:val="22"/>
        </w:rPr>
        <w:lastRenderedPageBreak/>
        <w:t>term incapacity, informal care, and lost productivity among family caregivers are examples of indirect expenses that add to the overall financial burden (NICE, 2025; WHO, 2021). Forecasts show that fall-related healthcare costs will significantly increase as the UK's population ages unless more effective preventive measures are put in place (Office for National Statistics, 2021; NICE, 2025).</w:t>
      </w:r>
    </w:p>
    <w:p w14:paraId="6B7B4FE4" w14:textId="77777777" w:rsidR="003F29DA" w:rsidRPr="003F29DA" w:rsidRDefault="003F29DA" w:rsidP="002F690B">
      <w:pPr>
        <w:spacing w:line="360" w:lineRule="auto"/>
        <w:jc w:val="both"/>
        <w:rPr>
          <w:rFonts w:ascii="Arial" w:hAnsi="Arial" w:cs="Arial"/>
          <w:sz w:val="22"/>
          <w:szCs w:val="22"/>
        </w:rPr>
      </w:pPr>
    </w:p>
    <w:p w14:paraId="5777C484" w14:textId="1DC86A96" w:rsidR="003F29DA" w:rsidRPr="00535BEE" w:rsidRDefault="003F29DA" w:rsidP="002F690B">
      <w:pPr>
        <w:pStyle w:val="Heading3"/>
        <w:jc w:val="both"/>
        <w:rPr>
          <w:rFonts w:ascii="Arial" w:hAnsi="Arial" w:cs="Arial"/>
          <w:b/>
          <w:bCs/>
          <w:sz w:val="24"/>
          <w:szCs w:val="24"/>
        </w:rPr>
      </w:pPr>
      <w:bookmarkStart w:id="14" w:name="_Toc219805115"/>
      <w:r w:rsidRPr="00535BEE">
        <w:rPr>
          <w:rFonts w:ascii="Arial" w:hAnsi="Arial" w:cs="Arial"/>
          <w:b/>
          <w:bCs/>
          <w:sz w:val="24"/>
          <w:szCs w:val="24"/>
        </w:rPr>
        <w:t>2.2.3</w:t>
      </w:r>
      <w:r w:rsidR="00535BEE" w:rsidRPr="00535BEE">
        <w:rPr>
          <w:rFonts w:ascii="Arial" w:hAnsi="Arial" w:cs="Arial"/>
          <w:b/>
          <w:bCs/>
          <w:sz w:val="24"/>
          <w:szCs w:val="24"/>
        </w:rPr>
        <w:t xml:space="preserve"> </w:t>
      </w:r>
      <w:r w:rsidRPr="00535BEE">
        <w:rPr>
          <w:rFonts w:ascii="Arial" w:hAnsi="Arial" w:cs="Arial"/>
          <w:b/>
          <w:bCs/>
          <w:sz w:val="24"/>
          <w:szCs w:val="24"/>
        </w:rPr>
        <w:t>Urban and Metropolitan England Context</w:t>
      </w:r>
      <w:bookmarkEnd w:id="14"/>
    </w:p>
    <w:p w14:paraId="266E72F7" w14:textId="2DA538D0"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Urban locations in England have notably high fall rates, especially among inhabitants of socioeconomically poor communities. Studies have shown that older adults living in metropolitan regions such as London, Birmingham, Manchester, and Liverpool are exposed to unique environmental hazards, including uneven pavements, poor street lighting, congested public spaces, and challenging transport infrastructures (Davies et al., 2022; NICE, 2025). These dangers combine with social isolation, poverty, and restricted access to community resources to heighten fall risk (Marmot et al., 2020). Urban dwelling factors</w:t>
      </w:r>
      <w:r w:rsidR="00B87FA6">
        <w:rPr>
          <w:rFonts w:ascii="Arial" w:hAnsi="Arial" w:cs="Arial"/>
          <w:sz w:val="22"/>
          <w:szCs w:val="22"/>
        </w:rPr>
        <w:t>,</w:t>
      </w:r>
      <w:r w:rsidRPr="003F29DA">
        <w:rPr>
          <w:rFonts w:ascii="Arial" w:hAnsi="Arial" w:cs="Arial"/>
          <w:sz w:val="22"/>
          <w:szCs w:val="22"/>
        </w:rPr>
        <w:t xml:space="preserve"> including high-rise structures, small stairways, and poorly maintained common areas</w:t>
      </w:r>
      <w:r w:rsidR="00B87FA6">
        <w:rPr>
          <w:rFonts w:ascii="Arial" w:hAnsi="Arial" w:cs="Arial"/>
          <w:sz w:val="22"/>
          <w:szCs w:val="22"/>
        </w:rPr>
        <w:t xml:space="preserve">, </w:t>
      </w:r>
      <w:r w:rsidRPr="003F29DA">
        <w:rPr>
          <w:rFonts w:ascii="Arial" w:hAnsi="Arial" w:cs="Arial"/>
          <w:sz w:val="22"/>
          <w:szCs w:val="22"/>
        </w:rPr>
        <w:t xml:space="preserve">further contribute to greater susceptibility (Harrison et al., 2021; NICE, 2025). </w:t>
      </w:r>
      <w:r w:rsidR="00B87FA6" w:rsidRPr="00B87FA6">
        <w:rPr>
          <w:rFonts w:ascii="Arial" w:hAnsi="Arial" w:cs="Arial"/>
          <w:sz w:val="22"/>
          <w:szCs w:val="22"/>
        </w:rPr>
        <w:t xml:space="preserve">According to </w:t>
      </w:r>
      <w:proofErr w:type="spellStart"/>
      <w:r w:rsidR="00B87FA6" w:rsidRPr="00B87FA6">
        <w:rPr>
          <w:rFonts w:ascii="Arial" w:hAnsi="Arial" w:cs="Arial"/>
          <w:sz w:val="22"/>
          <w:szCs w:val="22"/>
        </w:rPr>
        <w:t>built</w:t>
      </w:r>
      <w:proofErr w:type="spellEnd"/>
      <w:r w:rsidR="00B87FA6" w:rsidRPr="00B87FA6">
        <w:rPr>
          <w:rFonts w:ascii="Arial" w:hAnsi="Arial" w:cs="Arial"/>
          <w:sz w:val="22"/>
          <w:szCs w:val="22"/>
        </w:rPr>
        <w:t xml:space="preserve"> environment study, older urban residents' mobility, levels of physical activity, and fall risk are significantly correlated with </w:t>
      </w:r>
      <w:proofErr w:type="spellStart"/>
      <w:r w:rsidR="00B87FA6" w:rsidRPr="00B87FA6">
        <w:rPr>
          <w:rFonts w:ascii="Arial" w:hAnsi="Arial" w:cs="Arial"/>
          <w:sz w:val="22"/>
          <w:szCs w:val="22"/>
        </w:rPr>
        <w:t>neighborhood</w:t>
      </w:r>
      <w:proofErr w:type="spellEnd"/>
      <w:r w:rsidR="00B87FA6" w:rsidRPr="00B87FA6">
        <w:rPr>
          <w:rFonts w:ascii="Arial" w:hAnsi="Arial" w:cs="Arial"/>
          <w:sz w:val="22"/>
          <w:szCs w:val="22"/>
        </w:rPr>
        <w:t xml:space="preserve"> walkability, housing quality, and access to safe public areas</w:t>
      </w:r>
      <w:r w:rsidR="00B87FA6">
        <w:rPr>
          <w:rFonts w:ascii="Arial" w:hAnsi="Arial" w:cs="Arial"/>
          <w:sz w:val="22"/>
          <w:szCs w:val="22"/>
        </w:rPr>
        <w:t xml:space="preserve"> </w:t>
      </w:r>
      <w:r w:rsidR="00B87FA6" w:rsidRPr="00B87FA6">
        <w:rPr>
          <w:rFonts w:ascii="Arial" w:hAnsi="Arial" w:cs="Arial"/>
          <w:sz w:val="22"/>
          <w:szCs w:val="22"/>
        </w:rPr>
        <w:t xml:space="preserve">(Sugiyama et al., 2014; Clarke and </w:t>
      </w:r>
      <w:proofErr w:type="spellStart"/>
      <w:r w:rsidR="00B87FA6" w:rsidRPr="00B87FA6">
        <w:rPr>
          <w:rFonts w:ascii="Arial" w:hAnsi="Arial" w:cs="Arial"/>
          <w:sz w:val="22"/>
          <w:szCs w:val="22"/>
        </w:rPr>
        <w:t>Nieuwenhuijsen</w:t>
      </w:r>
      <w:proofErr w:type="spellEnd"/>
      <w:r w:rsidR="00B87FA6" w:rsidRPr="00B87FA6">
        <w:rPr>
          <w:rFonts w:ascii="Arial" w:hAnsi="Arial" w:cs="Arial"/>
          <w:sz w:val="22"/>
          <w:szCs w:val="22"/>
        </w:rPr>
        <w:t>, 2009</w:t>
      </w:r>
      <w:r w:rsidR="00B87FA6">
        <w:rPr>
          <w:rFonts w:ascii="Arial" w:hAnsi="Arial" w:cs="Arial"/>
          <w:sz w:val="22"/>
          <w:szCs w:val="22"/>
        </w:rPr>
        <w:t>)</w:t>
      </w:r>
      <w:r w:rsidR="00B87FA6" w:rsidRPr="00B87FA6">
        <w:rPr>
          <w:rFonts w:ascii="Arial" w:hAnsi="Arial" w:cs="Arial"/>
          <w:sz w:val="22"/>
          <w:szCs w:val="22"/>
        </w:rPr>
        <w:t>.</w:t>
      </w:r>
      <w:r w:rsidR="00B87FA6">
        <w:rPr>
          <w:rFonts w:ascii="Arial" w:hAnsi="Arial" w:cs="Arial"/>
          <w:sz w:val="22"/>
          <w:szCs w:val="22"/>
        </w:rPr>
        <w:t xml:space="preserve"> </w:t>
      </w:r>
      <w:r w:rsidRPr="003F29DA">
        <w:rPr>
          <w:rFonts w:ascii="Arial" w:hAnsi="Arial" w:cs="Arial"/>
          <w:sz w:val="22"/>
          <w:szCs w:val="22"/>
        </w:rPr>
        <w:t>Furthermore, culturally varied populations in large cities may have different perspectives about healthcare engagement, fitness, and aging, which may affect their involvement in fall prevention initiatives (Rahman et al., 2022;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w:t>
      </w:r>
    </w:p>
    <w:p w14:paraId="275444B2" w14:textId="22C81AC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Fall prevention among older persons in metropolitan England is a crucial clinical and public health goal given these epidemiological trends (NHS England, 2019; NICE, 2025). The high frequency, severe effects, and growing costs of falls demand evidence-based community treatments, including physiotherapy programs adapted to the needs of urban populations (NICE, 2025;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w:t>
      </w:r>
    </w:p>
    <w:p w14:paraId="66DC3269" w14:textId="67D10573"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The growing body of research on socioeconomic determinants of health, which increasingly influence fall patterns in both community and institutional settings, is another factor to be </w:t>
      </w:r>
      <w:proofErr w:type="gramStart"/>
      <w:r w:rsidRPr="003F29DA">
        <w:rPr>
          <w:rFonts w:ascii="Arial" w:hAnsi="Arial" w:cs="Arial"/>
          <w:sz w:val="22"/>
          <w:szCs w:val="22"/>
        </w:rPr>
        <w:t>taken into account</w:t>
      </w:r>
      <w:proofErr w:type="gramEnd"/>
      <w:r w:rsidRPr="003F29DA">
        <w:rPr>
          <w:rFonts w:ascii="Arial" w:hAnsi="Arial" w:cs="Arial"/>
          <w:sz w:val="22"/>
          <w:szCs w:val="22"/>
        </w:rPr>
        <w:t xml:space="preserve"> in the epidemiology of falls (Marmot et al., 2020; WHO, 2021). Current public health frameworks emphasize that falls must be seen in the context of larger structural disparities that affect risk exposure, service accessibility, and long-term health trajectories rather than being exclusively understood as age-related occurrences (Marmot et al., 2020;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 For example, </w:t>
      </w:r>
      <w:r w:rsidRPr="003F29DA">
        <w:rPr>
          <w:rFonts w:ascii="Arial" w:hAnsi="Arial" w:cs="Arial"/>
          <w:sz w:val="22"/>
          <w:szCs w:val="22"/>
        </w:rPr>
        <w:lastRenderedPageBreak/>
        <w:t xml:space="preserve">older persons who reside in impoverished </w:t>
      </w:r>
      <w:proofErr w:type="spellStart"/>
      <w:r w:rsidRPr="003F29DA">
        <w:rPr>
          <w:rFonts w:ascii="Arial" w:hAnsi="Arial" w:cs="Arial"/>
          <w:sz w:val="22"/>
          <w:szCs w:val="22"/>
        </w:rPr>
        <w:t>neighborhoods</w:t>
      </w:r>
      <w:proofErr w:type="spellEnd"/>
      <w:r w:rsidRPr="003F29DA">
        <w:rPr>
          <w:rFonts w:ascii="Arial" w:hAnsi="Arial" w:cs="Arial"/>
          <w:sz w:val="22"/>
          <w:szCs w:val="22"/>
        </w:rPr>
        <w:t xml:space="preserve"> frequently have greater rates of multimorbidity, less chances for safe physical exercise, and restricted access to rehabilitation programs, all of which increase their long-term fall risk (Marmot et al., 2020; NICE, 2025). These differences frequently reflect geographical differences within nations, with fall prevention difficulties being exacerbated by urban congestion, subpar housing, and decreased </w:t>
      </w:r>
      <w:r w:rsidR="00516F9C" w:rsidRPr="003F29DA">
        <w:rPr>
          <w:rFonts w:ascii="Arial" w:hAnsi="Arial" w:cs="Arial"/>
          <w:sz w:val="22"/>
          <w:szCs w:val="22"/>
        </w:rPr>
        <w:t>neighbourhood</w:t>
      </w:r>
      <w:r w:rsidRPr="003F29DA">
        <w:rPr>
          <w:rFonts w:ascii="Arial" w:hAnsi="Arial" w:cs="Arial"/>
          <w:sz w:val="22"/>
          <w:szCs w:val="22"/>
        </w:rPr>
        <w:t xml:space="preserve"> walkability (Marmot et al., 2020). Such findings underscore the significance of incorporating fall prevention into larger community-based health programs that identify contextual, environmental and socio- economic variables that affect vulnerability among older persons (WHO, 2021; Montero- </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w:t>
      </w:r>
    </w:p>
    <w:p w14:paraId="2886C681" w14:textId="77777777" w:rsidR="003F29DA" w:rsidRPr="003F29DA" w:rsidRDefault="003F29DA" w:rsidP="002F690B">
      <w:pPr>
        <w:spacing w:line="360" w:lineRule="auto"/>
        <w:jc w:val="both"/>
        <w:rPr>
          <w:rFonts w:ascii="Arial" w:hAnsi="Arial" w:cs="Arial"/>
          <w:sz w:val="22"/>
          <w:szCs w:val="22"/>
        </w:rPr>
      </w:pPr>
    </w:p>
    <w:p w14:paraId="46505239" w14:textId="55F42455" w:rsidR="003F29DA" w:rsidRPr="00535BEE" w:rsidRDefault="003F29DA" w:rsidP="002F690B">
      <w:pPr>
        <w:pStyle w:val="Heading2"/>
        <w:jc w:val="both"/>
        <w:rPr>
          <w:rFonts w:ascii="Arial" w:hAnsi="Arial" w:cs="Arial"/>
          <w:b/>
          <w:bCs/>
          <w:sz w:val="28"/>
          <w:szCs w:val="28"/>
        </w:rPr>
      </w:pPr>
      <w:bookmarkStart w:id="15" w:name="_Toc219805116"/>
      <w:r w:rsidRPr="00535BEE">
        <w:rPr>
          <w:rFonts w:ascii="Arial" w:hAnsi="Arial" w:cs="Arial"/>
          <w:b/>
          <w:bCs/>
          <w:sz w:val="28"/>
          <w:szCs w:val="28"/>
        </w:rPr>
        <w:t>2.3</w:t>
      </w:r>
      <w:r w:rsidR="00535BEE" w:rsidRPr="00535BEE">
        <w:rPr>
          <w:rFonts w:ascii="Arial" w:hAnsi="Arial" w:cs="Arial"/>
          <w:b/>
          <w:bCs/>
          <w:sz w:val="28"/>
          <w:szCs w:val="28"/>
        </w:rPr>
        <w:t xml:space="preserve"> </w:t>
      </w:r>
      <w:r w:rsidRPr="00535BEE">
        <w:rPr>
          <w:rFonts w:ascii="Arial" w:hAnsi="Arial" w:cs="Arial"/>
          <w:b/>
          <w:bCs/>
          <w:sz w:val="28"/>
          <w:szCs w:val="28"/>
        </w:rPr>
        <w:t>Risk Factors for Falls</w:t>
      </w:r>
      <w:bookmarkEnd w:id="15"/>
    </w:p>
    <w:p w14:paraId="4BBEA089" w14:textId="04798AD5" w:rsidR="003F29DA" w:rsidRPr="00535BEE" w:rsidRDefault="003F29DA" w:rsidP="002F690B">
      <w:pPr>
        <w:pStyle w:val="Heading3"/>
        <w:jc w:val="both"/>
        <w:rPr>
          <w:rFonts w:ascii="Arial" w:hAnsi="Arial" w:cs="Arial"/>
          <w:b/>
          <w:bCs/>
          <w:sz w:val="24"/>
          <w:szCs w:val="24"/>
        </w:rPr>
      </w:pPr>
      <w:bookmarkStart w:id="16" w:name="_Toc219805117"/>
      <w:r w:rsidRPr="00535BEE">
        <w:rPr>
          <w:rFonts w:ascii="Arial" w:hAnsi="Arial" w:cs="Arial"/>
          <w:b/>
          <w:bCs/>
          <w:sz w:val="24"/>
          <w:szCs w:val="24"/>
        </w:rPr>
        <w:t>2.3.1</w:t>
      </w:r>
      <w:r w:rsidR="00535BEE" w:rsidRPr="00535BEE">
        <w:rPr>
          <w:rFonts w:ascii="Arial" w:hAnsi="Arial" w:cs="Arial"/>
          <w:b/>
          <w:bCs/>
          <w:sz w:val="24"/>
          <w:szCs w:val="24"/>
        </w:rPr>
        <w:t xml:space="preserve"> </w:t>
      </w:r>
      <w:r w:rsidRPr="00535BEE">
        <w:rPr>
          <w:rFonts w:ascii="Arial" w:hAnsi="Arial" w:cs="Arial"/>
          <w:b/>
          <w:bCs/>
          <w:sz w:val="24"/>
          <w:szCs w:val="24"/>
        </w:rPr>
        <w:t>Intrinsic Risk Factors</w:t>
      </w:r>
      <w:bookmarkEnd w:id="16"/>
    </w:p>
    <w:p w14:paraId="6B217E29"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Falls in older persons result from a complex interplay of intrinsic, extrinsic, </w:t>
      </w:r>
      <w:proofErr w:type="spellStart"/>
      <w:r w:rsidRPr="003F29DA">
        <w:rPr>
          <w:rFonts w:ascii="Arial" w:hAnsi="Arial" w:cs="Arial"/>
          <w:sz w:val="22"/>
          <w:szCs w:val="22"/>
        </w:rPr>
        <w:t>behavioral</w:t>
      </w:r>
      <w:proofErr w:type="spellEnd"/>
      <w:r w:rsidRPr="003F29DA">
        <w:rPr>
          <w:rFonts w:ascii="Arial" w:hAnsi="Arial" w:cs="Arial"/>
          <w:sz w:val="22"/>
          <w:szCs w:val="22"/>
        </w:rPr>
        <w:t>, and socioeconomic variables. Designing successful community-based physiotherapy interventions requires an understanding of these risk factors (NICE, 2025;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w:t>
      </w:r>
    </w:p>
    <w:p w14:paraId="7EF1D54A" w14:textId="3EA6B262"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Age-related physiological deterioration is mostly connected with intrinsic variables. Fall risk is closely linked to declining muscular strength, balance, proprioception, and gait stability (Thomas and Patel, 2021; Sherrington et al., 2019; NICE, 2025). Sarcopenia, the age- related loss of muscle mass, greatly affects lower-limb strength and response time, limiting an individual’s capacity to recover from trips or slips (</w:t>
      </w:r>
      <w:r w:rsidR="006C523E" w:rsidRPr="006C523E">
        <w:rPr>
          <w:rFonts w:ascii="Arial" w:hAnsi="Arial" w:cs="Arial"/>
          <w:sz w:val="22"/>
          <w:szCs w:val="22"/>
        </w:rPr>
        <w:t>Cruz-Jentoft et al., 2019</w:t>
      </w:r>
      <w:r w:rsidR="006C523E">
        <w:rPr>
          <w:rFonts w:ascii="Arial" w:hAnsi="Arial" w:cs="Arial"/>
          <w:sz w:val="22"/>
          <w:szCs w:val="22"/>
        </w:rPr>
        <w:t xml:space="preserve">; </w:t>
      </w:r>
      <w:r w:rsidRPr="003F29DA">
        <w:rPr>
          <w:rFonts w:ascii="Arial" w:hAnsi="Arial" w:cs="Arial"/>
          <w:sz w:val="22"/>
          <w:szCs w:val="22"/>
        </w:rPr>
        <w:t>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w:t>
      </w:r>
      <w:r w:rsidR="00B87FA6">
        <w:rPr>
          <w:rFonts w:ascii="Arial" w:hAnsi="Arial" w:cs="Arial"/>
          <w:sz w:val="22"/>
          <w:szCs w:val="22"/>
        </w:rPr>
        <w:t xml:space="preserve"> </w:t>
      </w:r>
      <w:r w:rsidR="00B87FA6" w:rsidRPr="00B87FA6">
        <w:rPr>
          <w:rFonts w:ascii="Arial" w:hAnsi="Arial" w:cs="Arial"/>
          <w:sz w:val="22"/>
          <w:szCs w:val="22"/>
        </w:rPr>
        <w:t>Additionally, sarcopenia has been associated with delayed protective stepping reflexes and reduced neuromuscular control, both of which hinder a person's capacity to regain balance after disturbances</w:t>
      </w:r>
      <w:r w:rsidR="00B87FA6">
        <w:rPr>
          <w:rFonts w:ascii="Arial" w:hAnsi="Arial" w:cs="Arial"/>
          <w:sz w:val="22"/>
          <w:szCs w:val="22"/>
        </w:rPr>
        <w:t xml:space="preserve"> </w:t>
      </w:r>
      <w:r w:rsidR="00B87FA6" w:rsidRPr="00B87FA6">
        <w:rPr>
          <w:rFonts w:ascii="Arial" w:hAnsi="Arial" w:cs="Arial"/>
          <w:sz w:val="22"/>
          <w:szCs w:val="22"/>
        </w:rPr>
        <w:t>(Cruz-Jentoft et al., 2019; Landi et al., 2012).</w:t>
      </w:r>
      <w:r w:rsidRPr="003F29DA">
        <w:rPr>
          <w:rFonts w:ascii="Arial" w:hAnsi="Arial" w:cs="Arial"/>
          <w:sz w:val="22"/>
          <w:szCs w:val="22"/>
        </w:rPr>
        <w:t xml:space="preserve"> Safely navigating situations is made more difficult by sensory impairments, especially visual deficiencies brought on by cataracts, glaucoma, or macular degeneration (NICE, 2025). By impairing coordination, neuropathy, cardiovascular reactions, or joint function, chronic illnesses such stroke, Parkinson's disease, diabetes, heart disease, and arthritis further </w:t>
      </w:r>
      <w:proofErr w:type="gramStart"/>
      <w:r w:rsidRPr="003F29DA">
        <w:rPr>
          <w:rFonts w:ascii="Arial" w:hAnsi="Arial" w:cs="Arial"/>
          <w:sz w:val="22"/>
          <w:szCs w:val="22"/>
        </w:rPr>
        <w:t>increase</w:t>
      </w:r>
      <w:proofErr w:type="gramEnd"/>
      <w:r w:rsidRPr="003F29DA">
        <w:rPr>
          <w:rFonts w:ascii="Arial" w:hAnsi="Arial" w:cs="Arial"/>
          <w:sz w:val="22"/>
          <w:szCs w:val="22"/>
        </w:rPr>
        <w:t xml:space="preserve"> risk (Campbell and Robertson, 2018; NICE, 2025). Cognitive impairment, including dementia and moderate cognitive decline, is related with poor judgement, shorter response times, and difficulty with dual-task tasks, all of which considerably increase the probability of falling (Miller et al., 2021;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w:t>
      </w:r>
    </w:p>
    <w:p w14:paraId="1E907564" w14:textId="77777777" w:rsidR="003F29DA" w:rsidRPr="003F29DA" w:rsidRDefault="003F29DA" w:rsidP="002F690B">
      <w:pPr>
        <w:spacing w:line="360" w:lineRule="auto"/>
        <w:jc w:val="both"/>
        <w:rPr>
          <w:rFonts w:ascii="Arial" w:hAnsi="Arial" w:cs="Arial"/>
          <w:sz w:val="22"/>
          <w:szCs w:val="22"/>
        </w:rPr>
      </w:pPr>
    </w:p>
    <w:p w14:paraId="02710FF5" w14:textId="5102D851" w:rsidR="003F29DA" w:rsidRPr="00535BEE" w:rsidRDefault="003F29DA" w:rsidP="002F690B">
      <w:pPr>
        <w:pStyle w:val="Heading3"/>
        <w:jc w:val="both"/>
        <w:rPr>
          <w:rFonts w:ascii="Arial" w:hAnsi="Arial" w:cs="Arial"/>
          <w:b/>
          <w:bCs/>
          <w:sz w:val="24"/>
          <w:szCs w:val="24"/>
        </w:rPr>
      </w:pPr>
      <w:bookmarkStart w:id="17" w:name="_Toc219805118"/>
      <w:r w:rsidRPr="00535BEE">
        <w:rPr>
          <w:rFonts w:ascii="Arial" w:hAnsi="Arial" w:cs="Arial"/>
          <w:b/>
          <w:bCs/>
          <w:sz w:val="24"/>
          <w:szCs w:val="24"/>
        </w:rPr>
        <w:t>2.3.2</w:t>
      </w:r>
      <w:r w:rsidR="00535BEE" w:rsidRPr="00535BEE">
        <w:rPr>
          <w:rFonts w:ascii="Arial" w:hAnsi="Arial" w:cs="Arial"/>
          <w:b/>
          <w:bCs/>
          <w:sz w:val="24"/>
          <w:szCs w:val="24"/>
        </w:rPr>
        <w:t xml:space="preserve"> </w:t>
      </w:r>
      <w:r w:rsidRPr="00535BEE">
        <w:rPr>
          <w:rFonts w:ascii="Arial" w:hAnsi="Arial" w:cs="Arial"/>
          <w:b/>
          <w:bCs/>
          <w:sz w:val="24"/>
          <w:szCs w:val="24"/>
        </w:rPr>
        <w:t>Extrinsic (Environmental) Risk Factors</w:t>
      </w:r>
      <w:bookmarkEnd w:id="17"/>
    </w:p>
    <w:p w14:paraId="467DE69F" w14:textId="726BBE96"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Environmental risks, many of which are particularly common in metropolitan environments, are considered extrinsic factors. Hazardous situations in homes and public spaces include congested living spaces, uneven pavements, slick surfaces, poor lighting, and a lack of grab bars or railings (Williams et al., 2020; NICE, 2025). Additional dangers are frequently presented by urban infrastructure, such as crowded public areas, busy roadways, and badly maintained stairwells (NICE, 2025). High-rise living </w:t>
      </w:r>
      <w:r w:rsidR="002F690B" w:rsidRPr="003F29DA">
        <w:rPr>
          <w:rFonts w:ascii="Arial" w:hAnsi="Arial" w:cs="Arial"/>
          <w:sz w:val="22"/>
          <w:szCs w:val="22"/>
        </w:rPr>
        <w:t>has</w:t>
      </w:r>
      <w:r w:rsidRPr="003F29DA">
        <w:rPr>
          <w:rFonts w:ascii="Arial" w:hAnsi="Arial" w:cs="Arial"/>
          <w:sz w:val="22"/>
          <w:szCs w:val="22"/>
        </w:rPr>
        <w:t xml:space="preserve"> been related with higher fall dangers due to poor care of shared spaces, steep staircases, and congested housing conditions (NICE, 2025).</w:t>
      </w:r>
    </w:p>
    <w:p w14:paraId="67053994" w14:textId="77777777" w:rsidR="003F29DA" w:rsidRPr="003F29DA" w:rsidRDefault="003F29DA" w:rsidP="002F690B">
      <w:pPr>
        <w:spacing w:line="360" w:lineRule="auto"/>
        <w:jc w:val="both"/>
        <w:rPr>
          <w:rFonts w:ascii="Arial" w:hAnsi="Arial" w:cs="Arial"/>
          <w:sz w:val="22"/>
          <w:szCs w:val="22"/>
        </w:rPr>
      </w:pPr>
    </w:p>
    <w:p w14:paraId="71DC5809" w14:textId="7D080DD0" w:rsidR="003F29DA" w:rsidRPr="002F690B" w:rsidRDefault="003F29DA" w:rsidP="002F690B">
      <w:pPr>
        <w:pStyle w:val="Heading3"/>
        <w:jc w:val="both"/>
        <w:rPr>
          <w:rFonts w:ascii="Arial" w:hAnsi="Arial" w:cs="Arial"/>
          <w:b/>
          <w:bCs/>
          <w:sz w:val="24"/>
          <w:szCs w:val="24"/>
        </w:rPr>
      </w:pPr>
      <w:bookmarkStart w:id="18" w:name="_Toc219805119"/>
      <w:r w:rsidRPr="002F690B">
        <w:rPr>
          <w:rFonts w:ascii="Arial" w:hAnsi="Arial" w:cs="Arial"/>
          <w:b/>
          <w:bCs/>
          <w:sz w:val="24"/>
          <w:szCs w:val="24"/>
        </w:rPr>
        <w:t>2.3.3</w:t>
      </w:r>
      <w:r w:rsidR="002F690B" w:rsidRPr="002F690B">
        <w:rPr>
          <w:rFonts w:ascii="Arial" w:hAnsi="Arial" w:cs="Arial"/>
          <w:b/>
          <w:bCs/>
          <w:sz w:val="24"/>
          <w:szCs w:val="24"/>
        </w:rPr>
        <w:t xml:space="preserve"> Behavioural</w:t>
      </w:r>
      <w:r w:rsidRPr="002F690B">
        <w:rPr>
          <w:rFonts w:ascii="Arial" w:hAnsi="Arial" w:cs="Arial"/>
          <w:b/>
          <w:bCs/>
          <w:sz w:val="24"/>
          <w:szCs w:val="24"/>
        </w:rPr>
        <w:t xml:space="preserve"> Risk Factors</w:t>
      </w:r>
      <w:bookmarkEnd w:id="18"/>
    </w:p>
    <w:p w14:paraId="2D2A3C91" w14:textId="1271AA31" w:rsidR="003F29DA" w:rsidRPr="003F29DA" w:rsidRDefault="002F690B" w:rsidP="002F690B">
      <w:pPr>
        <w:spacing w:line="360" w:lineRule="auto"/>
        <w:jc w:val="both"/>
        <w:rPr>
          <w:rFonts w:ascii="Arial" w:hAnsi="Arial" w:cs="Arial"/>
          <w:sz w:val="22"/>
          <w:szCs w:val="22"/>
        </w:rPr>
      </w:pPr>
      <w:r w:rsidRPr="003F29DA">
        <w:rPr>
          <w:rFonts w:ascii="Arial" w:hAnsi="Arial" w:cs="Arial"/>
          <w:sz w:val="22"/>
          <w:szCs w:val="22"/>
        </w:rPr>
        <w:t>Behavioural</w:t>
      </w:r>
      <w:r w:rsidR="003F29DA" w:rsidRPr="003F29DA">
        <w:rPr>
          <w:rFonts w:ascii="Arial" w:hAnsi="Arial" w:cs="Arial"/>
          <w:sz w:val="22"/>
          <w:szCs w:val="22"/>
        </w:rPr>
        <w:t xml:space="preserve"> variables may contribute greatly to fall risk. These include medication mismanagement, non-adherence to medical advice, incorrect use of mobility aids, sedentarism, and risk-taking activities such as climbing on shaky furniture or walking without adequate footwear (Green and Ford, 2022; </w:t>
      </w:r>
      <w:r w:rsidR="006C523E" w:rsidRPr="006C523E">
        <w:rPr>
          <w:rFonts w:ascii="Arial" w:hAnsi="Arial" w:cs="Arial"/>
          <w:sz w:val="22"/>
          <w:szCs w:val="22"/>
        </w:rPr>
        <w:t>Woolcott et al., 2009;</w:t>
      </w:r>
      <w:r w:rsidR="006C523E">
        <w:rPr>
          <w:rFonts w:ascii="Arial" w:hAnsi="Arial" w:cs="Arial"/>
          <w:sz w:val="22"/>
          <w:szCs w:val="22"/>
        </w:rPr>
        <w:t xml:space="preserve"> </w:t>
      </w:r>
      <w:r w:rsidR="003F29DA" w:rsidRPr="003F29DA">
        <w:rPr>
          <w:rFonts w:ascii="Arial" w:hAnsi="Arial" w:cs="Arial"/>
          <w:sz w:val="22"/>
          <w:szCs w:val="22"/>
        </w:rPr>
        <w:t>NICE, 2025). Polypharmacy</w:t>
      </w:r>
      <w:r w:rsidR="00F92EBD">
        <w:rPr>
          <w:rFonts w:ascii="Arial" w:hAnsi="Arial" w:cs="Arial"/>
          <w:sz w:val="22"/>
          <w:szCs w:val="22"/>
        </w:rPr>
        <w:t xml:space="preserve">, </w:t>
      </w:r>
      <w:r w:rsidR="003F29DA" w:rsidRPr="003F29DA">
        <w:rPr>
          <w:rFonts w:ascii="Arial" w:hAnsi="Arial" w:cs="Arial"/>
          <w:sz w:val="22"/>
          <w:szCs w:val="22"/>
        </w:rPr>
        <w:t>the use of numerous medications</w:t>
      </w:r>
      <w:r w:rsidR="00F92EBD">
        <w:rPr>
          <w:rFonts w:ascii="Arial" w:hAnsi="Arial" w:cs="Arial"/>
          <w:sz w:val="22"/>
          <w:szCs w:val="22"/>
        </w:rPr>
        <w:t xml:space="preserve">, </w:t>
      </w:r>
      <w:r w:rsidR="003F29DA" w:rsidRPr="003F29DA">
        <w:rPr>
          <w:rFonts w:ascii="Arial" w:hAnsi="Arial" w:cs="Arial"/>
          <w:sz w:val="22"/>
          <w:szCs w:val="22"/>
        </w:rPr>
        <w:t xml:space="preserve">is particularly hazardous, as interactions between medicines such as sedatives, antihypertensives, and antidepressants can create dizziness, hypotension, or reduced alertness (Brown et al., 2021; NICE, 2025). </w:t>
      </w:r>
      <w:r w:rsidR="00B87FA6" w:rsidRPr="00B87FA6">
        <w:rPr>
          <w:rFonts w:ascii="Arial" w:hAnsi="Arial" w:cs="Arial"/>
          <w:sz w:val="22"/>
          <w:szCs w:val="22"/>
        </w:rPr>
        <w:t>Systematic studies show that deprescribing and medication review programs, especially those run by multidisciplinary teams, can dramatically lower the risk of falls in older individuals living in the community</w:t>
      </w:r>
      <w:r w:rsidR="00B87FA6">
        <w:rPr>
          <w:rFonts w:ascii="Arial" w:hAnsi="Arial" w:cs="Arial"/>
          <w:sz w:val="22"/>
          <w:szCs w:val="22"/>
        </w:rPr>
        <w:t xml:space="preserve"> </w:t>
      </w:r>
      <w:r w:rsidR="00B87FA6" w:rsidRPr="00B87FA6">
        <w:rPr>
          <w:rFonts w:ascii="Arial" w:hAnsi="Arial" w:cs="Arial"/>
          <w:sz w:val="22"/>
          <w:szCs w:val="22"/>
        </w:rPr>
        <w:t>(</w:t>
      </w:r>
      <w:proofErr w:type="spellStart"/>
      <w:r w:rsidR="00B87FA6" w:rsidRPr="00B87FA6">
        <w:rPr>
          <w:rFonts w:ascii="Arial" w:hAnsi="Arial" w:cs="Arial"/>
          <w:sz w:val="22"/>
          <w:szCs w:val="22"/>
        </w:rPr>
        <w:t>Gnjidic</w:t>
      </w:r>
      <w:proofErr w:type="spellEnd"/>
      <w:r w:rsidR="00B87FA6" w:rsidRPr="00B87FA6">
        <w:rPr>
          <w:rFonts w:ascii="Arial" w:hAnsi="Arial" w:cs="Arial"/>
          <w:sz w:val="22"/>
          <w:szCs w:val="22"/>
        </w:rPr>
        <w:t xml:space="preserve"> et al., 2014; Page et al., 2016).</w:t>
      </w:r>
      <w:r w:rsidR="00B87FA6">
        <w:rPr>
          <w:rFonts w:ascii="Arial" w:hAnsi="Arial" w:cs="Arial"/>
          <w:sz w:val="22"/>
          <w:szCs w:val="22"/>
        </w:rPr>
        <w:t xml:space="preserve"> </w:t>
      </w:r>
      <w:r w:rsidR="003F29DA" w:rsidRPr="003F29DA">
        <w:rPr>
          <w:rFonts w:ascii="Arial" w:hAnsi="Arial" w:cs="Arial"/>
          <w:sz w:val="22"/>
          <w:szCs w:val="22"/>
        </w:rPr>
        <w:t xml:space="preserve">Psychological issues, such as fear of falling, low self-esteem, melancholy, and aversion to action or exercise because of perceived weakness or pain, frequently impact </w:t>
      </w:r>
      <w:proofErr w:type="spellStart"/>
      <w:r w:rsidR="003F29DA" w:rsidRPr="003F29DA">
        <w:rPr>
          <w:rFonts w:ascii="Arial" w:hAnsi="Arial" w:cs="Arial"/>
          <w:sz w:val="22"/>
          <w:szCs w:val="22"/>
        </w:rPr>
        <w:t>behavioral</w:t>
      </w:r>
      <w:proofErr w:type="spellEnd"/>
      <w:r w:rsidR="003F29DA" w:rsidRPr="003F29DA">
        <w:rPr>
          <w:rFonts w:ascii="Arial" w:hAnsi="Arial" w:cs="Arial"/>
          <w:sz w:val="22"/>
          <w:szCs w:val="22"/>
        </w:rPr>
        <w:t xml:space="preserve"> choices (Tinetti and Powell, 1993; NICE, 2025).</w:t>
      </w:r>
    </w:p>
    <w:p w14:paraId="486264B6" w14:textId="77777777" w:rsidR="003F29DA" w:rsidRPr="003F29DA" w:rsidRDefault="003F29DA" w:rsidP="002F690B">
      <w:pPr>
        <w:spacing w:line="360" w:lineRule="auto"/>
        <w:jc w:val="both"/>
        <w:rPr>
          <w:rFonts w:ascii="Arial" w:hAnsi="Arial" w:cs="Arial"/>
          <w:sz w:val="22"/>
          <w:szCs w:val="22"/>
        </w:rPr>
      </w:pPr>
    </w:p>
    <w:p w14:paraId="0236F265" w14:textId="377A7CC6" w:rsidR="003F29DA" w:rsidRPr="002F690B" w:rsidRDefault="003F29DA" w:rsidP="002F690B">
      <w:pPr>
        <w:pStyle w:val="Heading3"/>
        <w:jc w:val="both"/>
        <w:rPr>
          <w:rFonts w:ascii="Arial" w:hAnsi="Arial" w:cs="Arial"/>
          <w:b/>
          <w:bCs/>
          <w:sz w:val="24"/>
          <w:szCs w:val="24"/>
        </w:rPr>
      </w:pPr>
      <w:bookmarkStart w:id="19" w:name="_Toc219805120"/>
      <w:r w:rsidRPr="002F690B">
        <w:rPr>
          <w:rFonts w:ascii="Arial" w:hAnsi="Arial" w:cs="Arial"/>
          <w:b/>
          <w:bCs/>
          <w:sz w:val="24"/>
          <w:szCs w:val="24"/>
        </w:rPr>
        <w:t>2.3.4</w:t>
      </w:r>
      <w:r w:rsidR="002F690B" w:rsidRPr="002F690B">
        <w:rPr>
          <w:rFonts w:ascii="Arial" w:hAnsi="Arial" w:cs="Arial"/>
          <w:b/>
          <w:bCs/>
          <w:sz w:val="24"/>
          <w:szCs w:val="24"/>
        </w:rPr>
        <w:t xml:space="preserve"> </w:t>
      </w:r>
      <w:r w:rsidRPr="002F690B">
        <w:rPr>
          <w:rFonts w:ascii="Arial" w:hAnsi="Arial" w:cs="Arial"/>
          <w:b/>
          <w:bCs/>
          <w:sz w:val="24"/>
          <w:szCs w:val="24"/>
        </w:rPr>
        <w:t>Socioeconomic &amp; Cultural Determinants</w:t>
      </w:r>
      <w:bookmarkEnd w:id="19"/>
    </w:p>
    <w:p w14:paraId="10FDC98A"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Socioeconomic factors of health add another essential dimension to fall risk. Poor housing conditions, restricted access to health care, less possibilities for physical exercise, and diminished social support networks are all more common among older persons residing in impoverished locations (Harrison et al., 2021; Marmot et al., 2020). Inequalities in wealth, education, and access to transit further influence health practices and involvement with fall prevention efforts (Marmot et al., 2020). Minority ethnic populations' cultural beliefs can influence how they see aging and exercise, </w:t>
      </w:r>
      <w:r w:rsidRPr="003F29DA">
        <w:rPr>
          <w:rFonts w:ascii="Arial" w:hAnsi="Arial" w:cs="Arial"/>
          <w:sz w:val="22"/>
          <w:szCs w:val="22"/>
        </w:rPr>
        <w:lastRenderedPageBreak/>
        <w:t>which can occasionally result in lower rates of involvement in physiotherapy therapies (Rahman et al., 2022). Gender inequalities have also been well documented: women tend to fall more frequently, partially due to greater rates of osteoporosis and frailty, but falls among males are more likely to result in serious injuries or death (Miller et al., 2021; WHO, 2021). These risk variables clearly highlight the multifaceted character of falls and underscore the importance for holistic, customized, and community- based physiotherapy intervention techniques (NICE, 2025;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w:t>
      </w:r>
    </w:p>
    <w:p w14:paraId="73296A1F" w14:textId="77777777" w:rsidR="003F29DA" w:rsidRPr="003F29DA" w:rsidRDefault="003F29DA" w:rsidP="002F690B">
      <w:pPr>
        <w:spacing w:line="360" w:lineRule="auto"/>
        <w:jc w:val="both"/>
        <w:rPr>
          <w:rFonts w:ascii="Arial" w:hAnsi="Arial" w:cs="Arial"/>
          <w:sz w:val="22"/>
          <w:szCs w:val="22"/>
        </w:rPr>
      </w:pPr>
    </w:p>
    <w:p w14:paraId="248481BA" w14:textId="62C51E3C" w:rsidR="003F29DA" w:rsidRPr="002F690B" w:rsidRDefault="003F29DA" w:rsidP="002F690B">
      <w:pPr>
        <w:pStyle w:val="Heading3"/>
        <w:rPr>
          <w:rFonts w:ascii="Arial" w:hAnsi="Arial" w:cs="Arial"/>
          <w:b/>
          <w:bCs/>
          <w:sz w:val="24"/>
          <w:szCs w:val="24"/>
        </w:rPr>
      </w:pPr>
      <w:bookmarkStart w:id="20" w:name="_Toc219805121"/>
      <w:r w:rsidRPr="002F690B">
        <w:rPr>
          <w:rFonts w:ascii="Arial" w:hAnsi="Arial" w:cs="Arial"/>
          <w:b/>
          <w:bCs/>
          <w:sz w:val="24"/>
          <w:szCs w:val="24"/>
        </w:rPr>
        <w:t>2.3.5 Interaction Between Risk Factors</w:t>
      </w:r>
      <w:bookmarkEnd w:id="20"/>
    </w:p>
    <w:p w14:paraId="0A717F8F" w14:textId="44F8F543"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Another facet increasingly emphasized in modern literature is the connection between psychological, behavioural and environmental risk factors. Fear of falling, for example, is no longer considered solely </w:t>
      </w:r>
      <w:r w:rsidR="002F690B" w:rsidRPr="003F29DA">
        <w:rPr>
          <w:rFonts w:ascii="Arial" w:hAnsi="Arial" w:cs="Arial"/>
          <w:sz w:val="22"/>
          <w:szCs w:val="22"/>
        </w:rPr>
        <w:t>because of</w:t>
      </w:r>
      <w:r w:rsidRPr="003F29DA">
        <w:rPr>
          <w:rFonts w:ascii="Arial" w:hAnsi="Arial" w:cs="Arial"/>
          <w:sz w:val="22"/>
          <w:szCs w:val="22"/>
        </w:rPr>
        <w:t xml:space="preserve"> past falls but as an independent cause that might induce physical deterioration (Tinetti and Powell, 1993; Schoene et al., 2019). Older persons who avoid venturing outdoors, minimize involvement in social events, or limit physical exercise owing to fear eventually lose strength, balance and confidence, making falls more likely (Schoene et al., 2019). This danger is amplified by environmental uncertainty</w:t>
      </w:r>
      <w:r w:rsidR="002F690B">
        <w:rPr>
          <w:rFonts w:ascii="Arial" w:hAnsi="Arial" w:cs="Arial"/>
          <w:sz w:val="22"/>
          <w:szCs w:val="22"/>
        </w:rPr>
        <w:t xml:space="preserve">, </w:t>
      </w:r>
      <w:r w:rsidRPr="003F29DA">
        <w:rPr>
          <w:rFonts w:ascii="Arial" w:hAnsi="Arial" w:cs="Arial"/>
          <w:sz w:val="22"/>
          <w:szCs w:val="22"/>
        </w:rPr>
        <w:t>uneven pavements, inadequate lighting, busy metropolitan places and variable weather conditions all impact perceptions of safety (NICE, 2025). Consequently, behavioural reactions to risk can become self-reinforcing, establishing a cycle where avoidance leads to deconditioning, and deconditioning increases susceptibility (Schoene et al., 2019; NICE, 2025).</w:t>
      </w:r>
      <w:r w:rsidR="00B87FA6">
        <w:rPr>
          <w:rFonts w:ascii="Arial" w:hAnsi="Arial" w:cs="Arial"/>
          <w:sz w:val="22"/>
          <w:szCs w:val="22"/>
        </w:rPr>
        <w:t xml:space="preserve"> </w:t>
      </w:r>
      <w:r w:rsidR="00B87FA6" w:rsidRPr="00B87FA6">
        <w:rPr>
          <w:rFonts w:ascii="Arial" w:hAnsi="Arial" w:cs="Arial"/>
          <w:sz w:val="22"/>
          <w:szCs w:val="22"/>
        </w:rPr>
        <w:t>Instead of focusing on individual risk variables separately, this cyclical interplay highlights the need of treatments that concurrently address physical capacity, psychological resilience, and environmental safety</w:t>
      </w:r>
      <w:r w:rsidR="00B87FA6">
        <w:rPr>
          <w:rFonts w:ascii="Arial" w:hAnsi="Arial" w:cs="Arial"/>
          <w:sz w:val="22"/>
          <w:szCs w:val="22"/>
        </w:rPr>
        <w:t xml:space="preserve"> </w:t>
      </w:r>
      <w:r w:rsidR="00B87FA6" w:rsidRPr="00B87FA6">
        <w:rPr>
          <w:rFonts w:ascii="Arial" w:hAnsi="Arial" w:cs="Arial"/>
          <w:sz w:val="22"/>
          <w:szCs w:val="22"/>
        </w:rPr>
        <w:t xml:space="preserve">(Petridou et al., 2019; Skelton and </w:t>
      </w:r>
      <w:proofErr w:type="spellStart"/>
      <w:r w:rsidR="00B87FA6" w:rsidRPr="00B87FA6">
        <w:rPr>
          <w:rFonts w:ascii="Arial" w:hAnsi="Arial" w:cs="Arial"/>
          <w:sz w:val="22"/>
          <w:szCs w:val="22"/>
        </w:rPr>
        <w:t>Mavroeidi</w:t>
      </w:r>
      <w:proofErr w:type="spellEnd"/>
      <w:r w:rsidR="00B87FA6" w:rsidRPr="00B87FA6">
        <w:rPr>
          <w:rFonts w:ascii="Arial" w:hAnsi="Arial" w:cs="Arial"/>
          <w:sz w:val="22"/>
          <w:szCs w:val="22"/>
        </w:rPr>
        <w:t>, 2018).</w:t>
      </w:r>
    </w:p>
    <w:p w14:paraId="3F375343"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Understanding these interrelated pathways is crucial for devising physiotherapy treatments that address not just biomechanical impairments but also psychological resilience and adaptive coping skills (Bandura, 1997;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w:t>
      </w:r>
    </w:p>
    <w:p w14:paraId="488201AA" w14:textId="77777777" w:rsidR="003F29DA" w:rsidRPr="003F29DA" w:rsidRDefault="003F29DA" w:rsidP="002F690B">
      <w:pPr>
        <w:spacing w:line="360" w:lineRule="auto"/>
        <w:jc w:val="both"/>
        <w:rPr>
          <w:rFonts w:ascii="Arial" w:hAnsi="Arial" w:cs="Arial"/>
          <w:sz w:val="22"/>
          <w:szCs w:val="22"/>
        </w:rPr>
      </w:pPr>
    </w:p>
    <w:p w14:paraId="4E93C1E0" w14:textId="7D9C18EF" w:rsidR="003F29DA" w:rsidRPr="002F690B" w:rsidRDefault="003F29DA" w:rsidP="002F690B">
      <w:pPr>
        <w:pStyle w:val="Heading2"/>
        <w:rPr>
          <w:rFonts w:ascii="Arial" w:hAnsi="Arial" w:cs="Arial"/>
          <w:b/>
          <w:bCs/>
          <w:sz w:val="28"/>
          <w:szCs w:val="28"/>
        </w:rPr>
      </w:pPr>
      <w:bookmarkStart w:id="21" w:name="_Toc219805122"/>
      <w:r w:rsidRPr="002F690B">
        <w:rPr>
          <w:rFonts w:ascii="Arial" w:hAnsi="Arial" w:cs="Arial"/>
          <w:b/>
          <w:bCs/>
          <w:sz w:val="28"/>
          <w:szCs w:val="28"/>
        </w:rPr>
        <w:t>2.4</w:t>
      </w:r>
      <w:r w:rsidR="002F690B" w:rsidRPr="002F690B">
        <w:rPr>
          <w:rFonts w:ascii="Arial" w:hAnsi="Arial" w:cs="Arial"/>
          <w:b/>
          <w:bCs/>
          <w:sz w:val="28"/>
          <w:szCs w:val="28"/>
        </w:rPr>
        <w:t xml:space="preserve"> </w:t>
      </w:r>
      <w:r w:rsidRPr="002F690B">
        <w:rPr>
          <w:rFonts w:ascii="Arial" w:hAnsi="Arial" w:cs="Arial"/>
          <w:b/>
          <w:bCs/>
          <w:sz w:val="28"/>
          <w:szCs w:val="28"/>
        </w:rPr>
        <w:t>The Role of Physiotherapy in Fall Prevention</w:t>
      </w:r>
      <w:bookmarkEnd w:id="21"/>
    </w:p>
    <w:p w14:paraId="27F41964" w14:textId="4C6372B5" w:rsidR="003F29DA" w:rsidRPr="002F690B" w:rsidRDefault="003F29DA" w:rsidP="002F690B">
      <w:pPr>
        <w:pStyle w:val="Heading3"/>
        <w:rPr>
          <w:rFonts w:ascii="Arial" w:hAnsi="Arial" w:cs="Arial"/>
          <w:b/>
          <w:bCs/>
          <w:sz w:val="24"/>
          <w:szCs w:val="24"/>
        </w:rPr>
      </w:pPr>
      <w:bookmarkStart w:id="22" w:name="_Toc219805123"/>
      <w:r w:rsidRPr="002F690B">
        <w:rPr>
          <w:rFonts w:ascii="Arial" w:hAnsi="Arial" w:cs="Arial"/>
          <w:b/>
          <w:bCs/>
          <w:sz w:val="24"/>
          <w:szCs w:val="24"/>
        </w:rPr>
        <w:t>2.4.1</w:t>
      </w:r>
      <w:r w:rsidR="002F690B" w:rsidRPr="002F690B">
        <w:rPr>
          <w:rFonts w:ascii="Arial" w:hAnsi="Arial" w:cs="Arial"/>
          <w:b/>
          <w:bCs/>
          <w:sz w:val="24"/>
          <w:szCs w:val="24"/>
        </w:rPr>
        <w:t xml:space="preserve"> </w:t>
      </w:r>
      <w:r w:rsidRPr="002F690B">
        <w:rPr>
          <w:rFonts w:ascii="Arial" w:hAnsi="Arial" w:cs="Arial"/>
          <w:b/>
          <w:bCs/>
          <w:sz w:val="24"/>
          <w:szCs w:val="24"/>
        </w:rPr>
        <w:t>Exercise-Based Physiotherapy Interventions</w:t>
      </w:r>
      <w:bookmarkEnd w:id="22"/>
    </w:p>
    <w:p w14:paraId="5A7EE579"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Physiotherapy plays a vital role in fall prevention for older persons, with therapies focused at strengthening physical function, improving balance and mobility, decreasing environmental dangers, and promoting behavioural change (NICE, 2025;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w:t>
      </w:r>
    </w:p>
    <w:p w14:paraId="264780F2" w14:textId="1E34567C"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lastRenderedPageBreak/>
        <w:t>Physiotherapists utilize evidence-based treatments to address innate risk factors while simultaneously encouraging patients to adopt healthier, more active lives (Sherrington et al., 2019).</w:t>
      </w:r>
    </w:p>
    <w:p w14:paraId="202A9C08" w14:textId="1C9B242F"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Exercise-based physiotherapy therapies are among the most well investigated and effective techniques for lowering fall risk. Falls in older persons can be considerably decreased by systematic, multicomponent exercise programs that emphasize balance, strength, coordination, and endurance, according to meta-analyses (Sherrington et al., 2020</w:t>
      </w:r>
      <w:r w:rsidR="006C523E">
        <w:rPr>
          <w:rFonts w:ascii="Arial" w:hAnsi="Arial" w:cs="Arial"/>
          <w:sz w:val="22"/>
          <w:szCs w:val="22"/>
        </w:rPr>
        <w:t xml:space="preserve">; </w:t>
      </w:r>
      <w:r w:rsidR="006C523E" w:rsidRPr="006C523E">
        <w:rPr>
          <w:rFonts w:ascii="Arial" w:hAnsi="Arial" w:cs="Arial"/>
          <w:sz w:val="22"/>
          <w:szCs w:val="22"/>
        </w:rPr>
        <w:t>Gillespie et al., 2012; Hopewell et al., 2018</w:t>
      </w:r>
      <w:r w:rsidRPr="003F29DA">
        <w:rPr>
          <w:rFonts w:ascii="Arial" w:hAnsi="Arial" w:cs="Arial"/>
          <w:sz w:val="22"/>
          <w:szCs w:val="22"/>
        </w:rPr>
        <w:t>). One such remedy is the Otago Exercise Program (OEP), which consists of customized strength and balance exercises given over several months by qualified physiotherapists. Evidence from various trials shows that OEP can prevent falls by up to 35%, particularly among community-dwelling older persons (Shubert et al., 2017).</w:t>
      </w:r>
      <w:r w:rsidR="00EB147A" w:rsidRPr="00EB147A">
        <w:t xml:space="preserve"> </w:t>
      </w:r>
      <w:r w:rsidR="00EB147A" w:rsidRPr="00EB147A">
        <w:rPr>
          <w:rFonts w:ascii="Arial" w:hAnsi="Arial" w:cs="Arial"/>
          <w:sz w:val="22"/>
          <w:szCs w:val="22"/>
        </w:rPr>
        <w:t>Higher-dose exercise programs with escalating balancing difficulties appear to reduce fall risk more than low-intensity or short-duration therapies, according to meta-analytic data (Lesinski et al., 2015; Sherrington et al., 2017).</w:t>
      </w:r>
      <w:r w:rsidRPr="003F29DA">
        <w:rPr>
          <w:rFonts w:ascii="Arial" w:hAnsi="Arial" w:cs="Arial"/>
          <w:sz w:val="22"/>
          <w:szCs w:val="22"/>
        </w:rPr>
        <w:t xml:space="preserve"> Similarly, Tai Chi is a useful choice for community-based programs since it has been extensively studied and is linked to enhanced postural stability, proprioception, and confidence (Chang et al., 2021; Huang et al., 2017</w:t>
      </w:r>
      <w:r w:rsidR="006C523E">
        <w:rPr>
          <w:rFonts w:ascii="Arial" w:hAnsi="Arial" w:cs="Arial"/>
          <w:sz w:val="22"/>
          <w:szCs w:val="22"/>
        </w:rPr>
        <w:t xml:space="preserve">; </w:t>
      </w:r>
      <w:r w:rsidR="006C523E" w:rsidRPr="006C523E">
        <w:rPr>
          <w:rFonts w:ascii="Arial" w:hAnsi="Arial" w:cs="Arial"/>
          <w:sz w:val="22"/>
          <w:szCs w:val="22"/>
        </w:rPr>
        <w:t>NICE, 2025</w:t>
      </w:r>
      <w:r w:rsidRPr="003F29DA">
        <w:rPr>
          <w:rFonts w:ascii="Arial" w:hAnsi="Arial" w:cs="Arial"/>
          <w:sz w:val="22"/>
          <w:szCs w:val="22"/>
        </w:rPr>
        <w:t>). More recently, task-specific training techniques that imitate real-life tasks, such as stair climbing or obstacle navigation, have showed potential in increasing functional mobility (NICE, 2025).</w:t>
      </w:r>
    </w:p>
    <w:p w14:paraId="1DB0A9C3" w14:textId="77777777" w:rsidR="003F29DA" w:rsidRPr="003F29DA" w:rsidRDefault="003F29DA" w:rsidP="002F690B">
      <w:pPr>
        <w:spacing w:line="360" w:lineRule="auto"/>
        <w:jc w:val="both"/>
        <w:rPr>
          <w:rFonts w:ascii="Arial" w:hAnsi="Arial" w:cs="Arial"/>
          <w:sz w:val="22"/>
          <w:szCs w:val="22"/>
        </w:rPr>
      </w:pPr>
    </w:p>
    <w:p w14:paraId="0878E3B6" w14:textId="571C6EB2" w:rsidR="003F29DA" w:rsidRPr="002F690B" w:rsidRDefault="003F29DA" w:rsidP="002F690B">
      <w:pPr>
        <w:pStyle w:val="Heading3"/>
        <w:rPr>
          <w:rFonts w:ascii="Arial" w:hAnsi="Arial" w:cs="Arial"/>
          <w:b/>
          <w:bCs/>
          <w:sz w:val="24"/>
          <w:szCs w:val="24"/>
        </w:rPr>
      </w:pPr>
      <w:bookmarkStart w:id="23" w:name="_Toc219805124"/>
      <w:r w:rsidRPr="002F690B">
        <w:rPr>
          <w:rFonts w:ascii="Arial" w:hAnsi="Arial" w:cs="Arial"/>
          <w:b/>
          <w:bCs/>
          <w:sz w:val="24"/>
          <w:szCs w:val="24"/>
        </w:rPr>
        <w:t>2.4.2</w:t>
      </w:r>
      <w:r w:rsidR="002F690B" w:rsidRPr="002F690B">
        <w:rPr>
          <w:rFonts w:ascii="Arial" w:hAnsi="Arial" w:cs="Arial"/>
          <w:b/>
          <w:bCs/>
          <w:sz w:val="24"/>
          <w:szCs w:val="24"/>
        </w:rPr>
        <w:t xml:space="preserve"> </w:t>
      </w:r>
      <w:r w:rsidRPr="002F690B">
        <w:rPr>
          <w:rFonts w:ascii="Arial" w:hAnsi="Arial" w:cs="Arial"/>
          <w:b/>
          <w:bCs/>
          <w:sz w:val="24"/>
          <w:szCs w:val="24"/>
        </w:rPr>
        <w:t>Home and Environmental Assessments</w:t>
      </w:r>
      <w:bookmarkEnd w:id="23"/>
    </w:p>
    <w:p w14:paraId="20C466C8"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Physiotherapy interventions extend beyond exercise regimens to include home and community evaluations aimed at detecting and minimizing environmental risks.</w:t>
      </w:r>
    </w:p>
    <w:p w14:paraId="29A7B9D5"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Physiotherapists can do home hazard assessments to find hazards including loose carpets, poor lighting, clutter, or dangerous bathroom setups. When paired with individualized exercise regimens, home changes can considerably reduce fall risk and promote independence (Gill et al., 2020; Cockayne et al., 2021). </w:t>
      </w:r>
      <w:proofErr w:type="gramStart"/>
      <w:r w:rsidRPr="003F29DA">
        <w:rPr>
          <w:rFonts w:ascii="Arial" w:hAnsi="Arial" w:cs="Arial"/>
          <w:sz w:val="22"/>
          <w:szCs w:val="22"/>
        </w:rPr>
        <w:t>In order to</w:t>
      </w:r>
      <w:proofErr w:type="gramEnd"/>
      <w:r w:rsidRPr="003F29DA">
        <w:rPr>
          <w:rFonts w:ascii="Arial" w:hAnsi="Arial" w:cs="Arial"/>
          <w:sz w:val="22"/>
          <w:szCs w:val="22"/>
        </w:rPr>
        <w:t xml:space="preserve"> make changes like grab bars, non-slip flooring, or better lighting, community-based physiotherapists frequently work in conjunction with occupational therapists, housing authorities, and social care providers (NICE, 2025).</w:t>
      </w:r>
    </w:p>
    <w:p w14:paraId="2290FC8B" w14:textId="77777777" w:rsidR="003F29DA" w:rsidRPr="003F29DA" w:rsidRDefault="003F29DA" w:rsidP="002F690B">
      <w:pPr>
        <w:spacing w:line="360" w:lineRule="auto"/>
        <w:jc w:val="both"/>
        <w:rPr>
          <w:rFonts w:ascii="Arial" w:hAnsi="Arial" w:cs="Arial"/>
          <w:sz w:val="22"/>
          <w:szCs w:val="22"/>
        </w:rPr>
      </w:pPr>
    </w:p>
    <w:p w14:paraId="24B32D75" w14:textId="651FD593" w:rsidR="003F29DA" w:rsidRPr="002F690B" w:rsidRDefault="003F29DA" w:rsidP="002F690B">
      <w:pPr>
        <w:pStyle w:val="Heading3"/>
        <w:rPr>
          <w:rFonts w:ascii="Arial" w:hAnsi="Arial" w:cs="Arial"/>
          <w:b/>
          <w:bCs/>
          <w:sz w:val="24"/>
          <w:szCs w:val="24"/>
        </w:rPr>
      </w:pPr>
      <w:bookmarkStart w:id="24" w:name="_Toc219805125"/>
      <w:r w:rsidRPr="002F690B">
        <w:rPr>
          <w:rFonts w:ascii="Arial" w:hAnsi="Arial" w:cs="Arial"/>
          <w:b/>
          <w:bCs/>
          <w:sz w:val="24"/>
          <w:szCs w:val="24"/>
        </w:rPr>
        <w:lastRenderedPageBreak/>
        <w:t>2.4.3</w:t>
      </w:r>
      <w:r w:rsidR="002F690B" w:rsidRPr="002F690B">
        <w:rPr>
          <w:rFonts w:ascii="Arial" w:hAnsi="Arial" w:cs="Arial"/>
          <w:b/>
          <w:bCs/>
          <w:sz w:val="24"/>
          <w:szCs w:val="24"/>
        </w:rPr>
        <w:t xml:space="preserve"> </w:t>
      </w:r>
      <w:r w:rsidRPr="002F690B">
        <w:rPr>
          <w:rFonts w:ascii="Arial" w:hAnsi="Arial" w:cs="Arial"/>
          <w:b/>
          <w:bCs/>
          <w:sz w:val="24"/>
          <w:szCs w:val="24"/>
        </w:rPr>
        <w:t>Multidisciplinary Collaboration</w:t>
      </w:r>
      <w:bookmarkEnd w:id="24"/>
    </w:p>
    <w:p w14:paraId="08E394FC"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Comprehensive fall prevention requires interdisciplinary cooperation. To treat the entire range of fall risk factors, physiotherapists collaborate closely with general practitioners, occupational therapists, nurses, pharmacists, and social workers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 NICE, 2025). Medication evaluation is a critical component of multidisciplinary treatment, since lowering polypharmacy or changing high-risk drugs can dramatically reduce fall incidence (Johnson et al., 2022; NICE, 2025). Similarly, dietitians may be consulted to treat malnutrition or vitamin D insufficiency, which can influence bone health and muscular performance (NICE, 2025). Effective multidisciplinary teamwork ensures that fall prevention methods are integrated across health and social care providers, boosting continuity of care and improving results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w:t>
      </w:r>
    </w:p>
    <w:p w14:paraId="1DD732DC"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 </w:t>
      </w:r>
    </w:p>
    <w:p w14:paraId="5DE43C80" w14:textId="15E56432" w:rsidR="003F29DA" w:rsidRPr="002F690B" w:rsidRDefault="003F29DA" w:rsidP="002F690B">
      <w:pPr>
        <w:pStyle w:val="Heading3"/>
        <w:rPr>
          <w:rFonts w:ascii="Arial" w:hAnsi="Arial" w:cs="Arial"/>
          <w:b/>
          <w:bCs/>
          <w:sz w:val="24"/>
          <w:szCs w:val="24"/>
        </w:rPr>
      </w:pPr>
      <w:bookmarkStart w:id="25" w:name="_Toc219805126"/>
      <w:r w:rsidRPr="002F690B">
        <w:rPr>
          <w:rFonts w:ascii="Arial" w:hAnsi="Arial" w:cs="Arial"/>
          <w:b/>
          <w:bCs/>
          <w:sz w:val="24"/>
          <w:szCs w:val="24"/>
        </w:rPr>
        <w:t>2.4.4</w:t>
      </w:r>
      <w:r w:rsidR="002F690B" w:rsidRPr="002F690B">
        <w:rPr>
          <w:rFonts w:ascii="Arial" w:hAnsi="Arial" w:cs="Arial"/>
          <w:b/>
          <w:bCs/>
          <w:sz w:val="24"/>
          <w:szCs w:val="24"/>
        </w:rPr>
        <w:t xml:space="preserve"> </w:t>
      </w:r>
      <w:r w:rsidRPr="002F690B">
        <w:rPr>
          <w:rFonts w:ascii="Arial" w:hAnsi="Arial" w:cs="Arial"/>
          <w:b/>
          <w:bCs/>
          <w:sz w:val="24"/>
          <w:szCs w:val="24"/>
        </w:rPr>
        <w:t>Behavioural Coaching and Adherence</w:t>
      </w:r>
      <w:bookmarkEnd w:id="25"/>
    </w:p>
    <w:p w14:paraId="17F1EC9E" w14:textId="0D8EF36A"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Overall, physiotherapy is a cornerstone of fall prevention, particularly when given within the community and supported by multidisciplinary input (Sherrington et al., 2019; NICE, 2025). A further strand of research underscores the usefulness of individualized physiotherapy regimens that include behavioural coaching and goal-setting strategies to increase adherence. Evidence increasingly reveals that exercise alone, while useful, is insufficient if individuals lack the drive or confidence to follow the practice long term (Bandura, 1997; Rosenstock, 1974). </w:t>
      </w:r>
      <w:r w:rsidR="00EB147A" w:rsidRPr="00EB147A">
        <w:rPr>
          <w:rFonts w:ascii="Arial" w:hAnsi="Arial" w:cs="Arial"/>
          <w:sz w:val="22"/>
          <w:szCs w:val="22"/>
        </w:rPr>
        <w:t xml:space="preserve">Long-term exercise adherence among older persons has been shown to be improved by </w:t>
      </w:r>
      <w:proofErr w:type="spellStart"/>
      <w:r w:rsidR="00EB147A" w:rsidRPr="00EB147A">
        <w:rPr>
          <w:rFonts w:ascii="Arial" w:hAnsi="Arial" w:cs="Arial"/>
          <w:sz w:val="22"/>
          <w:szCs w:val="22"/>
        </w:rPr>
        <w:t>behavior</w:t>
      </w:r>
      <w:proofErr w:type="spellEnd"/>
      <w:r w:rsidR="00EB147A" w:rsidRPr="00EB147A">
        <w:rPr>
          <w:rFonts w:ascii="Arial" w:hAnsi="Arial" w:cs="Arial"/>
          <w:sz w:val="22"/>
          <w:szCs w:val="22"/>
        </w:rPr>
        <w:t xml:space="preserve"> modification strategies such action planning, motivational interviewing, and self-monitoring</w:t>
      </w:r>
      <w:r w:rsidR="00EB147A">
        <w:rPr>
          <w:rFonts w:ascii="Arial" w:hAnsi="Arial" w:cs="Arial"/>
          <w:sz w:val="22"/>
          <w:szCs w:val="22"/>
        </w:rPr>
        <w:t xml:space="preserve"> </w:t>
      </w:r>
      <w:r w:rsidR="00EB147A" w:rsidRPr="00EB147A">
        <w:rPr>
          <w:rFonts w:ascii="Arial" w:hAnsi="Arial" w:cs="Arial"/>
          <w:sz w:val="22"/>
          <w:szCs w:val="22"/>
        </w:rPr>
        <w:t>(Michie et al., 2013; O’Halloran et al., 2014).</w:t>
      </w:r>
      <w:r w:rsidR="00EB147A">
        <w:rPr>
          <w:rFonts w:ascii="Arial" w:hAnsi="Arial" w:cs="Arial"/>
          <w:sz w:val="22"/>
          <w:szCs w:val="22"/>
        </w:rPr>
        <w:t xml:space="preserve"> </w:t>
      </w:r>
      <w:r w:rsidRPr="003F29DA">
        <w:rPr>
          <w:rFonts w:ascii="Arial" w:hAnsi="Arial" w:cs="Arial"/>
          <w:sz w:val="22"/>
          <w:szCs w:val="22"/>
        </w:rPr>
        <w:t>Tailored therapies that begin with individual goal identification, involve progress tracking and give regular feedback have shown promise in enhancing engagement with physiotherapy regimens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 Physiotherapists who take a coaching-oriented approach assist older persons to develop self-efficacy, identify improvement and maintain continuity even when supervised sessions stop (Bandura, 1997).</w:t>
      </w:r>
    </w:p>
    <w:p w14:paraId="370F3560" w14:textId="77777777" w:rsidR="003F29DA" w:rsidRPr="003F29DA" w:rsidRDefault="003F29DA" w:rsidP="002F690B">
      <w:pPr>
        <w:spacing w:line="360" w:lineRule="auto"/>
        <w:jc w:val="both"/>
        <w:rPr>
          <w:rFonts w:ascii="Arial" w:hAnsi="Arial" w:cs="Arial"/>
          <w:sz w:val="22"/>
          <w:szCs w:val="22"/>
        </w:rPr>
      </w:pPr>
    </w:p>
    <w:p w14:paraId="0014DB00" w14:textId="59B59087" w:rsidR="003F29DA" w:rsidRPr="002F690B" w:rsidRDefault="003F29DA" w:rsidP="002F690B">
      <w:pPr>
        <w:pStyle w:val="Heading2"/>
        <w:rPr>
          <w:rFonts w:ascii="Arial" w:hAnsi="Arial" w:cs="Arial"/>
          <w:b/>
          <w:bCs/>
          <w:sz w:val="28"/>
          <w:szCs w:val="28"/>
        </w:rPr>
      </w:pPr>
      <w:bookmarkStart w:id="26" w:name="_Toc219805127"/>
      <w:r w:rsidRPr="002F690B">
        <w:rPr>
          <w:rFonts w:ascii="Arial" w:hAnsi="Arial" w:cs="Arial"/>
          <w:b/>
          <w:bCs/>
          <w:sz w:val="28"/>
          <w:szCs w:val="28"/>
        </w:rPr>
        <w:t>2.5</w:t>
      </w:r>
      <w:r w:rsidR="002F690B" w:rsidRPr="002F690B">
        <w:rPr>
          <w:rFonts w:ascii="Arial" w:hAnsi="Arial" w:cs="Arial"/>
          <w:b/>
          <w:bCs/>
          <w:sz w:val="28"/>
          <w:szCs w:val="28"/>
        </w:rPr>
        <w:t xml:space="preserve"> </w:t>
      </w:r>
      <w:r w:rsidRPr="002F690B">
        <w:rPr>
          <w:rFonts w:ascii="Arial" w:hAnsi="Arial" w:cs="Arial"/>
          <w:b/>
          <w:bCs/>
          <w:sz w:val="28"/>
          <w:szCs w:val="28"/>
        </w:rPr>
        <w:t>Community-Based Physiotherapy Interventions</w:t>
      </w:r>
      <w:bookmarkEnd w:id="26"/>
    </w:p>
    <w:p w14:paraId="2BBC1B3D" w14:textId="14F80F85" w:rsidR="003F29DA" w:rsidRPr="002F690B" w:rsidRDefault="003F29DA" w:rsidP="002F690B">
      <w:pPr>
        <w:pStyle w:val="Heading3"/>
        <w:rPr>
          <w:rFonts w:ascii="Arial" w:hAnsi="Arial" w:cs="Arial"/>
          <w:b/>
          <w:bCs/>
          <w:sz w:val="24"/>
          <w:szCs w:val="24"/>
        </w:rPr>
      </w:pPr>
      <w:bookmarkStart w:id="27" w:name="_Toc219805128"/>
      <w:r w:rsidRPr="002F690B">
        <w:rPr>
          <w:rFonts w:ascii="Arial" w:hAnsi="Arial" w:cs="Arial"/>
          <w:b/>
          <w:bCs/>
          <w:sz w:val="24"/>
          <w:szCs w:val="24"/>
        </w:rPr>
        <w:t>2.5.1</w:t>
      </w:r>
      <w:r w:rsidR="002F690B" w:rsidRPr="002F690B">
        <w:rPr>
          <w:rFonts w:ascii="Arial" w:hAnsi="Arial" w:cs="Arial"/>
          <w:b/>
          <w:bCs/>
          <w:sz w:val="24"/>
          <w:szCs w:val="24"/>
        </w:rPr>
        <w:t xml:space="preserve"> </w:t>
      </w:r>
      <w:r w:rsidRPr="002F690B">
        <w:rPr>
          <w:rFonts w:ascii="Arial" w:hAnsi="Arial" w:cs="Arial"/>
          <w:b/>
          <w:bCs/>
          <w:sz w:val="24"/>
          <w:szCs w:val="24"/>
        </w:rPr>
        <w:t>Models of Community Delivery</w:t>
      </w:r>
      <w:bookmarkEnd w:id="27"/>
    </w:p>
    <w:p w14:paraId="0DAF7518" w14:textId="31B8A1CD"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Community-based physical therapy is an example of a change from hospital-</w:t>
      </w:r>
      <w:proofErr w:type="spellStart"/>
      <w:r w:rsidRPr="003F29DA">
        <w:rPr>
          <w:rFonts w:ascii="Arial" w:hAnsi="Arial" w:cs="Arial"/>
          <w:sz w:val="22"/>
          <w:szCs w:val="22"/>
        </w:rPr>
        <w:t>centered</w:t>
      </w:r>
      <w:proofErr w:type="spellEnd"/>
      <w:r w:rsidRPr="003F29DA">
        <w:rPr>
          <w:rFonts w:ascii="Arial" w:hAnsi="Arial" w:cs="Arial"/>
          <w:sz w:val="22"/>
          <w:szCs w:val="22"/>
        </w:rPr>
        <w:t xml:space="preserve">, reactive treatment to proactive, preventative care that is provided in the homes of </w:t>
      </w:r>
      <w:r w:rsidRPr="003F29DA">
        <w:rPr>
          <w:rFonts w:ascii="Arial" w:hAnsi="Arial" w:cs="Arial"/>
          <w:sz w:val="22"/>
          <w:szCs w:val="22"/>
        </w:rPr>
        <w:lastRenderedPageBreak/>
        <w:t xml:space="preserve">senior citizens (NHS England, 2019). These interventions are aimed to increase accessibility, encourage social interaction, and create long-term adherence by </w:t>
      </w:r>
      <w:r w:rsidR="002F690B" w:rsidRPr="003F29DA">
        <w:rPr>
          <w:rFonts w:ascii="Arial" w:hAnsi="Arial" w:cs="Arial"/>
          <w:sz w:val="22"/>
          <w:szCs w:val="22"/>
        </w:rPr>
        <w:t>helping</w:t>
      </w:r>
      <w:r w:rsidRPr="003F29DA">
        <w:rPr>
          <w:rFonts w:ascii="Arial" w:hAnsi="Arial" w:cs="Arial"/>
          <w:sz w:val="22"/>
          <w:szCs w:val="22"/>
        </w:rPr>
        <w:t xml:space="preserve"> inside familiar local surroundings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w:t>
      </w:r>
    </w:p>
    <w:p w14:paraId="1F2BD5BD"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Community-based physiotherapy programs in England frequently incorporate educational seminars, home visits, group fitness sessions, and follow-up assistance to guarantee ongoing participation. These projects connect with NHS England’s (2019) strategic aim to increase community health care and minimize needless hospital admissions (NHS England, 2019). Community settings such as recreation facilities, church halls, community centres, and sheltered housing complexes offer accessible venues for group sessions, while home- based sessions allow physiotherapists to personalize therapies to specific requirements and situations (NICE, 2025).</w:t>
      </w:r>
    </w:p>
    <w:p w14:paraId="6FB37A17" w14:textId="77777777" w:rsidR="003F29DA" w:rsidRPr="003F29DA" w:rsidRDefault="003F29DA" w:rsidP="002F690B">
      <w:pPr>
        <w:spacing w:line="360" w:lineRule="auto"/>
        <w:jc w:val="both"/>
        <w:rPr>
          <w:rFonts w:ascii="Arial" w:hAnsi="Arial" w:cs="Arial"/>
          <w:sz w:val="22"/>
          <w:szCs w:val="22"/>
        </w:rPr>
      </w:pPr>
    </w:p>
    <w:p w14:paraId="1A8904C5" w14:textId="0546F10F" w:rsidR="003F29DA" w:rsidRPr="002F690B" w:rsidRDefault="003F29DA" w:rsidP="002F690B">
      <w:pPr>
        <w:pStyle w:val="Heading3"/>
        <w:rPr>
          <w:rFonts w:ascii="Arial" w:hAnsi="Arial" w:cs="Arial"/>
          <w:b/>
          <w:bCs/>
          <w:sz w:val="24"/>
          <w:szCs w:val="24"/>
        </w:rPr>
      </w:pPr>
      <w:bookmarkStart w:id="28" w:name="_Toc219805129"/>
      <w:r w:rsidRPr="002F690B">
        <w:rPr>
          <w:rFonts w:ascii="Arial" w:hAnsi="Arial" w:cs="Arial"/>
          <w:b/>
          <w:bCs/>
          <w:sz w:val="24"/>
          <w:szCs w:val="24"/>
        </w:rPr>
        <w:t>2.5.2</w:t>
      </w:r>
      <w:r w:rsidR="002F690B" w:rsidRPr="002F690B">
        <w:rPr>
          <w:rFonts w:ascii="Arial" w:hAnsi="Arial" w:cs="Arial"/>
          <w:b/>
          <w:bCs/>
          <w:sz w:val="24"/>
          <w:szCs w:val="24"/>
        </w:rPr>
        <w:t xml:space="preserve"> </w:t>
      </w:r>
      <w:r w:rsidRPr="002F690B">
        <w:rPr>
          <w:rFonts w:ascii="Arial" w:hAnsi="Arial" w:cs="Arial"/>
          <w:b/>
          <w:bCs/>
          <w:sz w:val="24"/>
          <w:szCs w:val="24"/>
        </w:rPr>
        <w:t>Barriers to Implementation</w:t>
      </w:r>
      <w:bookmarkEnd w:id="28"/>
    </w:p>
    <w:p w14:paraId="1588BA75" w14:textId="09E07398"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Despite its promise, implementation of community-based projects is typically limited by resource restrictions. Staff shortages, inadequate financing, and increased demand for services exert strain on local health systems, compromising programme availability and consistency (Morris et al., 2021; NHS England, 2019). Transportation challenges, particularly for older persons with mobility limitations, significantly hinder participation (NICE, 2025</w:t>
      </w:r>
      <w:r w:rsidR="00ED1AA3">
        <w:rPr>
          <w:rFonts w:ascii="Arial" w:hAnsi="Arial" w:cs="Arial"/>
          <w:sz w:val="22"/>
          <w:szCs w:val="22"/>
        </w:rPr>
        <w:t xml:space="preserve">; </w:t>
      </w:r>
      <w:r w:rsidR="00ED1AA3" w:rsidRPr="00ED1AA3">
        <w:rPr>
          <w:rFonts w:ascii="Arial" w:hAnsi="Arial" w:cs="Arial"/>
          <w:sz w:val="22"/>
          <w:szCs w:val="22"/>
        </w:rPr>
        <w:t>Francis-Coad et al., 2020</w:t>
      </w:r>
      <w:r w:rsidRPr="003F29DA">
        <w:rPr>
          <w:rFonts w:ascii="Arial" w:hAnsi="Arial" w:cs="Arial"/>
          <w:sz w:val="22"/>
          <w:szCs w:val="22"/>
        </w:rPr>
        <w:t>). In metropolitan settings, high population density might limit availability of acceptable communal venues, while complicated roadway conditions may dissuade older persons from going to group sessions (NICE, 2025).</w:t>
      </w:r>
    </w:p>
    <w:p w14:paraId="3965D985" w14:textId="77777777" w:rsidR="003F29DA" w:rsidRPr="003F29DA" w:rsidRDefault="003F29DA" w:rsidP="002F690B">
      <w:pPr>
        <w:spacing w:line="360" w:lineRule="auto"/>
        <w:jc w:val="both"/>
        <w:rPr>
          <w:rFonts w:ascii="Arial" w:hAnsi="Arial" w:cs="Arial"/>
          <w:sz w:val="22"/>
          <w:szCs w:val="22"/>
        </w:rPr>
      </w:pPr>
    </w:p>
    <w:p w14:paraId="7B76491B" w14:textId="182D06E5" w:rsidR="003F29DA" w:rsidRPr="005D7A42" w:rsidRDefault="003F29DA" w:rsidP="005D7A42">
      <w:pPr>
        <w:pStyle w:val="Heading3"/>
        <w:rPr>
          <w:rFonts w:ascii="Arial" w:hAnsi="Arial" w:cs="Arial"/>
          <w:b/>
          <w:bCs/>
          <w:sz w:val="24"/>
          <w:szCs w:val="24"/>
        </w:rPr>
      </w:pPr>
      <w:bookmarkStart w:id="29" w:name="_Toc219805130"/>
      <w:r w:rsidRPr="002F690B">
        <w:rPr>
          <w:rFonts w:ascii="Arial" w:hAnsi="Arial" w:cs="Arial"/>
          <w:b/>
          <w:bCs/>
          <w:sz w:val="24"/>
          <w:szCs w:val="24"/>
        </w:rPr>
        <w:t>2.5.3</w:t>
      </w:r>
      <w:r w:rsidR="002F690B" w:rsidRPr="002F690B">
        <w:rPr>
          <w:rFonts w:ascii="Arial" w:hAnsi="Arial" w:cs="Arial"/>
          <w:b/>
          <w:bCs/>
          <w:sz w:val="24"/>
          <w:szCs w:val="24"/>
        </w:rPr>
        <w:t xml:space="preserve"> </w:t>
      </w:r>
      <w:r w:rsidRPr="002F690B">
        <w:rPr>
          <w:rFonts w:ascii="Arial" w:hAnsi="Arial" w:cs="Arial"/>
          <w:b/>
          <w:bCs/>
          <w:sz w:val="24"/>
          <w:szCs w:val="24"/>
        </w:rPr>
        <w:t>Facilitators to Implementation</w:t>
      </w:r>
      <w:bookmarkEnd w:id="29"/>
    </w:p>
    <w:p w14:paraId="03DF98BC"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Nonetheless, </w:t>
      </w:r>
      <w:proofErr w:type="gramStart"/>
      <w:r w:rsidRPr="003F29DA">
        <w:rPr>
          <w:rFonts w:ascii="Arial" w:hAnsi="Arial" w:cs="Arial"/>
          <w:sz w:val="22"/>
          <w:szCs w:val="22"/>
        </w:rPr>
        <w:t>a number of</w:t>
      </w:r>
      <w:proofErr w:type="gramEnd"/>
      <w:r w:rsidRPr="003F29DA">
        <w:rPr>
          <w:rFonts w:ascii="Arial" w:hAnsi="Arial" w:cs="Arial"/>
          <w:sz w:val="22"/>
          <w:szCs w:val="22"/>
        </w:rPr>
        <w:t xml:space="preserve"> facilitators aid in effective execution. Better results are a result of interdisciplinary cooperation, solid collaborations between NHS services and local authorities, culturally sensitive program design, and adaptable delivery methods (Turner et al., 2022;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 Involvement with volunteer organizations, social support networks, and community organizations aids in the development of long-lasting programs that are integrated into the neighbourhood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w:t>
      </w:r>
    </w:p>
    <w:p w14:paraId="0D03F9B6" w14:textId="2C0FF3F6"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Ensuring accessibility for a variety of groups, especially those from ethnic minorities,</w:t>
      </w:r>
      <w:r w:rsidR="005D7A42">
        <w:rPr>
          <w:rFonts w:ascii="Arial" w:hAnsi="Arial" w:cs="Arial"/>
          <w:sz w:val="22"/>
          <w:szCs w:val="22"/>
        </w:rPr>
        <w:t xml:space="preserve"> </w:t>
      </w:r>
      <w:r w:rsidRPr="003F29DA">
        <w:rPr>
          <w:rFonts w:ascii="Arial" w:hAnsi="Arial" w:cs="Arial"/>
          <w:sz w:val="22"/>
          <w:szCs w:val="22"/>
        </w:rPr>
        <w:t>promotes broader adoption and improves inclusion (Marmot et al., 2020;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w:t>
      </w:r>
    </w:p>
    <w:p w14:paraId="6C8F8153" w14:textId="77777777" w:rsidR="003F29DA" w:rsidRPr="003F29DA" w:rsidRDefault="003F29DA" w:rsidP="002F690B">
      <w:pPr>
        <w:spacing w:line="360" w:lineRule="auto"/>
        <w:jc w:val="both"/>
        <w:rPr>
          <w:rFonts w:ascii="Arial" w:hAnsi="Arial" w:cs="Arial"/>
          <w:sz w:val="22"/>
          <w:szCs w:val="22"/>
        </w:rPr>
      </w:pPr>
    </w:p>
    <w:p w14:paraId="234402E3" w14:textId="023D79DE" w:rsidR="003F29DA" w:rsidRPr="005D7A42" w:rsidRDefault="003F29DA" w:rsidP="005D7A42">
      <w:pPr>
        <w:pStyle w:val="Heading3"/>
        <w:rPr>
          <w:rFonts w:ascii="Arial" w:hAnsi="Arial" w:cs="Arial"/>
          <w:b/>
          <w:bCs/>
          <w:sz w:val="24"/>
          <w:szCs w:val="24"/>
        </w:rPr>
      </w:pPr>
      <w:bookmarkStart w:id="30" w:name="_Toc219805131"/>
      <w:r w:rsidRPr="005D7A42">
        <w:rPr>
          <w:rFonts w:ascii="Arial" w:hAnsi="Arial" w:cs="Arial"/>
          <w:b/>
          <w:bCs/>
          <w:sz w:val="24"/>
          <w:szCs w:val="24"/>
        </w:rPr>
        <w:t>2.5.4</w:t>
      </w:r>
      <w:r w:rsidR="005D7A42" w:rsidRPr="005D7A42">
        <w:rPr>
          <w:rFonts w:ascii="Arial" w:hAnsi="Arial" w:cs="Arial"/>
          <w:b/>
          <w:bCs/>
          <w:sz w:val="24"/>
          <w:szCs w:val="24"/>
        </w:rPr>
        <w:t xml:space="preserve"> </w:t>
      </w:r>
      <w:r w:rsidRPr="005D7A42">
        <w:rPr>
          <w:rFonts w:ascii="Arial" w:hAnsi="Arial" w:cs="Arial"/>
          <w:b/>
          <w:bCs/>
          <w:sz w:val="24"/>
          <w:szCs w:val="24"/>
        </w:rPr>
        <w:t>Effectiveness of Community-Based Interventions</w:t>
      </w:r>
      <w:bookmarkEnd w:id="30"/>
    </w:p>
    <w:p w14:paraId="032F7744"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Evidence shows that community-based physiotherapy initiatives can be extremely successful at lowering fall rates. Smith et al. (2020) reported that older persons participating in structured community fitness programmes displayed substantial increases in balance, gait speed, and lower-limb strength (Sherrington et al., 2019; Sherrington et al., 2020).</w:t>
      </w:r>
    </w:p>
    <w:p w14:paraId="4EFF130A" w14:textId="0593B596"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Randomised controlled studies have showed that community interventions can lower fall rates by 20–30% when applied regularly (Jones and Green, 2021; Sherrington et al., 2020).</w:t>
      </w:r>
      <w:r w:rsidR="00EB147A">
        <w:rPr>
          <w:rFonts w:ascii="Arial" w:hAnsi="Arial" w:cs="Arial"/>
          <w:sz w:val="22"/>
          <w:szCs w:val="22"/>
        </w:rPr>
        <w:t xml:space="preserve"> </w:t>
      </w:r>
      <w:r w:rsidR="00EB147A" w:rsidRPr="00EB147A">
        <w:rPr>
          <w:rFonts w:ascii="Arial" w:hAnsi="Arial" w:cs="Arial"/>
          <w:sz w:val="22"/>
          <w:szCs w:val="22"/>
        </w:rPr>
        <w:t>Community-based treatments have been linked to gains in confidence, social involvement, and perceived quality of life in addition to a decrease in falls; these outcomes are increasingly seen as crucial markers of intervention effectiveness (Clemson et al., 2014; Davis et al., 2011).</w:t>
      </w:r>
      <w:r w:rsidRPr="003F29DA">
        <w:rPr>
          <w:rFonts w:ascii="Arial" w:hAnsi="Arial" w:cs="Arial"/>
          <w:sz w:val="22"/>
          <w:szCs w:val="22"/>
        </w:rPr>
        <w:t xml:space="preserve"> However, variables in programme design, duration, supervision levels, and participant motivation impact overall efficacy (Sherrington et al., 2019). Programmes including individualized evaluations and physiotherapist-led sessions often generate more meaningful improvements than generic or unsupervised programmes (Adams et al., 2022; Sherrington et al., 2020).</w:t>
      </w:r>
    </w:p>
    <w:p w14:paraId="2A8A4E56" w14:textId="77777777" w:rsidR="003F29DA" w:rsidRPr="003F29DA" w:rsidRDefault="003F29DA" w:rsidP="002F690B">
      <w:pPr>
        <w:spacing w:line="360" w:lineRule="auto"/>
        <w:jc w:val="both"/>
        <w:rPr>
          <w:rFonts w:ascii="Arial" w:hAnsi="Arial" w:cs="Arial"/>
          <w:sz w:val="22"/>
          <w:szCs w:val="22"/>
        </w:rPr>
      </w:pPr>
    </w:p>
    <w:p w14:paraId="79967EF2" w14:textId="2F7C113B" w:rsidR="003F29DA" w:rsidRPr="005D7A42" w:rsidRDefault="003F29DA" w:rsidP="005D7A42">
      <w:pPr>
        <w:pStyle w:val="Heading3"/>
        <w:rPr>
          <w:rFonts w:ascii="Arial" w:hAnsi="Arial" w:cs="Arial"/>
          <w:b/>
          <w:bCs/>
          <w:sz w:val="24"/>
          <w:szCs w:val="24"/>
        </w:rPr>
      </w:pPr>
      <w:bookmarkStart w:id="31" w:name="_Toc219805132"/>
      <w:r w:rsidRPr="005D7A42">
        <w:rPr>
          <w:rFonts w:ascii="Arial" w:hAnsi="Arial" w:cs="Arial"/>
          <w:b/>
          <w:bCs/>
          <w:sz w:val="24"/>
          <w:szCs w:val="24"/>
        </w:rPr>
        <w:t>2.5.5</w:t>
      </w:r>
      <w:r w:rsidR="005D7A42" w:rsidRPr="005D7A42">
        <w:rPr>
          <w:rFonts w:ascii="Arial" w:hAnsi="Arial" w:cs="Arial"/>
          <w:b/>
          <w:bCs/>
          <w:sz w:val="24"/>
          <w:szCs w:val="24"/>
        </w:rPr>
        <w:t xml:space="preserve"> </w:t>
      </w:r>
      <w:r w:rsidRPr="005D7A42">
        <w:rPr>
          <w:rFonts w:ascii="Arial" w:hAnsi="Arial" w:cs="Arial"/>
          <w:b/>
          <w:bCs/>
          <w:sz w:val="24"/>
          <w:szCs w:val="24"/>
        </w:rPr>
        <w:t>Equity and Access</w:t>
      </w:r>
      <w:bookmarkEnd w:id="31"/>
    </w:p>
    <w:p w14:paraId="1D90F7E9" w14:textId="1162BEDC"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Equity and access are essential issues in community-based fall prevention. Despite significant demand, older persons from impoverished families or minority ethnic groups generally have lower participation rates in physiotherapy courses (Rahman et al., 2022; Marmot et al., 2020</w:t>
      </w:r>
      <w:r w:rsidR="00ED1AA3">
        <w:rPr>
          <w:rFonts w:ascii="Arial" w:hAnsi="Arial" w:cs="Arial"/>
          <w:sz w:val="22"/>
          <w:szCs w:val="22"/>
        </w:rPr>
        <w:t xml:space="preserve">; </w:t>
      </w:r>
      <w:r w:rsidR="00ED1AA3" w:rsidRPr="00ED1AA3">
        <w:rPr>
          <w:rFonts w:ascii="Arial" w:hAnsi="Arial" w:cs="Arial"/>
          <w:sz w:val="22"/>
          <w:szCs w:val="22"/>
        </w:rPr>
        <w:t>Bunn et al., 2018</w:t>
      </w:r>
      <w:r w:rsidRPr="003F29DA">
        <w:rPr>
          <w:rFonts w:ascii="Arial" w:hAnsi="Arial" w:cs="Arial"/>
          <w:sz w:val="22"/>
          <w:szCs w:val="22"/>
        </w:rPr>
        <w:t>). Language barriers, low health literacy, scepticism of healthcare institutions, cultural views of aging, and conflicting priorities connected to poverty or caring duties are some examples of barriers (Marmot et al., 2020). To overcome these inequities, inclusive programming design is crucial. Strategies such as providing bilingual materials, involving community leaders, co-designing sessions with participants, and offering flexible delivery options can promote accessibility and relevance (Anderson and White, 2021;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 Ensuring that programming represent the cultural and socioeconomic variety of urban people is crucial for obtaining equal outcomes (Marmot et al., 2020).</w:t>
      </w:r>
    </w:p>
    <w:p w14:paraId="5D8371FF" w14:textId="77777777" w:rsidR="003F29DA" w:rsidRPr="003F29DA" w:rsidRDefault="003F29DA" w:rsidP="002F690B">
      <w:pPr>
        <w:spacing w:line="360" w:lineRule="auto"/>
        <w:jc w:val="both"/>
        <w:rPr>
          <w:rFonts w:ascii="Arial" w:hAnsi="Arial" w:cs="Arial"/>
          <w:sz w:val="22"/>
          <w:szCs w:val="22"/>
        </w:rPr>
      </w:pPr>
    </w:p>
    <w:p w14:paraId="5733BCEA" w14:textId="368B8412" w:rsidR="003F29DA" w:rsidRPr="005D7A42" w:rsidRDefault="003F29DA" w:rsidP="005D7A42">
      <w:pPr>
        <w:pStyle w:val="Heading3"/>
        <w:rPr>
          <w:rFonts w:ascii="Arial" w:hAnsi="Arial" w:cs="Arial"/>
          <w:b/>
          <w:bCs/>
          <w:sz w:val="24"/>
          <w:szCs w:val="24"/>
        </w:rPr>
      </w:pPr>
      <w:bookmarkStart w:id="32" w:name="_Toc219805133"/>
      <w:r w:rsidRPr="005D7A42">
        <w:rPr>
          <w:rFonts w:ascii="Arial" w:hAnsi="Arial" w:cs="Arial"/>
          <w:b/>
          <w:bCs/>
          <w:sz w:val="24"/>
          <w:szCs w:val="24"/>
        </w:rPr>
        <w:lastRenderedPageBreak/>
        <w:t>2.5.6</w:t>
      </w:r>
      <w:r w:rsidR="005D7A42" w:rsidRPr="005D7A42">
        <w:rPr>
          <w:rFonts w:ascii="Arial" w:hAnsi="Arial" w:cs="Arial"/>
          <w:b/>
          <w:bCs/>
          <w:sz w:val="24"/>
          <w:szCs w:val="24"/>
        </w:rPr>
        <w:t xml:space="preserve"> </w:t>
      </w:r>
      <w:r w:rsidRPr="005D7A42">
        <w:rPr>
          <w:rFonts w:ascii="Arial" w:hAnsi="Arial" w:cs="Arial"/>
          <w:b/>
          <w:bCs/>
          <w:sz w:val="24"/>
          <w:szCs w:val="24"/>
        </w:rPr>
        <w:t>Social Wellbeing and Engagement</w:t>
      </w:r>
      <w:bookmarkEnd w:id="32"/>
    </w:p>
    <w:p w14:paraId="76E33485" w14:textId="77777777" w:rsid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Recognizing the significant correlation between isolation, sedentary </w:t>
      </w:r>
      <w:proofErr w:type="spellStart"/>
      <w:r w:rsidRPr="003F29DA">
        <w:rPr>
          <w:rFonts w:ascii="Arial" w:hAnsi="Arial" w:cs="Arial"/>
          <w:sz w:val="22"/>
          <w:szCs w:val="22"/>
        </w:rPr>
        <w:t>behavior</w:t>
      </w:r>
      <w:proofErr w:type="spellEnd"/>
      <w:r w:rsidRPr="003F29DA">
        <w:rPr>
          <w:rFonts w:ascii="Arial" w:hAnsi="Arial" w:cs="Arial"/>
          <w:sz w:val="22"/>
          <w:szCs w:val="22"/>
        </w:rPr>
        <w:t>, and fall risk, community-based programs have increasingly grown to include more comprehensive social wellness components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 After retirement, a death in the family, or a change in living conditions, many older persons have substantial decreases in social interaction. These changes might indirectly increase fall risk by lowering mobility, motivation, and daily activity levels (WHO, 2021). Integrating social components—such as group exercise sessions, peer-led activities or neighbourhood walking groups—has proved usefulness in enhancing both physical and psychological results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 These social connections typically promote a sense of belonging and collective drive, helping individuals prolong involvement. More significantly, they establish unofficial support systems that promote consistent involvement and facilitate the early detection of new health issues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 As a result, including social wellbeing into fall prevention design improves program efficacy and is consistent with more </w:t>
      </w:r>
      <w:proofErr w:type="gramStart"/>
      <w:r w:rsidRPr="003F29DA">
        <w:rPr>
          <w:rFonts w:ascii="Arial" w:hAnsi="Arial" w:cs="Arial"/>
          <w:sz w:val="22"/>
          <w:szCs w:val="22"/>
        </w:rPr>
        <w:t>general public</w:t>
      </w:r>
      <w:proofErr w:type="gramEnd"/>
      <w:r w:rsidRPr="003F29DA">
        <w:rPr>
          <w:rFonts w:ascii="Arial" w:hAnsi="Arial" w:cs="Arial"/>
          <w:sz w:val="22"/>
          <w:szCs w:val="22"/>
        </w:rPr>
        <w:t xml:space="preserve"> health concerns of resilient communities and healthy aging (WHO, 2021; NHS England, 2019).</w:t>
      </w:r>
    </w:p>
    <w:p w14:paraId="53E1E954" w14:textId="77777777" w:rsidR="00A61438" w:rsidRDefault="00A61438" w:rsidP="002F690B">
      <w:pPr>
        <w:spacing w:line="360" w:lineRule="auto"/>
        <w:jc w:val="both"/>
        <w:rPr>
          <w:rFonts w:ascii="Arial" w:hAnsi="Arial" w:cs="Arial"/>
          <w:sz w:val="22"/>
          <w:szCs w:val="22"/>
        </w:rPr>
      </w:pPr>
    </w:p>
    <w:p w14:paraId="7FD4100A" w14:textId="587D7288" w:rsidR="00A61438" w:rsidRDefault="00A61438" w:rsidP="00A61438">
      <w:pPr>
        <w:pStyle w:val="Heading3"/>
        <w:rPr>
          <w:rFonts w:ascii="Arial" w:hAnsi="Arial" w:cs="Arial"/>
          <w:b/>
          <w:bCs/>
          <w:sz w:val="24"/>
          <w:szCs w:val="24"/>
        </w:rPr>
      </w:pPr>
      <w:bookmarkStart w:id="33" w:name="_Toc219805134"/>
      <w:r w:rsidRPr="00A61438">
        <w:rPr>
          <w:rFonts w:ascii="Arial" w:hAnsi="Arial" w:cs="Arial"/>
          <w:b/>
          <w:bCs/>
          <w:sz w:val="24"/>
          <w:szCs w:val="24"/>
        </w:rPr>
        <w:t>2.5.7 Sustainability and Long-Term Adherence in Community-Based Physiotherapy</w:t>
      </w:r>
      <w:bookmarkEnd w:id="33"/>
    </w:p>
    <w:p w14:paraId="506AC2A2" w14:textId="7F9828B4" w:rsidR="00A61438" w:rsidRPr="00A61438" w:rsidRDefault="00A61438" w:rsidP="00A61438">
      <w:pPr>
        <w:rPr>
          <w:rFonts w:ascii="Arial" w:hAnsi="Arial" w:cs="Arial"/>
          <w:sz w:val="22"/>
          <w:szCs w:val="22"/>
        </w:rPr>
      </w:pPr>
      <w:r w:rsidRPr="00A61438">
        <w:rPr>
          <w:rFonts w:ascii="Arial" w:hAnsi="Arial" w:cs="Arial"/>
          <w:sz w:val="22"/>
          <w:szCs w:val="22"/>
        </w:rPr>
        <w:t>Although community-based physiotherapy programs for fall prevention show great short-term efficacy, metropolitan healthcare systems continue to have serious concerns about their long-term sustainability. Sustained engagement is crucial since stopping exercise regimens can quickly result in declines in strength, balance, and confidence (Sherrington et al., 2019; Lesinski et al., 2015). Therefore, a crucial factor in determining whether early gains result in long-term decreases in fall risk in older persons is long-term adherence.</w:t>
      </w:r>
    </w:p>
    <w:p w14:paraId="785D282C" w14:textId="564FB130" w:rsidR="00A61438" w:rsidRPr="00A61438" w:rsidRDefault="00A61438" w:rsidP="00A61438">
      <w:pPr>
        <w:rPr>
          <w:rFonts w:ascii="Arial" w:hAnsi="Arial" w:cs="Arial"/>
          <w:sz w:val="22"/>
          <w:szCs w:val="22"/>
        </w:rPr>
      </w:pPr>
      <w:r w:rsidRPr="00A61438">
        <w:rPr>
          <w:rFonts w:ascii="Arial" w:hAnsi="Arial" w:cs="Arial"/>
          <w:sz w:val="22"/>
          <w:szCs w:val="22"/>
        </w:rPr>
        <w:t>Individual motivation, social support, perceived relevance, and service accessibility all have an impact on community-dwelling older individuals' adherence to physiotherapy-led exercise programs, according to research (Yardley et al., 2018; Montero-</w:t>
      </w:r>
      <w:proofErr w:type="spellStart"/>
      <w:r w:rsidRPr="00A61438">
        <w:rPr>
          <w:rFonts w:ascii="Arial" w:hAnsi="Arial" w:cs="Arial"/>
          <w:sz w:val="22"/>
          <w:szCs w:val="22"/>
        </w:rPr>
        <w:t>Odasso</w:t>
      </w:r>
      <w:proofErr w:type="spellEnd"/>
      <w:r w:rsidRPr="00A61438">
        <w:rPr>
          <w:rFonts w:ascii="Arial" w:hAnsi="Arial" w:cs="Arial"/>
          <w:sz w:val="22"/>
          <w:szCs w:val="22"/>
        </w:rPr>
        <w:t xml:space="preserve"> et al., 2022).</w:t>
      </w:r>
      <w:r w:rsidRPr="00A61438">
        <w:t xml:space="preserve"> </w:t>
      </w:r>
      <w:r w:rsidRPr="00A61438">
        <w:rPr>
          <w:rFonts w:ascii="Arial" w:hAnsi="Arial" w:cs="Arial"/>
          <w:sz w:val="22"/>
          <w:szCs w:val="22"/>
        </w:rPr>
        <w:t>Sustained participation may be adversely affected in urban environments by conflicting demands such as transportation challenges, caregiving obligations, and the fragmentation of health services (Marmot et al., 2020; NICE, 2025). Longer-term engagement has been demonstrated by programs that provide chances for peer interaction, progressive advancement, and frequent follow-up (Clemson et al., 2012; Sherrington et al., 2020).</w:t>
      </w:r>
    </w:p>
    <w:p w14:paraId="28DB0716" w14:textId="77777777" w:rsidR="00A61438" w:rsidRPr="00A61438" w:rsidRDefault="00A61438" w:rsidP="00A61438">
      <w:pPr>
        <w:rPr>
          <w:rFonts w:ascii="Arial" w:hAnsi="Arial" w:cs="Arial"/>
          <w:sz w:val="22"/>
          <w:szCs w:val="22"/>
        </w:rPr>
      </w:pPr>
    </w:p>
    <w:p w14:paraId="37F8233D" w14:textId="054C9F48" w:rsidR="00A61438" w:rsidRDefault="00A61438" w:rsidP="00A61438">
      <w:pPr>
        <w:rPr>
          <w:rFonts w:ascii="Arial" w:hAnsi="Arial" w:cs="Arial"/>
          <w:sz w:val="22"/>
          <w:szCs w:val="22"/>
        </w:rPr>
      </w:pPr>
      <w:r w:rsidRPr="00A61438">
        <w:rPr>
          <w:rFonts w:ascii="Arial" w:hAnsi="Arial" w:cs="Arial"/>
          <w:sz w:val="22"/>
          <w:szCs w:val="22"/>
        </w:rPr>
        <w:t xml:space="preserve">One way to improve sustainability is to integrate community-based physiotherapy into already-existing local infrastructures, such community </w:t>
      </w:r>
      <w:proofErr w:type="spellStart"/>
      <w:r w:rsidRPr="00A61438">
        <w:rPr>
          <w:rFonts w:ascii="Arial" w:hAnsi="Arial" w:cs="Arial"/>
          <w:sz w:val="22"/>
          <w:szCs w:val="22"/>
        </w:rPr>
        <w:t>centers</w:t>
      </w:r>
      <w:proofErr w:type="spellEnd"/>
      <w:r w:rsidRPr="00A61438">
        <w:rPr>
          <w:rFonts w:ascii="Arial" w:hAnsi="Arial" w:cs="Arial"/>
          <w:sz w:val="22"/>
          <w:szCs w:val="22"/>
        </w:rPr>
        <w:t xml:space="preserve">, primary care networks, and voluntary sector organizations (NHS England, 2019). Such integration </w:t>
      </w:r>
      <w:r w:rsidRPr="00A61438">
        <w:rPr>
          <w:rFonts w:ascii="Arial" w:hAnsi="Arial" w:cs="Arial"/>
          <w:sz w:val="22"/>
          <w:szCs w:val="22"/>
        </w:rPr>
        <w:lastRenderedPageBreak/>
        <w:t>allows continuous referral channels, lessens dependency on time-limited pilot programs, and improves continuity of treatment. Furthermore, programs that develop self-management abilities and boost self-assurance in unsupervised exercise are more likely to sustain effects beyond supervised phases (Bandura, 1997;</w:t>
      </w:r>
      <w:r w:rsidRPr="00A61438">
        <w:t xml:space="preserve"> </w:t>
      </w:r>
      <w:r w:rsidRPr="00A61438">
        <w:rPr>
          <w:rFonts w:ascii="Arial" w:hAnsi="Arial" w:cs="Arial"/>
          <w:sz w:val="22"/>
          <w:szCs w:val="22"/>
        </w:rPr>
        <w:t>Michie et al., 2013)</w:t>
      </w:r>
      <w:r>
        <w:rPr>
          <w:rFonts w:ascii="Arial" w:hAnsi="Arial" w:cs="Arial"/>
          <w:sz w:val="22"/>
          <w:szCs w:val="22"/>
        </w:rPr>
        <w:t>.</w:t>
      </w:r>
    </w:p>
    <w:p w14:paraId="48F2CD9A" w14:textId="683FC8DF" w:rsidR="00A61438" w:rsidRPr="00A61438" w:rsidRDefault="00A61438" w:rsidP="00A61438">
      <w:pPr>
        <w:rPr>
          <w:rFonts w:ascii="Arial" w:hAnsi="Arial" w:cs="Arial"/>
          <w:sz w:val="22"/>
          <w:szCs w:val="22"/>
        </w:rPr>
      </w:pPr>
      <w:r w:rsidRPr="00A61438">
        <w:rPr>
          <w:rFonts w:ascii="Arial" w:hAnsi="Arial" w:cs="Arial"/>
          <w:sz w:val="22"/>
          <w:szCs w:val="22"/>
        </w:rPr>
        <w:t>In general, one of the main goals of fall prevention programs should be sustainability. To guarantee long-lasting reductions in fall risk, future programs in metropolitan England must prioritize long-term adherence through flexible delivery modes, ongoing professional assistance, and linkage with local community resources.</w:t>
      </w:r>
    </w:p>
    <w:p w14:paraId="0562D884" w14:textId="77777777" w:rsidR="003F29DA" w:rsidRPr="003F29DA" w:rsidRDefault="003F29DA" w:rsidP="002F690B">
      <w:pPr>
        <w:spacing w:line="360" w:lineRule="auto"/>
        <w:jc w:val="both"/>
        <w:rPr>
          <w:rFonts w:ascii="Arial" w:hAnsi="Arial" w:cs="Arial"/>
          <w:sz w:val="22"/>
          <w:szCs w:val="22"/>
        </w:rPr>
      </w:pPr>
    </w:p>
    <w:p w14:paraId="2616FF6D" w14:textId="43CD44CF" w:rsidR="003F29DA" w:rsidRPr="005D7A42" w:rsidRDefault="003F29DA" w:rsidP="005D7A42">
      <w:pPr>
        <w:pStyle w:val="Heading2"/>
        <w:rPr>
          <w:rFonts w:ascii="Arial" w:hAnsi="Arial" w:cs="Arial"/>
          <w:b/>
          <w:bCs/>
          <w:sz w:val="28"/>
          <w:szCs w:val="28"/>
        </w:rPr>
      </w:pPr>
      <w:bookmarkStart w:id="34" w:name="_Toc219805135"/>
      <w:r w:rsidRPr="005D7A42">
        <w:rPr>
          <w:rFonts w:ascii="Arial" w:hAnsi="Arial" w:cs="Arial"/>
          <w:b/>
          <w:bCs/>
          <w:sz w:val="28"/>
          <w:szCs w:val="28"/>
        </w:rPr>
        <w:t>2.6</w:t>
      </w:r>
      <w:r w:rsidR="005D7A42" w:rsidRPr="005D7A42">
        <w:rPr>
          <w:rFonts w:ascii="Arial" w:hAnsi="Arial" w:cs="Arial"/>
          <w:b/>
          <w:bCs/>
          <w:sz w:val="28"/>
          <w:szCs w:val="28"/>
        </w:rPr>
        <w:t xml:space="preserve"> </w:t>
      </w:r>
      <w:r w:rsidRPr="005D7A42">
        <w:rPr>
          <w:rFonts w:ascii="Arial" w:hAnsi="Arial" w:cs="Arial"/>
          <w:b/>
          <w:bCs/>
          <w:sz w:val="28"/>
          <w:szCs w:val="28"/>
        </w:rPr>
        <w:t>Theoretical Frameworks</w:t>
      </w:r>
      <w:bookmarkEnd w:id="34"/>
    </w:p>
    <w:p w14:paraId="69654E00" w14:textId="512238C9"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The application of theoretical frameworks promotes knowledge of the </w:t>
      </w:r>
      <w:r w:rsidR="00726C1A" w:rsidRPr="003F29DA">
        <w:rPr>
          <w:rFonts w:ascii="Arial" w:hAnsi="Arial" w:cs="Arial"/>
          <w:sz w:val="22"/>
          <w:szCs w:val="22"/>
        </w:rPr>
        <w:t>behavioural</w:t>
      </w:r>
      <w:r w:rsidRPr="003F29DA">
        <w:rPr>
          <w:rFonts w:ascii="Arial" w:hAnsi="Arial" w:cs="Arial"/>
          <w:sz w:val="22"/>
          <w:szCs w:val="22"/>
        </w:rPr>
        <w:t xml:space="preserve"> and environmental aspects that determine older adults’ involvement in fall prevention interventions. Two fundamental </w:t>
      </w:r>
      <w:r w:rsidR="00726C1A" w:rsidRPr="003F29DA">
        <w:rPr>
          <w:rFonts w:ascii="Arial" w:hAnsi="Arial" w:cs="Arial"/>
          <w:sz w:val="22"/>
          <w:szCs w:val="22"/>
        </w:rPr>
        <w:t>frameworks, the</w:t>
      </w:r>
      <w:r w:rsidRPr="003F29DA">
        <w:rPr>
          <w:rFonts w:ascii="Arial" w:hAnsi="Arial" w:cs="Arial"/>
          <w:sz w:val="22"/>
          <w:szCs w:val="22"/>
        </w:rPr>
        <w:t xml:space="preserve"> Health Belief Model (HBM) and the Social Ecological Model (SEM), offer alternative insights.</w:t>
      </w:r>
    </w:p>
    <w:p w14:paraId="1780F680" w14:textId="2D7FEE4D" w:rsidR="003F29DA" w:rsidRPr="005D7A42" w:rsidRDefault="003F29DA" w:rsidP="005D7A42">
      <w:pPr>
        <w:pStyle w:val="Heading3"/>
        <w:rPr>
          <w:rFonts w:ascii="Arial" w:hAnsi="Arial" w:cs="Arial"/>
          <w:b/>
          <w:bCs/>
          <w:sz w:val="24"/>
          <w:szCs w:val="24"/>
        </w:rPr>
      </w:pPr>
      <w:bookmarkStart w:id="35" w:name="_Toc219805136"/>
      <w:r w:rsidRPr="005D7A42">
        <w:rPr>
          <w:rFonts w:ascii="Arial" w:hAnsi="Arial" w:cs="Arial"/>
          <w:b/>
          <w:bCs/>
          <w:sz w:val="24"/>
          <w:szCs w:val="24"/>
        </w:rPr>
        <w:t>2.6.1</w:t>
      </w:r>
      <w:r w:rsidR="005D7A42" w:rsidRPr="005D7A42">
        <w:rPr>
          <w:rFonts w:ascii="Arial" w:hAnsi="Arial" w:cs="Arial"/>
          <w:b/>
          <w:bCs/>
          <w:sz w:val="24"/>
          <w:szCs w:val="24"/>
        </w:rPr>
        <w:t xml:space="preserve"> </w:t>
      </w:r>
      <w:r w:rsidRPr="005D7A42">
        <w:rPr>
          <w:rFonts w:ascii="Arial" w:hAnsi="Arial" w:cs="Arial"/>
          <w:b/>
          <w:bCs/>
          <w:sz w:val="24"/>
          <w:szCs w:val="24"/>
        </w:rPr>
        <w:t>Health Belief Model (HBM)</w:t>
      </w:r>
      <w:bookmarkEnd w:id="35"/>
    </w:p>
    <w:p w14:paraId="497D4778"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The Health Belief Model, initially articulated by Rosenstock (1974), claims that individuals participate in health-related activities based on perceived susceptibility to a condition, perceived severity of the illness, perceived benefits of action, and perceived obstacles to action (Rosenstock, 1974). In fall prevention, perceived susceptibility refers to an older adult’s belief in their chance of falling; perception of severity pertains to the potential repercussions, such as injury, loss of independence, or death (NICE, 2025). Perceived benefits include the assumption that physiotherapy exercises might lower fall risk, whereas perceived obstacles may include fear of injury, time restrictions, lack of transportation, or poor desire (Rosenstock, 1974; NICE, 2025). Self-efficacy is another important factor in fall prevention. Adherence is more likely to be maintained by older persons who think they can attend community sessions or complete physiotherapy exercises successfully (Bandura, 1997). Studies have demonstrated that self-efficacy highly predicts adherence to exercise regimens (Clark and Jones, 2020; Bandura, 1997), stressing the need for treatments that increase confidence and give positive reinforcement.</w:t>
      </w:r>
    </w:p>
    <w:p w14:paraId="662B9E8F" w14:textId="77777777" w:rsidR="003F29DA" w:rsidRPr="003F29DA" w:rsidRDefault="003F29DA" w:rsidP="002F690B">
      <w:pPr>
        <w:spacing w:line="360" w:lineRule="auto"/>
        <w:jc w:val="both"/>
        <w:rPr>
          <w:rFonts w:ascii="Arial" w:hAnsi="Arial" w:cs="Arial"/>
          <w:sz w:val="22"/>
          <w:szCs w:val="22"/>
        </w:rPr>
      </w:pPr>
    </w:p>
    <w:p w14:paraId="326EB73B" w14:textId="4B1C2933" w:rsidR="003F29DA" w:rsidRPr="005D7A42" w:rsidRDefault="003F29DA" w:rsidP="005D7A42">
      <w:pPr>
        <w:pStyle w:val="Heading3"/>
        <w:rPr>
          <w:rFonts w:ascii="Arial" w:hAnsi="Arial" w:cs="Arial"/>
          <w:b/>
          <w:bCs/>
          <w:sz w:val="24"/>
          <w:szCs w:val="24"/>
        </w:rPr>
      </w:pPr>
      <w:bookmarkStart w:id="36" w:name="_Toc219805137"/>
      <w:r w:rsidRPr="005D7A42">
        <w:rPr>
          <w:rFonts w:ascii="Arial" w:hAnsi="Arial" w:cs="Arial"/>
          <w:b/>
          <w:bCs/>
          <w:sz w:val="24"/>
          <w:szCs w:val="24"/>
        </w:rPr>
        <w:t>2.6.2</w:t>
      </w:r>
      <w:r w:rsidR="005D7A42" w:rsidRPr="005D7A42">
        <w:rPr>
          <w:rFonts w:ascii="Arial" w:hAnsi="Arial" w:cs="Arial"/>
          <w:b/>
          <w:bCs/>
          <w:sz w:val="24"/>
          <w:szCs w:val="24"/>
        </w:rPr>
        <w:t xml:space="preserve"> </w:t>
      </w:r>
      <w:r w:rsidRPr="005D7A42">
        <w:rPr>
          <w:rFonts w:ascii="Arial" w:hAnsi="Arial" w:cs="Arial"/>
          <w:b/>
          <w:bCs/>
          <w:sz w:val="24"/>
          <w:szCs w:val="24"/>
        </w:rPr>
        <w:t>Social Ecological Model (SEM)</w:t>
      </w:r>
      <w:bookmarkEnd w:id="36"/>
    </w:p>
    <w:p w14:paraId="5C781FC2"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Individual, interpersonal, organizational, community, and policy levels of impact on health behaviour are all highlighted by Bronfenbrenner's (1977) Social Ecological Model (Bronfenbrenner, 1977; McLeroy et al., 1988). At the individual level, </w:t>
      </w:r>
      <w:r w:rsidRPr="003F29DA">
        <w:rPr>
          <w:rFonts w:ascii="Arial" w:hAnsi="Arial" w:cs="Arial"/>
          <w:sz w:val="22"/>
          <w:szCs w:val="22"/>
        </w:rPr>
        <w:lastRenderedPageBreak/>
        <w:t>characteristics such as physical health, cognitive function, motivation, and personal beliefs impact involvement with physiotherapy therapies (NICE, 2025). Interpersonal impacts include parental support, peer encouragement, and social networks, all of which can stimulate or discourage engagement (McLeroy et al., 1988). Organisational effects relate to the structure and accessibility of healthcare services, including availability of physiotherapists, scheduling of programmes, and quality of communication amongst care providers (NHS England, 2019). Community- level issues include environmental dangers, availability of safe locations for exercise, transportation infrastructure, and cultural norms (Marmot et al., 2020). Policy-level implications comprise national health plans, financing for rehabilitation services, and public health campaigns encouraging healthy ageing (Evans and Patel, 2021; NHS England, 2019). The SEM gives a comprehensive perspective through which to study how community, organizational, and policy settings impact human conduct (McLeroy et al., 1988).</w:t>
      </w:r>
    </w:p>
    <w:p w14:paraId="076740B4" w14:textId="77777777" w:rsidR="003F29DA" w:rsidRPr="003F29DA" w:rsidRDefault="003F29DA" w:rsidP="002F690B">
      <w:pPr>
        <w:spacing w:line="360" w:lineRule="auto"/>
        <w:jc w:val="both"/>
        <w:rPr>
          <w:rFonts w:ascii="Arial" w:hAnsi="Arial" w:cs="Arial"/>
          <w:sz w:val="22"/>
          <w:szCs w:val="22"/>
        </w:rPr>
      </w:pPr>
    </w:p>
    <w:p w14:paraId="2606771B" w14:textId="69FAC218" w:rsidR="003F29DA" w:rsidRPr="005D7A42" w:rsidRDefault="003F29DA" w:rsidP="005D7A42">
      <w:pPr>
        <w:pStyle w:val="Heading3"/>
        <w:rPr>
          <w:rFonts w:ascii="Arial" w:hAnsi="Arial" w:cs="Arial"/>
          <w:b/>
          <w:bCs/>
          <w:sz w:val="24"/>
          <w:szCs w:val="24"/>
        </w:rPr>
      </w:pPr>
      <w:bookmarkStart w:id="37" w:name="_Toc219805138"/>
      <w:r w:rsidRPr="005D7A42">
        <w:rPr>
          <w:rFonts w:ascii="Arial" w:hAnsi="Arial" w:cs="Arial"/>
          <w:b/>
          <w:bCs/>
          <w:sz w:val="24"/>
          <w:szCs w:val="24"/>
        </w:rPr>
        <w:t>2.6.3</w:t>
      </w:r>
      <w:r w:rsidR="005D7A42" w:rsidRPr="005D7A42">
        <w:rPr>
          <w:rFonts w:ascii="Arial" w:hAnsi="Arial" w:cs="Arial"/>
          <w:b/>
          <w:bCs/>
          <w:sz w:val="24"/>
          <w:szCs w:val="24"/>
        </w:rPr>
        <w:t xml:space="preserve"> </w:t>
      </w:r>
      <w:r w:rsidRPr="005D7A42">
        <w:rPr>
          <w:rFonts w:ascii="Arial" w:hAnsi="Arial" w:cs="Arial"/>
          <w:b/>
          <w:bCs/>
          <w:sz w:val="24"/>
          <w:szCs w:val="24"/>
        </w:rPr>
        <w:t>Integration of HBM and SEM</w:t>
      </w:r>
      <w:bookmarkEnd w:id="37"/>
    </w:p>
    <w:p w14:paraId="61141F39"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This study utilizes both HBM and SEM to capture the entire spectrum of variables determining involvement with community-based physiotherapy. The HBM helps explain individual motives and obstacles, whereas the SEM situates these actions within wider structural and environmental circumstances (Rosenstock, 1974; McLeroy et al., 1988). Using these models together enables for sophisticated investigation of how psychological, social, environmental, and policy elements intersect to impact fall prevention programs in England’s metropolitan regions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w:t>
      </w:r>
    </w:p>
    <w:p w14:paraId="5BFEB46F" w14:textId="77777777" w:rsidR="003F29DA" w:rsidRPr="003F29DA" w:rsidRDefault="003F29DA" w:rsidP="002F690B">
      <w:pPr>
        <w:spacing w:line="360" w:lineRule="auto"/>
        <w:jc w:val="both"/>
        <w:rPr>
          <w:rFonts w:ascii="Arial" w:hAnsi="Arial" w:cs="Arial"/>
          <w:sz w:val="22"/>
          <w:szCs w:val="22"/>
        </w:rPr>
      </w:pPr>
    </w:p>
    <w:p w14:paraId="673B9AFD" w14:textId="53F4F001"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According to current research, integrated models that combine behavioural and ecological aspects offer a more comprehensive knowledge of fall prevention, thereby extending the theoretical dimension (McLeroy et al., 1988;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 Although frameworks like the Health Belief Model aid in the explanation of human decision-making processes, they may not adequately account for social support networks, cultural norms, and environmental limitations (Rosenstock, 1974; Marmot et al., 2020). Ecological models, on the other hand, acknowledge these wider factors but could downplay the significance of individual motivation and health beliefs. Integrating the two gives a deeper conceptual </w:t>
      </w:r>
    </w:p>
    <w:p w14:paraId="74B5C435" w14:textId="77777777" w:rsidR="003F29DA" w:rsidRDefault="003F29DA" w:rsidP="002F690B">
      <w:pPr>
        <w:spacing w:line="360" w:lineRule="auto"/>
        <w:jc w:val="both"/>
        <w:rPr>
          <w:rFonts w:ascii="Arial" w:hAnsi="Arial" w:cs="Arial"/>
          <w:sz w:val="22"/>
          <w:szCs w:val="22"/>
        </w:rPr>
      </w:pPr>
      <w:r w:rsidRPr="003F29DA">
        <w:rPr>
          <w:rFonts w:ascii="Arial" w:hAnsi="Arial" w:cs="Arial"/>
          <w:sz w:val="22"/>
          <w:szCs w:val="22"/>
        </w:rPr>
        <w:lastRenderedPageBreak/>
        <w:t>framework for creating interventions, highlighting that fall prevention actions are impacted by both personal perceptions and institutional reality (McLeroy et al., 1988). This combination approach matches strongly with community-based physiotherapy, which inherently acts across numerous levels—from individual strength and balance to neighbourhood safety and service accessibility (NICE, 2025; NHS England, 2019).</w:t>
      </w:r>
    </w:p>
    <w:p w14:paraId="6252649C" w14:textId="6B57F906" w:rsidR="00726C1A" w:rsidRPr="00D86585" w:rsidRDefault="00726C1A" w:rsidP="00D86585">
      <w:pPr>
        <w:pStyle w:val="Heading3"/>
        <w:rPr>
          <w:rFonts w:ascii="Arial" w:hAnsi="Arial" w:cs="Arial"/>
          <w:b/>
          <w:bCs/>
          <w:sz w:val="24"/>
          <w:szCs w:val="24"/>
        </w:rPr>
      </w:pPr>
      <w:bookmarkStart w:id="38" w:name="_Toc219805139"/>
      <w:r w:rsidRPr="00D86585">
        <w:rPr>
          <w:rFonts w:ascii="Arial" w:hAnsi="Arial" w:cs="Arial"/>
          <w:b/>
          <w:bCs/>
          <w:sz w:val="24"/>
          <w:szCs w:val="24"/>
        </w:rPr>
        <w:t>2.6.4 Justification for Selection of Theoretical Models</w:t>
      </w:r>
      <w:bookmarkEnd w:id="38"/>
    </w:p>
    <w:p w14:paraId="7FA6E231" w14:textId="534EA8D0" w:rsidR="00726C1A" w:rsidRDefault="00D86585" w:rsidP="002F690B">
      <w:pPr>
        <w:spacing w:line="360" w:lineRule="auto"/>
        <w:jc w:val="both"/>
        <w:rPr>
          <w:rFonts w:ascii="Arial" w:hAnsi="Arial" w:cs="Arial"/>
          <w:sz w:val="22"/>
          <w:szCs w:val="22"/>
        </w:rPr>
      </w:pPr>
      <w:r w:rsidRPr="00D86585">
        <w:rPr>
          <w:rFonts w:ascii="Arial" w:hAnsi="Arial" w:cs="Arial"/>
          <w:sz w:val="22"/>
          <w:szCs w:val="22"/>
        </w:rPr>
        <w:t xml:space="preserve">Because it directly relates to how older persons perceive their risk of falling and how these views affect involvement in community-based physiotherapy therapies, the Health Belief Model (HBM) was used for this study. Falls are influenced by attitudes about vulnerability, fear of falling, motivation, and expectations of benefit in addition to physiological impairment. The HBM offers a methodical approach to comprehending perceived vulnerability to falls, perceived seriousness of repercussions like injury or loss of independence, and perceived advantages of performing strength and balance activities. Additionally, it is especially helpful for </w:t>
      </w:r>
      <w:proofErr w:type="spellStart"/>
      <w:r w:rsidRPr="00D86585">
        <w:rPr>
          <w:rFonts w:ascii="Arial" w:hAnsi="Arial" w:cs="Arial"/>
          <w:sz w:val="22"/>
          <w:szCs w:val="22"/>
        </w:rPr>
        <w:t>analyzing</w:t>
      </w:r>
      <w:proofErr w:type="spellEnd"/>
      <w:r w:rsidRPr="00D86585">
        <w:rPr>
          <w:rFonts w:ascii="Arial" w:hAnsi="Arial" w:cs="Arial"/>
          <w:sz w:val="22"/>
          <w:szCs w:val="22"/>
        </w:rPr>
        <w:t xml:space="preserve"> perceived obstacles that older persons in urban England frequently express, such as pain, transportation issues, cultural attitudes, or a lack of confidence.</w:t>
      </w:r>
      <w:r w:rsidRPr="00D86585">
        <w:t xml:space="preserve"> </w:t>
      </w:r>
      <w:r w:rsidRPr="00D86585">
        <w:rPr>
          <w:rFonts w:ascii="Arial" w:hAnsi="Arial" w:cs="Arial"/>
          <w:sz w:val="22"/>
          <w:szCs w:val="22"/>
        </w:rPr>
        <w:t xml:space="preserve">This model's focus on self-efficacy, which is strongly associated with exercise adherence and participation in physiotherapy programs, is one of its main advantages. Nonetheless, the HBM's acknowledged drawback is its emphasis on the individual level while ignoring broader environmental and societal impacts. Because of this, it can occasionally oversimplify </w:t>
      </w:r>
      <w:proofErr w:type="spellStart"/>
      <w:r w:rsidRPr="00D86585">
        <w:rPr>
          <w:rFonts w:ascii="Arial" w:hAnsi="Arial" w:cs="Arial"/>
          <w:sz w:val="22"/>
          <w:szCs w:val="22"/>
        </w:rPr>
        <w:t>behavior</w:t>
      </w:r>
      <w:proofErr w:type="spellEnd"/>
      <w:r w:rsidRPr="00D86585">
        <w:rPr>
          <w:rFonts w:ascii="Arial" w:hAnsi="Arial" w:cs="Arial"/>
          <w:sz w:val="22"/>
          <w:szCs w:val="22"/>
        </w:rPr>
        <w:t xml:space="preserve"> by believing that people just use their perceptions to make logical judgments. Notwithstanding these drawbacks, the HBM was deemed suitable as one of the primary objectives of this project is to investigate psychological elements like confidence, motivation, and fear of falling in connection to physiotherapy involvement.</w:t>
      </w:r>
    </w:p>
    <w:p w14:paraId="1EFF3CAB" w14:textId="04FF3181" w:rsidR="00D86585" w:rsidRPr="00D86585" w:rsidRDefault="00D86585" w:rsidP="00D86585">
      <w:pPr>
        <w:spacing w:line="360" w:lineRule="auto"/>
        <w:jc w:val="both"/>
        <w:rPr>
          <w:rFonts w:ascii="Arial" w:hAnsi="Arial" w:cs="Arial"/>
          <w:sz w:val="22"/>
          <w:szCs w:val="22"/>
        </w:rPr>
      </w:pPr>
      <w:r w:rsidRPr="00D86585">
        <w:rPr>
          <w:rFonts w:ascii="Arial" w:hAnsi="Arial" w:cs="Arial"/>
          <w:sz w:val="22"/>
          <w:szCs w:val="22"/>
        </w:rPr>
        <w:t xml:space="preserve">The Social Ecological Model (SEM) was used in addition to the HBM because falls among older persons, especially in urban environments, are influenced by a variety of interrelated variables that go beyond personal beliefs. Environmental risks, restricted access to green areas, cramped housing, bad pavement, a lack of transportation alternatives, and social isolation are some of the challenges that older individuals in urban areas may encounter. Because it </w:t>
      </w:r>
      <w:proofErr w:type="gramStart"/>
      <w:r w:rsidRPr="00D86585">
        <w:rPr>
          <w:rFonts w:ascii="Arial" w:hAnsi="Arial" w:cs="Arial"/>
          <w:sz w:val="22"/>
          <w:szCs w:val="22"/>
        </w:rPr>
        <w:t>takes into account</w:t>
      </w:r>
      <w:proofErr w:type="gramEnd"/>
      <w:r w:rsidRPr="00D86585">
        <w:rPr>
          <w:rFonts w:ascii="Arial" w:hAnsi="Arial" w:cs="Arial"/>
          <w:sz w:val="22"/>
          <w:szCs w:val="22"/>
        </w:rPr>
        <w:t xml:space="preserve"> factors functioning at the individual, interpersonal, community, organizational, and policy levels, the SEM is beneficial. This makes it especially appropriate for a study that focuses on metropolitan England, where service accessibility and socioeconomic disparity have a significant impact on community-based physiotherapy involvement.</w:t>
      </w:r>
      <w:r w:rsidRPr="00D86585">
        <w:t xml:space="preserve"> </w:t>
      </w:r>
      <w:r w:rsidRPr="00D86585">
        <w:rPr>
          <w:rFonts w:ascii="Arial" w:hAnsi="Arial" w:cs="Arial"/>
          <w:sz w:val="22"/>
          <w:szCs w:val="22"/>
        </w:rPr>
        <w:t xml:space="preserve">The methodology is in line with public health methods advocated by WHO and NICE, which place a strong focus on fall prevention tactics at the community and system levels. Its primary drawback is </w:t>
      </w:r>
      <w:r w:rsidRPr="00D86585">
        <w:rPr>
          <w:rFonts w:ascii="Arial" w:hAnsi="Arial" w:cs="Arial"/>
          <w:sz w:val="22"/>
          <w:szCs w:val="22"/>
        </w:rPr>
        <w:lastRenderedPageBreak/>
        <w:t xml:space="preserve">its complexity, since it is hard to test each level empirically and does not always provide a detailed explanation for each individual </w:t>
      </w:r>
      <w:proofErr w:type="spellStart"/>
      <w:r w:rsidRPr="00D86585">
        <w:rPr>
          <w:rFonts w:ascii="Arial" w:hAnsi="Arial" w:cs="Arial"/>
          <w:sz w:val="22"/>
          <w:szCs w:val="22"/>
        </w:rPr>
        <w:t>behavior</w:t>
      </w:r>
      <w:proofErr w:type="spellEnd"/>
      <w:r w:rsidRPr="00D86585">
        <w:rPr>
          <w:rFonts w:ascii="Arial" w:hAnsi="Arial" w:cs="Arial"/>
          <w:sz w:val="22"/>
          <w:szCs w:val="22"/>
        </w:rPr>
        <w:t xml:space="preserve">. Nevertheless, it was chosen because it acknowledges how social structures, the environment, and health care design affect fall risk and highlights the larger context in which physiotherapy </w:t>
      </w:r>
      <w:proofErr w:type="gramStart"/>
      <w:r w:rsidRPr="00D86585">
        <w:rPr>
          <w:rFonts w:ascii="Arial" w:hAnsi="Arial" w:cs="Arial"/>
          <w:sz w:val="22"/>
          <w:szCs w:val="22"/>
        </w:rPr>
        <w:t>programs</w:t>
      </w:r>
      <w:proofErr w:type="gramEnd"/>
      <w:r w:rsidRPr="00D86585">
        <w:rPr>
          <w:rFonts w:ascii="Arial" w:hAnsi="Arial" w:cs="Arial"/>
          <w:sz w:val="22"/>
          <w:szCs w:val="22"/>
        </w:rPr>
        <w:t xml:space="preserve"> function.</w:t>
      </w:r>
    </w:p>
    <w:p w14:paraId="40C7394C" w14:textId="77777777" w:rsidR="00D86585" w:rsidRPr="00D86585" w:rsidRDefault="00D86585" w:rsidP="00D86585">
      <w:pPr>
        <w:spacing w:line="360" w:lineRule="auto"/>
        <w:jc w:val="both"/>
        <w:rPr>
          <w:rFonts w:ascii="Arial" w:hAnsi="Arial" w:cs="Arial"/>
          <w:sz w:val="22"/>
          <w:szCs w:val="22"/>
        </w:rPr>
      </w:pPr>
    </w:p>
    <w:p w14:paraId="5759C64D" w14:textId="67481688" w:rsidR="00D86585" w:rsidRPr="003F29DA" w:rsidRDefault="00D86585" w:rsidP="00D86585">
      <w:pPr>
        <w:spacing w:line="360" w:lineRule="auto"/>
        <w:jc w:val="both"/>
        <w:rPr>
          <w:rFonts w:ascii="Arial" w:hAnsi="Arial" w:cs="Arial"/>
          <w:sz w:val="22"/>
          <w:szCs w:val="22"/>
        </w:rPr>
      </w:pPr>
      <w:r w:rsidRPr="00D86585">
        <w:rPr>
          <w:rFonts w:ascii="Arial" w:hAnsi="Arial" w:cs="Arial"/>
          <w:sz w:val="22"/>
          <w:szCs w:val="22"/>
        </w:rPr>
        <w:t>When combined, the Health Belief Model and the Social Ecological Model offer a thorough theoretical framework for this dissertation. While the SEM takes into consideration the environmental, social, and service-level factors that exist in urban England, the HBM explains individual attitudes and motivation for fall-prevention exercise.</w:t>
      </w:r>
      <w:r w:rsidRPr="00D86585">
        <w:t xml:space="preserve"> </w:t>
      </w:r>
      <w:r w:rsidRPr="00D86585">
        <w:rPr>
          <w:rFonts w:ascii="Arial" w:hAnsi="Arial" w:cs="Arial"/>
          <w:sz w:val="22"/>
          <w:szCs w:val="22"/>
        </w:rPr>
        <w:t>Because they largely concentrate on physical impairments and do not sufficiently address psychological, social, and environmental causes of falls, alternative biomedical or solely biomechanical models were not accepted. As a result, these two models were thought to be the most suitable for accomplishing the objectives of this study.</w:t>
      </w:r>
    </w:p>
    <w:p w14:paraId="7C351F75" w14:textId="77777777" w:rsidR="003F29DA" w:rsidRPr="003F29DA" w:rsidRDefault="003F29DA" w:rsidP="002F690B">
      <w:pPr>
        <w:spacing w:line="360" w:lineRule="auto"/>
        <w:jc w:val="both"/>
        <w:rPr>
          <w:rFonts w:ascii="Arial" w:hAnsi="Arial" w:cs="Arial"/>
          <w:sz w:val="22"/>
          <w:szCs w:val="22"/>
        </w:rPr>
      </w:pPr>
    </w:p>
    <w:p w14:paraId="5D831F6E" w14:textId="72233C85" w:rsidR="003F29DA" w:rsidRPr="005D7A42" w:rsidRDefault="003F29DA" w:rsidP="005D7A42">
      <w:pPr>
        <w:pStyle w:val="Heading2"/>
        <w:rPr>
          <w:rFonts w:ascii="Arial" w:hAnsi="Arial" w:cs="Arial"/>
          <w:b/>
          <w:bCs/>
          <w:sz w:val="28"/>
          <w:szCs w:val="28"/>
        </w:rPr>
      </w:pPr>
      <w:bookmarkStart w:id="39" w:name="_Toc219805140"/>
      <w:r w:rsidRPr="005D7A42">
        <w:rPr>
          <w:rFonts w:ascii="Arial" w:hAnsi="Arial" w:cs="Arial"/>
          <w:b/>
          <w:bCs/>
          <w:sz w:val="28"/>
          <w:szCs w:val="28"/>
        </w:rPr>
        <w:t>2.7</w:t>
      </w:r>
      <w:r w:rsidR="005D7A42" w:rsidRPr="005D7A42">
        <w:rPr>
          <w:rFonts w:ascii="Arial" w:hAnsi="Arial" w:cs="Arial"/>
          <w:b/>
          <w:bCs/>
          <w:sz w:val="28"/>
          <w:szCs w:val="28"/>
        </w:rPr>
        <w:t xml:space="preserve"> </w:t>
      </w:r>
      <w:r w:rsidRPr="005D7A42">
        <w:rPr>
          <w:rFonts w:ascii="Arial" w:hAnsi="Arial" w:cs="Arial"/>
          <w:b/>
          <w:bCs/>
          <w:sz w:val="28"/>
          <w:szCs w:val="28"/>
        </w:rPr>
        <w:t>Gaps in the Literature</w:t>
      </w:r>
      <w:bookmarkEnd w:id="39"/>
    </w:p>
    <w:p w14:paraId="2A3962CB" w14:textId="03B541AA" w:rsidR="003F29DA" w:rsidRPr="005D7A42" w:rsidRDefault="003F29DA" w:rsidP="005D7A42">
      <w:pPr>
        <w:pStyle w:val="Heading3"/>
        <w:rPr>
          <w:rFonts w:ascii="Arial" w:hAnsi="Arial" w:cs="Arial"/>
          <w:b/>
          <w:bCs/>
          <w:sz w:val="24"/>
          <w:szCs w:val="24"/>
        </w:rPr>
      </w:pPr>
      <w:bookmarkStart w:id="40" w:name="_Toc219805141"/>
      <w:r w:rsidRPr="005D7A42">
        <w:rPr>
          <w:rFonts w:ascii="Arial" w:hAnsi="Arial" w:cs="Arial"/>
          <w:b/>
          <w:bCs/>
          <w:sz w:val="24"/>
          <w:szCs w:val="24"/>
        </w:rPr>
        <w:t>2.7.1</w:t>
      </w:r>
      <w:r w:rsidR="005D7A42" w:rsidRPr="005D7A42">
        <w:rPr>
          <w:rFonts w:ascii="Arial" w:hAnsi="Arial" w:cs="Arial"/>
          <w:b/>
          <w:bCs/>
          <w:sz w:val="24"/>
          <w:szCs w:val="24"/>
        </w:rPr>
        <w:t xml:space="preserve"> </w:t>
      </w:r>
      <w:r w:rsidRPr="005D7A42">
        <w:rPr>
          <w:rFonts w:ascii="Arial" w:hAnsi="Arial" w:cs="Arial"/>
          <w:b/>
          <w:bCs/>
          <w:sz w:val="24"/>
          <w:szCs w:val="24"/>
        </w:rPr>
        <w:t>Lack of Urban-Specific Evidence</w:t>
      </w:r>
      <w:bookmarkEnd w:id="40"/>
    </w:p>
    <w:p w14:paraId="768FCD60"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There are still </w:t>
      </w:r>
      <w:proofErr w:type="gramStart"/>
      <w:r w:rsidRPr="003F29DA">
        <w:rPr>
          <w:rFonts w:ascii="Arial" w:hAnsi="Arial" w:cs="Arial"/>
          <w:sz w:val="22"/>
          <w:szCs w:val="22"/>
        </w:rPr>
        <w:t>a number of</w:t>
      </w:r>
      <w:proofErr w:type="gramEnd"/>
      <w:r w:rsidRPr="003F29DA">
        <w:rPr>
          <w:rFonts w:ascii="Arial" w:hAnsi="Arial" w:cs="Arial"/>
          <w:sz w:val="22"/>
          <w:szCs w:val="22"/>
        </w:rPr>
        <w:t xml:space="preserve"> gaps in our understanding of fall prevention, especially when it comes to community-based physical therapy in metropolitan England. First, a large portion of the current literature does not distinguish between rural, suburban, and urban contexts when examining fall prevention in general community-dwelling populations. This restricts the findings' relevance to metropolitan England due to the distinct environmental, socioeconomic, and demographic features of urban locations (Grant et al., 2020; Marmot et al., 2020). The effects of urban environmental risks, cultural diversity, socioeconomic inequality, and population density on involvement in physiotherapy-based therapies are not well studied (Marmot et al., 2020; NICE, 2025).</w:t>
      </w:r>
    </w:p>
    <w:p w14:paraId="05C6CE98" w14:textId="77777777" w:rsidR="003F29DA" w:rsidRPr="003F29DA" w:rsidRDefault="003F29DA" w:rsidP="002F690B">
      <w:pPr>
        <w:spacing w:line="360" w:lineRule="auto"/>
        <w:jc w:val="both"/>
        <w:rPr>
          <w:rFonts w:ascii="Arial" w:hAnsi="Arial" w:cs="Arial"/>
          <w:sz w:val="22"/>
          <w:szCs w:val="22"/>
        </w:rPr>
      </w:pPr>
    </w:p>
    <w:p w14:paraId="3CDE8821" w14:textId="590CA16A" w:rsidR="003F29DA" w:rsidRPr="005D7A42" w:rsidRDefault="003F29DA" w:rsidP="005D7A42">
      <w:pPr>
        <w:pStyle w:val="Heading3"/>
        <w:rPr>
          <w:rFonts w:ascii="Arial" w:hAnsi="Arial" w:cs="Arial"/>
          <w:b/>
          <w:bCs/>
          <w:sz w:val="24"/>
          <w:szCs w:val="24"/>
        </w:rPr>
      </w:pPr>
      <w:bookmarkStart w:id="41" w:name="_Toc219805142"/>
      <w:r w:rsidRPr="005D7A42">
        <w:rPr>
          <w:rFonts w:ascii="Arial" w:hAnsi="Arial" w:cs="Arial"/>
          <w:b/>
          <w:bCs/>
          <w:sz w:val="24"/>
          <w:szCs w:val="24"/>
        </w:rPr>
        <w:t>2.7.2</w:t>
      </w:r>
      <w:r w:rsidR="005D7A42" w:rsidRPr="005D7A42">
        <w:rPr>
          <w:rFonts w:ascii="Arial" w:hAnsi="Arial" w:cs="Arial"/>
          <w:b/>
          <w:bCs/>
          <w:sz w:val="24"/>
          <w:szCs w:val="24"/>
        </w:rPr>
        <w:t xml:space="preserve"> </w:t>
      </w:r>
      <w:r w:rsidRPr="005D7A42">
        <w:rPr>
          <w:rFonts w:ascii="Arial" w:hAnsi="Arial" w:cs="Arial"/>
          <w:b/>
          <w:bCs/>
          <w:sz w:val="24"/>
          <w:szCs w:val="24"/>
        </w:rPr>
        <w:t>Lack of Long-Term Follow-Up</w:t>
      </w:r>
      <w:bookmarkEnd w:id="41"/>
    </w:p>
    <w:p w14:paraId="40192D62" w14:textId="17CEFF43"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The little data on the long-term viability of community-based fall prevention initiatives after their initial stages of implementation is another gap. Numerous studies assess short-term results, frequently within six to twelve months, but they don't offer much information on whether gains in confidence, strength, and balance are sustained over several years (Sherrington et al., 2019). This is particularly crucial for public health </w:t>
      </w:r>
      <w:r w:rsidRPr="003F29DA">
        <w:rPr>
          <w:rFonts w:ascii="Arial" w:hAnsi="Arial" w:cs="Arial"/>
          <w:sz w:val="22"/>
          <w:szCs w:val="22"/>
        </w:rPr>
        <w:lastRenderedPageBreak/>
        <w:t>planning, since effective interventions require continual participation, secure financing and continuous adaptation to community requirements (NHS England, 2019). The role of digital technology, such as remote monitoring devices, tele-physiotherapy, and home-based workout applications, is another understudied topic. Despite increased interest in these technologies, particularly in the wake of interruptions to in-person care, there is still a dearth of robust longitudinal data about their efficacy among older people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 </w:t>
      </w:r>
      <w:r w:rsidR="005D7A42" w:rsidRPr="003F29DA">
        <w:rPr>
          <w:rFonts w:ascii="Arial" w:hAnsi="Arial" w:cs="Arial"/>
          <w:sz w:val="22"/>
          <w:szCs w:val="22"/>
        </w:rPr>
        <w:t>To</w:t>
      </w:r>
      <w:r w:rsidRPr="003F29DA">
        <w:rPr>
          <w:rFonts w:ascii="Arial" w:hAnsi="Arial" w:cs="Arial"/>
          <w:sz w:val="22"/>
          <w:szCs w:val="22"/>
        </w:rPr>
        <w:t xml:space="preserve"> maintain fall prevention techniques' responsiveness, accessibility, and adaptability in quickly changing social and health contexts, it is imperative that these deficiencies be filled (NICE, 2025).</w:t>
      </w:r>
    </w:p>
    <w:p w14:paraId="20EEE8D0" w14:textId="77777777" w:rsidR="003F29DA" w:rsidRPr="003F29DA" w:rsidRDefault="003F29DA" w:rsidP="002F690B">
      <w:pPr>
        <w:spacing w:line="360" w:lineRule="auto"/>
        <w:jc w:val="both"/>
        <w:rPr>
          <w:rFonts w:ascii="Arial" w:hAnsi="Arial" w:cs="Arial"/>
          <w:sz w:val="22"/>
          <w:szCs w:val="22"/>
        </w:rPr>
      </w:pPr>
    </w:p>
    <w:p w14:paraId="5341ED4D" w14:textId="685351BE" w:rsidR="003F29DA" w:rsidRPr="005D7A42" w:rsidRDefault="003F29DA" w:rsidP="005D7A42">
      <w:pPr>
        <w:pStyle w:val="Heading3"/>
        <w:rPr>
          <w:rFonts w:ascii="Arial" w:hAnsi="Arial" w:cs="Arial"/>
          <w:b/>
          <w:bCs/>
          <w:sz w:val="24"/>
          <w:szCs w:val="24"/>
        </w:rPr>
      </w:pPr>
      <w:bookmarkStart w:id="42" w:name="_Toc219805143"/>
      <w:r w:rsidRPr="005D7A42">
        <w:rPr>
          <w:rFonts w:ascii="Arial" w:hAnsi="Arial" w:cs="Arial"/>
          <w:b/>
          <w:bCs/>
          <w:sz w:val="24"/>
          <w:szCs w:val="24"/>
        </w:rPr>
        <w:t>2.7.3</w:t>
      </w:r>
      <w:r w:rsidR="005D7A42" w:rsidRPr="005D7A42">
        <w:rPr>
          <w:rFonts w:ascii="Arial" w:hAnsi="Arial" w:cs="Arial"/>
          <w:b/>
          <w:bCs/>
          <w:sz w:val="24"/>
          <w:szCs w:val="24"/>
        </w:rPr>
        <w:t xml:space="preserve"> </w:t>
      </w:r>
      <w:r w:rsidRPr="005D7A42">
        <w:rPr>
          <w:rFonts w:ascii="Arial" w:hAnsi="Arial" w:cs="Arial"/>
          <w:b/>
          <w:bCs/>
          <w:sz w:val="24"/>
          <w:szCs w:val="24"/>
        </w:rPr>
        <w:t>Methodological Variability</w:t>
      </w:r>
      <w:bookmarkEnd w:id="42"/>
    </w:p>
    <w:p w14:paraId="2339910B" w14:textId="71721C9C"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Second, there are difficulties due to methodological differences between </w:t>
      </w:r>
      <w:proofErr w:type="gramStart"/>
      <w:r w:rsidR="005D7A42" w:rsidRPr="003F29DA">
        <w:rPr>
          <w:rFonts w:ascii="Arial" w:hAnsi="Arial" w:cs="Arial"/>
          <w:sz w:val="22"/>
          <w:szCs w:val="22"/>
        </w:rPr>
        <w:t>researches</w:t>
      </w:r>
      <w:proofErr w:type="gramEnd"/>
      <w:r w:rsidRPr="003F29DA">
        <w:rPr>
          <w:rFonts w:ascii="Arial" w:hAnsi="Arial" w:cs="Arial"/>
          <w:sz w:val="22"/>
          <w:szCs w:val="22"/>
        </w:rPr>
        <w:t xml:space="preserve">. Interventions varied greatly in duration, intensity, content, supervision level, group size, and outcome measures. This variation restricts the generalizability of findings and complicates comparisons (Smith and Turner, 2021; Sherrington et al., 2019). Understanding long-term adherence and sustained impact is limited since </w:t>
      </w:r>
      <w:proofErr w:type="gramStart"/>
      <w:r w:rsidRPr="003F29DA">
        <w:rPr>
          <w:rFonts w:ascii="Arial" w:hAnsi="Arial" w:cs="Arial"/>
          <w:sz w:val="22"/>
          <w:szCs w:val="22"/>
        </w:rPr>
        <w:t>many</w:t>
      </w:r>
      <w:proofErr w:type="gramEnd"/>
      <w:r w:rsidRPr="003F29DA">
        <w:rPr>
          <w:rFonts w:ascii="Arial" w:hAnsi="Arial" w:cs="Arial"/>
          <w:sz w:val="22"/>
          <w:szCs w:val="22"/>
        </w:rPr>
        <w:t xml:space="preserve"> research rely on short follow-up periods, sometimes six months or less. There is a need for longitudinal study evaluating whether benefits in balance, strength, and fall reduction remain beyond the intervention period (Sherrington et al., 2019; Sherrington et al., 2020).</w:t>
      </w:r>
    </w:p>
    <w:p w14:paraId="727E2650" w14:textId="77777777" w:rsidR="003F29DA" w:rsidRPr="003F29DA" w:rsidRDefault="003F29DA" w:rsidP="002F690B">
      <w:pPr>
        <w:spacing w:line="360" w:lineRule="auto"/>
        <w:jc w:val="both"/>
        <w:rPr>
          <w:rFonts w:ascii="Arial" w:hAnsi="Arial" w:cs="Arial"/>
          <w:sz w:val="22"/>
          <w:szCs w:val="22"/>
        </w:rPr>
      </w:pPr>
    </w:p>
    <w:p w14:paraId="09BBC27D" w14:textId="0C68175A" w:rsidR="003F29DA" w:rsidRPr="005D7A42" w:rsidRDefault="003F29DA" w:rsidP="005D7A42">
      <w:pPr>
        <w:pStyle w:val="Heading3"/>
        <w:rPr>
          <w:rFonts w:ascii="Arial" w:hAnsi="Arial" w:cs="Arial"/>
          <w:b/>
          <w:bCs/>
          <w:sz w:val="24"/>
          <w:szCs w:val="24"/>
        </w:rPr>
      </w:pPr>
      <w:bookmarkStart w:id="43" w:name="_Toc219805144"/>
      <w:r w:rsidRPr="005D7A42">
        <w:rPr>
          <w:rFonts w:ascii="Arial" w:hAnsi="Arial" w:cs="Arial"/>
          <w:b/>
          <w:bCs/>
          <w:sz w:val="24"/>
          <w:szCs w:val="24"/>
        </w:rPr>
        <w:t>2.7.4</w:t>
      </w:r>
      <w:r w:rsidR="005D7A42" w:rsidRPr="005D7A42">
        <w:rPr>
          <w:rFonts w:ascii="Arial" w:hAnsi="Arial" w:cs="Arial"/>
          <w:b/>
          <w:bCs/>
          <w:sz w:val="24"/>
          <w:szCs w:val="24"/>
        </w:rPr>
        <w:t xml:space="preserve"> </w:t>
      </w:r>
      <w:r w:rsidRPr="005D7A42">
        <w:rPr>
          <w:rFonts w:ascii="Arial" w:hAnsi="Arial" w:cs="Arial"/>
          <w:b/>
          <w:bCs/>
          <w:sz w:val="24"/>
          <w:szCs w:val="24"/>
        </w:rPr>
        <w:t>Lack of Qualitative/Psychosocial Evidence</w:t>
      </w:r>
      <w:bookmarkEnd w:id="43"/>
    </w:p>
    <w:p w14:paraId="0320EA17"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Third, many studies focus solely on clinical results without sufficiently considering participants lived experiences, cultural influences, psychological obstacles, or views of intervention relevance. Qualitative study investigating motives, challenges, and preferences across different urban groups is sparse. Such insights are vital for devising culturally relevant and person-centred treatments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 Marmot et al., 2020).</w:t>
      </w:r>
    </w:p>
    <w:p w14:paraId="20C11C12" w14:textId="77777777" w:rsidR="003F29DA" w:rsidRPr="003F29DA" w:rsidRDefault="003F29DA" w:rsidP="002F690B">
      <w:pPr>
        <w:spacing w:line="360" w:lineRule="auto"/>
        <w:jc w:val="both"/>
        <w:rPr>
          <w:rFonts w:ascii="Arial" w:hAnsi="Arial" w:cs="Arial"/>
          <w:sz w:val="22"/>
          <w:szCs w:val="22"/>
        </w:rPr>
      </w:pPr>
    </w:p>
    <w:p w14:paraId="67A13A47" w14:textId="5D1AADBC" w:rsidR="003F29DA" w:rsidRPr="005D7A42" w:rsidRDefault="003F29DA" w:rsidP="005D7A42">
      <w:pPr>
        <w:pStyle w:val="Heading3"/>
        <w:rPr>
          <w:rFonts w:ascii="Arial" w:hAnsi="Arial" w:cs="Arial"/>
          <w:b/>
          <w:bCs/>
          <w:sz w:val="24"/>
          <w:szCs w:val="24"/>
        </w:rPr>
      </w:pPr>
      <w:bookmarkStart w:id="44" w:name="_Toc219805145"/>
      <w:r w:rsidRPr="005D7A42">
        <w:rPr>
          <w:rFonts w:ascii="Arial" w:hAnsi="Arial" w:cs="Arial"/>
          <w:b/>
          <w:bCs/>
          <w:sz w:val="24"/>
          <w:szCs w:val="24"/>
        </w:rPr>
        <w:t>2.7.5</w:t>
      </w:r>
      <w:r w:rsidR="005D7A42" w:rsidRPr="005D7A42">
        <w:rPr>
          <w:rFonts w:ascii="Arial" w:hAnsi="Arial" w:cs="Arial"/>
          <w:b/>
          <w:bCs/>
          <w:sz w:val="24"/>
          <w:szCs w:val="24"/>
        </w:rPr>
        <w:t xml:space="preserve"> </w:t>
      </w:r>
      <w:r w:rsidRPr="005D7A42">
        <w:rPr>
          <w:rFonts w:ascii="Arial" w:hAnsi="Arial" w:cs="Arial"/>
          <w:b/>
          <w:bCs/>
          <w:sz w:val="24"/>
          <w:szCs w:val="24"/>
        </w:rPr>
        <w:t>Cost-Effectiveness Gaps</w:t>
      </w:r>
      <w:bookmarkEnd w:id="44"/>
    </w:p>
    <w:p w14:paraId="2F45B339"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Fourth, not enough research has been done on cost-effectiveness. The long-term financial viability of community-based physiotherapy is not well-documented in the UK urban environment, despite some research showing that programs like the Otago Exercise Program can be cost-effective (Jones et al., 2023; Shubert et al., 2017). </w:t>
      </w:r>
      <w:r w:rsidRPr="003F29DA">
        <w:rPr>
          <w:rFonts w:ascii="Arial" w:hAnsi="Arial" w:cs="Arial"/>
          <w:sz w:val="22"/>
          <w:szCs w:val="22"/>
        </w:rPr>
        <w:lastRenderedPageBreak/>
        <w:t>Economic assessments are crucial for guiding commissioning choices and guaranteeing fair care delivery given the limited resources available to the NHS (NICE, 2015; NHS England, 2019).</w:t>
      </w:r>
    </w:p>
    <w:p w14:paraId="1FF96E19" w14:textId="77777777" w:rsidR="003F29DA" w:rsidRPr="003F29DA" w:rsidRDefault="003F29DA" w:rsidP="002F690B">
      <w:pPr>
        <w:spacing w:line="360" w:lineRule="auto"/>
        <w:jc w:val="both"/>
        <w:rPr>
          <w:rFonts w:ascii="Arial" w:hAnsi="Arial" w:cs="Arial"/>
          <w:sz w:val="22"/>
          <w:szCs w:val="22"/>
        </w:rPr>
      </w:pPr>
    </w:p>
    <w:p w14:paraId="33DE6A14" w14:textId="25FB9EE7" w:rsidR="003F29DA" w:rsidRPr="005D7A42" w:rsidRDefault="003F29DA" w:rsidP="005D7A42">
      <w:pPr>
        <w:pStyle w:val="Heading3"/>
        <w:rPr>
          <w:rFonts w:ascii="Arial" w:hAnsi="Arial" w:cs="Arial"/>
          <w:b/>
          <w:bCs/>
          <w:sz w:val="24"/>
          <w:szCs w:val="24"/>
        </w:rPr>
      </w:pPr>
      <w:bookmarkStart w:id="45" w:name="_Toc219805146"/>
      <w:r w:rsidRPr="005D7A42">
        <w:rPr>
          <w:rFonts w:ascii="Arial" w:hAnsi="Arial" w:cs="Arial"/>
          <w:b/>
          <w:bCs/>
          <w:sz w:val="24"/>
          <w:szCs w:val="24"/>
        </w:rPr>
        <w:t>2.7.6 Inconsistent Application of Theory</w:t>
      </w:r>
      <w:bookmarkEnd w:id="45"/>
    </w:p>
    <w:p w14:paraId="4E170A8A" w14:textId="5E02ED8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Fifth, there is scant research evaluating how theoretical frameworks such as HBM or SEM have been directly applied to fall-prevention programme design and assessment. Although behavioural and environmental factors are acknowledged in most investigations, theoretical components are not consistently included into intervention planning. This hampers comprehension of the processes driving successful therapies (McLeroy et al., 1988;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w:t>
      </w:r>
      <w:r w:rsidR="008C0C7F">
        <w:rPr>
          <w:rFonts w:ascii="Arial" w:hAnsi="Arial" w:cs="Arial"/>
          <w:sz w:val="22"/>
          <w:szCs w:val="22"/>
        </w:rPr>
        <w:t xml:space="preserve"> </w:t>
      </w:r>
      <w:r w:rsidR="008C0C7F" w:rsidRPr="008C0C7F">
        <w:rPr>
          <w:rFonts w:ascii="Arial" w:hAnsi="Arial" w:cs="Arial"/>
          <w:sz w:val="22"/>
          <w:szCs w:val="22"/>
        </w:rPr>
        <w:t>According to implementation science research, theory-informed intervention design enhances the sustainability, scalability, and fidelity of complex health interventions in practical contexts (Craig et al., 2018; Moore et al., 2019).</w:t>
      </w:r>
    </w:p>
    <w:p w14:paraId="64FC3882"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Collectively, these deficiencies underscore the need for a focused systematic evaluation investigating the efficacy, accessibility, and contextual relevance of community-based physiotherapy initiatives in metropolitan England.</w:t>
      </w:r>
    </w:p>
    <w:p w14:paraId="3B10AE0A" w14:textId="77777777" w:rsidR="003F29DA" w:rsidRPr="003F29DA" w:rsidRDefault="003F29DA" w:rsidP="002F690B">
      <w:pPr>
        <w:spacing w:line="360" w:lineRule="auto"/>
        <w:jc w:val="both"/>
        <w:rPr>
          <w:rFonts w:ascii="Arial" w:hAnsi="Arial" w:cs="Arial"/>
          <w:sz w:val="22"/>
          <w:szCs w:val="22"/>
        </w:rPr>
      </w:pPr>
    </w:p>
    <w:p w14:paraId="13F45CCE" w14:textId="798AF80C" w:rsidR="003F29DA" w:rsidRPr="004673E9" w:rsidRDefault="003F29DA" w:rsidP="004673E9">
      <w:pPr>
        <w:pStyle w:val="Heading2"/>
        <w:rPr>
          <w:rFonts w:ascii="Arial" w:hAnsi="Arial" w:cs="Arial"/>
          <w:b/>
          <w:bCs/>
          <w:sz w:val="28"/>
          <w:szCs w:val="28"/>
        </w:rPr>
      </w:pPr>
      <w:bookmarkStart w:id="46" w:name="_Toc219805147"/>
      <w:r w:rsidRPr="004673E9">
        <w:rPr>
          <w:rFonts w:ascii="Arial" w:hAnsi="Arial" w:cs="Arial"/>
          <w:b/>
          <w:bCs/>
          <w:sz w:val="28"/>
          <w:szCs w:val="28"/>
        </w:rPr>
        <w:t>2.8</w:t>
      </w:r>
      <w:r w:rsidR="004673E9" w:rsidRPr="004673E9">
        <w:rPr>
          <w:rFonts w:ascii="Arial" w:hAnsi="Arial" w:cs="Arial"/>
          <w:b/>
          <w:bCs/>
          <w:sz w:val="28"/>
          <w:szCs w:val="28"/>
        </w:rPr>
        <w:t xml:space="preserve"> </w:t>
      </w:r>
      <w:r w:rsidRPr="004673E9">
        <w:rPr>
          <w:rFonts w:ascii="Arial" w:hAnsi="Arial" w:cs="Arial"/>
          <w:b/>
          <w:bCs/>
          <w:sz w:val="28"/>
          <w:szCs w:val="28"/>
        </w:rPr>
        <w:t>Summary</w:t>
      </w:r>
      <w:bookmarkEnd w:id="46"/>
    </w:p>
    <w:p w14:paraId="275E6060" w14:textId="635AD62C"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The research on falls among older individuals and the function of community-based physical therapy in preventing falls has been thoroughly reviewed in this chapter, with particular focus on the urban environment in England. Falls are a serious public health concern, linked with high morbidity, death, and economic impact (WHO, 2021; NICE, 2025). Epidemiological research underlines the particularly high prevalence of falls among older people living in metropolitan environments, where environmental risks, socioeconomic disadvantage, and cultural variety meet to enhance risk (Marmot et al., 2020; NICE, 2025). Physiotherapy therapies, especially when given within community settings, have shown great potential to prevent falls, improve physical function, and increase quality of life (Sherrington et al., 2019; Sherrington et al., 2020). Intrinsic, extrinsic, </w:t>
      </w:r>
      <w:proofErr w:type="spellStart"/>
      <w:r w:rsidRPr="003F29DA">
        <w:rPr>
          <w:rFonts w:ascii="Arial" w:hAnsi="Arial" w:cs="Arial"/>
          <w:sz w:val="22"/>
          <w:szCs w:val="22"/>
        </w:rPr>
        <w:t>behavioral</w:t>
      </w:r>
      <w:proofErr w:type="spellEnd"/>
      <w:r w:rsidRPr="003F29DA">
        <w:rPr>
          <w:rFonts w:ascii="Arial" w:hAnsi="Arial" w:cs="Arial"/>
          <w:sz w:val="22"/>
          <w:szCs w:val="22"/>
        </w:rPr>
        <w:t xml:space="preserve">, and social factors all affect how effective these programs are, requiring interdisciplinary and holistic approaches (Montero- </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 NICE, 2025).</w:t>
      </w:r>
    </w:p>
    <w:p w14:paraId="6AA40F86" w14:textId="77777777" w:rsid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Theoretical frameworks as the Health Belief Model and the Social Ecological Model offer helpful insights for understanding the complex interaction of individual beliefs, </w:t>
      </w:r>
      <w:r w:rsidRPr="003F29DA">
        <w:rPr>
          <w:rFonts w:ascii="Arial" w:hAnsi="Arial" w:cs="Arial"/>
          <w:sz w:val="22"/>
          <w:szCs w:val="22"/>
        </w:rPr>
        <w:lastRenderedPageBreak/>
        <w:t>contextual factors, and organizational structures impacting participation with physiotherapy interventions (Rosenstock, 1974; McLeroy et al., 1988). Despite strong data supporting physiotherapy-based fall prevention, many gaps exist, notably regarding long-term effectiveness, cost-efficiency, cultural relevance, and specific application to urban England. The systematic review conducted in this dissertation, which attempts to synthesize the available data and offer insights to guide practice and policy targeted at lowering falls among older individuals living in urban settings, is justified by these gaps.</w:t>
      </w:r>
    </w:p>
    <w:p w14:paraId="16D7B9D8" w14:textId="39FF4DCA" w:rsidR="007B6AB4" w:rsidRPr="007B6AB4" w:rsidRDefault="007B6AB4" w:rsidP="007B6AB4">
      <w:pPr>
        <w:pStyle w:val="Heading3"/>
        <w:rPr>
          <w:rFonts w:ascii="Arial" w:hAnsi="Arial" w:cs="Arial"/>
          <w:b/>
          <w:bCs/>
          <w:sz w:val="24"/>
          <w:szCs w:val="24"/>
        </w:rPr>
      </w:pPr>
      <w:bookmarkStart w:id="47" w:name="_Toc219805148"/>
      <w:r>
        <w:rPr>
          <w:rFonts w:ascii="Arial" w:hAnsi="Arial" w:cs="Arial"/>
          <w:b/>
          <w:bCs/>
          <w:sz w:val="24"/>
          <w:szCs w:val="24"/>
        </w:rPr>
        <w:t xml:space="preserve">2.9 </w:t>
      </w:r>
      <w:r w:rsidRPr="007B6AB4">
        <w:rPr>
          <w:rFonts w:ascii="Arial" w:hAnsi="Arial" w:cs="Arial"/>
          <w:b/>
          <w:bCs/>
          <w:sz w:val="24"/>
          <w:szCs w:val="24"/>
        </w:rPr>
        <w:t>Synthesis of Literature and Conceptual Framework</w:t>
      </w:r>
      <w:bookmarkEnd w:id="47"/>
    </w:p>
    <w:p w14:paraId="23E0B60F" w14:textId="163458B4" w:rsidR="007B6AB4" w:rsidRPr="003F29DA" w:rsidRDefault="007B6AB4" w:rsidP="002F690B">
      <w:pPr>
        <w:spacing w:line="360" w:lineRule="auto"/>
        <w:jc w:val="both"/>
        <w:rPr>
          <w:rFonts w:ascii="Arial" w:hAnsi="Arial" w:cs="Arial"/>
          <w:sz w:val="22"/>
          <w:szCs w:val="22"/>
        </w:rPr>
      </w:pPr>
      <w:r w:rsidRPr="007B6AB4">
        <w:rPr>
          <w:rFonts w:ascii="Arial" w:hAnsi="Arial" w:cs="Arial"/>
          <w:sz w:val="22"/>
          <w:szCs w:val="22"/>
        </w:rPr>
        <w:t xml:space="preserve">The evidence consistently shows that falls in older persons are multifaceted, arising from the interplay of </w:t>
      </w:r>
      <w:proofErr w:type="spellStart"/>
      <w:r w:rsidRPr="007B6AB4">
        <w:rPr>
          <w:rFonts w:ascii="Arial" w:hAnsi="Arial" w:cs="Arial"/>
          <w:sz w:val="22"/>
          <w:szCs w:val="22"/>
        </w:rPr>
        <w:t>behavioral</w:t>
      </w:r>
      <w:proofErr w:type="spellEnd"/>
      <w:r w:rsidRPr="007B6AB4">
        <w:rPr>
          <w:rFonts w:ascii="Arial" w:hAnsi="Arial" w:cs="Arial"/>
          <w:sz w:val="22"/>
          <w:szCs w:val="22"/>
        </w:rPr>
        <w:t xml:space="preserve"> variables, environmental dangers, physiological decline, and decreased balance. Strong evidence from systematic reviews shows that community-based physiotherapy therapies, especially those that include strength and balance training, are successful in lowering older individuals' risk of falling and suffering injuries linked to falls (Sherrington et al., 2019; Gillespie et al., 2021). Socio-ecological and public health models emphasize the significance of environmental alteration, social support, and community participation in maintaining fall-prevention outcomes in addition to scientific causes. Long-term adherence to exercise-based physiotherapy programs in community settings is further explained by </w:t>
      </w:r>
      <w:proofErr w:type="spellStart"/>
      <w:r w:rsidRPr="007B6AB4">
        <w:rPr>
          <w:rFonts w:ascii="Arial" w:hAnsi="Arial" w:cs="Arial"/>
          <w:sz w:val="22"/>
          <w:szCs w:val="22"/>
        </w:rPr>
        <w:t>behavior</w:t>
      </w:r>
      <w:proofErr w:type="spellEnd"/>
      <w:r w:rsidRPr="007B6AB4">
        <w:rPr>
          <w:rFonts w:ascii="Arial" w:hAnsi="Arial" w:cs="Arial"/>
          <w:sz w:val="22"/>
          <w:szCs w:val="22"/>
        </w:rPr>
        <w:t xml:space="preserve"> modification theories, such as self-efficacy frameworks (Bandura, 1997; Yardley et al., 2016).</w:t>
      </w:r>
      <w:r w:rsidRPr="007B6AB4">
        <w:t xml:space="preserve"> </w:t>
      </w:r>
      <w:r w:rsidRPr="007B6AB4">
        <w:rPr>
          <w:rFonts w:ascii="Arial" w:hAnsi="Arial" w:cs="Arial"/>
          <w:sz w:val="22"/>
          <w:szCs w:val="22"/>
        </w:rPr>
        <w:t>Together, these viewpoints influence the methodological strategy described in the next chapter as well as the conceptual framework supporting the current investigation.</w:t>
      </w:r>
    </w:p>
    <w:p w14:paraId="59F0B247" w14:textId="77777777" w:rsidR="008C0C7F" w:rsidRDefault="008C0C7F" w:rsidP="002F690B">
      <w:pPr>
        <w:spacing w:line="360" w:lineRule="auto"/>
        <w:jc w:val="both"/>
        <w:rPr>
          <w:rFonts w:ascii="Arial" w:hAnsi="Arial" w:cs="Arial"/>
          <w:sz w:val="22"/>
          <w:szCs w:val="22"/>
        </w:rPr>
      </w:pPr>
    </w:p>
    <w:p w14:paraId="1DECD9B1" w14:textId="77777777" w:rsidR="003C75C6" w:rsidRDefault="003C75C6" w:rsidP="002F690B">
      <w:pPr>
        <w:spacing w:line="360" w:lineRule="auto"/>
        <w:jc w:val="both"/>
        <w:rPr>
          <w:rFonts w:ascii="Arial" w:hAnsi="Arial" w:cs="Arial"/>
          <w:sz w:val="22"/>
          <w:szCs w:val="22"/>
        </w:rPr>
      </w:pPr>
    </w:p>
    <w:p w14:paraId="1C963798" w14:textId="77777777" w:rsidR="003C75C6" w:rsidRDefault="003C75C6" w:rsidP="002F690B">
      <w:pPr>
        <w:spacing w:line="360" w:lineRule="auto"/>
        <w:jc w:val="both"/>
        <w:rPr>
          <w:rFonts w:ascii="Arial" w:hAnsi="Arial" w:cs="Arial"/>
          <w:sz w:val="22"/>
          <w:szCs w:val="22"/>
        </w:rPr>
      </w:pPr>
    </w:p>
    <w:p w14:paraId="2691C43E" w14:textId="77777777" w:rsidR="003C75C6" w:rsidRDefault="003C75C6" w:rsidP="002F690B">
      <w:pPr>
        <w:spacing w:line="360" w:lineRule="auto"/>
        <w:jc w:val="both"/>
        <w:rPr>
          <w:rFonts w:ascii="Arial" w:hAnsi="Arial" w:cs="Arial"/>
          <w:sz w:val="22"/>
          <w:szCs w:val="22"/>
        </w:rPr>
      </w:pPr>
    </w:p>
    <w:p w14:paraId="14519C58" w14:textId="77777777" w:rsidR="003C75C6" w:rsidRDefault="003C75C6" w:rsidP="002F690B">
      <w:pPr>
        <w:spacing w:line="360" w:lineRule="auto"/>
        <w:jc w:val="both"/>
        <w:rPr>
          <w:rFonts w:ascii="Arial" w:hAnsi="Arial" w:cs="Arial"/>
          <w:sz w:val="22"/>
          <w:szCs w:val="22"/>
        </w:rPr>
      </w:pPr>
    </w:p>
    <w:p w14:paraId="787C0371" w14:textId="77777777" w:rsidR="003C75C6" w:rsidRDefault="003C75C6" w:rsidP="002F690B">
      <w:pPr>
        <w:spacing w:line="360" w:lineRule="auto"/>
        <w:jc w:val="both"/>
        <w:rPr>
          <w:rFonts w:ascii="Arial" w:hAnsi="Arial" w:cs="Arial"/>
          <w:sz w:val="22"/>
          <w:szCs w:val="22"/>
        </w:rPr>
      </w:pPr>
    </w:p>
    <w:p w14:paraId="3EC7B748" w14:textId="77777777" w:rsidR="003C75C6" w:rsidRDefault="003C75C6" w:rsidP="002F690B">
      <w:pPr>
        <w:spacing w:line="360" w:lineRule="auto"/>
        <w:jc w:val="both"/>
        <w:rPr>
          <w:rFonts w:ascii="Arial" w:hAnsi="Arial" w:cs="Arial"/>
          <w:sz w:val="22"/>
          <w:szCs w:val="22"/>
        </w:rPr>
      </w:pPr>
    </w:p>
    <w:p w14:paraId="398B4B2B" w14:textId="77777777" w:rsidR="003C75C6" w:rsidRDefault="003C75C6" w:rsidP="002F690B">
      <w:pPr>
        <w:spacing w:line="360" w:lineRule="auto"/>
        <w:jc w:val="both"/>
        <w:rPr>
          <w:rFonts w:ascii="Arial" w:hAnsi="Arial" w:cs="Arial"/>
          <w:sz w:val="22"/>
          <w:szCs w:val="22"/>
        </w:rPr>
      </w:pPr>
    </w:p>
    <w:p w14:paraId="4E06F0AB" w14:textId="77777777" w:rsidR="003C75C6" w:rsidRPr="003F29DA" w:rsidRDefault="003C75C6" w:rsidP="002F690B">
      <w:pPr>
        <w:spacing w:line="360" w:lineRule="auto"/>
        <w:jc w:val="both"/>
        <w:rPr>
          <w:rFonts w:ascii="Arial" w:hAnsi="Arial" w:cs="Arial"/>
          <w:sz w:val="22"/>
          <w:szCs w:val="22"/>
        </w:rPr>
      </w:pPr>
    </w:p>
    <w:p w14:paraId="088941E7" w14:textId="77777777" w:rsidR="003F29DA" w:rsidRPr="004673E9" w:rsidRDefault="003F29DA" w:rsidP="004673E9">
      <w:pPr>
        <w:pStyle w:val="Heading1"/>
        <w:rPr>
          <w:rFonts w:ascii="Arial" w:hAnsi="Arial" w:cs="Arial"/>
          <w:b/>
          <w:bCs/>
          <w:sz w:val="32"/>
          <w:szCs w:val="32"/>
        </w:rPr>
      </w:pPr>
      <w:bookmarkStart w:id="48" w:name="_Toc219805149"/>
      <w:r w:rsidRPr="004673E9">
        <w:rPr>
          <w:rFonts w:ascii="Arial" w:hAnsi="Arial" w:cs="Arial"/>
          <w:b/>
          <w:bCs/>
          <w:sz w:val="32"/>
          <w:szCs w:val="32"/>
        </w:rPr>
        <w:lastRenderedPageBreak/>
        <w:t>Chapter 3: Methodology</w:t>
      </w:r>
      <w:bookmarkEnd w:id="48"/>
    </w:p>
    <w:p w14:paraId="0991E4AD" w14:textId="174918C1" w:rsidR="003F29DA" w:rsidRPr="004673E9" w:rsidRDefault="003F29DA" w:rsidP="004673E9">
      <w:pPr>
        <w:pStyle w:val="Heading2"/>
        <w:rPr>
          <w:rFonts w:ascii="Arial" w:hAnsi="Arial" w:cs="Arial"/>
          <w:b/>
          <w:bCs/>
          <w:sz w:val="28"/>
          <w:szCs w:val="28"/>
        </w:rPr>
      </w:pPr>
      <w:bookmarkStart w:id="49" w:name="_Toc219805150"/>
      <w:r w:rsidRPr="004673E9">
        <w:rPr>
          <w:rFonts w:ascii="Arial" w:hAnsi="Arial" w:cs="Arial"/>
          <w:b/>
          <w:bCs/>
          <w:sz w:val="28"/>
          <w:szCs w:val="28"/>
        </w:rPr>
        <w:t>3.1 Introduction</w:t>
      </w:r>
      <w:bookmarkEnd w:id="49"/>
    </w:p>
    <w:p w14:paraId="0A429480" w14:textId="61D2B17A"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The methodological approach for a comprehensive study of the efficacy of community-based physiotherapy treatments in avoiding falls among older individuals residing in urban England is described in this chapter (NICE, 2025;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 The Preferred Reporting Items for Systematic Reviews and Meta-Analyses (PRISMA 2020) standards were followed by the technique, which took an organized, transparent, and repeatable approach (Page et al., 2021; Moher et al., 2009). Systematic reviews represent the highest level of evidence synthesis within evidence-based healthcare due to their ability to consolidate findings across multiple studies, reduce bias through standardized procedures and provide clarity on intervention effectiveness in diverse contexts (Higgins et al., 2020; Li et al., 2022; </w:t>
      </w:r>
      <w:proofErr w:type="spellStart"/>
      <w:r w:rsidRPr="003F29DA">
        <w:rPr>
          <w:rFonts w:ascii="Arial" w:hAnsi="Arial" w:cs="Arial"/>
          <w:sz w:val="22"/>
          <w:szCs w:val="22"/>
        </w:rPr>
        <w:t>Aromataris</w:t>
      </w:r>
      <w:proofErr w:type="spellEnd"/>
      <w:r w:rsidRPr="003F29DA">
        <w:rPr>
          <w:rFonts w:ascii="Arial" w:hAnsi="Arial" w:cs="Arial"/>
          <w:sz w:val="22"/>
          <w:szCs w:val="22"/>
        </w:rPr>
        <w:t xml:space="preserve"> and Munn, 2020). </w:t>
      </w:r>
      <w:r w:rsidR="00416A68" w:rsidRPr="00416A68">
        <w:rPr>
          <w:rFonts w:ascii="Arial" w:hAnsi="Arial" w:cs="Arial"/>
          <w:sz w:val="22"/>
          <w:szCs w:val="22"/>
        </w:rPr>
        <w:t>In rehabilitation research, where contextual variability and intervention heterogeneity frequently restrict the generalizability of individual primary studies, systematic reviews are especially helpful (</w:t>
      </w:r>
      <w:proofErr w:type="spellStart"/>
      <w:r w:rsidR="00416A68" w:rsidRPr="00416A68">
        <w:rPr>
          <w:rFonts w:ascii="Arial" w:hAnsi="Arial" w:cs="Arial"/>
          <w:sz w:val="22"/>
          <w:szCs w:val="22"/>
        </w:rPr>
        <w:t>Tricco</w:t>
      </w:r>
      <w:proofErr w:type="spellEnd"/>
      <w:r w:rsidR="00416A68" w:rsidRPr="00416A68">
        <w:rPr>
          <w:rFonts w:ascii="Arial" w:hAnsi="Arial" w:cs="Arial"/>
          <w:sz w:val="22"/>
          <w:szCs w:val="22"/>
        </w:rPr>
        <w:t xml:space="preserve"> et al., 2018; Peters et al., 2020).</w:t>
      </w:r>
      <w:r w:rsidR="00416A68">
        <w:rPr>
          <w:rFonts w:ascii="Arial" w:hAnsi="Arial" w:cs="Arial"/>
          <w:sz w:val="22"/>
          <w:szCs w:val="22"/>
        </w:rPr>
        <w:t xml:space="preserve"> </w:t>
      </w:r>
      <w:r w:rsidRPr="003F29DA">
        <w:rPr>
          <w:rFonts w:ascii="Arial" w:hAnsi="Arial" w:cs="Arial"/>
          <w:sz w:val="22"/>
          <w:szCs w:val="22"/>
        </w:rPr>
        <w:t>Given the complex and multifaceted character of falls in older individuals, a systematic review is the most appropriate way for extracting significant results that may impact public health practice, physiotherapy service design and future research initiatives (WHO, 2021; NICE, 2025).</w:t>
      </w:r>
    </w:p>
    <w:p w14:paraId="37479664"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Falls in older people are impacted by physiological, </w:t>
      </w:r>
      <w:proofErr w:type="spellStart"/>
      <w:r w:rsidRPr="003F29DA">
        <w:rPr>
          <w:rFonts w:ascii="Arial" w:hAnsi="Arial" w:cs="Arial"/>
          <w:sz w:val="22"/>
          <w:szCs w:val="22"/>
        </w:rPr>
        <w:t>behavioral</w:t>
      </w:r>
      <w:proofErr w:type="spellEnd"/>
      <w:r w:rsidRPr="003F29DA">
        <w:rPr>
          <w:rFonts w:ascii="Arial" w:hAnsi="Arial" w:cs="Arial"/>
          <w:sz w:val="22"/>
          <w:szCs w:val="22"/>
        </w:rPr>
        <w:t>, environmental and socioeconomic variables, making research in this field inherently varied (Sherrington et al., 2020; Marmot et al., 2020). As community-based physiotherapy interventions vary in structure, content, delivery format and target audience, a systematic strategy is required to guarantee that evidence is obtained, reviewed and synthesized consistently (Pollock et al., 2022;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 Recent methodological literature emphasizes the importance of employing comprehensive search strategies, transparent eligibility criteria and robust quality appraisal frameworks to support high-quality systematic reviews in public health and rehabilitation sciences (Pollock et al., 2022; Young and Solomon, 2022; Booth et al., 2021). This chapter consequently gives a full explanation of the study design, paradigm, search processes, screening procedures, data extraction techniques, critical evaluation tools, synthesis methodology and ethical issues supporting this systematic review (</w:t>
      </w:r>
      <w:proofErr w:type="spellStart"/>
      <w:r w:rsidRPr="003F29DA">
        <w:rPr>
          <w:rFonts w:ascii="Arial" w:hAnsi="Arial" w:cs="Arial"/>
          <w:sz w:val="22"/>
          <w:szCs w:val="22"/>
        </w:rPr>
        <w:t>Aromataris</w:t>
      </w:r>
      <w:proofErr w:type="spellEnd"/>
      <w:r w:rsidRPr="003F29DA">
        <w:rPr>
          <w:rFonts w:ascii="Arial" w:hAnsi="Arial" w:cs="Arial"/>
          <w:sz w:val="22"/>
          <w:szCs w:val="22"/>
        </w:rPr>
        <w:t xml:space="preserve"> and Munn, 2020).</w:t>
      </w:r>
    </w:p>
    <w:p w14:paraId="50615464" w14:textId="77777777" w:rsidR="003F29DA" w:rsidRPr="003F29DA" w:rsidRDefault="003F29DA" w:rsidP="002F690B">
      <w:pPr>
        <w:spacing w:line="360" w:lineRule="auto"/>
        <w:jc w:val="both"/>
        <w:rPr>
          <w:rFonts w:ascii="Arial" w:hAnsi="Arial" w:cs="Arial"/>
          <w:sz w:val="22"/>
          <w:szCs w:val="22"/>
        </w:rPr>
      </w:pPr>
    </w:p>
    <w:p w14:paraId="40EF66E8" w14:textId="7E9CC9DD" w:rsidR="003F29DA" w:rsidRPr="004673E9" w:rsidRDefault="003F29DA" w:rsidP="004673E9">
      <w:pPr>
        <w:pStyle w:val="Heading2"/>
        <w:rPr>
          <w:rFonts w:ascii="Arial" w:hAnsi="Arial" w:cs="Arial"/>
          <w:b/>
          <w:bCs/>
          <w:sz w:val="28"/>
          <w:szCs w:val="28"/>
        </w:rPr>
      </w:pPr>
      <w:bookmarkStart w:id="50" w:name="_Toc219805151"/>
      <w:r w:rsidRPr="004673E9">
        <w:rPr>
          <w:rFonts w:ascii="Arial" w:hAnsi="Arial" w:cs="Arial"/>
          <w:b/>
          <w:bCs/>
          <w:sz w:val="28"/>
          <w:szCs w:val="28"/>
        </w:rPr>
        <w:lastRenderedPageBreak/>
        <w:t>3.2</w:t>
      </w:r>
      <w:r w:rsidR="004673E9" w:rsidRPr="004673E9">
        <w:rPr>
          <w:rFonts w:ascii="Arial" w:hAnsi="Arial" w:cs="Arial"/>
          <w:b/>
          <w:bCs/>
          <w:sz w:val="28"/>
          <w:szCs w:val="28"/>
        </w:rPr>
        <w:t xml:space="preserve"> </w:t>
      </w:r>
      <w:r w:rsidRPr="004673E9">
        <w:rPr>
          <w:rFonts w:ascii="Arial" w:hAnsi="Arial" w:cs="Arial"/>
          <w:b/>
          <w:bCs/>
          <w:sz w:val="28"/>
          <w:szCs w:val="28"/>
        </w:rPr>
        <w:t>Research Design</w:t>
      </w:r>
      <w:bookmarkEnd w:id="50"/>
    </w:p>
    <w:p w14:paraId="5F2B690C" w14:textId="2D25BEDA"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A systematic review design was used to provide a rigorous and complete synthesis of research evidence on community-based physiotherapy therapies (Higgins et al., 2020; Page et al., 2021). Systematic reviews vary from conventional narrative reviews since they utilize predetermined procedures to discover, </w:t>
      </w:r>
      <w:proofErr w:type="spellStart"/>
      <w:r w:rsidRPr="003F29DA">
        <w:rPr>
          <w:rFonts w:ascii="Arial" w:hAnsi="Arial" w:cs="Arial"/>
          <w:sz w:val="22"/>
          <w:szCs w:val="22"/>
        </w:rPr>
        <w:t>analyze</w:t>
      </w:r>
      <w:proofErr w:type="spellEnd"/>
      <w:r w:rsidRPr="003F29DA">
        <w:rPr>
          <w:rFonts w:ascii="Arial" w:hAnsi="Arial" w:cs="Arial"/>
          <w:sz w:val="22"/>
          <w:szCs w:val="22"/>
        </w:rPr>
        <w:t xml:space="preserve"> and synthesize all relevant research on a certain issue, lowering the probability of bias and assuring the replicability of findings (Higgins et al., 2020; Booth et al., 2021).</w:t>
      </w:r>
      <w:r w:rsidR="00416A68">
        <w:rPr>
          <w:rFonts w:ascii="Arial" w:hAnsi="Arial" w:cs="Arial"/>
          <w:sz w:val="22"/>
          <w:szCs w:val="22"/>
        </w:rPr>
        <w:t xml:space="preserve"> </w:t>
      </w:r>
      <w:r w:rsidR="00416A68" w:rsidRPr="00416A68">
        <w:rPr>
          <w:rFonts w:ascii="Arial" w:hAnsi="Arial" w:cs="Arial"/>
          <w:sz w:val="22"/>
          <w:szCs w:val="22"/>
        </w:rPr>
        <w:t>It has been demonstrated that pre-registration of review techniques and adherence to established procedures enhance scientific rigor and lessen selective reporting in systematic reviews (Booth et al., 2012; Stewart et al., 2012).</w:t>
      </w:r>
      <w:r w:rsidRPr="003F29DA">
        <w:rPr>
          <w:rFonts w:ascii="Arial" w:hAnsi="Arial" w:cs="Arial"/>
          <w:sz w:val="22"/>
          <w:szCs w:val="22"/>
        </w:rPr>
        <w:t xml:space="preserve"> This research methodology was particularly suited given the enormous amount of intervention studies published over the previous decade and the rising demand for integrated information to support national fall-prevention policies (NICE, 2025; WHO, 2021).</w:t>
      </w:r>
    </w:p>
    <w:p w14:paraId="094C70E9" w14:textId="3327510C"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Community-based physiotherapy therapies are given across multiple urban contexts including community </w:t>
      </w:r>
      <w:proofErr w:type="spellStart"/>
      <w:r w:rsidRPr="003F29DA">
        <w:rPr>
          <w:rFonts w:ascii="Arial" w:hAnsi="Arial" w:cs="Arial"/>
          <w:sz w:val="22"/>
          <w:szCs w:val="22"/>
        </w:rPr>
        <w:t>centers</w:t>
      </w:r>
      <w:proofErr w:type="spellEnd"/>
      <w:r w:rsidRPr="003F29DA">
        <w:rPr>
          <w:rFonts w:ascii="Arial" w:hAnsi="Arial" w:cs="Arial"/>
          <w:sz w:val="22"/>
          <w:szCs w:val="22"/>
        </w:rPr>
        <w:t>, leisure facilities, primary care networks and participants’ homes (NHS England, 2019;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 This variety needs a design capable of capturing inter-study variances and detecting patterns of efficacy (Pollock et al., 2022).</w:t>
      </w:r>
      <w:r w:rsidR="00416A68">
        <w:rPr>
          <w:rFonts w:ascii="Arial" w:hAnsi="Arial" w:cs="Arial"/>
          <w:sz w:val="22"/>
          <w:szCs w:val="22"/>
        </w:rPr>
        <w:t xml:space="preserve"> </w:t>
      </w:r>
      <w:r w:rsidR="00416A68" w:rsidRPr="00416A68">
        <w:rPr>
          <w:rFonts w:ascii="Arial" w:hAnsi="Arial" w:cs="Arial"/>
          <w:sz w:val="22"/>
          <w:szCs w:val="22"/>
        </w:rPr>
        <w:t>When statistical pooling is unsuitable because of variability in interventions, outcomes, and populations, narrative and mixed-method synthesis techniques are widely advised (</w:t>
      </w:r>
      <w:proofErr w:type="spellStart"/>
      <w:r w:rsidR="00416A68" w:rsidRPr="00416A68">
        <w:rPr>
          <w:rFonts w:ascii="Arial" w:hAnsi="Arial" w:cs="Arial"/>
          <w:sz w:val="22"/>
          <w:szCs w:val="22"/>
        </w:rPr>
        <w:t>Snilstveit</w:t>
      </w:r>
      <w:proofErr w:type="spellEnd"/>
      <w:r w:rsidR="00416A68" w:rsidRPr="00416A68">
        <w:rPr>
          <w:rFonts w:ascii="Arial" w:hAnsi="Arial" w:cs="Arial"/>
          <w:sz w:val="22"/>
          <w:szCs w:val="22"/>
        </w:rPr>
        <w:t xml:space="preserve"> et al., 2012; Campbell et al., 2018).</w:t>
      </w:r>
      <w:r w:rsidRPr="003F29DA">
        <w:rPr>
          <w:rFonts w:ascii="Arial" w:hAnsi="Arial" w:cs="Arial"/>
          <w:sz w:val="22"/>
          <w:szCs w:val="22"/>
        </w:rPr>
        <w:t xml:space="preserve"> Systematic reviews are widely recognised as the most appropriate method for summarising intervention research in physiotherapy and gerontology because they allow the pooling of findings across diverse populations and environments, supporting broader conclusions relevant to policy and practice (Pollock et al., 2022; Li et al., 2022; </w:t>
      </w:r>
      <w:proofErr w:type="spellStart"/>
      <w:r w:rsidRPr="003F29DA">
        <w:rPr>
          <w:rFonts w:ascii="Arial" w:hAnsi="Arial" w:cs="Arial"/>
          <w:sz w:val="22"/>
          <w:szCs w:val="22"/>
        </w:rPr>
        <w:t>Aromataris</w:t>
      </w:r>
      <w:proofErr w:type="spellEnd"/>
      <w:r w:rsidRPr="003F29DA">
        <w:rPr>
          <w:rFonts w:ascii="Arial" w:hAnsi="Arial" w:cs="Arial"/>
          <w:sz w:val="22"/>
          <w:szCs w:val="22"/>
        </w:rPr>
        <w:t xml:space="preserve"> and Munn, 2020). Additionally, because urban fall hazards are socially and ecologically driven, treatments are quite different from those in rural settings, necessitating careful synthesis (Marmot et al., 2020; NICE, 2025).</w:t>
      </w:r>
    </w:p>
    <w:p w14:paraId="5B4EACDC" w14:textId="18587CD3"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This work complies with current standards for evidence-based public health research by using a systematic review approach, which improves transparency and trustworthiness (Page et al., 2021; Higgins et al., 2020). Additionally, the systematic technique made it possible to find gaps in the literature, which advanced fall prevention research (Montero- </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 Pollock et al., 2022).</w:t>
      </w:r>
    </w:p>
    <w:p w14:paraId="744A5B18" w14:textId="77777777" w:rsidR="003F29DA" w:rsidRPr="003F29DA" w:rsidRDefault="003F29DA" w:rsidP="002F690B">
      <w:pPr>
        <w:spacing w:line="360" w:lineRule="auto"/>
        <w:jc w:val="both"/>
        <w:rPr>
          <w:rFonts w:ascii="Arial" w:hAnsi="Arial" w:cs="Arial"/>
          <w:sz w:val="22"/>
          <w:szCs w:val="22"/>
        </w:rPr>
      </w:pPr>
    </w:p>
    <w:p w14:paraId="73FCFF94" w14:textId="035A09CB" w:rsidR="003F29DA" w:rsidRPr="004673E9" w:rsidRDefault="003F29DA" w:rsidP="004673E9">
      <w:pPr>
        <w:pStyle w:val="Heading2"/>
        <w:rPr>
          <w:rFonts w:ascii="Arial" w:hAnsi="Arial" w:cs="Arial"/>
          <w:b/>
          <w:bCs/>
          <w:sz w:val="28"/>
          <w:szCs w:val="28"/>
        </w:rPr>
      </w:pPr>
      <w:bookmarkStart w:id="51" w:name="_Toc219805152"/>
      <w:r w:rsidRPr="004673E9">
        <w:rPr>
          <w:rFonts w:ascii="Arial" w:hAnsi="Arial" w:cs="Arial"/>
          <w:b/>
          <w:bCs/>
          <w:sz w:val="28"/>
          <w:szCs w:val="28"/>
        </w:rPr>
        <w:lastRenderedPageBreak/>
        <w:t>3.</w:t>
      </w:r>
      <w:r w:rsidR="004673E9">
        <w:rPr>
          <w:rFonts w:ascii="Arial" w:hAnsi="Arial" w:cs="Arial"/>
          <w:b/>
          <w:bCs/>
          <w:sz w:val="28"/>
          <w:szCs w:val="28"/>
        </w:rPr>
        <w:t>3</w:t>
      </w:r>
      <w:r w:rsidR="004673E9" w:rsidRPr="004673E9">
        <w:rPr>
          <w:rFonts w:ascii="Arial" w:hAnsi="Arial" w:cs="Arial"/>
          <w:b/>
          <w:bCs/>
          <w:sz w:val="28"/>
          <w:szCs w:val="28"/>
        </w:rPr>
        <w:t xml:space="preserve"> </w:t>
      </w:r>
      <w:r w:rsidRPr="004673E9">
        <w:rPr>
          <w:rFonts w:ascii="Arial" w:hAnsi="Arial" w:cs="Arial"/>
          <w:b/>
          <w:bCs/>
          <w:sz w:val="28"/>
          <w:szCs w:val="28"/>
        </w:rPr>
        <w:t>Research Paradigm</w:t>
      </w:r>
      <w:bookmarkEnd w:id="51"/>
    </w:p>
    <w:p w14:paraId="54F8FF13" w14:textId="5841438A"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A positivist research paradigm, which emphasizes objectivity, measurability, and the utilization of empirical facts to draw conclusions, served as the main framework for the</w:t>
      </w:r>
      <w:r w:rsidR="004673E9">
        <w:rPr>
          <w:rFonts w:ascii="Arial" w:hAnsi="Arial" w:cs="Arial"/>
          <w:sz w:val="22"/>
          <w:szCs w:val="22"/>
        </w:rPr>
        <w:t xml:space="preserve"> </w:t>
      </w:r>
      <w:r w:rsidRPr="003F29DA">
        <w:rPr>
          <w:rFonts w:ascii="Arial" w:hAnsi="Arial" w:cs="Arial"/>
          <w:sz w:val="22"/>
          <w:szCs w:val="22"/>
        </w:rPr>
        <w:t xml:space="preserve">review (Willis et al., 2021; Creswell and Creswell, 2018). The quantitative character of </w:t>
      </w:r>
      <w:r w:rsidR="004673E9" w:rsidRPr="003F29DA">
        <w:rPr>
          <w:rFonts w:ascii="Arial" w:hAnsi="Arial" w:cs="Arial"/>
          <w:sz w:val="22"/>
          <w:szCs w:val="22"/>
        </w:rPr>
        <w:t>most of the</w:t>
      </w:r>
      <w:r w:rsidRPr="003F29DA">
        <w:rPr>
          <w:rFonts w:ascii="Arial" w:hAnsi="Arial" w:cs="Arial"/>
          <w:sz w:val="22"/>
          <w:szCs w:val="22"/>
        </w:rPr>
        <w:t xml:space="preserve"> fall-prevention research, which usually use standardized tests to quantify outcomes like fall incidence, balance scores, mobility performance, and strength characteristics, is consistent with positivism (Sherrington et al., 2020; Higgins et al., 2020). These objective outcome measurements allow for direct comparison between investigations and enhance the repeatability of findings, making a positivist viewpoint particularly suited (Willis et al., 2021).</w:t>
      </w:r>
      <w:r w:rsidR="000F5365">
        <w:rPr>
          <w:rFonts w:ascii="Arial" w:hAnsi="Arial" w:cs="Arial"/>
          <w:sz w:val="22"/>
          <w:szCs w:val="22"/>
        </w:rPr>
        <w:t xml:space="preserve"> </w:t>
      </w:r>
      <w:r w:rsidR="000F5365" w:rsidRPr="000F5365">
        <w:rPr>
          <w:rFonts w:ascii="Arial" w:hAnsi="Arial" w:cs="Arial"/>
          <w:sz w:val="22"/>
          <w:szCs w:val="22"/>
        </w:rPr>
        <w:t>Because positivist paradigms facilitate reproducibility and policy translation by emphasizing quantitative outcomes and statistical inference, they are frequently used in clinical effectiveness research (Crotty, 2015; Bryman, 2016).</w:t>
      </w:r>
    </w:p>
    <w:p w14:paraId="6345ED46" w14:textId="2473798F"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The review did, however, also recognize the importance of interpretivist viewpoints, especially when </w:t>
      </w:r>
      <w:r w:rsidR="004673E9" w:rsidRPr="003F29DA">
        <w:rPr>
          <w:rFonts w:ascii="Arial" w:hAnsi="Arial" w:cs="Arial"/>
          <w:sz w:val="22"/>
          <w:szCs w:val="22"/>
        </w:rPr>
        <w:t>considering</w:t>
      </w:r>
      <w:r w:rsidRPr="003F29DA">
        <w:rPr>
          <w:rFonts w:ascii="Arial" w:hAnsi="Arial" w:cs="Arial"/>
          <w:sz w:val="22"/>
          <w:szCs w:val="22"/>
        </w:rPr>
        <w:t xml:space="preserve"> mixed-methods or qualitative research examining participant experiences, cultural factors, motivation, adherence, and environmental obstacles (Seppälä et al., 2021; Thomas and Harden, 2008). Qualitative insights offer contextual richness that cannot be fully captured by quantitative measures alone, and community- based physiotherapy therapies function within larger social and environmental systems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 Marmot et al., 2020).</w:t>
      </w:r>
      <w:r w:rsidR="000F5365">
        <w:rPr>
          <w:rFonts w:ascii="Arial" w:hAnsi="Arial" w:cs="Arial"/>
          <w:sz w:val="22"/>
          <w:szCs w:val="22"/>
        </w:rPr>
        <w:t xml:space="preserve"> </w:t>
      </w:r>
      <w:r w:rsidR="000F5365" w:rsidRPr="000F5365">
        <w:rPr>
          <w:rFonts w:ascii="Arial" w:hAnsi="Arial" w:cs="Arial"/>
          <w:sz w:val="22"/>
          <w:szCs w:val="22"/>
        </w:rPr>
        <w:t>By shedding light on the mechanisms, contextual obstacles, and participant viewpoints that underlie observed results, methodological scholars contend that including qualitative evidence improves explanatory depth (</w:t>
      </w:r>
      <w:proofErr w:type="spellStart"/>
      <w:r w:rsidR="000F5365" w:rsidRPr="000F5365">
        <w:rPr>
          <w:rFonts w:ascii="Arial" w:hAnsi="Arial" w:cs="Arial"/>
          <w:sz w:val="22"/>
          <w:szCs w:val="22"/>
        </w:rPr>
        <w:t>O'Cathain</w:t>
      </w:r>
      <w:proofErr w:type="spellEnd"/>
      <w:r w:rsidR="000F5365" w:rsidRPr="000F5365">
        <w:rPr>
          <w:rFonts w:ascii="Arial" w:hAnsi="Arial" w:cs="Arial"/>
          <w:sz w:val="22"/>
          <w:szCs w:val="22"/>
        </w:rPr>
        <w:t>, 2019; Noyes et al., 2018).</w:t>
      </w:r>
      <w:r w:rsidRPr="003F29DA">
        <w:rPr>
          <w:rFonts w:ascii="Arial" w:hAnsi="Arial" w:cs="Arial"/>
          <w:sz w:val="22"/>
          <w:szCs w:val="22"/>
        </w:rPr>
        <w:t xml:space="preserve"> For example, research demonstrate that fear of falling, self-efficacy, cultural views and access constraints strongly impact participation and outcomes (Harrison et al., 2021; Tinetti and Powell, 1993).</w:t>
      </w:r>
    </w:p>
    <w:p w14:paraId="539A3C58" w14:textId="2A624E09"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In summary, the methodological position was largely positivist but guided by interpretivist concerns, ensuring both quantitative outcomes and contextual knowledge were reflected in the review (Creswell and Creswell, 2018; Willis et al., 2021).</w:t>
      </w:r>
    </w:p>
    <w:p w14:paraId="5F09CEFD" w14:textId="77777777" w:rsidR="003F29DA" w:rsidRDefault="003F29DA" w:rsidP="002F690B">
      <w:pPr>
        <w:spacing w:line="360" w:lineRule="auto"/>
        <w:jc w:val="both"/>
        <w:rPr>
          <w:rFonts w:ascii="Arial" w:hAnsi="Arial" w:cs="Arial"/>
          <w:sz w:val="22"/>
          <w:szCs w:val="22"/>
        </w:rPr>
      </w:pPr>
    </w:p>
    <w:p w14:paraId="5F07DC30" w14:textId="3592E054" w:rsidR="004673E9" w:rsidRPr="008A5418" w:rsidRDefault="004673E9" w:rsidP="008A5418">
      <w:pPr>
        <w:pStyle w:val="Heading2"/>
        <w:rPr>
          <w:rFonts w:ascii="Arial" w:hAnsi="Arial" w:cs="Arial"/>
          <w:b/>
          <w:bCs/>
          <w:sz w:val="28"/>
          <w:szCs w:val="28"/>
        </w:rPr>
      </w:pPr>
      <w:bookmarkStart w:id="52" w:name="_Toc219805153"/>
      <w:r w:rsidRPr="008A5418">
        <w:rPr>
          <w:rFonts w:ascii="Arial" w:hAnsi="Arial" w:cs="Arial"/>
          <w:b/>
          <w:bCs/>
          <w:sz w:val="28"/>
          <w:szCs w:val="28"/>
        </w:rPr>
        <w:t>3.4 Research Questions and Objectives</w:t>
      </w:r>
      <w:bookmarkEnd w:id="52"/>
    </w:p>
    <w:p w14:paraId="0A5D9048" w14:textId="5609E6FE" w:rsidR="004673E9" w:rsidRPr="004673E9" w:rsidRDefault="004673E9" w:rsidP="004673E9">
      <w:pPr>
        <w:spacing w:line="360" w:lineRule="auto"/>
        <w:jc w:val="both"/>
        <w:rPr>
          <w:rFonts w:ascii="Arial" w:hAnsi="Arial" w:cs="Arial"/>
          <w:sz w:val="22"/>
          <w:szCs w:val="22"/>
        </w:rPr>
      </w:pPr>
      <w:r w:rsidRPr="004673E9">
        <w:rPr>
          <w:rFonts w:ascii="Arial" w:hAnsi="Arial" w:cs="Arial"/>
          <w:sz w:val="22"/>
          <w:szCs w:val="22"/>
        </w:rPr>
        <w:t>The systematic review is structured around the following overarching research question:</w:t>
      </w:r>
    </w:p>
    <w:p w14:paraId="4274C1CB" w14:textId="77777777" w:rsidR="004673E9" w:rsidRPr="004673E9" w:rsidRDefault="004673E9" w:rsidP="004673E9">
      <w:pPr>
        <w:spacing w:line="360" w:lineRule="auto"/>
        <w:jc w:val="both"/>
        <w:rPr>
          <w:rFonts w:ascii="Arial" w:hAnsi="Arial" w:cs="Arial"/>
          <w:sz w:val="22"/>
          <w:szCs w:val="22"/>
        </w:rPr>
      </w:pPr>
      <w:r w:rsidRPr="004673E9">
        <w:rPr>
          <w:rFonts w:ascii="Arial" w:hAnsi="Arial" w:cs="Arial"/>
          <w:sz w:val="22"/>
          <w:szCs w:val="22"/>
        </w:rPr>
        <w:lastRenderedPageBreak/>
        <w:t>What is the effectiveness of community-based physiotherapy interventions in reducing falls among older adults (aged 65 and above) living in metropolitan settings in England?</w:t>
      </w:r>
    </w:p>
    <w:p w14:paraId="6EB1DF19" w14:textId="77777777" w:rsidR="008A5418" w:rsidRDefault="004673E9" w:rsidP="004673E9">
      <w:pPr>
        <w:spacing w:line="360" w:lineRule="auto"/>
        <w:jc w:val="both"/>
        <w:rPr>
          <w:rFonts w:ascii="Arial" w:hAnsi="Arial" w:cs="Arial"/>
          <w:sz w:val="22"/>
          <w:szCs w:val="22"/>
        </w:rPr>
      </w:pPr>
      <w:r w:rsidRPr="004673E9">
        <w:rPr>
          <w:rFonts w:ascii="Arial" w:hAnsi="Arial" w:cs="Arial"/>
          <w:sz w:val="22"/>
          <w:szCs w:val="22"/>
        </w:rPr>
        <w:t>The review specifically addresses four objectives:</w:t>
      </w:r>
    </w:p>
    <w:p w14:paraId="48223502" w14:textId="77777777" w:rsidR="008A5418" w:rsidRDefault="004673E9" w:rsidP="004673E9">
      <w:pPr>
        <w:pStyle w:val="ListParagraph"/>
        <w:numPr>
          <w:ilvl w:val="0"/>
          <w:numId w:val="2"/>
        </w:numPr>
        <w:spacing w:line="360" w:lineRule="auto"/>
        <w:jc w:val="both"/>
        <w:rPr>
          <w:rFonts w:ascii="Arial" w:hAnsi="Arial" w:cs="Arial"/>
          <w:sz w:val="22"/>
          <w:szCs w:val="22"/>
        </w:rPr>
      </w:pPr>
      <w:r w:rsidRPr="008A5418">
        <w:rPr>
          <w:rFonts w:ascii="Arial" w:hAnsi="Arial" w:cs="Arial"/>
          <w:sz w:val="22"/>
          <w:szCs w:val="22"/>
        </w:rPr>
        <w:t>To identify and critically appraise existing studies on community-based physiotherapy interventions targeting fall prevention in England.</w:t>
      </w:r>
    </w:p>
    <w:p w14:paraId="6179B401" w14:textId="77777777" w:rsidR="008A5418" w:rsidRDefault="004673E9" w:rsidP="004673E9">
      <w:pPr>
        <w:pStyle w:val="ListParagraph"/>
        <w:numPr>
          <w:ilvl w:val="0"/>
          <w:numId w:val="2"/>
        </w:numPr>
        <w:spacing w:line="360" w:lineRule="auto"/>
        <w:jc w:val="both"/>
        <w:rPr>
          <w:rFonts w:ascii="Arial" w:hAnsi="Arial" w:cs="Arial"/>
          <w:sz w:val="22"/>
          <w:szCs w:val="22"/>
        </w:rPr>
      </w:pPr>
      <w:r w:rsidRPr="008A5418">
        <w:rPr>
          <w:rFonts w:ascii="Arial" w:hAnsi="Arial" w:cs="Arial"/>
          <w:sz w:val="22"/>
          <w:szCs w:val="22"/>
        </w:rPr>
        <w:t>To assess the effectiveness of these interventions in reducing fall incidence and improving physical function.</w:t>
      </w:r>
    </w:p>
    <w:p w14:paraId="5EBAD3A5" w14:textId="77777777" w:rsidR="008A5418" w:rsidRDefault="004673E9" w:rsidP="004673E9">
      <w:pPr>
        <w:pStyle w:val="ListParagraph"/>
        <w:numPr>
          <w:ilvl w:val="0"/>
          <w:numId w:val="2"/>
        </w:numPr>
        <w:spacing w:line="360" w:lineRule="auto"/>
        <w:jc w:val="both"/>
        <w:rPr>
          <w:rFonts w:ascii="Arial" w:hAnsi="Arial" w:cs="Arial"/>
          <w:sz w:val="22"/>
          <w:szCs w:val="22"/>
        </w:rPr>
      </w:pPr>
      <w:r w:rsidRPr="008A5418">
        <w:rPr>
          <w:rFonts w:ascii="Arial" w:hAnsi="Arial" w:cs="Arial"/>
          <w:sz w:val="22"/>
          <w:szCs w:val="22"/>
        </w:rPr>
        <w:t>To explore contextual and environmental factors influencing intervention success in metropolitan settings.</w:t>
      </w:r>
    </w:p>
    <w:p w14:paraId="7931B51E" w14:textId="1E05C748" w:rsidR="004673E9" w:rsidRPr="008A5418" w:rsidRDefault="004673E9" w:rsidP="004673E9">
      <w:pPr>
        <w:pStyle w:val="ListParagraph"/>
        <w:numPr>
          <w:ilvl w:val="0"/>
          <w:numId w:val="2"/>
        </w:numPr>
        <w:spacing w:line="360" w:lineRule="auto"/>
        <w:jc w:val="both"/>
        <w:rPr>
          <w:rFonts w:ascii="Arial" w:hAnsi="Arial" w:cs="Arial"/>
          <w:sz w:val="22"/>
          <w:szCs w:val="22"/>
        </w:rPr>
      </w:pPr>
      <w:r w:rsidRPr="008A5418">
        <w:rPr>
          <w:rFonts w:ascii="Arial" w:hAnsi="Arial" w:cs="Arial"/>
          <w:sz w:val="22"/>
          <w:szCs w:val="22"/>
        </w:rPr>
        <w:t>To provide evidence-based recommendations for physiotherapy practice and public health policy.</w:t>
      </w:r>
    </w:p>
    <w:p w14:paraId="0B743FCE" w14:textId="77777777" w:rsidR="004673E9" w:rsidRPr="003F29DA" w:rsidRDefault="004673E9" w:rsidP="002F690B">
      <w:pPr>
        <w:spacing w:line="360" w:lineRule="auto"/>
        <w:jc w:val="both"/>
        <w:rPr>
          <w:rFonts w:ascii="Arial" w:hAnsi="Arial" w:cs="Arial"/>
          <w:sz w:val="22"/>
          <w:szCs w:val="22"/>
        </w:rPr>
      </w:pPr>
    </w:p>
    <w:p w14:paraId="5A95971D" w14:textId="49E87BFF" w:rsidR="003F29DA" w:rsidRPr="008A5418" w:rsidRDefault="003F29DA" w:rsidP="008A5418">
      <w:pPr>
        <w:pStyle w:val="Heading2"/>
        <w:rPr>
          <w:rFonts w:ascii="Arial" w:hAnsi="Arial" w:cs="Arial"/>
          <w:b/>
          <w:bCs/>
          <w:sz w:val="28"/>
          <w:szCs w:val="28"/>
        </w:rPr>
      </w:pPr>
      <w:bookmarkStart w:id="53" w:name="_Toc219805154"/>
      <w:r w:rsidRPr="008A5418">
        <w:rPr>
          <w:rFonts w:ascii="Arial" w:hAnsi="Arial" w:cs="Arial"/>
          <w:b/>
          <w:bCs/>
          <w:sz w:val="28"/>
          <w:szCs w:val="28"/>
        </w:rPr>
        <w:t>3.5</w:t>
      </w:r>
      <w:r w:rsidR="008A5418" w:rsidRPr="008A5418">
        <w:rPr>
          <w:rFonts w:ascii="Arial" w:hAnsi="Arial" w:cs="Arial"/>
          <w:b/>
          <w:bCs/>
          <w:sz w:val="28"/>
          <w:szCs w:val="28"/>
        </w:rPr>
        <w:t xml:space="preserve"> </w:t>
      </w:r>
      <w:r w:rsidRPr="008A5418">
        <w:rPr>
          <w:rFonts w:ascii="Arial" w:hAnsi="Arial" w:cs="Arial"/>
          <w:b/>
          <w:bCs/>
          <w:sz w:val="28"/>
          <w:szCs w:val="28"/>
        </w:rPr>
        <w:t>Search Strategy</w:t>
      </w:r>
      <w:bookmarkEnd w:id="53"/>
    </w:p>
    <w:p w14:paraId="39ABCB68" w14:textId="1A348074"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A detailed and methodical search approach was designed to guarantee that the review caught all relevant material (Booth et al., 2021; Young and Solomon, 2022). Searches were undertaken throughout MEDLINE, CINAHL, PubMed, Web of Science, SCOPUS, </w:t>
      </w:r>
      <w:proofErr w:type="spellStart"/>
      <w:r w:rsidRPr="003F29DA">
        <w:rPr>
          <w:rFonts w:ascii="Arial" w:hAnsi="Arial" w:cs="Arial"/>
          <w:sz w:val="22"/>
          <w:szCs w:val="22"/>
        </w:rPr>
        <w:t>PEDro</w:t>
      </w:r>
      <w:proofErr w:type="spellEnd"/>
      <w:r w:rsidRPr="003F29DA">
        <w:rPr>
          <w:rFonts w:ascii="Arial" w:hAnsi="Arial" w:cs="Arial"/>
          <w:sz w:val="22"/>
          <w:szCs w:val="22"/>
        </w:rPr>
        <w:t xml:space="preserve"> and the Cochrane Library, all of which are acknowledged as prominent sources for physiotherapy, gerontology and public health research (Pollock et al., 2022; Higgins et al., 2020). The search approach used Boolean operators to integrate Medical Subject Headings (</w:t>
      </w:r>
      <w:proofErr w:type="spellStart"/>
      <w:r w:rsidRPr="003F29DA">
        <w:rPr>
          <w:rFonts w:ascii="Arial" w:hAnsi="Arial" w:cs="Arial"/>
          <w:sz w:val="22"/>
          <w:szCs w:val="22"/>
        </w:rPr>
        <w:t>MeSH</w:t>
      </w:r>
      <w:proofErr w:type="spellEnd"/>
      <w:r w:rsidRPr="003F29DA">
        <w:rPr>
          <w:rFonts w:ascii="Arial" w:hAnsi="Arial" w:cs="Arial"/>
          <w:sz w:val="22"/>
          <w:szCs w:val="22"/>
        </w:rPr>
        <w:t>) with keywords, allowing for the retrieval of a large yet specific set of research (</w:t>
      </w:r>
      <w:proofErr w:type="spellStart"/>
      <w:r w:rsidRPr="003F29DA">
        <w:rPr>
          <w:rFonts w:ascii="Arial" w:hAnsi="Arial" w:cs="Arial"/>
          <w:sz w:val="22"/>
          <w:szCs w:val="22"/>
        </w:rPr>
        <w:t>Aromataris</w:t>
      </w:r>
      <w:proofErr w:type="spellEnd"/>
      <w:r w:rsidRPr="003F29DA">
        <w:rPr>
          <w:rFonts w:ascii="Arial" w:hAnsi="Arial" w:cs="Arial"/>
          <w:sz w:val="22"/>
          <w:szCs w:val="22"/>
        </w:rPr>
        <w:t xml:space="preserve"> and Munn, 2020).</w:t>
      </w:r>
      <w:r w:rsidR="000F5365">
        <w:rPr>
          <w:rFonts w:ascii="Arial" w:hAnsi="Arial" w:cs="Arial"/>
          <w:sz w:val="22"/>
          <w:szCs w:val="22"/>
        </w:rPr>
        <w:t xml:space="preserve"> </w:t>
      </w:r>
      <w:r w:rsidR="000F5365" w:rsidRPr="000F5365">
        <w:rPr>
          <w:rFonts w:ascii="Arial" w:hAnsi="Arial" w:cs="Arial"/>
          <w:sz w:val="22"/>
          <w:szCs w:val="22"/>
        </w:rPr>
        <w:t>It has been demonstrated that combining controlled vocabulary with free-text keywords increases the sensitivity and accuracy of systematic review searches, especially when it comes to multidisciplinary healthcare issues (Bramer et al., 2018; Lefebvre et al., 2021).</w:t>
      </w:r>
    </w:p>
    <w:p w14:paraId="4FE1F37D" w14:textId="1D651118"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Search criteria included combinations of “community-based physiotherapy”, “falls prevention”, “older adults”, “urban population”, “exercise intervention”, “metropolitan areas”, “United Kingdom”, and associated synonyms (Young and Solomon, 2022). The technique was built iteratively, modified via preliminary searches to eliminate extraneous phrases and boost specificity (Booth et al., 2021). In accordance with NICE's (2022) advice that previous treatments would not accurately reflect modern health service models, the search window was limited to January 2010–December 2024 to guarantee the inclusion of current research (NICE, 2025).</w:t>
      </w:r>
    </w:p>
    <w:p w14:paraId="078B39FC" w14:textId="494D9405"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lastRenderedPageBreak/>
        <w:t>To promote methodological openness, the search procedure followed to PRISMA 2020 guidelines, which include detailed recording of databases, search terms, filters and dates (Page et al., 2021; Moher et al., 2009). Only papers published in peer-reviewed publications were selected, assuring robustness and academic integrity (Booth et al., 2021).</w:t>
      </w:r>
    </w:p>
    <w:p w14:paraId="033C286E"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Because they usually lack methodological clarity, quality assurance, or replication potential, grey literature, non-peer-reviewed publications, and dissertations were eliminated (Booth et al., 2021; Pollock et al., 2022).</w:t>
      </w:r>
    </w:p>
    <w:p w14:paraId="59A6564C" w14:textId="3FAC4948" w:rsidR="008A5418" w:rsidRDefault="002D1729" w:rsidP="008A5418">
      <w:pPr>
        <w:spacing w:line="360" w:lineRule="auto"/>
        <w:jc w:val="center"/>
        <w:rPr>
          <w:noProof/>
        </w:rPr>
      </w:pPr>
      <w:r>
        <w:rPr>
          <w:noProof/>
        </w:rPr>
        <w:drawing>
          <wp:inline distT="0" distB="0" distL="0" distR="0" wp14:anchorId="4F843762" wp14:editId="1E4D777B">
            <wp:extent cx="5216525" cy="3352800"/>
            <wp:effectExtent l="0" t="0" r="3175" b="0"/>
            <wp:docPr id="1820749393"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749393" name="Picture 1820749393"/>
                    <pic:cNvPicPr/>
                  </pic:nvPicPr>
                  <pic:blipFill>
                    <a:blip r:embed="rId15">
                      <a:extLst>
                        <a:ext uri="{28A0092B-C50C-407E-A947-70E740481C1C}">
                          <a14:useLocalDpi xmlns:a14="http://schemas.microsoft.com/office/drawing/2010/main" val="0"/>
                        </a:ext>
                      </a:extLst>
                    </a:blip>
                    <a:stretch>
                      <a:fillRect/>
                    </a:stretch>
                  </pic:blipFill>
                  <pic:spPr>
                    <a:xfrm>
                      <a:off x="0" y="0"/>
                      <a:ext cx="5220905" cy="3355615"/>
                    </a:xfrm>
                    <a:prstGeom prst="rect">
                      <a:avLst/>
                    </a:prstGeom>
                  </pic:spPr>
                </pic:pic>
              </a:graphicData>
            </a:graphic>
          </wp:inline>
        </w:drawing>
      </w:r>
    </w:p>
    <w:p w14:paraId="15D9B0D7" w14:textId="2CB29261" w:rsidR="003F29DA" w:rsidRPr="003F29DA" w:rsidRDefault="003F29DA" w:rsidP="008A5418">
      <w:pPr>
        <w:spacing w:line="360" w:lineRule="auto"/>
        <w:jc w:val="center"/>
        <w:rPr>
          <w:rFonts w:ascii="Arial" w:hAnsi="Arial" w:cs="Arial"/>
          <w:sz w:val="22"/>
          <w:szCs w:val="22"/>
        </w:rPr>
      </w:pPr>
      <w:r w:rsidRPr="003F29DA">
        <w:rPr>
          <w:rFonts w:ascii="Arial" w:hAnsi="Arial" w:cs="Arial"/>
          <w:sz w:val="22"/>
          <w:szCs w:val="22"/>
        </w:rPr>
        <w:t>Table 3.1: PICO</w:t>
      </w:r>
    </w:p>
    <w:p w14:paraId="5334C02E" w14:textId="77777777" w:rsidR="003F29DA" w:rsidRPr="003F29DA" w:rsidRDefault="003F29DA" w:rsidP="002F690B">
      <w:pPr>
        <w:spacing w:line="360" w:lineRule="auto"/>
        <w:jc w:val="both"/>
        <w:rPr>
          <w:rFonts w:ascii="Arial" w:hAnsi="Arial" w:cs="Arial"/>
          <w:sz w:val="22"/>
          <w:szCs w:val="22"/>
        </w:rPr>
      </w:pPr>
    </w:p>
    <w:p w14:paraId="0554AA2F" w14:textId="402D0CC9" w:rsidR="003F29DA" w:rsidRPr="008A5418" w:rsidRDefault="003F29DA" w:rsidP="008A5418">
      <w:pPr>
        <w:pStyle w:val="Heading2"/>
        <w:rPr>
          <w:rFonts w:ascii="Arial" w:hAnsi="Arial" w:cs="Arial"/>
          <w:b/>
          <w:bCs/>
          <w:sz w:val="28"/>
          <w:szCs w:val="28"/>
        </w:rPr>
      </w:pPr>
      <w:bookmarkStart w:id="54" w:name="_Toc219805155"/>
      <w:r w:rsidRPr="008A5418">
        <w:rPr>
          <w:rFonts w:ascii="Arial" w:hAnsi="Arial" w:cs="Arial"/>
          <w:b/>
          <w:bCs/>
          <w:sz w:val="28"/>
          <w:szCs w:val="28"/>
        </w:rPr>
        <w:t>3.6</w:t>
      </w:r>
      <w:r w:rsidR="008A5418" w:rsidRPr="008A5418">
        <w:rPr>
          <w:rFonts w:ascii="Arial" w:hAnsi="Arial" w:cs="Arial"/>
          <w:b/>
          <w:bCs/>
          <w:sz w:val="28"/>
          <w:szCs w:val="28"/>
        </w:rPr>
        <w:t xml:space="preserve"> </w:t>
      </w:r>
      <w:r w:rsidRPr="008A5418">
        <w:rPr>
          <w:rFonts w:ascii="Arial" w:hAnsi="Arial" w:cs="Arial"/>
          <w:b/>
          <w:bCs/>
          <w:sz w:val="28"/>
          <w:szCs w:val="28"/>
        </w:rPr>
        <w:t>Inclusion and Exclusion Criteria</w:t>
      </w:r>
      <w:bookmarkEnd w:id="54"/>
    </w:p>
    <w:p w14:paraId="65D6BA65" w14:textId="1B505131"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Selection criteria were established using the PICOS framework (Population, Intervention, Comparison, Outcome, Study Design), which is widely recommended for structuring systematic reviews in healthcare research due to its clarity and reproducibility (Higgins et al., 2020; </w:t>
      </w:r>
      <w:proofErr w:type="spellStart"/>
      <w:r w:rsidRPr="003F29DA">
        <w:rPr>
          <w:rFonts w:ascii="Arial" w:hAnsi="Arial" w:cs="Arial"/>
          <w:sz w:val="22"/>
          <w:szCs w:val="22"/>
        </w:rPr>
        <w:t>Aromataris</w:t>
      </w:r>
      <w:proofErr w:type="spellEnd"/>
      <w:r w:rsidRPr="003F29DA">
        <w:rPr>
          <w:rFonts w:ascii="Arial" w:hAnsi="Arial" w:cs="Arial"/>
          <w:sz w:val="22"/>
          <w:szCs w:val="22"/>
        </w:rPr>
        <w:t xml:space="preserve"> and Munn, 2020).</w:t>
      </w:r>
    </w:p>
    <w:p w14:paraId="5FDFBA98" w14:textId="4E7EC75F"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The population included older adults aged 65 years and above residing in urban or metropolitan settings</w:t>
      </w:r>
      <w:r w:rsidR="004E3A50">
        <w:rPr>
          <w:rFonts w:ascii="Arial" w:hAnsi="Arial" w:cs="Arial"/>
          <w:sz w:val="22"/>
          <w:szCs w:val="22"/>
        </w:rPr>
        <w:t xml:space="preserve"> (Office for National Statistics, 2023)</w:t>
      </w:r>
      <w:r w:rsidRPr="003F29DA">
        <w:rPr>
          <w:rFonts w:ascii="Arial" w:hAnsi="Arial" w:cs="Arial"/>
          <w:sz w:val="22"/>
          <w:szCs w:val="22"/>
        </w:rPr>
        <w:t>. This age threshold is consistent with international definitions of older adulthood and fall risk categorization (World Health Organization, 2021; NICE, 2025).</w:t>
      </w:r>
    </w:p>
    <w:p w14:paraId="411570D7" w14:textId="173754F8"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lastRenderedPageBreak/>
        <w:t>The intervention of interest comprised community-based physiotherapy interventions, including exercise-based programmes, balance and strength training, home-based physiotherapy, group physiotherapy classes and multidisciplinary community rehabilitation initiatives led or delivered by physiotherapists (Sherrington et al., 2020;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w:t>
      </w:r>
    </w:p>
    <w:p w14:paraId="25C11370" w14:textId="2C293130"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The comparison element included usual care, alternative non-physiotherapy interventions or pre</w:t>
      </w:r>
      <w:r w:rsidR="004E3A50">
        <w:rPr>
          <w:rFonts w:ascii="Arial" w:hAnsi="Arial" w:cs="Arial"/>
          <w:sz w:val="22"/>
          <w:szCs w:val="22"/>
        </w:rPr>
        <w:t>-</w:t>
      </w:r>
      <w:r w:rsidRPr="003F29DA">
        <w:rPr>
          <w:rFonts w:ascii="Arial" w:hAnsi="Arial" w:cs="Arial"/>
          <w:sz w:val="22"/>
          <w:szCs w:val="22"/>
        </w:rPr>
        <w:t>post intervention comparisons where a control group was not present, reflecting common designs in community health research (Higgins et al., 2020).</w:t>
      </w:r>
    </w:p>
    <w:p w14:paraId="336281D3" w14:textId="23C4E13A"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The outcomes considered included fall incidence, fall rate, balance outcomes, mobility measures, functional performance and patient-reported outcomes related to confidence or fear of falling (Sherrington et al., 2020; NICE, 2025).</w:t>
      </w:r>
    </w:p>
    <w:p w14:paraId="651B53B1" w14:textId="11C3C654"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The study designs eligible for inclusion were randomised controlled trials, quasi- experimental studies, cohort studies, mixed-methods studies and qualitative research that provided relevant outcome or contextual data (Thomas and Harden, 2008; Pollock et al., 2022).</w:t>
      </w:r>
      <w:r w:rsidR="000F5365">
        <w:rPr>
          <w:rFonts w:ascii="Arial" w:hAnsi="Arial" w:cs="Arial"/>
          <w:sz w:val="22"/>
          <w:szCs w:val="22"/>
        </w:rPr>
        <w:t xml:space="preserve"> </w:t>
      </w:r>
      <w:proofErr w:type="gramStart"/>
      <w:r w:rsidR="000F5365" w:rsidRPr="000F5365">
        <w:rPr>
          <w:rFonts w:ascii="Arial" w:hAnsi="Arial" w:cs="Arial"/>
          <w:sz w:val="22"/>
          <w:szCs w:val="22"/>
        </w:rPr>
        <w:t>In order to</w:t>
      </w:r>
      <w:proofErr w:type="gramEnd"/>
      <w:r w:rsidR="000F5365" w:rsidRPr="000F5365">
        <w:rPr>
          <w:rFonts w:ascii="Arial" w:hAnsi="Arial" w:cs="Arial"/>
          <w:sz w:val="22"/>
          <w:szCs w:val="22"/>
        </w:rPr>
        <w:t xml:space="preserve"> capture both efficacy data and contextual factors impacting the adoption of interventions, it is becoming </w:t>
      </w:r>
      <w:proofErr w:type="gramStart"/>
      <w:r w:rsidR="000F5365" w:rsidRPr="000F5365">
        <w:rPr>
          <w:rFonts w:ascii="Arial" w:hAnsi="Arial" w:cs="Arial"/>
          <w:sz w:val="22"/>
          <w:szCs w:val="22"/>
        </w:rPr>
        <w:t>more and more</w:t>
      </w:r>
      <w:proofErr w:type="gramEnd"/>
      <w:r w:rsidR="000F5365" w:rsidRPr="000F5365">
        <w:rPr>
          <w:rFonts w:ascii="Arial" w:hAnsi="Arial" w:cs="Arial"/>
          <w:sz w:val="22"/>
          <w:szCs w:val="22"/>
        </w:rPr>
        <w:t xml:space="preserve"> recommended that public health evaluations use a variety of research designs (Gough et al., 2017; Pearson et al., 2015).</w:t>
      </w:r>
    </w:p>
    <w:p w14:paraId="6466978C"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Exclusion criteria included studies focusing exclusively on hospital-based interventions, residential or nursing home populations, non-physiotherapy-led interventions, non-urban settings, participants under the age of 65, conference abstracts, editorials and non-peer- reviewed publications (Booth et al., 2021). </w:t>
      </w:r>
    </w:p>
    <w:p w14:paraId="4ED0C56D" w14:textId="77777777" w:rsidR="003F29DA" w:rsidRPr="003F29DA" w:rsidRDefault="003F29DA" w:rsidP="002F690B">
      <w:pPr>
        <w:spacing w:line="360" w:lineRule="auto"/>
        <w:jc w:val="both"/>
        <w:rPr>
          <w:rFonts w:ascii="Arial" w:hAnsi="Arial" w:cs="Arial"/>
          <w:sz w:val="22"/>
          <w:szCs w:val="22"/>
        </w:rPr>
      </w:pPr>
    </w:p>
    <w:p w14:paraId="3A32D232"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 </w:t>
      </w:r>
    </w:p>
    <w:p w14:paraId="5D0BC296" w14:textId="2734CC63" w:rsidR="008A5418" w:rsidRDefault="008A5418" w:rsidP="008A5418">
      <w:pPr>
        <w:spacing w:line="360" w:lineRule="auto"/>
        <w:jc w:val="center"/>
        <w:rPr>
          <w:rFonts w:ascii="Arial" w:hAnsi="Arial" w:cs="Arial"/>
          <w:sz w:val="22"/>
          <w:szCs w:val="22"/>
        </w:rPr>
      </w:pPr>
      <w:r>
        <w:rPr>
          <w:noProof/>
        </w:rPr>
        <w:lastRenderedPageBreak/>
        <w:drawing>
          <wp:inline distT="0" distB="0" distL="0" distR="0" wp14:anchorId="2F91A7EA" wp14:editId="01E38D75">
            <wp:extent cx="4498302" cy="3373406"/>
            <wp:effectExtent l="0" t="0" r="0" b="0"/>
            <wp:docPr id="209888576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885761" name="Picture 2098885761"/>
                    <pic:cNvPicPr/>
                  </pic:nvPicPr>
                  <pic:blipFill>
                    <a:blip r:embed="rId16">
                      <a:extLst>
                        <a:ext uri="{28A0092B-C50C-407E-A947-70E740481C1C}">
                          <a14:useLocalDpi xmlns:a14="http://schemas.microsoft.com/office/drawing/2010/main" val="0"/>
                        </a:ext>
                      </a:extLst>
                    </a:blip>
                    <a:stretch>
                      <a:fillRect/>
                    </a:stretch>
                  </pic:blipFill>
                  <pic:spPr>
                    <a:xfrm>
                      <a:off x="0" y="0"/>
                      <a:ext cx="4523441" cy="3392259"/>
                    </a:xfrm>
                    <a:prstGeom prst="rect">
                      <a:avLst/>
                    </a:prstGeom>
                  </pic:spPr>
                </pic:pic>
              </a:graphicData>
            </a:graphic>
          </wp:inline>
        </w:drawing>
      </w:r>
    </w:p>
    <w:p w14:paraId="4AB69BB5" w14:textId="1B59BF4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Table 3.2: PICO-based Inclusion &amp; Exclusion Criteria</w:t>
      </w:r>
    </w:p>
    <w:p w14:paraId="7817DC96" w14:textId="77777777" w:rsidR="003F29DA" w:rsidRPr="003F29DA" w:rsidRDefault="003F29DA" w:rsidP="002F690B">
      <w:pPr>
        <w:spacing w:line="360" w:lineRule="auto"/>
        <w:jc w:val="both"/>
        <w:rPr>
          <w:rFonts w:ascii="Arial" w:hAnsi="Arial" w:cs="Arial"/>
          <w:sz w:val="22"/>
          <w:szCs w:val="22"/>
        </w:rPr>
      </w:pPr>
    </w:p>
    <w:p w14:paraId="4D8B72D6" w14:textId="7D0077C0" w:rsidR="003F29DA" w:rsidRPr="008A5418" w:rsidRDefault="003F29DA" w:rsidP="008A5418">
      <w:pPr>
        <w:pStyle w:val="Heading2"/>
        <w:rPr>
          <w:rFonts w:ascii="Arial" w:hAnsi="Arial" w:cs="Arial"/>
          <w:b/>
          <w:bCs/>
          <w:sz w:val="28"/>
          <w:szCs w:val="28"/>
        </w:rPr>
      </w:pPr>
      <w:bookmarkStart w:id="55" w:name="_Toc219805156"/>
      <w:r w:rsidRPr="008A5418">
        <w:rPr>
          <w:rFonts w:ascii="Arial" w:hAnsi="Arial" w:cs="Arial"/>
          <w:b/>
          <w:bCs/>
          <w:sz w:val="28"/>
          <w:szCs w:val="28"/>
        </w:rPr>
        <w:t>3.7</w:t>
      </w:r>
      <w:r w:rsidR="008A5418" w:rsidRPr="008A5418">
        <w:rPr>
          <w:rFonts w:ascii="Arial" w:hAnsi="Arial" w:cs="Arial"/>
          <w:b/>
          <w:bCs/>
          <w:sz w:val="28"/>
          <w:szCs w:val="28"/>
        </w:rPr>
        <w:t xml:space="preserve"> </w:t>
      </w:r>
      <w:r w:rsidRPr="008A5418">
        <w:rPr>
          <w:rFonts w:ascii="Arial" w:hAnsi="Arial" w:cs="Arial"/>
          <w:b/>
          <w:bCs/>
          <w:sz w:val="28"/>
          <w:szCs w:val="28"/>
        </w:rPr>
        <w:t>Study Selection and PRISMA Flow Narrative</w:t>
      </w:r>
      <w:bookmarkEnd w:id="55"/>
    </w:p>
    <w:p w14:paraId="0BCBA679" w14:textId="3C6B3B6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The Preferred Reporting Items for Systematic Reviews and Meta-Analyses (PRISMA) standards, which promote openness, consistency, and rigor in systematic review methodology, were adhered to during the study selection procedure (Page et al., 2021). The four main stages of the PRISMA strategy were identification, screening, eligibility, and inclusion</w:t>
      </w:r>
      <w:r w:rsidR="00081934">
        <w:rPr>
          <w:rFonts w:ascii="Arial" w:hAnsi="Arial" w:cs="Arial"/>
          <w:sz w:val="22"/>
          <w:szCs w:val="22"/>
        </w:rPr>
        <w:t xml:space="preserve"> </w:t>
      </w:r>
      <w:r w:rsidR="00081934" w:rsidRPr="00081934">
        <w:rPr>
          <w:rFonts w:ascii="Arial" w:hAnsi="Arial" w:cs="Arial"/>
          <w:sz w:val="22"/>
          <w:szCs w:val="22"/>
        </w:rPr>
        <w:t>(PRISMA, 2020)</w:t>
      </w:r>
      <w:r w:rsidRPr="003F29DA">
        <w:rPr>
          <w:rFonts w:ascii="Arial" w:hAnsi="Arial" w:cs="Arial"/>
          <w:sz w:val="22"/>
          <w:szCs w:val="22"/>
        </w:rPr>
        <w:t xml:space="preserve">. All pertinent research looking at community-based physiotherapy therapies for older individuals in urban settings were thoroughly assessed and chosen for synthesis thanks to this methodical approach (Moher et al., 2009). </w:t>
      </w:r>
    </w:p>
    <w:p w14:paraId="3ECC7297" w14:textId="34AD91E2"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Comprehensive searches in MEDLINE, CINAHL, PubMed, Scopus, Embase, and Web of Science produced 1,246 records during the identification phase. After importing these records into reference management software, 317 duplicates were eliminated, leaving 929 distinct titles and abstracts for screening. This sizable initial pool demonstrated the interdisciplinary character of fall prevention research, physiotherapy and gerontology (Pollock et al., 2022).</w:t>
      </w:r>
      <w:r w:rsidR="000F5365">
        <w:rPr>
          <w:rFonts w:ascii="Arial" w:hAnsi="Arial" w:cs="Arial"/>
          <w:sz w:val="22"/>
          <w:szCs w:val="22"/>
        </w:rPr>
        <w:t xml:space="preserve"> </w:t>
      </w:r>
      <w:r w:rsidR="000F5365" w:rsidRPr="000F5365">
        <w:rPr>
          <w:rFonts w:ascii="Arial" w:hAnsi="Arial" w:cs="Arial"/>
          <w:sz w:val="22"/>
          <w:szCs w:val="22"/>
        </w:rPr>
        <w:t xml:space="preserve">Reviews that deal with complicated health interventions frequently have high retrieval volumes, which are indicative of the wide conceptual boundaries that span the areas of clinical, </w:t>
      </w:r>
      <w:proofErr w:type="spellStart"/>
      <w:r w:rsidR="000F5365" w:rsidRPr="000F5365">
        <w:rPr>
          <w:rFonts w:ascii="Arial" w:hAnsi="Arial" w:cs="Arial"/>
          <w:sz w:val="22"/>
          <w:szCs w:val="22"/>
        </w:rPr>
        <w:t>behavioral</w:t>
      </w:r>
      <w:proofErr w:type="spellEnd"/>
      <w:r w:rsidR="000F5365" w:rsidRPr="000F5365">
        <w:rPr>
          <w:rFonts w:ascii="Arial" w:hAnsi="Arial" w:cs="Arial"/>
          <w:sz w:val="22"/>
          <w:szCs w:val="22"/>
        </w:rPr>
        <w:t>, and environmental research (Petticrew and Roberts, 2006; Harden et al., 2018).</w:t>
      </w:r>
    </w:p>
    <w:p w14:paraId="772BF392" w14:textId="33740A20"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lastRenderedPageBreak/>
        <w:t>The 929 records' titles and abstracts were examined during the screening stage to determine how pertinent they were to the review's objectives. Studies that concentrated on non-older adult populations, hospital-only interventions, non-physiotherapy techniques, or unrelated health themes were disqualified. At this point, 186 full-text articles remained for a thorough eligibility evaluation after 743 records were eliminated (Page et al., 2021).</w:t>
      </w:r>
    </w:p>
    <w:p w14:paraId="6C2C2398"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Full-text evaluation against the predetermined inclusion and exclusion criteria was part of the eligibility process. Articles that did not include a community-based component, were not physiotherapy-led, were not conducted in a metropolitan or urban environment, or did not offer qualitative or descriptive data appropriate for thematic synthesis were also removed.</w:t>
      </w:r>
    </w:p>
    <w:p w14:paraId="745E6C49"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174 full-text publications were eliminated during this phase due to factors including incorrect population, inadequate intervention details, a lack of urban context, or poor methodological quality (Higgins et al., 2020; Booth et al., 2021).</w:t>
      </w:r>
    </w:p>
    <w:p w14:paraId="656D2647" w14:textId="48174506" w:rsidR="003F29DA" w:rsidRPr="003F29DA" w:rsidRDefault="002D1729" w:rsidP="002D1729">
      <w:pPr>
        <w:spacing w:line="360" w:lineRule="auto"/>
        <w:jc w:val="center"/>
        <w:rPr>
          <w:rFonts w:ascii="Arial" w:hAnsi="Arial" w:cs="Arial"/>
          <w:sz w:val="22"/>
          <w:szCs w:val="22"/>
        </w:rPr>
      </w:pPr>
      <w:r>
        <w:rPr>
          <w:noProof/>
        </w:rPr>
        <w:drawing>
          <wp:inline distT="0" distB="0" distL="0" distR="0" wp14:anchorId="24D31E3D" wp14:editId="523BCC05">
            <wp:extent cx="4177145" cy="3236853"/>
            <wp:effectExtent l="0" t="0" r="0" b="1905"/>
            <wp:docPr id="156953836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538362" name="Picture 1569538362"/>
                    <pic:cNvPicPr/>
                  </pic:nvPicPr>
                  <pic:blipFill>
                    <a:blip r:embed="rId17">
                      <a:extLst>
                        <a:ext uri="{28A0092B-C50C-407E-A947-70E740481C1C}">
                          <a14:useLocalDpi xmlns:a14="http://schemas.microsoft.com/office/drawing/2010/main" val="0"/>
                        </a:ext>
                      </a:extLst>
                    </a:blip>
                    <a:stretch>
                      <a:fillRect/>
                    </a:stretch>
                  </pic:blipFill>
                  <pic:spPr>
                    <a:xfrm>
                      <a:off x="0" y="0"/>
                      <a:ext cx="4188240" cy="3245451"/>
                    </a:xfrm>
                    <a:prstGeom prst="rect">
                      <a:avLst/>
                    </a:prstGeom>
                  </pic:spPr>
                </pic:pic>
              </a:graphicData>
            </a:graphic>
          </wp:inline>
        </w:drawing>
      </w:r>
    </w:p>
    <w:p w14:paraId="01F38C68" w14:textId="08BF04C8" w:rsidR="003F29DA" w:rsidRPr="003F29DA" w:rsidRDefault="003F29DA" w:rsidP="00726C1A">
      <w:pPr>
        <w:spacing w:line="360" w:lineRule="auto"/>
        <w:jc w:val="center"/>
        <w:rPr>
          <w:rFonts w:ascii="Arial" w:hAnsi="Arial" w:cs="Arial"/>
          <w:sz w:val="22"/>
          <w:szCs w:val="22"/>
        </w:rPr>
      </w:pPr>
      <w:r w:rsidRPr="003F29DA">
        <w:rPr>
          <w:rFonts w:ascii="Arial" w:hAnsi="Arial" w:cs="Arial"/>
          <w:sz w:val="22"/>
          <w:szCs w:val="22"/>
        </w:rPr>
        <w:t xml:space="preserve">Figure </w:t>
      </w:r>
      <w:proofErr w:type="gramStart"/>
      <w:r w:rsidRPr="003F29DA">
        <w:rPr>
          <w:rFonts w:ascii="Arial" w:hAnsi="Arial" w:cs="Arial"/>
          <w:sz w:val="22"/>
          <w:szCs w:val="22"/>
        </w:rPr>
        <w:t>3.3 :</w:t>
      </w:r>
      <w:proofErr w:type="gramEnd"/>
      <w:r w:rsidRPr="003F29DA">
        <w:rPr>
          <w:rFonts w:ascii="Arial" w:hAnsi="Arial" w:cs="Arial"/>
          <w:sz w:val="22"/>
          <w:szCs w:val="22"/>
        </w:rPr>
        <w:t xml:space="preserve"> PRISMA Flow Chart</w:t>
      </w:r>
    </w:p>
    <w:p w14:paraId="70583734" w14:textId="23272DEC"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Twelve papers in all satisfied all inclusion requirements and were included in the qualitative synthesis. This research encompassed metropolitan settings, such as London, Birmingham, Manchester, Leeds, and similar foreign urban locations, and represented a wide variety of physiotherapy-led interventions. Despite their differences in scope and methodology, the studies </w:t>
      </w:r>
      <w:proofErr w:type="gramStart"/>
      <w:r w:rsidRPr="003F29DA">
        <w:rPr>
          <w:rFonts w:ascii="Arial" w:hAnsi="Arial" w:cs="Arial"/>
          <w:sz w:val="22"/>
          <w:szCs w:val="22"/>
        </w:rPr>
        <w:t>as a whole provided</w:t>
      </w:r>
      <w:proofErr w:type="gramEnd"/>
      <w:r w:rsidRPr="003F29DA">
        <w:rPr>
          <w:rFonts w:ascii="Arial" w:hAnsi="Arial" w:cs="Arial"/>
          <w:sz w:val="22"/>
          <w:szCs w:val="22"/>
        </w:rPr>
        <w:t xml:space="preserve"> significant qualitative </w:t>
      </w:r>
      <w:r w:rsidRPr="003F29DA">
        <w:rPr>
          <w:rFonts w:ascii="Arial" w:hAnsi="Arial" w:cs="Arial"/>
          <w:sz w:val="22"/>
          <w:szCs w:val="22"/>
        </w:rPr>
        <w:lastRenderedPageBreak/>
        <w:t>insights into the efficacy, acceptability, and contextual impacts of community-based physiotherapy for preventing falls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w:t>
      </w:r>
    </w:p>
    <w:p w14:paraId="5D9C664A" w14:textId="77777777" w:rsidR="00726C1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A clear structure for recording the identification, evaluation, and selection of research was made available via the PRISMA process. Although the visual diagram is not supplied here, it may be readily created using the information above and included in the dissertation. </w:t>
      </w:r>
    </w:p>
    <w:p w14:paraId="4ABCDE8C" w14:textId="540D19EB"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The final selection of twelve articles complies with the criteria of qualitative systematic reviews, which prioritize interpretative value, depth, and contextual richness above large sample sizes (Thomas and Harden, 2008).</w:t>
      </w:r>
    </w:p>
    <w:p w14:paraId="4AB2766D" w14:textId="77777777" w:rsidR="003F29DA" w:rsidRPr="003F29DA" w:rsidRDefault="003F29DA" w:rsidP="002F690B">
      <w:pPr>
        <w:spacing w:line="360" w:lineRule="auto"/>
        <w:jc w:val="both"/>
        <w:rPr>
          <w:rFonts w:ascii="Arial" w:hAnsi="Arial" w:cs="Arial"/>
          <w:sz w:val="22"/>
          <w:szCs w:val="22"/>
        </w:rPr>
      </w:pPr>
    </w:p>
    <w:p w14:paraId="69788BCD" w14:textId="128D8C1B" w:rsidR="003F29DA" w:rsidRPr="002D1729" w:rsidRDefault="003F29DA" w:rsidP="002D1729">
      <w:pPr>
        <w:pStyle w:val="Heading2"/>
        <w:rPr>
          <w:rFonts w:ascii="Arial" w:hAnsi="Arial" w:cs="Arial"/>
          <w:b/>
          <w:bCs/>
          <w:sz w:val="28"/>
          <w:szCs w:val="28"/>
        </w:rPr>
      </w:pPr>
      <w:bookmarkStart w:id="56" w:name="_Toc219805157"/>
      <w:r w:rsidRPr="002D1729">
        <w:rPr>
          <w:rFonts w:ascii="Arial" w:hAnsi="Arial" w:cs="Arial"/>
          <w:b/>
          <w:bCs/>
          <w:sz w:val="28"/>
          <w:szCs w:val="28"/>
        </w:rPr>
        <w:t>3.8</w:t>
      </w:r>
      <w:r w:rsidR="002D1729" w:rsidRPr="002D1729">
        <w:rPr>
          <w:rFonts w:ascii="Arial" w:hAnsi="Arial" w:cs="Arial"/>
          <w:b/>
          <w:bCs/>
          <w:sz w:val="28"/>
          <w:szCs w:val="28"/>
        </w:rPr>
        <w:t xml:space="preserve"> </w:t>
      </w:r>
      <w:r w:rsidRPr="002D1729">
        <w:rPr>
          <w:rFonts w:ascii="Arial" w:hAnsi="Arial" w:cs="Arial"/>
          <w:b/>
          <w:bCs/>
          <w:sz w:val="28"/>
          <w:szCs w:val="28"/>
        </w:rPr>
        <w:t>Data Extraction</w:t>
      </w:r>
      <w:bookmarkEnd w:id="56"/>
    </w:p>
    <w:p w14:paraId="5C73FA79" w14:textId="52FABD72"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A systematic extraction form based on Cochrane criteria was used to extract data (Higgins et al., 2020). Important information such as research design, participant characteristics, intervention components, delivery site, intervention duration, outcome measures, follow-up periods, and major findings </w:t>
      </w:r>
      <w:proofErr w:type="gramStart"/>
      <w:r w:rsidRPr="003F29DA">
        <w:rPr>
          <w:rFonts w:ascii="Arial" w:hAnsi="Arial" w:cs="Arial"/>
          <w:sz w:val="22"/>
          <w:szCs w:val="22"/>
        </w:rPr>
        <w:t>were</w:t>
      </w:r>
      <w:proofErr w:type="gramEnd"/>
      <w:r w:rsidRPr="003F29DA">
        <w:rPr>
          <w:rFonts w:ascii="Arial" w:hAnsi="Arial" w:cs="Arial"/>
          <w:sz w:val="22"/>
          <w:szCs w:val="22"/>
        </w:rPr>
        <w:t xml:space="preserve"> all recorded on the form. According to Sarkis-Onofre et al. (2021), structured extraction enhances consistency and guarantees that the same data is recorded across investigations employing various approaches.</w:t>
      </w:r>
      <w:r w:rsidR="000F5365">
        <w:rPr>
          <w:rFonts w:ascii="Arial" w:hAnsi="Arial" w:cs="Arial"/>
          <w:sz w:val="22"/>
          <w:szCs w:val="22"/>
        </w:rPr>
        <w:t xml:space="preserve"> </w:t>
      </w:r>
      <w:r w:rsidR="000F5365" w:rsidRPr="000F5365">
        <w:rPr>
          <w:rFonts w:ascii="Arial" w:hAnsi="Arial" w:cs="Arial"/>
          <w:sz w:val="22"/>
          <w:szCs w:val="22"/>
        </w:rPr>
        <w:t>It has also been demonstrated that using piloted extraction forms reduces data omission and enhances reviewer agreement, especially when synthesizing disparate study designs (Li et al., 2015; Buscemi et al., 2006).</w:t>
      </w:r>
    </w:p>
    <w:p w14:paraId="6D6F1FCB" w14:textId="74421774"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The reviewer personally extracted the data and checked its correctness. Sample size, gender distribution, baseline fall risk, kind of physiotherapy intervention (e.g., strength training, balance training, Tai Chi, Otago), presence of home assessment components, and adherence rates were among the characteristics that were extracted (Sherrington et al., 2020).</w:t>
      </w:r>
    </w:p>
    <w:p w14:paraId="0057F058" w14:textId="1A8AA726"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Fall incidence, the Timed Up and Go (TUG) test, the Berg Balance Scale (BBS), gait speed, and lower-limb strength indicators were common outcome measures</w:t>
      </w:r>
      <w:r w:rsidR="00081934">
        <w:rPr>
          <w:rFonts w:ascii="Arial" w:hAnsi="Arial" w:cs="Arial"/>
          <w:sz w:val="22"/>
          <w:szCs w:val="22"/>
        </w:rPr>
        <w:t xml:space="preserve"> </w:t>
      </w:r>
      <w:r w:rsidR="00081934" w:rsidRPr="00081934">
        <w:rPr>
          <w:rFonts w:ascii="Arial" w:hAnsi="Arial" w:cs="Arial"/>
          <w:sz w:val="22"/>
          <w:szCs w:val="22"/>
        </w:rPr>
        <w:t>- (Montero</w:t>
      </w:r>
      <w:r w:rsidR="00081934" w:rsidRPr="00081934">
        <w:rPr>
          <w:rFonts w:ascii="Cambria Math" w:hAnsi="Cambria Math" w:cs="Cambria Math"/>
          <w:sz w:val="22"/>
          <w:szCs w:val="22"/>
        </w:rPr>
        <w:t>‑</w:t>
      </w:r>
      <w:proofErr w:type="spellStart"/>
      <w:r w:rsidR="00081934" w:rsidRPr="00081934">
        <w:rPr>
          <w:rFonts w:ascii="Arial" w:hAnsi="Arial" w:cs="Arial"/>
          <w:sz w:val="22"/>
          <w:szCs w:val="22"/>
        </w:rPr>
        <w:t>Odasso</w:t>
      </w:r>
      <w:proofErr w:type="spellEnd"/>
      <w:r w:rsidR="00081934" w:rsidRPr="00081934">
        <w:rPr>
          <w:rFonts w:ascii="Arial" w:hAnsi="Arial" w:cs="Arial"/>
          <w:sz w:val="22"/>
          <w:szCs w:val="22"/>
        </w:rPr>
        <w:t xml:space="preserve"> et al., 2025)</w:t>
      </w:r>
      <w:r w:rsidRPr="003F29DA">
        <w:rPr>
          <w:rFonts w:ascii="Arial" w:hAnsi="Arial" w:cs="Arial"/>
          <w:sz w:val="22"/>
          <w:szCs w:val="22"/>
        </w:rPr>
        <w:t>. These instruments have been extensively validated for evaluating fall risk and mobility in older persons (Podsiadlo and Richardson, 1991; Berg et al., 1992; Sherrington et al., 2020). Adopting a systematic extraction technique boosted rigor and facilitated a cohesive synthesis of treatments that ranged in format (</w:t>
      </w:r>
      <w:proofErr w:type="spellStart"/>
      <w:r w:rsidRPr="003F29DA">
        <w:rPr>
          <w:rFonts w:ascii="Arial" w:hAnsi="Arial" w:cs="Arial"/>
          <w:sz w:val="22"/>
          <w:szCs w:val="22"/>
        </w:rPr>
        <w:t>Aromataris</w:t>
      </w:r>
      <w:proofErr w:type="spellEnd"/>
      <w:r w:rsidRPr="003F29DA">
        <w:rPr>
          <w:rFonts w:ascii="Arial" w:hAnsi="Arial" w:cs="Arial"/>
          <w:sz w:val="22"/>
          <w:szCs w:val="22"/>
        </w:rPr>
        <w:t xml:space="preserve"> and Munn, 2020).</w:t>
      </w:r>
    </w:p>
    <w:p w14:paraId="48AC1C5C" w14:textId="77777777" w:rsidR="003F29DA" w:rsidRPr="003F29DA" w:rsidRDefault="003F29DA" w:rsidP="002F690B">
      <w:pPr>
        <w:spacing w:line="360" w:lineRule="auto"/>
        <w:jc w:val="both"/>
        <w:rPr>
          <w:rFonts w:ascii="Arial" w:hAnsi="Arial" w:cs="Arial"/>
          <w:sz w:val="22"/>
          <w:szCs w:val="22"/>
        </w:rPr>
      </w:pPr>
    </w:p>
    <w:p w14:paraId="6E1442C1" w14:textId="3C009323" w:rsidR="003F29DA" w:rsidRPr="002D1729" w:rsidRDefault="003F29DA" w:rsidP="002D1729">
      <w:pPr>
        <w:pStyle w:val="Heading2"/>
        <w:rPr>
          <w:rFonts w:ascii="Arial" w:hAnsi="Arial" w:cs="Arial"/>
          <w:b/>
          <w:bCs/>
          <w:sz w:val="28"/>
          <w:szCs w:val="28"/>
        </w:rPr>
      </w:pPr>
      <w:bookmarkStart w:id="57" w:name="_Toc219805158"/>
      <w:r w:rsidRPr="002D1729">
        <w:rPr>
          <w:rFonts w:ascii="Arial" w:hAnsi="Arial" w:cs="Arial"/>
          <w:b/>
          <w:bCs/>
          <w:sz w:val="28"/>
          <w:szCs w:val="28"/>
        </w:rPr>
        <w:lastRenderedPageBreak/>
        <w:t>3.9</w:t>
      </w:r>
      <w:r w:rsidR="002D1729" w:rsidRPr="002D1729">
        <w:rPr>
          <w:rFonts w:ascii="Arial" w:hAnsi="Arial" w:cs="Arial"/>
          <w:b/>
          <w:bCs/>
          <w:sz w:val="28"/>
          <w:szCs w:val="28"/>
        </w:rPr>
        <w:t xml:space="preserve"> </w:t>
      </w:r>
      <w:r w:rsidRPr="002D1729">
        <w:rPr>
          <w:rFonts w:ascii="Arial" w:hAnsi="Arial" w:cs="Arial"/>
          <w:b/>
          <w:bCs/>
          <w:sz w:val="28"/>
          <w:szCs w:val="28"/>
        </w:rPr>
        <w:t>Quality Appraisal</w:t>
      </w:r>
      <w:bookmarkEnd w:id="57"/>
    </w:p>
    <w:p w14:paraId="2434D180" w14:textId="19B038C3"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To assess methodological quality and risk of bias, eligible studies were critically appraised using proven techniques relevant for each research design</w:t>
      </w:r>
      <w:r w:rsidR="00F35EC6" w:rsidRPr="00F35EC6">
        <w:rPr>
          <w:rFonts w:ascii="Arial" w:hAnsi="Arial" w:cs="Arial"/>
          <w:sz w:val="22"/>
          <w:szCs w:val="22"/>
        </w:rPr>
        <w:t xml:space="preserve"> (Ma et al., 2020)</w:t>
      </w:r>
      <w:r w:rsidRPr="003F29DA">
        <w:rPr>
          <w:rFonts w:ascii="Arial" w:hAnsi="Arial" w:cs="Arial"/>
          <w:sz w:val="22"/>
          <w:szCs w:val="22"/>
        </w:rPr>
        <w:t>. Randomized controlled trials were evaluated using the Cochrane Risk of Bias (</w:t>
      </w:r>
      <w:proofErr w:type="spellStart"/>
      <w:r w:rsidRPr="003F29DA">
        <w:rPr>
          <w:rFonts w:ascii="Arial" w:hAnsi="Arial" w:cs="Arial"/>
          <w:sz w:val="22"/>
          <w:szCs w:val="22"/>
        </w:rPr>
        <w:t>RoB</w:t>
      </w:r>
      <w:proofErr w:type="spellEnd"/>
      <w:r w:rsidRPr="003F29DA">
        <w:rPr>
          <w:rFonts w:ascii="Arial" w:hAnsi="Arial" w:cs="Arial"/>
          <w:sz w:val="22"/>
          <w:szCs w:val="22"/>
        </w:rPr>
        <w:t xml:space="preserve"> 2.0) methodology, which </w:t>
      </w:r>
      <w:r w:rsidR="002D1729">
        <w:rPr>
          <w:rFonts w:ascii="Arial" w:hAnsi="Arial" w:cs="Arial"/>
          <w:sz w:val="22"/>
          <w:szCs w:val="22"/>
        </w:rPr>
        <w:t xml:space="preserve">analyses </w:t>
      </w:r>
      <w:r w:rsidRPr="003F29DA">
        <w:rPr>
          <w:rFonts w:ascii="Arial" w:hAnsi="Arial" w:cs="Arial"/>
          <w:sz w:val="22"/>
          <w:szCs w:val="22"/>
        </w:rPr>
        <w:t>bias in randomisation, variations from intended treatments, missing outcome data, assessment of outcomes and selective reporting (Sterne et al., 2020).</w:t>
      </w:r>
    </w:p>
    <w:p w14:paraId="0CACF617" w14:textId="29327754"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The Joanna Briggs Institute (JBI) Critical Appraisal Tools, which evaluate internal validity, confounding control, and statistical analysis appropriateness, were used to evaluate quasi- experimental and cohort studies (Moola et al., 2020). These tools are widely recommended in health and rehabilitation research for ensuring methodological transparency (</w:t>
      </w:r>
      <w:proofErr w:type="spellStart"/>
      <w:r w:rsidRPr="003F29DA">
        <w:rPr>
          <w:rFonts w:ascii="Arial" w:hAnsi="Arial" w:cs="Arial"/>
          <w:sz w:val="22"/>
          <w:szCs w:val="22"/>
        </w:rPr>
        <w:t>Aromataris</w:t>
      </w:r>
      <w:proofErr w:type="spellEnd"/>
      <w:r w:rsidRPr="003F29DA">
        <w:rPr>
          <w:rFonts w:ascii="Arial" w:hAnsi="Arial" w:cs="Arial"/>
          <w:sz w:val="22"/>
          <w:szCs w:val="22"/>
        </w:rPr>
        <w:t xml:space="preserve"> and Munn, 2020).</w:t>
      </w:r>
    </w:p>
    <w:p w14:paraId="04FBF3AB" w14:textId="29301A89"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Quality evaluation is needed to achieve strong synthesis</w:t>
      </w:r>
      <w:r w:rsidR="00F35EC6">
        <w:rPr>
          <w:rFonts w:ascii="Arial" w:hAnsi="Arial" w:cs="Arial"/>
          <w:sz w:val="22"/>
          <w:szCs w:val="22"/>
        </w:rPr>
        <w:t xml:space="preserve"> </w:t>
      </w:r>
      <w:r w:rsidR="00F35EC6" w:rsidRPr="00F35EC6">
        <w:rPr>
          <w:rFonts w:ascii="Arial" w:hAnsi="Arial" w:cs="Arial"/>
          <w:sz w:val="22"/>
          <w:szCs w:val="22"/>
        </w:rPr>
        <w:t>(JBI, 2020)</w:t>
      </w:r>
      <w:r w:rsidRPr="003F29DA">
        <w:rPr>
          <w:rFonts w:ascii="Arial" w:hAnsi="Arial" w:cs="Arial"/>
          <w:sz w:val="22"/>
          <w:szCs w:val="22"/>
        </w:rPr>
        <w:t>.</w:t>
      </w:r>
      <w:r w:rsidR="000F5365">
        <w:rPr>
          <w:rFonts w:ascii="Arial" w:hAnsi="Arial" w:cs="Arial"/>
          <w:sz w:val="22"/>
          <w:szCs w:val="22"/>
        </w:rPr>
        <w:t xml:space="preserve"> </w:t>
      </w:r>
      <w:r w:rsidR="000F5365" w:rsidRPr="000F5365">
        <w:rPr>
          <w:rFonts w:ascii="Arial" w:hAnsi="Arial" w:cs="Arial"/>
          <w:sz w:val="22"/>
          <w:szCs w:val="22"/>
        </w:rPr>
        <w:t>Systematic reviews run the danger of overestimating the efficacy of interventions and eroding trust in evidence-based decision making in the absence of controlled assessment (Viswanathan et al., 2018; Hartling et al., 2017).</w:t>
      </w:r>
      <w:r w:rsidRPr="003F29DA">
        <w:rPr>
          <w:rFonts w:ascii="Arial" w:hAnsi="Arial" w:cs="Arial"/>
          <w:sz w:val="22"/>
          <w:szCs w:val="22"/>
        </w:rPr>
        <w:t xml:space="preserve"> When interpreting the results, high- quality research with minimal bias risk were given more weight, while studies with methodological flaws were appropriately recognized (Higgins et al., 2020).</w:t>
      </w:r>
    </w:p>
    <w:p w14:paraId="50BF8DC9"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The overall certainty of the body of evidence was assessed using the GRADE method, which rates quality based on study limitations, consistency, directness, precision and publication bias (Guyatt et al., 2022). This ensured that the strength of the evidence, rather than just the number of research studies, was represented in the </w:t>
      </w:r>
      <w:proofErr w:type="gramStart"/>
      <w:r w:rsidRPr="003F29DA">
        <w:rPr>
          <w:rFonts w:ascii="Arial" w:hAnsi="Arial" w:cs="Arial"/>
          <w:sz w:val="22"/>
          <w:szCs w:val="22"/>
        </w:rPr>
        <w:t>final results</w:t>
      </w:r>
      <w:proofErr w:type="gramEnd"/>
      <w:r w:rsidRPr="003F29DA">
        <w:rPr>
          <w:rFonts w:ascii="Arial" w:hAnsi="Arial" w:cs="Arial"/>
          <w:sz w:val="22"/>
          <w:szCs w:val="22"/>
        </w:rPr>
        <w:t>.</w:t>
      </w:r>
    </w:p>
    <w:p w14:paraId="386A3E3D" w14:textId="77777777" w:rsidR="002D1729" w:rsidRDefault="002D1729" w:rsidP="002F690B">
      <w:pPr>
        <w:spacing w:line="360" w:lineRule="auto"/>
        <w:jc w:val="both"/>
        <w:rPr>
          <w:rFonts w:ascii="Arial" w:hAnsi="Arial" w:cs="Arial"/>
          <w:sz w:val="22"/>
          <w:szCs w:val="22"/>
        </w:rPr>
      </w:pPr>
    </w:p>
    <w:p w14:paraId="64F5BFA5" w14:textId="0B342050" w:rsidR="003F29DA" w:rsidRPr="002D1729" w:rsidRDefault="003F29DA" w:rsidP="002D1729">
      <w:pPr>
        <w:pStyle w:val="Heading2"/>
        <w:rPr>
          <w:rFonts w:ascii="Arial" w:hAnsi="Arial" w:cs="Arial"/>
          <w:b/>
          <w:bCs/>
          <w:sz w:val="28"/>
          <w:szCs w:val="28"/>
        </w:rPr>
      </w:pPr>
      <w:bookmarkStart w:id="58" w:name="_Toc219805159"/>
      <w:r w:rsidRPr="002D1729">
        <w:rPr>
          <w:rFonts w:ascii="Arial" w:hAnsi="Arial" w:cs="Arial"/>
          <w:b/>
          <w:bCs/>
          <w:sz w:val="28"/>
          <w:szCs w:val="28"/>
        </w:rPr>
        <w:t>3.10 Data Synthesis</w:t>
      </w:r>
      <w:bookmarkEnd w:id="58"/>
    </w:p>
    <w:p w14:paraId="4464911B" w14:textId="290B1EA2"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Due to the high variation between studies in terms of design, outcome measures, intervention intensity and participant characteristics, a narrative synthesis strategy was chosen (Campbell et al., 2020; Popay et al., 2006). Because the included studies utilized varied fall-prevention strategies, follow-up times, and physiotherapy methods, making it difficult to calculate pooled effect sizes, meta-analysis was ruled unsuitable (Higgins et al., 2020; Campbell et al., 2020). Narrative synthesis allowed the reviewer to compare data qualitatively and discover underlying themes (Popay et al., 2006).</w:t>
      </w:r>
      <w:r w:rsidR="00B01B9B">
        <w:rPr>
          <w:rFonts w:ascii="Arial" w:hAnsi="Arial" w:cs="Arial"/>
          <w:sz w:val="22"/>
          <w:szCs w:val="22"/>
        </w:rPr>
        <w:t xml:space="preserve"> </w:t>
      </w:r>
      <w:r w:rsidR="00B01B9B" w:rsidRPr="00B01B9B">
        <w:rPr>
          <w:rFonts w:ascii="Arial" w:hAnsi="Arial" w:cs="Arial"/>
          <w:sz w:val="22"/>
          <w:szCs w:val="22"/>
        </w:rPr>
        <w:t>In rehabilitation research, when contextual factors and intervention complexity make meta-analytic methods impractical, narrative synthesis is especially well-suited (Rodgers et al., 2009; Ryan, 2016).</w:t>
      </w:r>
    </w:p>
    <w:p w14:paraId="55847A8A" w14:textId="583110FF"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lastRenderedPageBreak/>
        <w:t>Studies were synthesized thematically depending on their intervention emphasis, such as exercise-based physiotherapy programs, environmental assessment treatments and interdisciplinary community models (Thomas and Harden, 2008). Mixed-methods data were incorporated to give depth, notably on hurdles such as transit accessibility, socioeconomic disadvantage and perceptions of safety</w:t>
      </w:r>
      <w:r w:rsidR="00F35EC6">
        <w:rPr>
          <w:rFonts w:ascii="Arial" w:hAnsi="Arial" w:cs="Arial"/>
          <w:sz w:val="22"/>
          <w:szCs w:val="22"/>
        </w:rPr>
        <w:t xml:space="preserve">, </w:t>
      </w:r>
      <w:r w:rsidRPr="003F29DA">
        <w:rPr>
          <w:rFonts w:ascii="Arial" w:hAnsi="Arial" w:cs="Arial"/>
          <w:sz w:val="22"/>
          <w:szCs w:val="22"/>
        </w:rPr>
        <w:t>factors known to impact involvement with</w:t>
      </w:r>
      <w:r w:rsidR="002D1729">
        <w:rPr>
          <w:rFonts w:ascii="Arial" w:hAnsi="Arial" w:cs="Arial"/>
          <w:sz w:val="22"/>
          <w:szCs w:val="22"/>
        </w:rPr>
        <w:t xml:space="preserve"> </w:t>
      </w:r>
      <w:r w:rsidRPr="003F29DA">
        <w:rPr>
          <w:rFonts w:ascii="Arial" w:hAnsi="Arial" w:cs="Arial"/>
          <w:sz w:val="22"/>
          <w:szCs w:val="22"/>
        </w:rPr>
        <w:t>community health initiatives (Anderson and White, 2021; Marmot et al., 2020). This integration is consistent with current research in public health, which highlights the significance of contextual knowledge in addition to quantitative results (Hopewell et al., 2021; Montero-</w:t>
      </w:r>
      <w:proofErr w:type="spellStart"/>
      <w:r w:rsidRPr="003F29DA">
        <w:rPr>
          <w:rFonts w:ascii="Arial" w:hAnsi="Arial" w:cs="Arial"/>
          <w:sz w:val="22"/>
          <w:szCs w:val="22"/>
        </w:rPr>
        <w:t>Odasso</w:t>
      </w:r>
      <w:proofErr w:type="spellEnd"/>
      <w:r w:rsidRPr="003F29DA">
        <w:rPr>
          <w:rFonts w:ascii="Arial" w:hAnsi="Arial" w:cs="Arial"/>
          <w:sz w:val="22"/>
          <w:szCs w:val="22"/>
        </w:rPr>
        <w:t xml:space="preserve"> et al., 2022).</w:t>
      </w:r>
    </w:p>
    <w:p w14:paraId="565DE536" w14:textId="77777777" w:rsidR="003F29DA" w:rsidRPr="003F29DA" w:rsidRDefault="003F29DA" w:rsidP="002F690B">
      <w:pPr>
        <w:spacing w:line="360" w:lineRule="auto"/>
        <w:jc w:val="both"/>
        <w:rPr>
          <w:rFonts w:ascii="Arial" w:hAnsi="Arial" w:cs="Arial"/>
          <w:sz w:val="22"/>
          <w:szCs w:val="22"/>
        </w:rPr>
      </w:pPr>
    </w:p>
    <w:p w14:paraId="1B3F03F5" w14:textId="5CB8FAE6" w:rsidR="003F29DA" w:rsidRPr="002D1729" w:rsidRDefault="003F29DA" w:rsidP="002D1729">
      <w:pPr>
        <w:pStyle w:val="Heading2"/>
        <w:rPr>
          <w:rFonts w:ascii="Arial" w:hAnsi="Arial" w:cs="Arial"/>
          <w:b/>
          <w:bCs/>
          <w:sz w:val="28"/>
          <w:szCs w:val="28"/>
        </w:rPr>
      </w:pPr>
      <w:bookmarkStart w:id="59" w:name="_Toc219805160"/>
      <w:r w:rsidRPr="002D1729">
        <w:rPr>
          <w:rFonts w:ascii="Arial" w:hAnsi="Arial" w:cs="Arial"/>
          <w:b/>
          <w:bCs/>
          <w:sz w:val="28"/>
          <w:szCs w:val="28"/>
        </w:rPr>
        <w:t>3.11 Ethical Considerations</w:t>
      </w:r>
      <w:bookmarkEnd w:id="59"/>
    </w:p>
    <w:p w14:paraId="78C13A61" w14:textId="55BA62BF"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This review involves the synthesis of already published, peer-reviewed studies and so did not require NHS studies Ethics Committee clearance (COPE, 2022; NHS Health Research Authority, 2023). Systematic reviews that examine secondary data do not include direct participant engagement and are designated as minimal-risk research under international ethical criteria (COPE, 2022).</w:t>
      </w:r>
      <w:r w:rsidR="00B01B9B">
        <w:rPr>
          <w:rFonts w:ascii="Arial" w:hAnsi="Arial" w:cs="Arial"/>
          <w:sz w:val="22"/>
          <w:szCs w:val="22"/>
        </w:rPr>
        <w:t xml:space="preserve"> </w:t>
      </w:r>
      <w:r w:rsidR="00B01B9B" w:rsidRPr="00B01B9B">
        <w:rPr>
          <w:rFonts w:ascii="Arial" w:hAnsi="Arial" w:cs="Arial"/>
          <w:sz w:val="22"/>
          <w:szCs w:val="22"/>
        </w:rPr>
        <w:t xml:space="preserve">However, </w:t>
      </w:r>
      <w:proofErr w:type="gramStart"/>
      <w:r w:rsidR="00B01B9B" w:rsidRPr="00B01B9B">
        <w:rPr>
          <w:rFonts w:ascii="Arial" w:hAnsi="Arial" w:cs="Arial"/>
          <w:sz w:val="22"/>
          <w:szCs w:val="22"/>
        </w:rPr>
        <w:t>in order to</w:t>
      </w:r>
      <w:proofErr w:type="gramEnd"/>
      <w:r w:rsidR="00B01B9B" w:rsidRPr="00B01B9B">
        <w:rPr>
          <w:rFonts w:ascii="Arial" w:hAnsi="Arial" w:cs="Arial"/>
          <w:sz w:val="22"/>
          <w:szCs w:val="22"/>
        </w:rPr>
        <w:t xml:space="preserve"> maintain research integrity and public confidence, ethical best practices call for clear reporting, proper citation, and avoidance of data falsification (Shaw et al., 2016; Resnik, 2020).</w:t>
      </w:r>
    </w:p>
    <w:p w14:paraId="71977154" w14:textId="15A841F0" w:rsidR="002D1729" w:rsidRDefault="003F29DA" w:rsidP="002F690B">
      <w:pPr>
        <w:spacing w:line="360" w:lineRule="auto"/>
        <w:jc w:val="both"/>
        <w:rPr>
          <w:rFonts w:ascii="Arial" w:hAnsi="Arial" w:cs="Arial"/>
          <w:sz w:val="22"/>
          <w:szCs w:val="22"/>
        </w:rPr>
      </w:pPr>
      <w:r w:rsidRPr="003F29DA">
        <w:rPr>
          <w:rFonts w:ascii="Arial" w:hAnsi="Arial" w:cs="Arial"/>
          <w:sz w:val="22"/>
          <w:szCs w:val="22"/>
        </w:rPr>
        <w:t>The review also complies with PRISMA 2020 ethical criteria involving transparency in reporting, methodological clarity and avoidance of selective reporting (Page et al., 2021; Moher et al., 2009).</w:t>
      </w:r>
    </w:p>
    <w:p w14:paraId="32B7F7D1" w14:textId="77777777" w:rsidR="00A61438" w:rsidRDefault="00A61438" w:rsidP="002F690B">
      <w:pPr>
        <w:spacing w:line="360" w:lineRule="auto"/>
        <w:jc w:val="both"/>
        <w:rPr>
          <w:rFonts w:ascii="Arial" w:hAnsi="Arial" w:cs="Arial"/>
          <w:sz w:val="22"/>
          <w:szCs w:val="22"/>
        </w:rPr>
      </w:pPr>
    </w:p>
    <w:p w14:paraId="7825ABA2" w14:textId="0E72D2EA" w:rsidR="00A61438" w:rsidRPr="00A61438" w:rsidRDefault="00A61438" w:rsidP="00A61438">
      <w:pPr>
        <w:pStyle w:val="Heading3"/>
        <w:rPr>
          <w:rFonts w:ascii="Arial" w:hAnsi="Arial" w:cs="Arial"/>
          <w:b/>
          <w:bCs/>
          <w:sz w:val="24"/>
          <w:szCs w:val="24"/>
        </w:rPr>
      </w:pPr>
      <w:bookmarkStart w:id="60" w:name="_Toc219805161"/>
      <w:r w:rsidRPr="00A61438">
        <w:rPr>
          <w:rFonts w:ascii="Arial" w:hAnsi="Arial" w:cs="Arial"/>
          <w:b/>
          <w:bCs/>
          <w:sz w:val="24"/>
          <w:szCs w:val="24"/>
        </w:rPr>
        <w:t>3.12 Patient and Public Involvement Considerations</w:t>
      </w:r>
      <w:bookmarkEnd w:id="60"/>
    </w:p>
    <w:p w14:paraId="09F76953" w14:textId="4F7ED6FB" w:rsidR="00A61438" w:rsidRPr="00A61438" w:rsidRDefault="00A61438" w:rsidP="00A61438">
      <w:pPr>
        <w:spacing w:line="360" w:lineRule="auto"/>
        <w:jc w:val="both"/>
        <w:rPr>
          <w:rFonts w:ascii="Arial" w:hAnsi="Arial" w:cs="Arial"/>
          <w:sz w:val="22"/>
          <w:szCs w:val="22"/>
        </w:rPr>
      </w:pPr>
      <w:r w:rsidRPr="00A61438">
        <w:rPr>
          <w:rFonts w:ascii="Arial" w:hAnsi="Arial" w:cs="Arial"/>
          <w:sz w:val="22"/>
          <w:szCs w:val="22"/>
        </w:rPr>
        <w:t xml:space="preserve">Despite not being specifically addressed in this systematic review, patient and public engagement (PPI) is relevant to fall prevention research and community-based physiotherapy. </w:t>
      </w:r>
      <w:proofErr w:type="gramStart"/>
      <w:r w:rsidRPr="00A61438">
        <w:rPr>
          <w:rFonts w:ascii="Arial" w:hAnsi="Arial" w:cs="Arial"/>
          <w:sz w:val="22"/>
          <w:szCs w:val="22"/>
        </w:rPr>
        <w:t>In order to</w:t>
      </w:r>
      <w:proofErr w:type="gramEnd"/>
      <w:r w:rsidRPr="00A61438">
        <w:rPr>
          <w:rFonts w:ascii="Arial" w:hAnsi="Arial" w:cs="Arial"/>
          <w:sz w:val="22"/>
          <w:szCs w:val="22"/>
        </w:rPr>
        <w:t xml:space="preserve"> ensure that studies address topics that are important to service users, PPI refers to the active participation of patients and members of the public in the design, conduct, and dissemination of research (NIHR, 2021).</w:t>
      </w:r>
    </w:p>
    <w:p w14:paraId="05E3A9ED" w14:textId="73905DAE" w:rsidR="00A61438" w:rsidRDefault="00A61438" w:rsidP="00A61438">
      <w:pPr>
        <w:spacing w:line="360" w:lineRule="auto"/>
        <w:jc w:val="both"/>
        <w:rPr>
          <w:rFonts w:ascii="Arial" w:hAnsi="Arial" w:cs="Arial"/>
          <w:sz w:val="22"/>
          <w:szCs w:val="22"/>
        </w:rPr>
      </w:pPr>
      <w:r w:rsidRPr="00A61438">
        <w:rPr>
          <w:rFonts w:ascii="Arial" w:hAnsi="Arial" w:cs="Arial"/>
          <w:sz w:val="22"/>
          <w:szCs w:val="22"/>
        </w:rPr>
        <w:t>Research indicates that include older persons in the creation of fall prevention programs enhances their acceptability, relevance, and adherence—especially among varied urban populations (Brett et al., 2014; Montero-</w:t>
      </w:r>
      <w:proofErr w:type="spellStart"/>
      <w:r w:rsidRPr="00A61438">
        <w:rPr>
          <w:rFonts w:ascii="Arial" w:hAnsi="Arial" w:cs="Arial"/>
          <w:sz w:val="22"/>
          <w:szCs w:val="22"/>
        </w:rPr>
        <w:t>Odasso</w:t>
      </w:r>
      <w:proofErr w:type="spellEnd"/>
      <w:r w:rsidRPr="00A61438">
        <w:rPr>
          <w:rFonts w:ascii="Arial" w:hAnsi="Arial" w:cs="Arial"/>
          <w:sz w:val="22"/>
          <w:szCs w:val="22"/>
        </w:rPr>
        <w:t xml:space="preserve"> et al., 2022). According to Marmot et al. (2020), older persons can offer insightful information about perceived obstacles, cultural factors, and practical difficulties related to attending community-</w:t>
      </w:r>
      <w:r w:rsidRPr="00A61438">
        <w:rPr>
          <w:rFonts w:ascii="Arial" w:hAnsi="Arial" w:cs="Arial"/>
          <w:sz w:val="22"/>
          <w:szCs w:val="22"/>
        </w:rPr>
        <w:lastRenderedPageBreak/>
        <w:t>based physical therapy sessions, such as transportation access, scheduling, and environmental safety.</w:t>
      </w:r>
    </w:p>
    <w:p w14:paraId="054FF5ED" w14:textId="233408AC" w:rsidR="00A61438" w:rsidRPr="00A61438" w:rsidRDefault="00A61438" w:rsidP="00A61438">
      <w:pPr>
        <w:spacing w:line="360" w:lineRule="auto"/>
        <w:jc w:val="both"/>
        <w:rPr>
          <w:rFonts w:ascii="Arial" w:hAnsi="Arial" w:cs="Arial"/>
          <w:sz w:val="22"/>
          <w:szCs w:val="22"/>
        </w:rPr>
      </w:pPr>
      <w:r w:rsidRPr="00A61438">
        <w:rPr>
          <w:rFonts w:ascii="Arial" w:hAnsi="Arial" w:cs="Arial"/>
          <w:sz w:val="22"/>
          <w:szCs w:val="22"/>
        </w:rPr>
        <w:t>Research indicates that include older persons in the creation of fall prevention programs enhances their acceptability, relevance, and adherence—especially among varied urban populations (Brett et al., 2014; Montero-</w:t>
      </w:r>
      <w:proofErr w:type="spellStart"/>
      <w:r w:rsidRPr="00A61438">
        <w:rPr>
          <w:rFonts w:ascii="Arial" w:hAnsi="Arial" w:cs="Arial"/>
          <w:sz w:val="22"/>
          <w:szCs w:val="22"/>
        </w:rPr>
        <w:t>Odasso</w:t>
      </w:r>
      <w:proofErr w:type="spellEnd"/>
      <w:r w:rsidRPr="00A61438">
        <w:rPr>
          <w:rFonts w:ascii="Arial" w:hAnsi="Arial" w:cs="Arial"/>
          <w:sz w:val="22"/>
          <w:szCs w:val="22"/>
        </w:rPr>
        <w:t xml:space="preserve"> et al., 2022). According to Marmot et al. (2020), older persons can offer insightful information about perceived obstacles, cultural factors, and practical difficulties related to attending community-based physical therapy sessions, such as transportation access, scheduling, and environmental safety.</w:t>
      </w:r>
    </w:p>
    <w:p w14:paraId="2D2ACB59" w14:textId="2A80835A" w:rsidR="00A61438" w:rsidRPr="00A61438" w:rsidRDefault="00A61438" w:rsidP="00A61438">
      <w:pPr>
        <w:spacing w:line="360" w:lineRule="auto"/>
        <w:jc w:val="both"/>
        <w:rPr>
          <w:rFonts w:ascii="Arial" w:hAnsi="Arial" w:cs="Arial"/>
          <w:sz w:val="22"/>
          <w:szCs w:val="22"/>
        </w:rPr>
      </w:pPr>
      <w:r w:rsidRPr="00A61438">
        <w:rPr>
          <w:rFonts w:ascii="Arial" w:hAnsi="Arial" w:cs="Arial"/>
          <w:sz w:val="22"/>
          <w:szCs w:val="22"/>
        </w:rPr>
        <w:t>PPI may be especially helpful in lowering disparities in service usage in urban England, where communities are distinguished by socioeconomic, linguistic, and cultural diversity (NICE, 2025). It has been demonstrated that interacting with volunteer organizations and community leaders increases trust in healthcare services and expands access to underprivileged populations (Public Health England, 2020).</w:t>
      </w:r>
      <w:r w:rsidRPr="00A61438">
        <w:t xml:space="preserve"> </w:t>
      </w:r>
      <w:r w:rsidRPr="00A61438">
        <w:rPr>
          <w:rFonts w:ascii="Arial" w:hAnsi="Arial" w:cs="Arial"/>
          <w:sz w:val="22"/>
          <w:szCs w:val="22"/>
        </w:rPr>
        <w:t>Future primary research should use PPI to improve intervention design and guarantee that physiotherapy services are sensitive to local requirements, even if the current evaluation relied on secondary data.</w:t>
      </w:r>
    </w:p>
    <w:p w14:paraId="76217656" w14:textId="5DC7DE16" w:rsidR="00A61438" w:rsidRDefault="00A61438" w:rsidP="00A61438">
      <w:pPr>
        <w:spacing w:line="360" w:lineRule="auto"/>
        <w:jc w:val="both"/>
        <w:rPr>
          <w:rFonts w:ascii="Arial" w:hAnsi="Arial" w:cs="Arial"/>
          <w:sz w:val="22"/>
          <w:szCs w:val="22"/>
        </w:rPr>
      </w:pPr>
      <w:r w:rsidRPr="00A61438">
        <w:rPr>
          <w:rFonts w:ascii="Arial" w:hAnsi="Arial" w:cs="Arial"/>
          <w:sz w:val="22"/>
          <w:szCs w:val="22"/>
        </w:rPr>
        <w:t>Acknowledging the importance of PPI is consistent with the moral precepts of fairness, inclusion, and respect. Including older individuals' viewpoints in community-based fall prevention research might lead to more sustainable, equitable, and successful physiotherapy programs throughout metropolitan England.</w:t>
      </w:r>
    </w:p>
    <w:p w14:paraId="0E0F4FF4" w14:textId="77777777" w:rsidR="002D1729" w:rsidRDefault="002D1729" w:rsidP="002F690B">
      <w:pPr>
        <w:spacing w:line="360" w:lineRule="auto"/>
        <w:jc w:val="both"/>
        <w:rPr>
          <w:rFonts w:ascii="Arial" w:hAnsi="Arial" w:cs="Arial"/>
          <w:sz w:val="22"/>
          <w:szCs w:val="22"/>
        </w:rPr>
      </w:pPr>
    </w:p>
    <w:p w14:paraId="1749CA56" w14:textId="77777777" w:rsidR="002D1729" w:rsidRDefault="002D1729" w:rsidP="002F690B">
      <w:pPr>
        <w:spacing w:line="360" w:lineRule="auto"/>
        <w:jc w:val="both"/>
        <w:rPr>
          <w:rFonts w:ascii="Arial" w:hAnsi="Arial" w:cs="Arial"/>
          <w:sz w:val="22"/>
          <w:szCs w:val="22"/>
        </w:rPr>
      </w:pPr>
    </w:p>
    <w:p w14:paraId="3316F770" w14:textId="77777777" w:rsidR="00B01B9B" w:rsidRDefault="00B01B9B" w:rsidP="002F690B">
      <w:pPr>
        <w:spacing w:line="360" w:lineRule="auto"/>
        <w:jc w:val="both"/>
        <w:rPr>
          <w:rFonts w:ascii="Arial" w:hAnsi="Arial" w:cs="Arial"/>
          <w:sz w:val="22"/>
          <w:szCs w:val="22"/>
        </w:rPr>
      </w:pPr>
    </w:p>
    <w:p w14:paraId="3622CC67" w14:textId="77777777" w:rsidR="00B01B9B" w:rsidRDefault="00B01B9B" w:rsidP="002F690B">
      <w:pPr>
        <w:spacing w:line="360" w:lineRule="auto"/>
        <w:jc w:val="both"/>
        <w:rPr>
          <w:rFonts w:ascii="Arial" w:hAnsi="Arial" w:cs="Arial"/>
          <w:sz w:val="22"/>
          <w:szCs w:val="22"/>
        </w:rPr>
      </w:pPr>
    </w:p>
    <w:p w14:paraId="72D5A9D2" w14:textId="77777777" w:rsidR="00B01B9B" w:rsidRDefault="00B01B9B" w:rsidP="002F690B">
      <w:pPr>
        <w:spacing w:line="360" w:lineRule="auto"/>
        <w:jc w:val="both"/>
        <w:rPr>
          <w:rFonts w:ascii="Arial" w:hAnsi="Arial" w:cs="Arial"/>
          <w:sz w:val="22"/>
          <w:szCs w:val="22"/>
        </w:rPr>
      </w:pPr>
    </w:p>
    <w:p w14:paraId="5FE3962C" w14:textId="77777777" w:rsidR="00B01B9B" w:rsidRDefault="00B01B9B" w:rsidP="002F690B">
      <w:pPr>
        <w:spacing w:line="360" w:lineRule="auto"/>
        <w:jc w:val="both"/>
        <w:rPr>
          <w:rFonts w:ascii="Arial" w:hAnsi="Arial" w:cs="Arial"/>
          <w:sz w:val="22"/>
          <w:szCs w:val="22"/>
        </w:rPr>
      </w:pPr>
    </w:p>
    <w:p w14:paraId="7138C53A" w14:textId="77777777" w:rsidR="00B01B9B" w:rsidRPr="003F29DA" w:rsidRDefault="00B01B9B" w:rsidP="002F690B">
      <w:pPr>
        <w:spacing w:line="360" w:lineRule="auto"/>
        <w:jc w:val="both"/>
        <w:rPr>
          <w:rFonts w:ascii="Arial" w:hAnsi="Arial" w:cs="Arial"/>
          <w:sz w:val="22"/>
          <w:szCs w:val="22"/>
        </w:rPr>
      </w:pPr>
    </w:p>
    <w:p w14:paraId="6E9A8C4E" w14:textId="77777777" w:rsidR="003F29DA" w:rsidRPr="002D1729" w:rsidRDefault="003F29DA" w:rsidP="002D1729">
      <w:pPr>
        <w:pStyle w:val="Heading1"/>
        <w:rPr>
          <w:rFonts w:ascii="Arial" w:hAnsi="Arial" w:cs="Arial"/>
          <w:b/>
          <w:bCs/>
          <w:sz w:val="32"/>
          <w:szCs w:val="32"/>
        </w:rPr>
      </w:pPr>
      <w:bookmarkStart w:id="61" w:name="_Toc219805162"/>
      <w:r w:rsidRPr="002D1729">
        <w:rPr>
          <w:rFonts w:ascii="Arial" w:hAnsi="Arial" w:cs="Arial"/>
          <w:b/>
          <w:bCs/>
          <w:sz w:val="32"/>
          <w:szCs w:val="32"/>
        </w:rPr>
        <w:lastRenderedPageBreak/>
        <w:t>CHAPTER 4: RESULTS</w:t>
      </w:r>
      <w:bookmarkEnd w:id="61"/>
    </w:p>
    <w:p w14:paraId="3A0590BC" w14:textId="16C1EBDF" w:rsidR="003F29DA" w:rsidRPr="002D1729" w:rsidRDefault="003F29DA" w:rsidP="002D1729">
      <w:pPr>
        <w:pStyle w:val="Heading2"/>
        <w:rPr>
          <w:rFonts w:ascii="Arial" w:hAnsi="Arial" w:cs="Arial"/>
          <w:b/>
          <w:bCs/>
          <w:sz w:val="28"/>
          <w:szCs w:val="28"/>
        </w:rPr>
      </w:pPr>
      <w:bookmarkStart w:id="62" w:name="_Toc219805163"/>
      <w:r w:rsidRPr="002D1729">
        <w:rPr>
          <w:rFonts w:ascii="Arial" w:hAnsi="Arial" w:cs="Arial"/>
          <w:b/>
          <w:bCs/>
          <w:sz w:val="28"/>
          <w:szCs w:val="28"/>
        </w:rPr>
        <w:t>4.1</w:t>
      </w:r>
      <w:r w:rsidR="002D1729" w:rsidRPr="002D1729">
        <w:rPr>
          <w:rFonts w:ascii="Arial" w:hAnsi="Arial" w:cs="Arial"/>
          <w:b/>
          <w:bCs/>
          <w:sz w:val="28"/>
          <w:szCs w:val="28"/>
        </w:rPr>
        <w:t xml:space="preserve"> </w:t>
      </w:r>
      <w:r w:rsidRPr="002D1729">
        <w:rPr>
          <w:rFonts w:ascii="Arial" w:hAnsi="Arial" w:cs="Arial"/>
          <w:b/>
          <w:bCs/>
          <w:sz w:val="28"/>
          <w:szCs w:val="28"/>
        </w:rPr>
        <w:t>Introduction</w:t>
      </w:r>
      <w:bookmarkEnd w:id="62"/>
    </w:p>
    <w:p w14:paraId="028E54A4" w14:textId="20604505"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This chapter critically synthesises the findings of the included studies, moving beyond descriptive reporting to evaluate consistencies, contradictions, and contextual influences. The findings are interpreted in relation to the gaps identified in Chapter 2, with particular attention to the physical, psychological, social, and environmental dimensions of community-based physiotherapy interventions in urban settings.</w:t>
      </w:r>
      <w:r w:rsidR="00767DC3">
        <w:rPr>
          <w:rFonts w:ascii="Arial" w:hAnsi="Arial" w:cs="Arial"/>
          <w:sz w:val="22"/>
          <w:szCs w:val="22"/>
        </w:rPr>
        <w:t xml:space="preserve"> </w:t>
      </w:r>
      <w:proofErr w:type="gramStart"/>
      <w:r w:rsidR="00767DC3" w:rsidRPr="00767DC3">
        <w:rPr>
          <w:rFonts w:ascii="Arial" w:hAnsi="Arial" w:cs="Arial"/>
          <w:sz w:val="22"/>
          <w:szCs w:val="22"/>
        </w:rPr>
        <w:t>In order to</w:t>
      </w:r>
      <w:proofErr w:type="gramEnd"/>
      <w:r w:rsidR="00767DC3" w:rsidRPr="00767DC3">
        <w:rPr>
          <w:rFonts w:ascii="Arial" w:hAnsi="Arial" w:cs="Arial"/>
          <w:sz w:val="22"/>
          <w:szCs w:val="22"/>
        </w:rPr>
        <w:t xml:space="preserve"> capture the intricate relationships between individual capacity, </w:t>
      </w:r>
      <w:proofErr w:type="spellStart"/>
      <w:r w:rsidR="00767DC3" w:rsidRPr="00767DC3">
        <w:rPr>
          <w:rFonts w:ascii="Arial" w:hAnsi="Arial" w:cs="Arial"/>
          <w:sz w:val="22"/>
          <w:szCs w:val="22"/>
        </w:rPr>
        <w:t>behavioral</w:t>
      </w:r>
      <w:proofErr w:type="spellEnd"/>
      <w:r w:rsidR="00767DC3" w:rsidRPr="00767DC3">
        <w:rPr>
          <w:rFonts w:ascii="Arial" w:hAnsi="Arial" w:cs="Arial"/>
          <w:sz w:val="22"/>
          <w:szCs w:val="22"/>
        </w:rPr>
        <w:t xml:space="preserve"> adaptability, and environmental context that influence intervention effects, it is advised that rehabilitation research adopt a multidimensional analytical lens (Hawe et al., 2009; Craig et al., 2018).</w:t>
      </w:r>
    </w:p>
    <w:p w14:paraId="2951D0FA"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This chapter presented the results of the systematic review examining the effectiveness of community-based physiotherapy interventions in reducing falls among older adults aged 65 years and above living in metropolitan settings. The findings were derived from the twelve studies that met the inclusion criteria following the PRISMA-guided selection process outlined in Chapter 3. Results were reported descriptively and thematically, reflecting the heterogeneity of study designs, interventions and outcome measures. This chapter first summarized the systematic search outcomes and characteristics of the included studies, followed by data extraction and synthesis, and finally the identification of overarching themes.</w:t>
      </w:r>
    </w:p>
    <w:p w14:paraId="42CABF8B" w14:textId="77777777" w:rsidR="003F29DA" w:rsidRPr="003F29DA" w:rsidRDefault="003F29DA" w:rsidP="002F690B">
      <w:pPr>
        <w:spacing w:line="360" w:lineRule="auto"/>
        <w:jc w:val="both"/>
        <w:rPr>
          <w:rFonts w:ascii="Arial" w:hAnsi="Arial" w:cs="Arial"/>
          <w:sz w:val="22"/>
          <w:szCs w:val="22"/>
        </w:rPr>
      </w:pPr>
    </w:p>
    <w:p w14:paraId="7723153A" w14:textId="67432648" w:rsidR="003F29DA" w:rsidRPr="002D1729" w:rsidRDefault="003F29DA" w:rsidP="002D1729">
      <w:pPr>
        <w:pStyle w:val="Heading2"/>
        <w:rPr>
          <w:rFonts w:ascii="Arial" w:hAnsi="Arial" w:cs="Arial"/>
          <w:b/>
          <w:bCs/>
          <w:sz w:val="28"/>
          <w:szCs w:val="28"/>
        </w:rPr>
      </w:pPr>
      <w:bookmarkStart w:id="63" w:name="_Toc219805164"/>
      <w:r w:rsidRPr="002D1729">
        <w:rPr>
          <w:rFonts w:ascii="Arial" w:hAnsi="Arial" w:cs="Arial"/>
          <w:b/>
          <w:bCs/>
          <w:sz w:val="28"/>
          <w:szCs w:val="28"/>
        </w:rPr>
        <w:t>4.2</w:t>
      </w:r>
      <w:r w:rsidR="002D1729" w:rsidRPr="002D1729">
        <w:rPr>
          <w:rFonts w:ascii="Arial" w:hAnsi="Arial" w:cs="Arial"/>
          <w:b/>
          <w:bCs/>
          <w:sz w:val="28"/>
          <w:szCs w:val="28"/>
        </w:rPr>
        <w:t xml:space="preserve"> </w:t>
      </w:r>
      <w:r w:rsidRPr="002D1729">
        <w:rPr>
          <w:rFonts w:ascii="Arial" w:hAnsi="Arial" w:cs="Arial"/>
          <w:b/>
          <w:bCs/>
          <w:sz w:val="28"/>
          <w:szCs w:val="28"/>
        </w:rPr>
        <w:t>Systematic Search of Databases</w:t>
      </w:r>
      <w:bookmarkEnd w:id="63"/>
    </w:p>
    <w:p w14:paraId="17F25B31" w14:textId="1AC1C0A1"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The systematic search across six electronic databases resulted in a substantial number of records. Following the removal of duplicates and application of inclusion and exclusion criteria, twelve studies were retained for final synthesis. </w:t>
      </w:r>
      <w:r w:rsidR="00767DC3" w:rsidRPr="00767DC3">
        <w:rPr>
          <w:rFonts w:ascii="Arial" w:hAnsi="Arial" w:cs="Arial"/>
          <w:sz w:val="22"/>
          <w:szCs w:val="22"/>
        </w:rPr>
        <w:t xml:space="preserve">Methodological literature emphasizes that depth, relevance, and contextual richness are prioritized over quantity in qualitative and mixed-method systematic reviews, despite the small final number of included research (Thomas and Harden, 2008; </w:t>
      </w:r>
      <w:proofErr w:type="spellStart"/>
      <w:r w:rsidR="00767DC3" w:rsidRPr="00767DC3">
        <w:rPr>
          <w:rFonts w:ascii="Arial" w:hAnsi="Arial" w:cs="Arial"/>
          <w:sz w:val="22"/>
          <w:szCs w:val="22"/>
        </w:rPr>
        <w:t>Sandelowski</w:t>
      </w:r>
      <w:proofErr w:type="spellEnd"/>
      <w:r w:rsidR="00767DC3" w:rsidRPr="00767DC3">
        <w:rPr>
          <w:rFonts w:ascii="Arial" w:hAnsi="Arial" w:cs="Arial"/>
          <w:sz w:val="22"/>
          <w:szCs w:val="22"/>
        </w:rPr>
        <w:t xml:space="preserve"> et al., 2012).</w:t>
      </w:r>
      <w:r w:rsidR="00767DC3">
        <w:rPr>
          <w:rFonts w:ascii="Arial" w:hAnsi="Arial" w:cs="Arial"/>
          <w:sz w:val="22"/>
          <w:szCs w:val="22"/>
        </w:rPr>
        <w:t xml:space="preserve"> </w:t>
      </w:r>
      <w:r w:rsidRPr="003F29DA">
        <w:rPr>
          <w:rFonts w:ascii="Arial" w:hAnsi="Arial" w:cs="Arial"/>
          <w:sz w:val="22"/>
          <w:szCs w:val="22"/>
        </w:rPr>
        <w:t>These included systematic reviews, randomised controlled trials, observational studies, qualitative studies and mixed-methods research focusing on community-based physiotherapy and falls prevention among older adults.</w:t>
      </w:r>
    </w:p>
    <w:p w14:paraId="47A129DD" w14:textId="77777777" w:rsidR="003F29DA" w:rsidRPr="003F29DA" w:rsidRDefault="003F29DA" w:rsidP="002F690B">
      <w:pPr>
        <w:spacing w:line="360" w:lineRule="auto"/>
        <w:jc w:val="both"/>
        <w:rPr>
          <w:rFonts w:ascii="Arial" w:hAnsi="Arial" w:cs="Arial"/>
          <w:sz w:val="22"/>
          <w:szCs w:val="22"/>
        </w:rPr>
      </w:pPr>
    </w:p>
    <w:p w14:paraId="0CCFCC92" w14:textId="326F64F7" w:rsidR="003F29DA" w:rsidRPr="002D1729" w:rsidRDefault="003F29DA" w:rsidP="002D1729">
      <w:pPr>
        <w:pStyle w:val="Heading2"/>
        <w:rPr>
          <w:rFonts w:ascii="Arial" w:hAnsi="Arial" w:cs="Arial"/>
          <w:b/>
          <w:bCs/>
          <w:sz w:val="28"/>
          <w:szCs w:val="28"/>
        </w:rPr>
      </w:pPr>
      <w:bookmarkStart w:id="64" w:name="_Toc219805165"/>
      <w:r w:rsidRPr="002D1729">
        <w:rPr>
          <w:rFonts w:ascii="Arial" w:hAnsi="Arial" w:cs="Arial"/>
          <w:b/>
          <w:bCs/>
          <w:sz w:val="28"/>
          <w:szCs w:val="28"/>
        </w:rPr>
        <w:lastRenderedPageBreak/>
        <w:t>4.3</w:t>
      </w:r>
      <w:r w:rsidR="002D1729" w:rsidRPr="002D1729">
        <w:rPr>
          <w:rFonts w:ascii="Arial" w:hAnsi="Arial" w:cs="Arial"/>
          <w:b/>
          <w:bCs/>
          <w:sz w:val="28"/>
          <w:szCs w:val="28"/>
        </w:rPr>
        <w:t xml:space="preserve"> </w:t>
      </w:r>
      <w:r w:rsidRPr="002D1729">
        <w:rPr>
          <w:rFonts w:ascii="Arial" w:hAnsi="Arial" w:cs="Arial"/>
          <w:b/>
          <w:bCs/>
          <w:sz w:val="28"/>
          <w:szCs w:val="28"/>
        </w:rPr>
        <w:t>Characteristics of Included Studies</w:t>
      </w:r>
      <w:bookmarkEnd w:id="64"/>
    </w:p>
    <w:p w14:paraId="637C5069" w14:textId="4A32CEF0" w:rsidR="003F29DA" w:rsidRPr="003F29DA" w:rsidRDefault="004F2F7D" w:rsidP="002F690B">
      <w:pPr>
        <w:spacing w:line="360" w:lineRule="auto"/>
        <w:jc w:val="both"/>
        <w:rPr>
          <w:rFonts w:ascii="Arial" w:hAnsi="Arial" w:cs="Arial"/>
          <w:sz w:val="22"/>
          <w:szCs w:val="22"/>
        </w:rPr>
      </w:pPr>
      <w:r>
        <w:rPr>
          <w:rFonts w:ascii="Arial" w:hAnsi="Arial" w:cs="Arial"/>
          <w:sz w:val="22"/>
          <w:szCs w:val="22"/>
        </w:rPr>
        <w:t>T</w:t>
      </w:r>
      <w:r w:rsidR="003F29DA" w:rsidRPr="003F29DA">
        <w:rPr>
          <w:rFonts w:ascii="Arial" w:hAnsi="Arial" w:cs="Arial"/>
          <w:sz w:val="22"/>
          <w:szCs w:val="22"/>
        </w:rPr>
        <w:t>he twelve included studies were published between 2010 and 2021 and reflected a wide range of research methodologies. Four studies were systematic reviews, three were randomized controlled trials, two were qualitative studies, two were mixed-methods studies, and one was an observational study. The majority focused on older adults living independently in the community, with interventions delivered through physiotherapy-led</w:t>
      </w:r>
      <w:r w:rsidR="002D1729">
        <w:rPr>
          <w:rFonts w:ascii="Arial" w:hAnsi="Arial" w:cs="Arial"/>
          <w:sz w:val="22"/>
          <w:szCs w:val="22"/>
        </w:rPr>
        <w:t xml:space="preserve"> </w:t>
      </w:r>
      <w:r w:rsidR="003F29DA" w:rsidRPr="003F29DA">
        <w:rPr>
          <w:rFonts w:ascii="Arial" w:hAnsi="Arial" w:cs="Arial"/>
          <w:sz w:val="22"/>
          <w:szCs w:val="22"/>
        </w:rPr>
        <w:t>exercise programmes, balance and strength training, Tai Chi, or multifactorial approaches combining education and behavioural strategies.</w:t>
      </w:r>
      <w:r w:rsidR="00767DC3">
        <w:rPr>
          <w:rFonts w:ascii="Arial" w:hAnsi="Arial" w:cs="Arial"/>
          <w:sz w:val="22"/>
          <w:szCs w:val="22"/>
        </w:rPr>
        <w:t xml:space="preserve"> </w:t>
      </w:r>
      <w:r w:rsidR="00767DC3" w:rsidRPr="00767DC3">
        <w:rPr>
          <w:rFonts w:ascii="Arial" w:hAnsi="Arial" w:cs="Arial"/>
          <w:sz w:val="22"/>
          <w:szCs w:val="22"/>
        </w:rPr>
        <w:t xml:space="preserve">This variety of intervention forms reflects current trends toward individualized, multimodal fall prevention interventions intended to target older </w:t>
      </w:r>
      <w:proofErr w:type="gramStart"/>
      <w:r w:rsidR="00767DC3" w:rsidRPr="00767DC3">
        <w:rPr>
          <w:rFonts w:ascii="Arial" w:hAnsi="Arial" w:cs="Arial"/>
          <w:sz w:val="22"/>
          <w:szCs w:val="22"/>
        </w:rPr>
        <w:t>persons'</w:t>
      </w:r>
      <w:proofErr w:type="gramEnd"/>
      <w:r w:rsidR="00767DC3" w:rsidRPr="00767DC3">
        <w:rPr>
          <w:rFonts w:ascii="Arial" w:hAnsi="Arial" w:cs="Arial"/>
          <w:sz w:val="22"/>
          <w:szCs w:val="22"/>
        </w:rPr>
        <w:t xml:space="preserve"> varied functional abilities and lifestyle demands (Skelton et al., 2021; Howe et al., 2011).</w:t>
      </w:r>
    </w:p>
    <w:tbl>
      <w:tblPr>
        <w:tblW w:w="10290" w:type="dxa"/>
        <w:tblInd w:w="-1028" w:type="dxa"/>
        <w:tblBorders>
          <w:top w:val="double" w:sz="8" w:space="0" w:color="000000"/>
          <w:left w:val="double" w:sz="8" w:space="0" w:color="000000"/>
          <w:bottom w:val="double" w:sz="8" w:space="0" w:color="000000"/>
          <w:right w:val="double" w:sz="8" w:space="0" w:color="000000"/>
          <w:insideH w:val="double" w:sz="8" w:space="0" w:color="000000"/>
          <w:insideV w:val="double" w:sz="8" w:space="0" w:color="000000"/>
        </w:tblBorders>
        <w:tblLayout w:type="fixed"/>
        <w:tblCellMar>
          <w:left w:w="0" w:type="dxa"/>
          <w:right w:w="0" w:type="dxa"/>
        </w:tblCellMar>
        <w:tblLook w:val="01E0" w:firstRow="1" w:lastRow="1" w:firstColumn="1" w:lastColumn="1" w:noHBand="0" w:noVBand="0"/>
      </w:tblPr>
      <w:tblGrid>
        <w:gridCol w:w="720"/>
        <w:gridCol w:w="1380"/>
        <w:gridCol w:w="1480"/>
        <w:gridCol w:w="1520"/>
        <w:gridCol w:w="1740"/>
        <w:gridCol w:w="1920"/>
        <w:gridCol w:w="1530"/>
      </w:tblGrid>
      <w:tr w:rsidR="002D1729" w14:paraId="5FAAFA4F" w14:textId="77777777" w:rsidTr="002D1729">
        <w:trPr>
          <w:trHeight w:val="610"/>
        </w:trPr>
        <w:tc>
          <w:tcPr>
            <w:tcW w:w="720" w:type="dxa"/>
            <w:tcBorders>
              <w:bottom w:val="single" w:sz="8" w:space="0" w:color="000000"/>
            </w:tcBorders>
          </w:tcPr>
          <w:p w14:paraId="5636A9A7" w14:textId="77777777" w:rsidR="002D1729" w:rsidRDefault="002D1729" w:rsidP="008A42A6">
            <w:pPr>
              <w:pStyle w:val="TableParagraph"/>
              <w:spacing w:before="163"/>
              <w:rPr>
                <w:rFonts w:ascii="Arial"/>
                <w:b/>
              </w:rPr>
            </w:pPr>
            <w:r>
              <w:rPr>
                <w:rFonts w:ascii="Arial"/>
                <w:b/>
                <w:spacing w:val="-2"/>
              </w:rPr>
              <w:t>Study</w:t>
            </w:r>
          </w:p>
        </w:tc>
        <w:tc>
          <w:tcPr>
            <w:tcW w:w="1380" w:type="dxa"/>
            <w:tcBorders>
              <w:bottom w:val="single" w:sz="8" w:space="0" w:color="000000"/>
            </w:tcBorders>
          </w:tcPr>
          <w:p w14:paraId="0A1744D6" w14:textId="77777777" w:rsidR="002D1729" w:rsidRDefault="002D1729" w:rsidP="008A42A6">
            <w:pPr>
              <w:pStyle w:val="TableParagraph"/>
              <w:spacing w:before="163"/>
              <w:ind w:left="175"/>
              <w:rPr>
                <w:rFonts w:ascii="Arial"/>
                <w:b/>
              </w:rPr>
            </w:pPr>
            <w:r>
              <w:rPr>
                <w:rFonts w:ascii="Arial"/>
                <w:b/>
                <w:spacing w:val="-2"/>
              </w:rPr>
              <w:t>Author(s)</w:t>
            </w:r>
          </w:p>
        </w:tc>
        <w:tc>
          <w:tcPr>
            <w:tcW w:w="1480" w:type="dxa"/>
            <w:tcBorders>
              <w:bottom w:val="single" w:sz="8" w:space="0" w:color="000000"/>
            </w:tcBorders>
          </w:tcPr>
          <w:p w14:paraId="39B87F10" w14:textId="77777777" w:rsidR="002D1729" w:rsidRDefault="002D1729" w:rsidP="008A42A6">
            <w:pPr>
              <w:pStyle w:val="TableParagraph"/>
              <w:spacing w:before="54" w:line="228" w:lineRule="auto"/>
              <w:ind w:left="352" w:right="326" w:firstLine="61"/>
              <w:rPr>
                <w:rFonts w:ascii="Arial"/>
                <w:b/>
              </w:rPr>
            </w:pPr>
            <w:r>
              <w:rPr>
                <w:rFonts w:ascii="Arial"/>
                <w:b/>
                <w:spacing w:val="-2"/>
              </w:rPr>
              <w:t>Study Design</w:t>
            </w:r>
          </w:p>
        </w:tc>
        <w:tc>
          <w:tcPr>
            <w:tcW w:w="1520" w:type="dxa"/>
            <w:tcBorders>
              <w:bottom w:val="single" w:sz="8" w:space="0" w:color="000000"/>
            </w:tcBorders>
          </w:tcPr>
          <w:p w14:paraId="75EF60ED" w14:textId="77777777" w:rsidR="002D1729" w:rsidRDefault="002D1729" w:rsidP="008A42A6">
            <w:pPr>
              <w:pStyle w:val="TableParagraph"/>
              <w:spacing w:before="54" w:line="228" w:lineRule="auto"/>
              <w:ind w:left="346" w:right="285" w:hanging="43"/>
              <w:rPr>
                <w:rFonts w:ascii="Arial"/>
                <w:b/>
              </w:rPr>
            </w:pPr>
            <w:r>
              <w:rPr>
                <w:rFonts w:ascii="Arial"/>
                <w:b/>
              </w:rPr>
              <w:t>Setting</w:t>
            </w:r>
            <w:r>
              <w:rPr>
                <w:rFonts w:ascii="Arial"/>
                <w:b/>
                <w:spacing w:val="-16"/>
              </w:rPr>
              <w:t xml:space="preserve"> </w:t>
            </w:r>
            <w:r>
              <w:rPr>
                <w:rFonts w:ascii="Arial"/>
                <w:b/>
              </w:rPr>
              <w:t xml:space="preserve">/ </w:t>
            </w:r>
            <w:r>
              <w:rPr>
                <w:rFonts w:ascii="Arial"/>
                <w:b/>
                <w:spacing w:val="-2"/>
              </w:rPr>
              <w:t>Sample</w:t>
            </w:r>
          </w:p>
        </w:tc>
        <w:tc>
          <w:tcPr>
            <w:tcW w:w="1740" w:type="dxa"/>
            <w:tcBorders>
              <w:bottom w:val="single" w:sz="8" w:space="0" w:color="000000"/>
            </w:tcBorders>
          </w:tcPr>
          <w:p w14:paraId="7B665550" w14:textId="77777777" w:rsidR="002D1729" w:rsidRDefault="002D1729" w:rsidP="008A42A6">
            <w:pPr>
              <w:pStyle w:val="TableParagraph"/>
              <w:spacing w:before="54" w:line="228" w:lineRule="auto"/>
              <w:ind w:left="528" w:right="57" w:hanging="306"/>
              <w:rPr>
                <w:rFonts w:ascii="Arial"/>
                <w:b/>
              </w:rPr>
            </w:pPr>
            <w:r>
              <w:rPr>
                <w:rFonts w:ascii="Arial"/>
                <w:b/>
                <w:spacing w:val="-2"/>
              </w:rPr>
              <w:t>Intervention Focus</w:t>
            </w:r>
          </w:p>
        </w:tc>
        <w:tc>
          <w:tcPr>
            <w:tcW w:w="1920" w:type="dxa"/>
            <w:tcBorders>
              <w:bottom w:val="single" w:sz="8" w:space="0" w:color="000000"/>
            </w:tcBorders>
          </w:tcPr>
          <w:p w14:paraId="1FE3C996" w14:textId="77777777" w:rsidR="002D1729" w:rsidRDefault="002D1729" w:rsidP="008A42A6">
            <w:pPr>
              <w:pStyle w:val="TableParagraph"/>
              <w:spacing w:before="163"/>
              <w:ind w:left="16"/>
              <w:jc w:val="center"/>
              <w:rPr>
                <w:rFonts w:ascii="Arial"/>
                <w:b/>
              </w:rPr>
            </w:pPr>
            <w:r>
              <w:rPr>
                <w:rFonts w:ascii="Arial"/>
                <w:b/>
              </w:rPr>
              <w:t>Key</w:t>
            </w:r>
            <w:r>
              <w:rPr>
                <w:rFonts w:ascii="Arial"/>
                <w:b/>
                <w:spacing w:val="-2"/>
              </w:rPr>
              <w:t xml:space="preserve"> Outcomes</w:t>
            </w:r>
          </w:p>
        </w:tc>
        <w:tc>
          <w:tcPr>
            <w:tcW w:w="1530" w:type="dxa"/>
            <w:tcBorders>
              <w:bottom w:val="single" w:sz="8" w:space="0" w:color="000000"/>
            </w:tcBorders>
          </w:tcPr>
          <w:p w14:paraId="00B94C26" w14:textId="77777777" w:rsidR="002D1729" w:rsidRDefault="002D1729" w:rsidP="008A42A6">
            <w:pPr>
              <w:pStyle w:val="TableParagraph"/>
              <w:spacing w:before="54" w:line="228" w:lineRule="auto"/>
              <w:ind w:left="259" w:firstLine="73"/>
              <w:rPr>
                <w:rFonts w:ascii="Arial"/>
                <w:b/>
              </w:rPr>
            </w:pPr>
            <w:r>
              <w:rPr>
                <w:rFonts w:ascii="Arial"/>
                <w:b/>
                <w:spacing w:val="-2"/>
              </w:rPr>
              <w:t>Themes Identified</w:t>
            </w:r>
          </w:p>
        </w:tc>
      </w:tr>
      <w:tr w:rsidR="002D1729" w14:paraId="001186DD" w14:textId="77777777" w:rsidTr="002D1729">
        <w:trPr>
          <w:trHeight w:val="810"/>
        </w:trPr>
        <w:tc>
          <w:tcPr>
            <w:tcW w:w="720" w:type="dxa"/>
            <w:tcBorders>
              <w:top w:val="single" w:sz="8" w:space="0" w:color="000000"/>
            </w:tcBorders>
          </w:tcPr>
          <w:p w14:paraId="3D51A4DB" w14:textId="77777777" w:rsidR="002D1729" w:rsidRDefault="002D1729" w:rsidP="008A42A6">
            <w:pPr>
              <w:pStyle w:val="TableParagraph"/>
              <w:spacing w:before="40"/>
              <w:ind w:left="0"/>
            </w:pPr>
          </w:p>
          <w:p w14:paraId="002E4A0B" w14:textId="77777777" w:rsidR="002D1729" w:rsidRDefault="002D1729" w:rsidP="008A42A6">
            <w:pPr>
              <w:pStyle w:val="TableParagraph"/>
              <w:spacing w:before="0"/>
            </w:pPr>
            <w:r>
              <w:rPr>
                <w:spacing w:val="-10"/>
              </w:rPr>
              <w:t>1</w:t>
            </w:r>
          </w:p>
        </w:tc>
        <w:tc>
          <w:tcPr>
            <w:tcW w:w="1380" w:type="dxa"/>
            <w:tcBorders>
              <w:top w:val="single" w:sz="8" w:space="0" w:color="000000"/>
            </w:tcBorders>
          </w:tcPr>
          <w:p w14:paraId="0ADB2B5E" w14:textId="77777777" w:rsidR="002D1729" w:rsidRDefault="002D1729" w:rsidP="008A42A6">
            <w:pPr>
              <w:pStyle w:val="TableParagraph"/>
              <w:spacing w:line="247" w:lineRule="auto"/>
              <w:ind w:right="99"/>
            </w:pPr>
            <w:r>
              <w:rPr>
                <w:spacing w:val="-2"/>
              </w:rPr>
              <w:t xml:space="preserve">Sherrington </w:t>
            </w:r>
            <w:r>
              <w:t>et</w:t>
            </w:r>
            <w:r>
              <w:rPr>
                <w:spacing w:val="-1"/>
              </w:rPr>
              <w:t xml:space="preserve"> </w:t>
            </w:r>
            <w:r>
              <w:t>al.</w:t>
            </w:r>
            <w:r>
              <w:rPr>
                <w:spacing w:val="-1"/>
              </w:rPr>
              <w:t xml:space="preserve"> </w:t>
            </w:r>
            <w:r>
              <w:rPr>
                <w:spacing w:val="-2"/>
              </w:rPr>
              <w:t>(2019)</w:t>
            </w:r>
          </w:p>
        </w:tc>
        <w:tc>
          <w:tcPr>
            <w:tcW w:w="1480" w:type="dxa"/>
            <w:tcBorders>
              <w:top w:val="single" w:sz="8" w:space="0" w:color="000000"/>
            </w:tcBorders>
          </w:tcPr>
          <w:p w14:paraId="151B5E70" w14:textId="77777777" w:rsidR="002D1729" w:rsidRDefault="002D1729" w:rsidP="008A42A6">
            <w:pPr>
              <w:pStyle w:val="TableParagraph"/>
              <w:spacing w:before="35" w:line="237" w:lineRule="auto"/>
              <w:ind w:right="20"/>
            </w:pPr>
            <w:r>
              <w:rPr>
                <w:spacing w:val="-2"/>
              </w:rPr>
              <w:t xml:space="preserve">Systematic </w:t>
            </w:r>
            <w:r>
              <w:t xml:space="preserve">review &amp; </w:t>
            </w:r>
            <w:r>
              <w:rPr>
                <w:spacing w:val="-2"/>
              </w:rPr>
              <w:t>meta-analysis</w:t>
            </w:r>
          </w:p>
        </w:tc>
        <w:tc>
          <w:tcPr>
            <w:tcW w:w="1520" w:type="dxa"/>
            <w:tcBorders>
              <w:top w:val="single" w:sz="8" w:space="0" w:color="000000"/>
            </w:tcBorders>
          </w:tcPr>
          <w:p w14:paraId="5602B3C3" w14:textId="77777777" w:rsidR="002D1729" w:rsidRDefault="002D1729" w:rsidP="008A42A6">
            <w:pPr>
              <w:pStyle w:val="TableParagraph"/>
              <w:spacing w:before="35" w:line="237" w:lineRule="auto"/>
              <w:ind w:right="70"/>
            </w:pPr>
            <w:proofErr w:type="gramStart"/>
            <w:r>
              <w:rPr>
                <w:spacing w:val="-2"/>
              </w:rPr>
              <w:t xml:space="preserve">Community- </w:t>
            </w:r>
            <w:r>
              <w:t>dwelling</w:t>
            </w:r>
            <w:r>
              <w:rPr>
                <w:spacing w:val="-16"/>
              </w:rPr>
              <w:t xml:space="preserve"> </w:t>
            </w:r>
            <w:r>
              <w:t>older</w:t>
            </w:r>
            <w:proofErr w:type="gramEnd"/>
            <w:r>
              <w:t xml:space="preserve"> </w:t>
            </w:r>
            <w:r>
              <w:rPr>
                <w:spacing w:val="-2"/>
              </w:rPr>
              <w:t>adults</w:t>
            </w:r>
          </w:p>
        </w:tc>
        <w:tc>
          <w:tcPr>
            <w:tcW w:w="1740" w:type="dxa"/>
            <w:tcBorders>
              <w:top w:val="single" w:sz="8" w:space="0" w:color="000000"/>
            </w:tcBorders>
          </w:tcPr>
          <w:p w14:paraId="40B71C90" w14:textId="77777777" w:rsidR="002D1729" w:rsidRDefault="002D1729" w:rsidP="008A42A6">
            <w:pPr>
              <w:pStyle w:val="TableParagraph"/>
              <w:spacing w:before="35" w:line="237" w:lineRule="auto"/>
              <w:ind w:right="57"/>
            </w:pPr>
            <w:r>
              <w:rPr>
                <w:spacing w:val="-2"/>
              </w:rPr>
              <w:t>Balance- focused physiotherapy</w:t>
            </w:r>
          </w:p>
        </w:tc>
        <w:tc>
          <w:tcPr>
            <w:tcW w:w="1920" w:type="dxa"/>
            <w:tcBorders>
              <w:top w:val="single" w:sz="8" w:space="0" w:color="000000"/>
            </w:tcBorders>
          </w:tcPr>
          <w:p w14:paraId="4BCFA4DE" w14:textId="77777777" w:rsidR="002D1729" w:rsidRDefault="002D1729" w:rsidP="008A42A6">
            <w:pPr>
              <w:pStyle w:val="TableParagraph"/>
              <w:spacing w:line="247" w:lineRule="auto"/>
              <w:ind w:right="42"/>
            </w:pPr>
            <w:r>
              <w:t>23–34%</w:t>
            </w:r>
            <w:r>
              <w:rPr>
                <w:spacing w:val="-16"/>
              </w:rPr>
              <w:t xml:space="preserve"> </w:t>
            </w:r>
            <w:r>
              <w:t>reduction in falls</w:t>
            </w:r>
          </w:p>
        </w:tc>
        <w:tc>
          <w:tcPr>
            <w:tcW w:w="1530" w:type="dxa"/>
            <w:tcBorders>
              <w:top w:val="single" w:sz="8" w:space="0" w:color="000000"/>
            </w:tcBorders>
          </w:tcPr>
          <w:p w14:paraId="77F4A958" w14:textId="77777777" w:rsidR="002D1729" w:rsidRDefault="002D1729" w:rsidP="008A42A6">
            <w:pPr>
              <w:pStyle w:val="TableParagraph"/>
              <w:spacing w:line="247" w:lineRule="auto"/>
            </w:pPr>
            <w:r>
              <w:rPr>
                <w:spacing w:val="-2"/>
              </w:rPr>
              <w:t>Physical improvement</w:t>
            </w:r>
          </w:p>
        </w:tc>
      </w:tr>
      <w:tr w:rsidR="002D1729" w14:paraId="4AA6D2AF" w14:textId="77777777" w:rsidTr="002D1729">
        <w:trPr>
          <w:trHeight w:val="630"/>
        </w:trPr>
        <w:tc>
          <w:tcPr>
            <w:tcW w:w="720" w:type="dxa"/>
            <w:tcBorders>
              <w:bottom w:val="single" w:sz="8" w:space="0" w:color="000000"/>
            </w:tcBorders>
          </w:tcPr>
          <w:p w14:paraId="3B6F835C" w14:textId="77777777" w:rsidR="002D1729" w:rsidRDefault="002D1729" w:rsidP="008A42A6">
            <w:pPr>
              <w:pStyle w:val="TableParagraph"/>
              <w:spacing w:before="163"/>
            </w:pPr>
            <w:r>
              <w:rPr>
                <w:spacing w:val="-10"/>
              </w:rPr>
              <w:t>2</w:t>
            </w:r>
          </w:p>
        </w:tc>
        <w:tc>
          <w:tcPr>
            <w:tcW w:w="1380" w:type="dxa"/>
            <w:tcBorders>
              <w:bottom w:val="single" w:sz="8" w:space="0" w:color="000000"/>
            </w:tcBorders>
          </w:tcPr>
          <w:p w14:paraId="400F274E" w14:textId="77777777" w:rsidR="002D1729" w:rsidRDefault="002D1729" w:rsidP="008A42A6">
            <w:pPr>
              <w:pStyle w:val="TableParagraph"/>
              <w:spacing w:before="43" w:line="247" w:lineRule="auto"/>
              <w:ind w:right="187"/>
            </w:pPr>
            <w:r>
              <w:t>Gillespie</w:t>
            </w:r>
            <w:r>
              <w:rPr>
                <w:spacing w:val="-16"/>
              </w:rPr>
              <w:t xml:space="preserve"> </w:t>
            </w:r>
            <w:r>
              <w:t>et al. (2012)</w:t>
            </w:r>
          </w:p>
        </w:tc>
        <w:tc>
          <w:tcPr>
            <w:tcW w:w="1480" w:type="dxa"/>
            <w:tcBorders>
              <w:bottom w:val="single" w:sz="8" w:space="0" w:color="000000"/>
            </w:tcBorders>
          </w:tcPr>
          <w:p w14:paraId="2063BC5F" w14:textId="77777777" w:rsidR="002D1729" w:rsidRDefault="002D1729" w:rsidP="008A42A6">
            <w:pPr>
              <w:pStyle w:val="TableParagraph"/>
              <w:spacing w:before="43" w:line="247" w:lineRule="auto"/>
              <w:ind w:right="20"/>
            </w:pPr>
            <w:r>
              <w:rPr>
                <w:spacing w:val="-2"/>
              </w:rPr>
              <w:t>Systematic review</w:t>
            </w:r>
          </w:p>
        </w:tc>
        <w:tc>
          <w:tcPr>
            <w:tcW w:w="1520" w:type="dxa"/>
            <w:tcBorders>
              <w:bottom w:val="single" w:sz="8" w:space="0" w:color="000000"/>
            </w:tcBorders>
          </w:tcPr>
          <w:p w14:paraId="2D3E449B" w14:textId="77777777" w:rsidR="002D1729" w:rsidRDefault="002D1729" w:rsidP="008A42A6">
            <w:pPr>
              <w:pStyle w:val="TableParagraph"/>
              <w:spacing w:before="43" w:line="247" w:lineRule="auto"/>
              <w:ind w:right="285"/>
            </w:pPr>
            <w:r>
              <w:rPr>
                <w:spacing w:val="-2"/>
              </w:rPr>
              <w:t>Community settings</w:t>
            </w:r>
          </w:p>
        </w:tc>
        <w:tc>
          <w:tcPr>
            <w:tcW w:w="1740" w:type="dxa"/>
            <w:tcBorders>
              <w:bottom w:val="single" w:sz="8" w:space="0" w:color="000000"/>
            </w:tcBorders>
          </w:tcPr>
          <w:p w14:paraId="48DABBB6" w14:textId="77777777" w:rsidR="002D1729" w:rsidRDefault="002D1729" w:rsidP="008A42A6">
            <w:pPr>
              <w:pStyle w:val="TableParagraph"/>
              <w:spacing w:before="43" w:line="247" w:lineRule="auto"/>
              <w:ind w:right="57"/>
            </w:pPr>
            <w:r>
              <w:rPr>
                <w:spacing w:val="-2"/>
              </w:rPr>
              <w:t>Exercise-based physiotherapy</w:t>
            </w:r>
          </w:p>
        </w:tc>
        <w:tc>
          <w:tcPr>
            <w:tcW w:w="1920" w:type="dxa"/>
            <w:tcBorders>
              <w:bottom w:val="single" w:sz="8" w:space="0" w:color="000000"/>
            </w:tcBorders>
          </w:tcPr>
          <w:p w14:paraId="0A6000F3" w14:textId="77777777" w:rsidR="002D1729" w:rsidRDefault="002D1729" w:rsidP="008A42A6">
            <w:pPr>
              <w:pStyle w:val="TableParagraph"/>
              <w:spacing w:before="43" w:line="247" w:lineRule="auto"/>
              <w:ind w:right="593"/>
            </w:pPr>
            <w:r>
              <w:t>Reduced</w:t>
            </w:r>
            <w:r>
              <w:rPr>
                <w:spacing w:val="-16"/>
              </w:rPr>
              <w:t xml:space="preserve"> </w:t>
            </w:r>
            <w:r>
              <w:t xml:space="preserve">fall </w:t>
            </w:r>
            <w:r>
              <w:rPr>
                <w:spacing w:val="-2"/>
              </w:rPr>
              <w:t>incidence</w:t>
            </w:r>
          </w:p>
        </w:tc>
        <w:tc>
          <w:tcPr>
            <w:tcW w:w="1530" w:type="dxa"/>
            <w:tcBorders>
              <w:bottom w:val="single" w:sz="8" w:space="0" w:color="000000"/>
            </w:tcBorders>
          </w:tcPr>
          <w:p w14:paraId="201116DD" w14:textId="77777777" w:rsidR="002D1729" w:rsidRDefault="002D1729" w:rsidP="008A42A6">
            <w:pPr>
              <w:pStyle w:val="TableParagraph"/>
              <w:spacing w:before="43" w:line="247" w:lineRule="auto"/>
            </w:pPr>
            <w:r>
              <w:rPr>
                <w:spacing w:val="-2"/>
              </w:rPr>
              <w:t>Physical improvement</w:t>
            </w:r>
          </w:p>
        </w:tc>
      </w:tr>
      <w:tr w:rsidR="002D1729" w14:paraId="264BBA57" w14:textId="77777777" w:rsidTr="002D1729">
        <w:trPr>
          <w:trHeight w:val="810"/>
        </w:trPr>
        <w:tc>
          <w:tcPr>
            <w:tcW w:w="720" w:type="dxa"/>
            <w:tcBorders>
              <w:top w:val="single" w:sz="8" w:space="0" w:color="000000"/>
            </w:tcBorders>
          </w:tcPr>
          <w:p w14:paraId="7CED5877" w14:textId="77777777" w:rsidR="002D1729" w:rsidRDefault="002D1729" w:rsidP="008A42A6">
            <w:pPr>
              <w:pStyle w:val="TableParagraph"/>
              <w:spacing w:before="20"/>
              <w:ind w:left="0"/>
            </w:pPr>
          </w:p>
          <w:p w14:paraId="3867C5B7" w14:textId="77777777" w:rsidR="002D1729" w:rsidRDefault="002D1729" w:rsidP="008A42A6">
            <w:pPr>
              <w:pStyle w:val="TableParagraph"/>
              <w:spacing w:before="0"/>
            </w:pPr>
            <w:r>
              <w:rPr>
                <w:spacing w:val="-10"/>
              </w:rPr>
              <w:t>3</w:t>
            </w:r>
          </w:p>
        </w:tc>
        <w:tc>
          <w:tcPr>
            <w:tcW w:w="1380" w:type="dxa"/>
            <w:tcBorders>
              <w:top w:val="single" w:sz="8" w:space="0" w:color="000000"/>
            </w:tcBorders>
          </w:tcPr>
          <w:p w14:paraId="0018DA52" w14:textId="77777777" w:rsidR="002D1729" w:rsidRDefault="002D1729" w:rsidP="008A42A6">
            <w:pPr>
              <w:pStyle w:val="TableParagraph"/>
              <w:spacing w:before="6" w:line="260" w:lineRule="atLeast"/>
              <w:ind w:right="538"/>
            </w:pPr>
            <w:r>
              <w:t xml:space="preserve">Liu &amp; </w:t>
            </w:r>
            <w:r>
              <w:rPr>
                <w:spacing w:val="-2"/>
              </w:rPr>
              <w:t>Latham (2011)</w:t>
            </w:r>
          </w:p>
        </w:tc>
        <w:tc>
          <w:tcPr>
            <w:tcW w:w="1480" w:type="dxa"/>
            <w:tcBorders>
              <w:top w:val="single" w:sz="8" w:space="0" w:color="000000"/>
            </w:tcBorders>
          </w:tcPr>
          <w:p w14:paraId="547C3149" w14:textId="77777777" w:rsidR="002D1729" w:rsidRDefault="002D1729" w:rsidP="008A42A6">
            <w:pPr>
              <w:pStyle w:val="TableParagraph"/>
              <w:spacing w:before="164" w:line="228" w:lineRule="auto"/>
              <w:ind w:right="20"/>
            </w:pPr>
            <w:r>
              <w:rPr>
                <w:spacing w:val="-2"/>
              </w:rPr>
              <w:t>Systematic review</w:t>
            </w:r>
          </w:p>
        </w:tc>
        <w:tc>
          <w:tcPr>
            <w:tcW w:w="1520" w:type="dxa"/>
            <w:tcBorders>
              <w:top w:val="single" w:sz="8" w:space="0" w:color="000000"/>
            </w:tcBorders>
          </w:tcPr>
          <w:p w14:paraId="3B7BB1E3" w14:textId="77777777" w:rsidR="002D1729" w:rsidRDefault="002D1729" w:rsidP="008A42A6">
            <w:pPr>
              <w:pStyle w:val="TableParagraph"/>
              <w:spacing w:before="6" w:line="260" w:lineRule="atLeast"/>
              <w:ind w:right="86"/>
            </w:pPr>
            <w:r>
              <w:rPr>
                <w:spacing w:val="-2"/>
              </w:rPr>
              <w:t>Community- dwelling adults</w:t>
            </w:r>
          </w:p>
        </w:tc>
        <w:tc>
          <w:tcPr>
            <w:tcW w:w="1740" w:type="dxa"/>
            <w:tcBorders>
              <w:top w:val="single" w:sz="8" w:space="0" w:color="000000"/>
            </w:tcBorders>
          </w:tcPr>
          <w:p w14:paraId="136415F4" w14:textId="77777777" w:rsidR="002D1729" w:rsidRDefault="002D1729" w:rsidP="008A42A6">
            <w:pPr>
              <w:pStyle w:val="TableParagraph"/>
              <w:spacing w:before="6" w:line="260" w:lineRule="atLeast"/>
              <w:ind w:right="57"/>
            </w:pPr>
            <w:r>
              <w:rPr>
                <w:spacing w:val="-2"/>
              </w:rPr>
              <w:t>Progressive resistance training</w:t>
            </w:r>
          </w:p>
        </w:tc>
        <w:tc>
          <w:tcPr>
            <w:tcW w:w="1920" w:type="dxa"/>
            <w:tcBorders>
              <w:top w:val="single" w:sz="8" w:space="0" w:color="000000"/>
            </w:tcBorders>
          </w:tcPr>
          <w:p w14:paraId="01AAE5DF" w14:textId="77777777" w:rsidR="002D1729" w:rsidRDefault="002D1729" w:rsidP="008A42A6">
            <w:pPr>
              <w:pStyle w:val="TableParagraph"/>
              <w:spacing w:before="164" w:line="228" w:lineRule="auto"/>
              <w:ind w:right="42"/>
            </w:pPr>
            <w:r>
              <w:t>Improved</w:t>
            </w:r>
            <w:r>
              <w:rPr>
                <w:spacing w:val="-16"/>
              </w:rPr>
              <w:t xml:space="preserve"> </w:t>
            </w:r>
            <w:r>
              <w:t>gait</w:t>
            </w:r>
            <w:r>
              <w:rPr>
                <w:spacing w:val="-15"/>
              </w:rPr>
              <w:t xml:space="preserve"> </w:t>
            </w:r>
            <w:r>
              <w:t xml:space="preserve">and </w:t>
            </w:r>
            <w:r>
              <w:rPr>
                <w:spacing w:val="-2"/>
              </w:rPr>
              <w:t>mobility</w:t>
            </w:r>
          </w:p>
        </w:tc>
        <w:tc>
          <w:tcPr>
            <w:tcW w:w="1530" w:type="dxa"/>
            <w:tcBorders>
              <w:top w:val="single" w:sz="8" w:space="0" w:color="000000"/>
            </w:tcBorders>
          </w:tcPr>
          <w:p w14:paraId="14414048" w14:textId="77777777" w:rsidR="002D1729" w:rsidRDefault="002D1729" w:rsidP="008A42A6">
            <w:pPr>
              <w:pStyle w:val="TableParagraph"/>
              <w:spacing w:before="164" w:line="228" w:lineRule="auto"/>
            </w:pPr>
            <w:r>
              <w:rPr>
                <w:spacing w:val="-2"/>
              </w:rPr>
              <w:t>Physical improvement</w:t>
            </w:r>
          </w:p>
        </w:tc>
      </w:tr>
      <w:tr w:rsidR="002D1729" w14:paraId="5EC8E4B0" w14:textId="77777777" w:rsidTr="002D1729">
        <w:trPr>
          <w:trHeight w:val="870"/>
        </w:trPr>
        <w:tc>
          <w:tcPr>
            <w:tcW w:w="720" w:type="dxa"/>
            <w:tcBorders>
              <w:bottom w:val="single" w:sz="8" w:space="0" w:color="000000"/>
            </w:tcBorders>
          </w:tcPr>
          <w:p w14:paraId="42385E38" w14:textId="77777777" w:rsidR="002D1729" w:rsidRDefault="002D1729" w:rsidP="008A42A6">
            <w:pPr>
              <w:pStyle w:val="TableParagraph"/>
              <w:spacing w:before="30"/>
              <w:ind w:left="0"/>
            </w:pPr>
          </w:p>
          <w:p w14:paraId="0783502E" w14:textId="77777777" w:rsidR="002D1729" w:rsidRDefault="002D1729" w:rsidP="008A42A6">
            <w:pPr>
              <w:pStyle w:val="TableParagraph"/>
              <w:spacing w:before="0"/>
            </w:pPr>
            <w:r>
              <w:rPr>
                <w:spacing w:val="-10"/>
              </w:rPr>
              <w:t>4</w:t>
            </w:r>
          </w:p>
        </w:tc>
        <w:tc>
          <w:tcPr>
            <w:tcW w:w="1380" w:type="dxa"/>
            <w:tcBorders>
              <w:bottom w:val="single" w:sz="8" w:space="0" w:color="000000"/>
            </w:tcBorders>
          </w:tcPr>
          <w:p w14:paraId="53A7B346" w14:textId="77777777" w:rsidR="002D1729" w:rsidRDefault="002D1729" w:rsidP="008A42A6">
            <w:pPr>
              <w:pStyle w:val="TableParagraph"/>
              <w:spacing w:before="174" w:line="228" w:lineRule="auto"/>
              <w:ind w:right="163"/>
            </w:pPr>
            <w:r>
              <w:t>Clemson</w:t>
            </w:r>
            <w:r>
              <w:rPr>
                <w:spacing w:val="-16"/>
              </w:rPr>
              <w:t xml:space="preserve"> </w:t>
            </w:r>
            <w:r>
              <w:t>et al. (2012)</w:t>
            </w:r>
          </w:p>
        </w:tc>
        <w:tc>
          <w:tcPr>
            <w:tcW w:w="1480" w:type="dxa"/>
            <w:tcBorders>
              <w:bottom w:val="single" w:sz="8" w:space="0" w:color="000000"/>
            </w:tcBorders>
          </w:tcPr>
          <w:p w14:paraId="639577F8" w14:textId="77777777" w:rsidR="002D1729" w:rsidRDefault="002D1729" w:rsidP="008A42A6">
            <w:pPr>
              <w:pStyle w:val="TableParagraph"/>
              <w:spacing w:before="30"/>
              <w:ind w:left="0"/>
            </w:pPr>
          </w:p>
          <w:p w14:paraId="78284260" w14:textId="77777777" w:rsidR="002D1729" w:rsidRDefault="002D1729" w:rsidP="008A42A6">
            <w:pPr>
              <w:pStyle w:val="TableParagraph"/>
              <w:spacing w:before="0"/>
            </w:pPr>
            <w:r>
              <w:rPr>
                <w:spacing w:val="-5"/>
              </w:rPr>
              <w:t>RCT</w:t>
            </w:r>
          </w:p>
        </w:tc>
        <w:tc>
          <w:tcPr>
            <w:tcW w:w="1520" w:type="dxa"/>
            <w:tcBorders>
              <w:bottom w:val="single" w:sz="8" w:space="0" w:color="000000"/>
            </w:tcBorders>
          </w:tcPr>
          <w:p w14:paraId="3B87628C" w14:textId="77777777" w:rsidR="002D1729" w:rsidRDefault="002D1729" w:rsidP="008A42A6">
            <w:pPr>
              <w:pStyle w:val="TableParagraph"/>
              <w:spacing w:before="23" w:line="247" w:lineRule="auto"/>
              <w:ind w:right="70"/>
            </w:pPr>
            <w:r>
              <w:rPr>
                <w:spacing w:val="-2"/>
              </w:rPr>
              <w:t>Home-based community settings</w:t>
            </w:r>
          </w:p>
        </w:tc>
        <w:tc>
          <w:tcPr>
            <w:tcW w:w="1740" w:type="dxa"/>
            <w:tcBorders>
              <w:bottom w:val="single" w:sz="8" w:space="0" w:color="000000"/>
            </w:tcBorders>
          </w:tcPr>
          <w:p w14:paraId="53DC707F" w14:textId="77777777" w:rsidR="002D1729" w:rsidRDefault="002D1729" w:rsidP="008A42A6">
            <w:pPr>
              <w:pStyle w:val="TableParagraph"/>
              <w:spacing w:before="174" w:line="228" w:lineRule="auto"/>
              <w:ind w:right="180"/>
            </w:pPr>
            <w:proofErr w:type="spellStart"/>
            <w:r>
              <w:t>LiFE</w:t>
            </w:r>
            <w:proofErr w:type="spellEnd"/>
            <w:r>
              <w:rPr>
                <w:spacing w:val="-16"/>
              </w:rPr>
              <w:t xml:space="preserve"> </w:t>
            </w:r>
            <w:r>
              <w:t xml:space="preserve">functional </w:t>
            </w:r>
            <w:r>
              <w:rPr>
                <w:spacing w:val="-2"/>
              </w:rPr>
              <w:t>training</w:t>
            </w:r>
          </w:p>
        </w:tc>
        <w:tc>
          <w:tcPr>
            <w:tcW w:w="1920" w:type="dxa"/>
            <w:tcBorders>
              <w:bottom w:val="single" w:sz="8" w:space="0" w:color="000000"/>
            </w:tcBorders>
          </w:tcPr>
          <w:p w14:paraId="4AD49798" w14:textId="77777777" w:rsidR="002D1729" w:rsidRDefault="002D1729" w:rsidP="008A42A6">
            <w:pPr>
              <w:pStyle w:val="TableParagraph"/>
              <w:spacing w:before="30"/>
              <w:ind w:left="0"/>
            </w:pPr>
          </w:p>
          <w:p w14:paraId="58C88BCB" w14:textId="77777777" w:rsidR="002D1729" w:rsidRDefault="002D1729" w:rsidP="008A42A6">
            <w:pPr>
              <w:pStyle w:val="TableParagraph"/>
              <w:spacing w:before="0"/>
              <w:ind w:left="16" w:right="45"/>
              <w:jc w:val="center"/>
            </w:pPr>
            <w:r>
              <w:t xml:space="preserve">31% fall </w:t>
            </w:r>
            <w:r>
              <w:rPr>
                <w:spacing w:val="-2"/>
              </w:rPr>
              <w:t>reduction</w:t>
            </w:r>
          </w:p>
        </w:tc>
        <w:tc>
          <w:tcPr>
            <w:tcW w:w="1530" w:type="dxa"/>
            <w:tcBorders>
              <w:bottom w:val="single" w:sz="8" w:space="0" w:color="000000"/>
            </w:tcBorders>
          </w:tcPr>
          <w:p w14:paraId="20A7C1F7" w14:textId="77777777" w:rsidR="002D1729" w:rsidRDefault="002D1729" w:rsidP="008A42A6">
            <w:pPr>
              <w:pStyle w:val="TableParagraph"/>
              <w:spacing w:before="23" w:line="247" w:lineRule="auto"/>
            </w:pPr>
            <w:r>
              <w:t xml:space="preserve">Physical &amp; </w:t>
            </w:r>
            <w:proofErr w:type="spellStart"/>
            <w:r>
              <w:rPr>
                <w:spacing w:val="-2"/>
              </w:rPr>
              <w:t>behavioural</w:t>
            </w:r>
            <w:proofErr w:type="spellEnd"/>
            <w:r>
              <w:rPr>
                <w:spacing w:val="-2"/>
              </w:rPr>
              <w:t xml:space="preserve"> change</w:t>
            </w:r>
          </w:p>
        </w:tc>
      </w:tr>
      <w:tr w:rsidR="002D1729" w14:paraId="1B8A9B72" w14:textId="77777777" w:rsidTr="002D1729">
        <w:trPr>
          <w:trHeight w:val="800"/>
        </w:trPr>
        <w:tc>
          <w:tcPr>
            <w:tcW w:w="720" w:type="dxa"/>
            <w:tcBorders>
              <w:top w:val="single" w:sz="8" w:space="0" w:color="000000"/>
              <w:bottom w:val="single" w:sz="8" w:space="0" w:color="000000"/>
            </w:tcBorders>
          </w:tcPr>
          <w:p w14:paraId="5BFA2A79" w14:textId="77777777" w:rsidR="002D1729" w:rsidRDefault="002D1729" w:rsidP="008A42A6">
            <w:pPr>
              <w:pStyle w:val="TableParagraph"/>
              <w:spacing w:before="20"/>
              <w:ind w:left="0"/>
            </w:pPr>
          </w:p>
          <w:p w14:paraId="273C4B6F" w14:textId="77777777" w:rsidR="002D1729" w:rsidRDefault="002D1729" w:rsidP="008A42A6">
            <w:pPr>
              <w:pStyle w:val="TableParagraph"/>
              <w:spacing w:before="0"/>
            </w:pPr>
            <w:r>
              <w:rPr>
                <w:spacing w:val="-10"/>
              </w:rPr>
              <w:t>5</w:t>
            </w:r>
          </w:p>
        </w:tc>
        <w:tc>
          <w:tcPr>
            <w:tcW w:w="1380" w:type="dxa"/>
            <w:tcBorders>
              <w:top w:val="single" w:sz="8" w:space="0" w:color="000000"/>
              <w:bottom w:val="single" w:sz="8" w:space="0" w:color="000000"/>
            </w:tcBorders>
          </w:tcPr>
          <w:p w14:paraId="4F26B53E" w14:textId="77777777" w:rsidR="002D1729" w:rsidRDefault="002D1729" w:rsidP="008A42A6">
            <w:pPr>
              <w:pStyle w:val="TableParagraph"/>
              <w:spacing w:before="164" w:line="228" w:lineRule="auto"/>
              <w:ind w:right="126"/>
            </w:pPr>
            <w:r>
              <w:t>Hopewell</w:t>
            </w:r>
            <w:r>
              <w:rPr>
                <w:spacing w:val="-16"/>
              </w:rPr>
              <w:t xml:space="preserve"> </w:t>
            </w:r>
            <w:r>
              <w:t>et al. (2018)</w:t>
            </w:r>
          </w:p>
        </w:tc>
        <w:tc>
          <w:tcPr>
            <w:tcW w:w="1480" w:type="dxa"/>
            <w:tcBorders>
              <w:top w:val="single" w:sz="8" w:space="0" w:color="000000"/>
              <w:bottom w:val="single" w:sz="8" w:space="0" w:color="000000"/>
            </w:tcBorders>
          </w:tcPr>
          <w:p w14:paraId="1B03F626" w14:textId="77777777" w:rsidR="002D1729" w:rsidRDefault="002D1729" w:rsidP="008A42A6">
            <w:pPr>
              <w:pStyle w:val="TableParagraph"/>
              <w:spacing w:before="164" w:line="228" w:lineRule="auto"/>
              <w:ind w:right="20"/>
            </w:pPr>
            <w:r>
              <w:rPr>
                <w:spacing w:val="-2"/>
              </w:rPr>
              <w:t>Systematic review</w:t>
            </w:r>
          </w:p>
        </w:tc>
        <w:tc>
          <w:tcPr>
            <w:tcW w:w="1520" w:type="dxa"/>
            <w:tcBorders>
              <w:top w:val="single" w:sz="8" w:space="0" w:color="000000"/>
              <w:bottom w:val="single" w:sz="8" w:space="0" w:color="000000"/>
            </w:tcBorders>
          </w:tcPr>
          <w:p w14:paraId="0206D57E" w14:textId="77777777" w:rsidR="002D1729" w:rsidRDefault="002D1729" w:rsidP="008A42A6">
            <w:pPr>
              <w:pStyle w:val="TableParagraph"/>
              <w:spacing w:before="164" w:line="228" w:lineRule="auto"/>
              <w:ind w:right="70"/>
            </w:pPr>
            <w:r>
              <w:rPr>
                <w:spacing w:val="-2"/>
              </w:rPr>
              <w:t>Community interventions</w:t>
            </w:r>
          </w:p>
        </w:tc>
        <w:tc>
          <w:tcPr>
            <w:tcW w:w="1740" w:type="dxa"/>
            <w:tcBorders>
              <w:top w:val="single" w:sz="8" w:space="0" w:color="000000"/>
              <w:bottom w:val="single" w:sz="8" w:space="0" w:color="000000"/>
            </w:tcBorders>
          </w:tcPr>
          <w:p w14:paraId="5B38F367" w14:textId="77777777" w:rsidR="002D1729" w:rsidRDefault="002D1729" w:rsidP="008A42A6">
            <w:pPr>
              <w:pStyle w:val="TableParagraph"/>
              <w:spacing w:before="164" w:line="228" w:lineRule="auto"/>
              <w:ind w:right="57"/>
            </w:pPr>
            <w:r>
              <w:rPr>
                <w:spacing w:val="-2"/>
              </w:rPr>
              <w:t>Multifactorial physiotherapy</w:t>
            </w:r>
          </w:p>
        </w:tc>
        <w:tc>
          <w:tcPr>
            <w:tcW w:w="1920" w:type="dxa"/>
            <w:tcBorders>
              <w:top w:val="single" w:sz="8" w:space="0" w:color="000000"/>
              <w:bottom w:val="single" w:sz="8" w:space="0" w:color="000000"/>
            </w:tcBorders>
          </w:tcPr>
          <w:p w14:paraId="32DE8BD7" w14:textId="77777777" w:rsidR="002D1729" w:rsidRDefault="002D1729" w:rsidP="008A42A6">
            <w:pPr>
              <w:pStyle w:val="TableParagraph"/>
              <w:spacing w:before="0" w:line="260" w:lineRule="atLeast"/>
              <w:ind w:right="409"/>
            </w:pPr>
            <w:r>
              <w:rPr>
                <w:spacing w:val="-2"/>
              </w:rPr>
              <w:t xml:space="preserve">Improved </w:t>
            </w:r>
            <w:r>
              <w:t>outcomes</w:t>
            </w:r>
            <w:r>
              <w:rPr>
                <w:spacing w:val="-16"/>
              </w:rPr>
              <w:t xml:space="preserve"> </w:t>
            </w:r>
            <w:r>
              <w:t xml:space="preserve">with </w:t>
            </w:r>
            <w:r>
              <w:rPr>
                <w:spacing w:val="-2"/>
              </w:rPr>
              <w:t>education</w:t>
            </w:r>
          </w:p>
        </w:tc>
        <w:tc>
          <w:tcPr>
            <w:tcW w:w="1530" w:type="dxa"/>
            <w:tcBorders>
              <w:top w:val="single" w:sz="8" w:space="0" w:color="000000"/>
              <w:bottom w:val="single" w:sz="8" w:space="0" w:color="000000"/>
            </w:tcBorders>
          </w:tcPr>
          <w:p w14:paraId="1EA78449" w14:textId="77777777" w:rsidR="002D1729" w:rsidRDefault="002D1729" w:rsidP="008A42A6">
            <w:pPr>
              <w:pStyle w:val="TableParagraph"/>
              <w:spacing w:before="164" w:line="228" w:lineRule="auto"/>
            </w:pPr>
            <w:proofErr w:type="spellStart"/>
            <w:r>
              <w:rPr>
                <w:spacing w:val="-2"/>
              </w:rPr>
              <w:t>Behavioural</w:t>
            </w:r>
            <w:proofErr w:type="spellEnd"/>
            <w:r>
              <w:rPr>
                <w:spacing w:val="-2"/>
              </w:rPr>
              <w:t xml:space="preserve"> change</w:t>
            </w:r>
          </w:p>
        </w:tc>
      </w:tr>
      <w:tr w:rsidR="002D1729" w14:paraId="48A03754" w14:textId="77777777" w:rsidTr="002D1729">
        <w:trPr>
          <w:trHeight w:val="660"/>
        </w:trPr>
        <w:tc>
          <w:tcPr>
            <w:tcW w:w="720" w:type="dxa"/>
            <w:tcBorders>
              <w:top w:val="single" w:sz="8" w:space="0" w:color="000000"/>
              <w:bottom w:val="single" w:sz="8" w:space="0" w:color="000000"/>
            </w:tcBorders>
          </w:tcPr>
          <w:p w14:paraId="2F7A1D5C" w14:textId="77777777" w:rsidR="002D1729" w:rsidRDefault="002D1729" w:rsidP="008A42A6">
            <w:pPr>
              <w:pStyle w:val="TableParagraph"/>
              <w:spacing w:before="213"/>
            </w:pPr>
            <w:r>
              <w:rPr>
                <w:spacing w:val="-10"/>
              </w:rPr>
              <w:t>6</w:t>
            </w:r>
          </w:p>
        </w:tc>
        <w:tc>
          <w:tcPr>
            <w:tcW w:w="1380" w:type="dxa"/>
            <w:tcBorders>
              <w:top w:val="single" w:sz="8" w:space="0" w:color="000000"/>
              <w:bottom w:val="single" w:sz="8" w:space="0" w:color="000000"/>
            </w:tcBorders>
          </w:tcPr>
          <w:p w14:paraId="7AC52E0E" w14:textId="77777777" w:rsidR="002D1729" w:rsidRDefault="002D1729" w:rsidP="008A42A6">
            <w:pPr>
              <w:pStyle w:val="TableParagraph"/>
              <w:spacing w:before="73" w:line="247" w:lineRule="auto"/>
              <w:ind w:right="99"/>
            </w:pPr>
            <w:r>
              <w:rPr>
                <w:spacing w:val="-2"/>
              </w:rPr>
              <w:t xml:space="preserve">Tiedemann </w:t>
            </w:r>
            <w:r>
              <w:t>et</w:t>
            </w:r>
            <w:r>
              <w:rPr>
                <w:spacing w:val="-1"/>
              </w:rPr>
              <w:t xml:space="preserve"> </w:t>
            </w:r>
            <w:r>
              <w:t>al.</w:t>
            </w:r>
            <w:r>
              <w:rPr>
                <w:spacing w:val="-1"/>
              </w:rPr>
              <w:t xml:space="preserve"> </w:t>
            </w:r>
            <w:r>
              <w:rPr>
                <w:spacing w:val="-2"/>
              </w:rPr>
              <w:t>(2013)</w:t>
            </w:r>
          </w:p>
        </w:tc>
        <w:tc>
          <w:tcPr>
            <w:tcW w:w="1480" w:type="dxa"/>
            <w:tcBorders>
              <w:top w:val="single" w:sz="8" w:space="0" w:color="000000"/>
              <w:bottom w:val="single" w:sz="8" w:space="0" w:color="000000"/>
            </w:tcBorders>
          </w:tcPr>
          <w:p w14:paraId="7984D4E8" w14:textId="77777777" w:rsidR="002D1729" w:rsidRDefault="002D1729" w:rsidP="008A42A6">
            <w:pPr>
              <w:pStyle w:val="TableParagraph"/>
              <w:spacing w:before="73" w:line="247" w:lineRule="auto"/>
              <w:ind w:right="20"/>
            </w:pPr>
            <w:r>
              <w:rPr>
                <w:spacing w:val="-2"/>
              </w:rPr>
              <w:t>Observational study</w:t>
            </w:r>
          </w:p>
        </w:tc>
        <w:tc>
          <w:tcPr>
            <w:tcW w:w="1520" w:type="dxa"/>
            <w:tcBorders>
              <w:top w:val="single" w:sz="8" w:space="0" w:color="000000"/>
              <w:bottom w:val="single" w:sz="8" w:space="0" w:color="000000"/>
            </w:tcBorders>
          </w:tcPr>
          <w:p w14:paraId="77E8B201" w14:textId="77777777" w:rsidR="002D1729" w:rsidRDefault="002D1729" w:rsidP="008A42A6">
            <w:pPr>
              <w:pStyle w:val="TableParagraph"/>
              <w:spacing w:before="73" w:line="247" w:lineRule="auto"/>
              <w:ind w:right="285"/>
            </w:pPr>
            <w:r>
              <w:rPr>
                <w:spacing w:val="-2"/>
              </w:rPr>
              <w:t>Community participants</w:t>
            </w:r>
          </w:p>
        </w:tc>
        <w:tc>
          <w:tcPr>
            <w:tcW w:w="1740" w:type="dxa"/>
            <w:tcBorders>
              <w:top w:val="single" w:sz="8" w:space="0" w:color="000000"/>
              <w:bottom w:val="single" w:sz="8" w:space="0" w:color="000000"/>
            </w:tcBorders>
          </w:tcPr>
          <w:p w14:paraId="3501B598" w14:textId="77777777" w:rsidR="002D1729" w:rsidRDefault="002D1729" w:rsidP="008A42A6">
            <w:pPr>
              <w:pStyle w:val="TableParagraph"/>
              <w:spacing w:before="73" w:line="247" w:lineRule="auto"/>
              <w:ind w:right="57"/>
            </w:pPr>
            <w:r>
              <w:rPr>
                <w:spacing w:val="-2"/>
              </w:rPr>
              <w:t>Exercise adherence</w:t>
            </w:r>
          </w:p>
        </w:tc>
        <w:tc>
          <w:tcPr>
            <w:tcW w:w="1920" w:type="dxa"/>
            <w:tcBorders>
              <w:top w:val="single" w:sz="8" w:space="0" w:color="000000"/>
              <w:bottom w:val="single" w:sz="8" w:space="0" w:color="000000"/>
            </w:tcBorders>
          </w:tcPr>
          <w:p w14:paraId="1DA04AFB" w14:textId="77777777" w:rsidR="002D1729" w:rsidRDefault="002D1729" w:rsidP="008A42A6">
            <w:pPr>
              <w:pStyle w:val="TableParagraph"/>
              <w:spacing w:before="73" w:line="247" w:lineRule="auto"/>
              <w:ind w:right="470"/>
            </w:pPr>
            <w:r>
              <w:t>Long-term</w:t>
            </w:r>
            <w:r>
              <w:rPr>
                <w:spacing w:val="-16"/>
              </w:rPr>
              <w:t xml:space="preserve"> </w:t>
            </w:r>
            <w:r>
              <w:t xml:space="preserve">fall </w:t>
            </w:r>
            <w:r>
              <w:rPr>
                <w:spacing w:val="-2"/>
              </w:rPr>
              <w:t>reduction</w:t>
            </w:r>
          </w:p>
        </w:tc>
        <w:tc>
          <w:tcPr>
            <w:tcW w:w="1530" w:type="dxa"/>
            <w:tcBorders>
              <w:top w:val="single" w:sz="8" w:space="0" w:color="000000"/>
              <w:bottom w:val="single" w:sz="8" w:space="0" w:color="000000"/>
            </w:tcBorders>
          </w:tcPr>
          <w:p w14:paraId="296952F5" w14:textId="77777777" w:rsidR="002D1729" w:rsidRDefault="002D1729" w:rsidP="008A42A6">
            <w:pPr>
              <w:pStyle w:val="TableParagraph"/>
              <w:spacing w:before="73" w:line="247" w:lineRule="auto"/>
            </w:pPr>
            <w:proofErr w:type="spellStart"/>
            <w:r>
              <w:rPr>
                <w:spacing w:val="-2"/>
              </w:rPr>
              <w:t>Behavioural</w:t>
            </w:r>
            <w:proofErr w:type="spellEnd"/>
            <w:r>
              <w:rPr>
                <w:spacing w:val="-2"/>
              </w:rPr>
              <w:t xml:space="preserve"> adherence</w:t>
            </w:r>
          </w:p>
        </w:tc>
      </w:tr>
      <w:tr w:rsidR="002D1729" w14:paraId="567D7551" w14:textId="77777777" w:rsidTr="002D1729">
        <w:trPr>
          <w:trHeight w:val="860"/>
        </w:trPr>
        <w:tc>
          <w:tcPr>
            <w:tcW w:w="720" w:type="dxa"/>
            <w:tcBorders>
              <w:top w:val="single" w:sz="8" w:space="0" w:color="000000"/>
              <w:bottom w:val="single" w:sz="8" w:space="0" w:color="000000"/>
            </w:tcBorders>
          </w:tcPr>
          <w:p w14:paraId="45775F71" w14:textId="77777777" w:rsidR="002D1729" w:rsidRDefault="002D1729" w:rsidP="008A42A6">
            <w:pPr>
              <w:pStyle w:val="TableParagraph"/>
              <w:spacing w:before="20"/>
              <w:ind w:left="0"/>
            </w:pPr>
          </w:p>
          <w:p w14:paraId="0F95484C" w14:textId="77777777" w:rsidR="002D1729" w:rsidRDefault="002D1729" w:rsidP="008A42A6">
            <w:pPr>
              <w:pStyle w:val="TableParagraph"/>
              <w:spacing w:before="0"/>
            </w:pPr>
            <w:r>
              <w:rPr>
                <w:spacing w:val="-10"/>
              </w:rPr>
              <w:t>7</w:t>
            </w:r>
          </w:p>
        </w:tc>
        <w:tc>
          <w:tcPr>
            <w:tcW w:w="1380" w:type="dxa"/>
            <w:tcBorders>
              <w:top w:val="single" w:sz="8" w:space="0" w:color="000000"/>
              <w:bottom w:val="single" w:sz="8" w:space="0" w:color="000000"/>
            </w:tcBorders>
          </w:tcPr>
          <w:p w14:paraId="6D0341B5" w14:textId="77777777" w:rsidR="002D1729" w:rsidRDefault="002D1729" w:rsidP="008A42A6">
            <w:pPr>
              <w:pStyle w:val="TableParagraph"/>
              <w:spacing w:before="164" w:line="228" w:lineRule="auto"/>
            </w:pPr>
            <w:r>
              <w:t>Chang</w:t>
            </w:r>
            <w:r>
              <w:rPr>
                <w:spacing w:val="-16"/>
              </w:rPr>
              <w:t xml:space="preserve"> </w:t>
            </w:r>
            <w:r>
              <w:t>et</w:t>
            </w:r>
            <w:r>
              <w:rPr>
                <w:spacing w:val="-15"/>
              </w:rPr>
              <w:t xml:space="preserve"> </w:t>
            </w:r>
            <w:r>
              <w:t xml:space="preserve">al. </w:t>
            </w:r>
            <w:r>
              <w:rPr>
                <w:spacing w:val="-2"/>
              </w:rPr>
              <w:t>(2021)</w:t>
            </w:r>
          </w:p>
        </w:tc>
        <w:tc>
          <w:tcPr>
            <w:tcW w:w="1480" w:type="dxa"/>
            <w:tcBorders>
              <w:top w:val="single" w:sz="8" w:space="0" w:color="000000"/>
              <w:bottom w:val="single" w:sz="8" w:space="0" w:color="000000"/>
            </w:tcBorders>
          </w:tcPr>
          <w:p w14:paraId="30FC9C24" w14:textId="77777777" w:rsidR="002D1729" w:rsidRDefault="002D1729" w:rsidP="008A42A6">
            <w:pPr>
              <w:pStyle w:val="TableParagraph"/>
              <w:spacing w:before="20"/>
              <w:ind w:left="0"/>
            </w:pPr>
          </w:p>
          <w:p w14:paraId="65FECD65" w14:textId="77777777" w:rsidR="002D1729" w:rsidRDefault="002D1729" w:rsidP="008A42A6">
            <w:pPr>
              <w:pStyle w:val="TableParagraph"/>
              <w:spacing w:before="0"/>
            </w:pPr>
            <w:r>
              <w:rPr>
                <w:spacing w:val="-5"/>
              </w:rPr>
              <w:t>RCT</w:t>
            </w:r>
          </w:p>
        </w:tc>
        <w:tc>
          <w:tcPr>
            <w:tcW w:w="1520" w:type="dxa"/>
            <w:tcBorders>
              <w:top w:val="single" w:sz="8" w:space="0" w:color="000000"/>
              <w:bottom w:val="single" w:sz="8" w:space="0" w:color="000000"/>
            </w:tcBorders>
          </w:tcPr>
          <w:p w14:paraId="7B1A7DFE" w14:textId="77777777" w:rsidR="002D1729" w:rsidRDefault="002D1729" w:rsidP="008A42A6">
            <w:pPr>
              <w:pStyle w:val="TableParagraph"/>
              <w:spacing w:before="35" w:line="237" w:lineRule="auto"/>
              <w:ind w:right="285"/>
            </w:pPr>
            <w:r>
              <w:rPr>
                <w:spacing w:val="-2"/>
              </w:rPr>
              <w:t>Community exercise groups</w:t>
            </w:r>
          </w:p>
        </w:tc>
        <w:tc>
          <w:tcPr>
            <w:tcW w:w="1740" w:type="dxa"/>
            <w:tcBorders>
              <w:top w:val="single" w:sz="8" w:space="0" w:color="000000"/>
              <w:bottom w:val="single" w:sz="8" w:space="0" w:color="000000"/>
            </w:tcBorders>
          </w:tcPr>
          <w:p w14:paraId="42608577" w14:textId="77777777" w:rsidR="002D1729" w:rsidRDefault="002D1729" w:rsidP="008A42A6">
            <w:pPr>
              <w:pStyle w:val="TableParagraph"/>
              <w:spacing w:before="164" w:line="228" w:lineRule="auto"/>
              <w:ind w:right="266"/>
            </w:pPr>
            <w:r>
              <w:t>Tai</w:t>
            </w:r>
            <w:r>
              <w:rPr>
                <w:spacing w:val="-16"/>
              </w:rPr>
              <w:t xml:space="preserve"> </w:t>
            </w:r>
            <w:r>
              <w:t xml:space="preserve">Chi-based </w:t>
            </w:r>
            <w:r>
              <w:rPr>
                <w:spacing w:val="-2"/>
              </w:rPr>
              <w:t>physiotherapy</w:t>
            </w:r>
          </w:p>
        </w:tc>
        <w:tc>
          <w:tcPr>
            <w:tcW w:w="1920" w:type="dxa"/>
            <w:tcBorders>
              <w:top w:val="single" w:sz="8" w:space="0" w:color="000000"/>
              <w:bottom w:val="single" w:sz="8" w:space="0" w:color="000000"/>
            </w:tcBorders>
          </w:tcPr>
          <w:p w14:paraId="0BECFA61" w14:textId="77777777" w:rsidR="002D1729" w:rsidRDefault="002D1729" w:rsidP="008A42A6">
            <w:pPr>
              <w:pStyle w:val="TableParagraph"/>
              <w:spacing w:before="164" w:line="228" w:lineRule="auto"/>
              <w:ind w:right="67"/>
            </w:pPr>
            <w:r>
              <w:t>Improved</w:t>
            </w:r>
            <w:r>
              <w:rPr>
                <w:spacing w:val="-16"/>
              </w:rPr>
              <w:t xml:space="preserve"> </w:t>
            </w:r>
            <w:r>
              <w:t>balance &amp; confidence</w:t>
            </w:r>
          </w:p>
        </w:tc>
        <w:tc>
          <w:tcPr>
            <w:tcW w:w="1530" w:type="dxa"/>
            <w:tcBorders>
              <w:top w:val="single" w:sz="8" w:space="0" w:color="000000"/>
              <w:bottom w:val="single" w:sz="8" w:space="0" w:color="000000"/>
            </w:tcBorders>
          </w:tcPr>
          <w:p w14:paraId="1D4E0E0B" w14:textId="77777777" w:rsidR="002D1729" w:rsidRDefault="002D1729" w:rsidP="008A42A6">
            <w:pPr>
              <w:pStyle w:val="TableParagraph"/>
              <w:spacing w:before="164" w:line="228" w:lineRule="auto"/>
            </w:pPr>
            <w:r>
              <w:rPr>
                <w:spacing w:val="-2"/>
              </w:rPr>
              <w:t>Psychological improvement</w:t>
            </w:r>
          </w:p>
        </w:tc>
      </w:tr>
      <w:tr w:rsidR="002D1729" w14:paraId="0A9CAA7F" w14:textId="77777777" w:rsidTr="002D1729">
        <w:trPr>
          <w:trHeight w:val="600"/>
        </w:trPr>
        <w:tc>
          <w:tcPr>
            <w:tcW w:w="720" w:type="dxa"/>
            <w:tcBorders>
              <w:top w:val="single" w:sz="8" w:space="0" w:color="000000"/>
              <w:bottom w:val="single" w:sz="8" w:space="0" w:color="000000"/>
            </w:tcBorders>
          </w:tcPr>
          <w:p w14:paraId="260A7C8B" w14:textId="77777777" w:rsidR="002D1729" w:rsidRDefault="002D1729" w:rsidP="008A42A6">
            <w:pPr>
              <w:pStyle w:val="TableParagraph"/>
            </w:pPr>
            <w:r>
              <w:rPr>
                <w:spacing w:val="-10"/>
              </w:rPr>
              <w:t>8</w:t>
            </w:r>
          </w:p>
        </w:tc>
        <w:tc>
          <w:tcPr>
            <w:tcW w:w="1380" w:type="dxa"/>
            <w:tcBorders>
              <w:top w:val="single" w:sz="8" w:space="0" w:color="000000"/>
              <w:bottom w:val="single" w:sz="8" w:space="0" w:color="000000"/>
            </w:tcBorders>
          </w:tcPr>
          <w:p w14:paraId="7B58AB59" w14:textId="77777777" w:rsidR="002D1729" w:rsidRDefault="002D1729" w:rsidP="008A42A6">
            <w:pPr>
              <w:pStyle w:val="TableParagraph"/>
              <w:spacing w:before="13" w:line="247" w:lineRule="auto"/>
            </w:pPr>
            <w:r>
              <w:t>Hall</w:t>
            </w:r>
            <w:r>
              <w:rPr>
                <w:spacing w:val="-16"/>
              </w:rPr>
              <w:t xml:space="preserve"> </w:t>
            </w:r>
            <w:r>
              <w:t>et</w:t>
            </w:r>
            <w:r>
              <w:rPr>
                <w:spacing w:val="-15"/>
              </w:rPr>
              <w:t xml:space="preserve"> </w:t>
            </w:r>
            <w:r>
              <w:t xml:space="preserve">al. </w:t>
            </w:r>
            <w:r>
              <w:rPr>
                <w:spacing w:val="-2"/>
              </w:rPr>
              <w:t>(2010)</w:t>
            </w:r>
          </w:p>
        </w:tc>
        <w:tc>
          <w:tcPr>
            <w:tcW w:w="1480" w:type="dxa"/>
            <w:tcBorders>
              <w:top w:val="single" w:sz="8" w:space="0" w:color="000000"/>
              <w:bottom w:val="single" w:sz="8" w:space="0" w:color="000000"/>
            </w:tcBorders>
          </w:tcPr>
          <w:p w14:paraId="13B260C8" w14:textId="77777777" w:rsidR="002D1729" w:rsidRDefault="002D1729" w:rsidP="008A42A6">
            <w:pPr>
              <w:pStyle w:val="TableParagraph"/>
              <w:spacing w:before="13" w:line="247" w:lineRule="auto"/>
              <w:ind w:right="326"/>
            </w:pPr>
            <w:r>
              <w:rPr>
                <w:spacing w:val="-2"/>
              </w:rPr>
              <w:t>Qualitative study</w:t>
            </w:r>
          </w:p>
        </w:tc>
        <w:tc>
          <w:tcPr>
            <w:tcW w:w="1520" w:type="dxa"/>
            <w:tcBorders>
              <w:top w:val="single" w:sz="8" w:space="0" w:color="000000"/>
              <w:bottom w:val="single" w:sz="8" w:space="0" w:color="000000"/>
            </w:tcBorders>
          </w:tcPr>
          <w:p w14:paraId="3D379E6A" w14:textId="77777777" w:rsidR="002D1729" w:rsidRDefault="002D1729" w:rsidP="008A42A6">
            <w:pPr>
              <w:pStyle w:val="TableParagraph"/>
              <w:spacing w:before="13" w:line="247" w:lineRule="auto"/>
            </w:pPr>
            <w:r>
              <w:rPr>
                <w:spacing w:val="-2"/>
              </w:rPr>
              <w:t>Physiotherapy services</w:t>
            </w:r>
          </w:p>
        </w:tc>
        <w:tc>
          <w:tcPr>
            <w:tcW w:w="1740" w:type="dxa"/>
            <w:tcBorders>
              <w:top w:val="single" w:sz="8" w:space="0" w:color="000000"/>
              <w:bottom w:val="single" w:sz="8" w:space="0" w:color="000000"/>
            </w:tcBorders>
          </w:tcPr>
          <w:p w14:paraId="19C52678" w14:textId="77777777" w:rsidR="002D1729" w:rsidRDefault="002D1729" w:rsidP="008A42A6">
            <w:pPr>
              <w:pStyle w:val="TableParagraph"/>
              <w:spacing w:before="13" w:line="247" w:lineRule="auto"/>
              <w:ind w:right="57"/>
            </w:pPr>
            <w:r>
              <w:rPr>
                <w:spacing w:val="-2"/>
              </w:rPr>
              <w:t>Therapeutic alliance</w:t>
            </w:r>
          </w:p>
        </w:tc>
        <w:tc>
          <w:tcPr>
            <w:tcW w:w="1920" w:type="dxa"/>
            <w:tcBorders>
              <w:top w:val="single" w:sz="8" w:space="0" w:color="000000"/>
              <w:bottom w:val="single" w:sz="8" w:space="0" w:color="000000"/>
            </w:tcBorders>
          </w:tcPr>
          <w:p w14:paraId="3B619AE4" w14:textId="77777777" w:rsidR="002D1729" w:rsidRDefault="002D1729" w:rsidP="008A42A6">
            <w:pPr>
              <w:pStyle w:val="TableParagraph"/>
              <w:spacing w:before="13" w:line="247" w:lineRule="auto"/>
              <w:ind w:right="42"/>
            </w:pPr>
            <w:r>
              <w:rPr>
                <w:spacing w:val="-2"/>
              </w:rPr>
              <w:t>Improved adherence</w:t>
            </w:r>
          </w:p>
        </w:tc>
        <w:tc>
          <w:tcPr>
            <w:tcW w:w="1530" w:type="dxa"/>
            <w:tcBorders>
              <w:top w:val="single" w:sz="8" w:space="0" w:color="000000"/>
              <w:bottom w:val="single" w:sz="8" w:space="0" w:color="000000"/>
            </w:tcBorders>
          </w:tcPr>
          <w:p w14:paraId="2A7FF9BE" w14:textId="77777777" w:rsidR="002D1729" w:rsidRDefault="002D1729" w:rsidP="008A42A6">
            <w:pPr>
              <w:pStyle w:val="TableParagraph"/>
              <w:spacing w:before="13" w:line="247" w:lineRule="auto"/>
            </w:pPr>
            <w:r>
              <w:rPr>
                <w:spacing w:val="-2"/>
              </w:rPr>
              <w:t>Psychosocial factors</w:t>
            </w:r>
          </w:p>
        </w:tc>
      </w:tr>
      <w:tr w:rsidR="002D1729" w14:paraId="2A4B731E" w14:textId="77777777" w:rsidTr="002D1729">
        <w:trPr>
          <w:trHeight w:val="860"/>
        </w:trPr>
        <w:tc>
          <w:tcPr>
            <w:tcW w:w="720" w:type="dxa"/>
            <w:tcBorders>
              <w:top w:val="single" w:sz="8" w:space="0" w:color="000000"/>
              <w:bottom w:val="single" w:sz="8" w:space="0" w:color="000000"/>
            </w:tcBorders>
          </w:tcPr>
          <w:p w14:paraId="37456DA7" w14:textId="77777777" w:rsidR="002D1729" w:rsidRDefault="002D1729" w:rsidP="008A42A6">
            <w:pPr>
              <w:pStyle w:val="TableParagraph"/>
              <w:spacing w:before="20"/>
              <w:ind w:left="0"/>
            </w:pPr>
          </w:p>
          <w:p w14:paraId="7D8C7D40" w14:textId="77777777" w:rsidR="002D1729" w:rsidRDefault="002D1729" w:rsidP="008A42A6">
            <w:pPr>
              <w:pStyle w:val="TableParagraph"/>
              <w:spacing w:before="0"/>
            </w:pPr>
            <w:r>
              <w:rPr>
                <w:spacing w:val="-10"/>
              </w:rPr>
              <w:t>9</w:t>
            </w:r>
          </w:p>
        </w:tc>
        <w:tc>
          <w:tcPr>
            <w:tcW w:w="1380" w:type="dxa"/>
            <w:tcBorders>
              <w:top w:val="single" w:sz="8" w:space="0" w:color="000000"/>
              <w:bottom w:val="single" w:sz="8" w:space="0" w:color="000000"/>
            </w:tcBorders>
          </w:tcPr>
          <w:p w14:paraId="11ADFB6F" w14:textId="77777777" w:rsidR="002D1729" w:rsidRDefault="002D1729" w:rsidP="008A42A6">
            <w:pPr>
              <w:pStyle w:val="TableParagraph"/>
              <w:spacing w:line="247" w:lineRule="auto"/>
              <w:ind w:right="99"/>
            </w:pPr>
            <w:r>
              <w:rPr>
                <w:spacing w:val="-2"/>
              </w:rPr>
              <w:t xml:space="preserve">Sims-Gould </w:t>
            </w:r>
            <w:r>
              <w:t>et</w:t>
            </w:r>
            <w:r>
              <w:rPr>
                <w:spacing w:val="-1"/>
              </w:rPr>
              <w:t xml:space="preserve"> </w:t>
            </w:r>
            <w:r>
              <w:t>al.</w:t>
            </w:r>
            <w:r>
              <w:rPr>
                <w:spacing w:val="-1"/>
              </w:rPr>
              <w:t xml:space="preserve"> </w:t>
            </w:r>
            <w:r>
              <w:rPr>
                <w:spacing w:val="-2"/>
              </w:rPr>
              <w:t>(2015)</w:t>
            </w:r>
          </w:p>
        </w:tc>
        <w:tc>
          <w:tcPr>
            <w:tcW w:w="1480" w:type="dxa"/>
            <w:tcBorders>
              <w:top w:val="single" w:sz="8" w:space="0" w:color="000000"/>
              <w:bottom w:val="single" w:sz="8" w:space="0" w:color="000000"/>
            </w:tcBorders>
          </w:tcPr>
          <w:p w14:paraId="5A939C7A" w14:textId="77777777" w:rsidR="002D1729" w:rsidRDefault="002D1729" w:rsidP="008A42A6">
            <w:pPr>
              <w:pStyle w:val="TableParagraph"/>
              <w:spacing w:line="247" w:lineRule="auto"/>
              <w:ind w:right="326"/>
            </w:pPr>
            <w:r>
              <w:rPr>
                <w:spacing w:val="-2"/>
              </w:rPr>
              <w:t>Qualitative study</w:t>
            </w:r>
          </w:p>
        </w:tc>
        <w:tc>
          <w:tcPr>
            <w:tcW w:w="1520" w:type="dxa"/>
            <w:tcBorders>
              <w:top w:val="single" w:sz="8" w:space="0" w:color="000000"/>
              <w:bottom w:val="single" w:sz="8" w:space="0" w:color="000000"/>
            </w:tcBorders>
          </w:tcPr>
          <w:p w14:paraId="6BE6D546" w14:textId="77777777" w:rsidR="002D1729" w:rsidRDefault="002D1729" w:rsidP="008A42A6">
            <w:pPr>
              <w:pStyle w:val="TableParagraph"/>
              <w:spacing w:line="247" w:lineRule="auto"/>
              <w:ind w:right="266"/>
            </w:pPr>
            <w:r>
              <w:t>Urban</w:t>
            </w:r>
            <w:r>
              <w:rPr>
                <w:spacing w:val="-16"/>
              </w:rPr>
              <w:t xml:space="preserve"> </w:t>
            </w:r>
            <w:r>
              <w:t xml:space="preserve">older </w:t>
            </w:r>
            <w:r>
              <w:rPr>
                <w:spacing w:val="-2"/>
              </w:rPr>
              <w:t>adults</w:t>
            </w:r>
          </w:p>
        </w:tc>
        <w:tc>
          <w:tcPr>
            <w:tcW w:w="1740" w:type="dxa"/>
            <w:tcBorders>
              <w:top w:val="single" w:sz="8" w:space="0" w:color="000000"/>
              <w:bottom w:val="single" w:sz="8" w:space="0" w:color="000000"/>
            </w:tcBorders>
          </w:tcPr>
          <w:p w14:paraId="1190E049" w14:textId="77777777" w:rsidR="002D1729" w:rsidRDefault="002D1729" w:rsidP="008A42A6">
            <w:pPr>
              <w:pStyle w:val="TableParagraph"/>
              <w:spacing w:before="35" w:line="237" w:lineRule="auto"/>
              <w:ind w:right="57"/>
            </w:pPr>
            <w:r>
              <w:rPr>
                <w:spacing w:val="-2"/>
              </w:rPr>
              <w:t xml:space="preserve">Culturally tailored </w:t>
            </w:r>
            <w:proofErr w:type="spellStart"/>
            <w:r>
              <w:rPr>
                <w:spacing w:val="-2"/>
              </w:rPr>
              <w:t>programmes</w:t>
            </w:r>
            <w:proofErr w:type="spellEnd"/>
          </w:p>
        </w:tc>
        <w:tc>
          <w:tcPr>
            <w:tcW w:w="1920" w:type="dxa"/>
            <w:tcBorders>
              <w:top w:val="single" w:sz="8" w:space="0" w:color="000000"/>
              <w:bottom w:val="single" w:sz="8" w:space="0" w:color="000000"/>
            </w:tcBorders>
          </w:tcPr>
          <w:p w14:paraId="7DF8FBC0" w14:textId="77777777" w:rsidR="002D1729" w:rsidRDefault="002D1729" w:rsidP="008A42A6">
            <w:pPr>
              <w:pStyle w:val="TableParagraph"/>
              <w:spacing w:line="247" w:lineRule="auto"/>
              <w:ind w:right="42"/>
            </w:pPr>
            <w:r>
              <w:rPr>
                <w:spacing w:val="-2"/>
              </w:rPr>
              <w:t>Improved engagement</w:t>
            </w:r>
          </w:p>
        </w:tc>
        <w:tc>
          <w:tcPr>
            <w:tcW w:w="1530" w:type="dxa"/>
            <w:tcBorders>
              <w:top w:val="single" w:sz="8" w:space="0" w:color="000000"/>
              <w:bottom w:val="single" w:sz="8" w:space="0" w:color="000000"/>
            </w:tcBorders>
          </w:tcPr>
          <w:p w14:paraId="53DEED89" w14:textId="77777777" w:rsidR="002D1729" w:rsidRDefault="002D1729" w:rsidP="008A42A6">
            <w:pPr>
              <w:pStyle w:val="TableParagraph"/>
              <w:spacing w:line="247" w:lineRule="auto"/>
            </w:pPr>
            <w:r>
              <w:rPr>
                <w:spacing w:val="-2"/>
              </w:rPr>
              <w:t>Cultural relevance</w:t>
            </w:r>
          </w:p>
        </w:tc>
      </w:tr>
      <w:tr w:rsidR="002D1729" w14:paraId="199DF34F" w14:textId="77777777" w:rsidTr="002D1729">
        <w:trPr>
          <w:trHeight w:val="860"/>
        </w:trPr>
        <w:tc>
          <w:tcPr>
            <w:tcW w:w="720" w:type="dxa"/>
            <w:tcBorders>
              <w:top w:val="single" w:sz="8" w:space="0" w:color="000000"/>
              <w:bottom w:val="single" w:sz="8" w:space="0" w:color="000000"/>
            </w:tcBorders>
          </w:tcPr>
          <w:p w14:paraId="2B8C1147" w14:textId="77777777" w:rsidR="002D1729" w:rsidRDefault="002D1729" w:rsidP="008A42A6">
            <w:pPr>
              <w:pStyle w:val="TableParagraph"/>
              <w:spacing w:before="20"/>
              <w:ind w:left="0"/>
            </w:pPr>
          </w:p>
          <w:p w14:paraId="377FA04B" w14:textId="77777777" w:rsidR="002D1729" w:rsidRDefault="002D1729" w:rsidP="008A42A6">
            <w:pPr>
              <w:pStyle w:val="TableParagraph"/>
              <w:spacing w:before="0"/>
            </w:pPr>
            <w:r>
              <w:rPr>
                <w:spacing w:val="-5"/>
              </w:rPr>
              <w:t>10</w:t>
            </w:r>
          </w:p>
        </w:tc>
        <w:tc>
          <w:tcPr>
            <w:tcW w:w="1380" w:type="dxa"/>
            <w:tcBorders>
              <w:top w:val="single" w:sz="8" w:space="0" w:color="000000"/>
              <w:bottom w:val="single" w:sz="8" w:space="0" w:color="000000"/>
            </w:tcBorders>
          </w:tcPr>
          <w:p w14:paraId="36352C5F" w14:textId="77777777" w:rsidR="002D1729" w:rsidRDefault="002D1729" w:rsidP="008A42A6">
            <w:pPr>
              <w:pStyle w:val="TableParagraph"/>
              <w:spacing w:line="247" w:lineRule="auto"/>
            </w:pPr>
            <w:r>
              <w:t>Victor</w:t>
            </w:r>
            <w:r>
              <w:rPr>
                <w:spacing w:val="-16"/>
              </w:rPr>
              <w:t xml:space="preserve"> </w:t>
            </w:r>
            <w:r>
              <w:t>et</w:t>
            </w:r>
            <w:r>
              <w:rPr>
                <w:spacing w:val="-15"/>
              </w:rPr>
              <w:t xml:space="preserve"> </w:t>
            </w:r>
            <w:r>
              <w:t xml:space="preserve">al. </w:t>
            </w:r>
            <w:r>
              <w:rPr>
                <w:spacing w:val="-2"/>
              </w:rPr>
              <w:t>(2020)</w:t>
            </w:r>
          </w:p>
        </w:tc>
        <w:tc>
          <w:tcPr>
            <w:tcW w:w="1480" w:type="dxa"/>
            <w:tcBorders>
              <w:top w:val="single" w:sz="8" w:space="0" w:color="000000"/>
              <w:bottom w:val="single" w:sz="8" w:space="0" w:color="000000"/>
            </w:tcBorders>
          </w:tcPr>
          <w:p w14:paraId="30F40B29" w14:textId="77777777" w:rsidR="002D1729" w:rsidRDefault="002D1729" w:rsidP="008A42A6">
            <w:pPr>
              <w:pStyle w:val="TableParagraph"/>
              <w:spacing w:before="35" w:line="237" w:lineRule="auto"/>
              <w:ind w:right="530"/>
            </w:pPr>
            <w:r>
              <w:rPr>
                <w:spacing w:val="-2"/>
              </w:rPr>
              <w:t>Mixed- methods study</w:t>
            </w:r>
          </w:p>
        </w:tc>
        <w:tc>
          <w:tcPr>
            <w:tcW w:w="1520" w:type="dxa"/>
            <w:tcBorders>
              <w:top w:val="single" w:sz="8" w:space="0" w:color="000000"/>
              <w:bottom w:val="single" w:sz="8" w:space="0" w:color="000000"/>
            </w:tcBorders>
          </w:tcPr>
          <w:p w14:paraId="1D5CE4C9" w14:textId="77777777" w:rsidR="002D1729" w:rsidRDefault="002D1729" w:rsidP="008A42A6">
            <w:pPr>
              <w:pStyle w:val="TableParagraph"/>
              <w:spacing w:line="247" w:lineRule="auto"/>
              <w:ind w:right="70"/>
            </w:pPr>
            <w:r>
              <w:rPr>
                <w:spacing w:val="-2"/>
              </w:rPr>
              <w:t>Group-based interventions</w:t>
            </w:r>
          </w:p>
        </w:tc>
        <w:tc>
          <w:tcPr>
            <w:tcW w:w="1740" w:type="dxa"/>
            <w:tcBorders>
              <w:top w:val="single" w:sz="8" w:space="0" w:color="000000"/>
              <w:bottom w:val="single" w:sz="8" w:space="0" w:color="000000"/>
            </w:tcBorders>
          </w:tcPr>
          <w:p w14:paraId="0FC1B20A" w14:textId="77777777" w:rsidR="002D1729" w:rsidRDefault="002D1729" w:rsidP="008A42A6">
            <w:pPr>
              <w:pStyle w:val="TableParagraph"/>
              <w:spacing w:line="247" w:lineRule="auto"/>
              <w:ind w:right="57"/>
            </w:pPr>
            <w:r>
              <w:rPr>
                <w:spacing w:val="-2"/>
              </w:rPr>
              <w:t>Social participation</w:t>
            </w:r>
          </w:p>
        </w:tc>
        <w:tc>
          <w:tcPr>
            <w:tcW w:w="1920" w:type="dxa"/>
            <w:tcBorders>
              <w:top w:val="single" w:sz="8" w:space="0" w:color="000000"/>
              <w:bottom w:val="single" w:sz="8" w:space="0" w:color="000000"/>
            </w:tcBorders>
          </w:tcPr>
          <w:p w14:paraId="14D7D3E5" w14:textId="77777777" w:rsidR="002D1729" w:rsidRDefault="002D1729" w:rsidP="008A42A6">
            <w:pPr>
              <w:pStyle w:val="TableParagraph"/>
              <w:spacing w:line="247" w:lineRule="auto"/>
              <w:ind w:right="42"/>
            </w:pPr>
            <w:r>
              <w:rPr>
                <w:spacing w:val="-2"/>
              </w:rPr>
              <w:t>Reduced loneliness</w:t>
            </w:r>
          </w:p>
        </w:tc>
        <w:tc>
          <w:tcPr>
            <w:tcW w:w="1530" w:type="dxa"/>
            <w:tcBorders>
              <w:top w:val="single" w:sz="8" w:space="0" w:color="000000"/>
              <w:bottom w:val="single" w:sz="8" w:space="0" w:color="000000"/>
            </w:tcBorders>
          </w:tcPr>
          <w:p w14:paraId="36E8BCC0" w14:textId="77777777" w:rsidR="002D1729" w:rsidRDefault="002D1729" w:rsidP="008A42A6">
            <w:pPr>
              <w:pStyle w:val="TableParagraph"/>
              <w:spacing w:line="247" w:lineRule="auto"/>
            </w:pPr>
            <w:r>
              <w:rPr>
                <w:spacing w:val="-2"/>
              </w:rPr>
              <w:t>Social engagement</w:t>
            </w:r>
          </w:p>
        </w:tc>
      </w:tr>
      <w:tr w:rsidR="002D1729" w14:paraId="4702CB91" w14:textId="77777777" w:rsidTr="002D1729">
        <w:trPr>
          <w:trHeight w:val="540"/>
        </w:trPr>
        <w:tc>
          <w:tcPr>
            <w:tcW w:w="720" w:type="dxa"/>
            <w:tcBorders>
              <w:top w:val="single" w:sz="8" w:space="0" w:color="000000"/>
              <w:bottom w:val="single" w:sz="8" w:space="0" w:color="000000"/>
            </w:tcBorders>
          </w:tcPr>
          <w:p w14:paraId="5B8BE435" w14:textId="77777777" w:rsidR="002D1729" w:rsidRDefault="002D1729" w:rsidP="008A42A6">
            <w:pPr>
              <w:pStyle w:val="TableParagraph"/>
            </w:pPr>
            <w:r>
              <w:rPr>
                <w:spacing w:val="-5"/>
              </w:rPr>
              <w:t>11</w:t>
            </w:r>
          </w:p>
        </w:tc>
        <w:tc>
          <w:tcPr>
            <w:tcW w:w="1380" w:type="dxa"/>
            <w:tcBorders>
              <w:top w:val="single" w:sz="8" w:space="0" w:color="000000"/>
              <w:bottom w:val="single" w:sz="8" w:space="0" w:color="000000"/>
            </w:tcBorders>
          </w:tcPr>
          <w:p w14:paraId="20BE9C2C" w14:textId="77777777" w:rsidR="002D1729" w:rsidRDefault="002D1729" w:rsidP="008A42A6">
            <w:pPr>
              <w:pStyle w:val="TableParagraph"/>
              <w:spacing w:before="40" w:line="240" w:lineRule="exact"/>
            </w:pPr>
            <w:r>
              <w:rPr>
                <w:spacing w:val="-2"/>
              </w:rPr>
              <w:t xml:space="preserve">Ramanathan </w:t>
            </w:r>
            <w:r>
              <w:t>et al. (2019)</w:t>
            </w:r>
          </w:p>
        </w:tc>
        <w:tc>
          <w:tcPr>
            <w:tcW w:w="1480" w:type="dxa"/>
            <w:tcBorders>
              <w:top w:val="single" w:sz="8" w:space="0" w:color="000000"/>
              <w:bottom w:val="single" w:sz="8" w:space="0" w:color="000000"/>
            </w:tcBorders>
          </w:tcPr>
          <w:p w14:paraId="4B7A126F" w14:textId="77777777" w:rsidR="002D1729" w:rsidRDefault="002D1729" w:rsidP="008A42A6">
            <w:pPr>
              <w:pStyle w:val="TableParagraph"/>
              <w:spacing w:before="40" w:line="240" w:lineRule="exact"/>
              <w:ind w:right="20"/>
            </w:pPr>
            <w:r>
              <w:rPr>
                <w:spacing w:val="-2"/>
              </w:rPr>
              <w:t>Observational study</w:t>
            </w:r>
          </w:p>
        </w:tc>
        <w:tc>
          <w:tcPr>
            <w:tcW w:w="1520" w:type="dxa"/>
            <w:tcBorders>
              <w:top w:val="single" w:sz="8" w:space="0" w:color="000000"/>
              <w:bottom w:val="single" w:sz="8" w:space="0" w:color="000000"/>
            </w:tcBorders>
          </w:tcPr>
          <w:p w14:paraId="25220CFC" w14:textId="77777777" w:rsidR="002D1729" w:rsidRDefault="002D1729" w:rsidP="008A42A6">
            <w:pPr>
              <w:pStyle w:val="TableParagraph"/>
              <w:spacing w:before="40" w:line="240" w:lineRule="exact"/>
              <w:ind w:right="70"/>
            </w:pPr>
            <w:r>
              <w:rPr>
                <w:spacing w:val="-4"/>
              </w:rPr>
              <w:t xml:space="preserve">Urban </w:t>
            </w:r>
            <w:r>
              <w:rPr>
                <w:spacing w:val="-2"/>
              </w:rPr>
              <w:t>environments</w:t>
            </w:r>
          </w:p>
        </w:tc>
        <w:tc>
          <w:tcPr>
            <w:tcW w:w="1740" w:type="dxa"/>
            <w:tcBorders>
              <w:top w:val="single" w:sz="8" w:space="0" w:color="000000"/>
              <w:bottom w:val="single" w:sz="8" w:space="0" w:color="000000"/>
            </w:tcBorders>
          </w:tcPr>
          <w:p w14:paraId="2658DF2A" w14:textId="77777777" w:rsidR="002D1729" w:rsidRDefault="002D1729" w:rsidP="008A42A6">
            <w:pPr>
              <w:pStyle w:val="TableParagraph"/>
              <w:spacing w:before="40" w:line="240" w:lineRule="exact"/>
              <w:ind w:right="57"/>
            </w:pPr>
            <w:r>
              <w:rPr>
                <w:spacing w:val="-2"/>
              </w:rPr>
              <w:t xml:space="preserve">Environmental </w:t>
            </w:r>
            <w:r>
              <w:t>risk factors</w:t>
            </w:r>
          </w:p>
        </w:tc>
        <w:tc>
          <w:tcPr>
            <w:tcW w:w="1920" w:type="dxa"/>
            <w:tcBorders>
              <w:top w:val="single" w:sz="8" w:space="0" w:color="000000"/>
              <w:bottom w:val="single" w:sz="8" w:space="0" w:color="000000"/>
            </w:tcBorders>
          </w:tcPr>
          <w:p w14:paraId="3A7609E7" w14:textId="77777777" w:rsidR="002D1729" w:rsidRDefault="002D1729" w:rsidP="008A42A6">
            <w:pPr>
              <w:pStyle w:val="TableParagraph"/>
              <w:ind w:left="16" w:right="82"/>
              <w:jc w:val="center"/>
            </w:pPr>
            <w:r>
              <w:t>Increased</w:t>
            </w:r>
            <w:r>
              <w:rPr>
                <w:spacing w:val="-4"/>
              </w:rPr>
              <w:t xml:space="preserve"> </w:t>
            </w:r>
            <w:r>
              <w:t>fall</w:t>
            </w:r>
            <w:r>
              <w:rPr>
                <w:spacing w:val="-1"/>
              </w:rPr>
              <w:t xml:space="preserve"> </w:t>
            </w:r>
            <w:r>
              <w:rPr>
                <w:spacing w:val="-4"/>
              </w:rPr>
              <w:t>risk</w:t>
            </w:r>
          </w:p>
        </w:tc>
        <w:tc>
          <w:tcPr>
            <w:tcW w:w="1530" w:type="dxa"/>
            <w:tcBorders>
              <w:top w:val="single" w:sz="8" w:space="0" w:color="000000"/>
              <w:bottom w:val="single" w:sz="8" w:space="0" w:color="000000"/>
            </w:tcBorders>
          </w:tcPr>
          <w:p w14:paraId="5D66ACDF" w14:textId="77777777" w:rsidR="002D1729" w:rsidRDefault="002D1729" w:rsidP="008A42A6">
            <w:pPr>
              <w:pStyle w:val="TableParagraph"/>
              <w:spacing w:before="40" w:line="240" w:lineRule="exact"/>
            </w:pPr>
            <w:r>
              <w:rPr>
                <w:spacing w:val="-2"/>
              </w:rPr>
              <w:t>Contextual barriers</w:t>
            </w:r>
          </w:p>
        </w:tc>
      </w:tr>
      <w:tr w:rsidR="002D1729" w14:paraId="7B9D3291" w14:textId="77777777" w:rsidTr="002D1729">
        <w:trPr>
          <w:trHeight w:val="889"/>
        </w:trPr>
        <w:tc>
          <w:tcPr>
            <w:tcW w:w="720" w:type="dxa"/>
            <w:tcBorders>
              <w:top w:val="single" w:sz="8" w:space="0" w:color="000000"/>
            </w:tcBorders>
          </w:tcPr>
          <w:p w14:paraId="51484A5F" w14:textId="77777777" w:rsidR="002D1729" w:rsidRDefault="002D1729" w:rsidP="008A42A6">
            <w:pPr>
              <w:pStyle w:val="TableParagraph"/>
              <w:spacing w:before="100"/>
              <w:ind w:left="0"/>
            </w:pPr>
          </w:p>
          <w:p w14:paraId="5D5A1067" w14:textId="77777777" w:rsidR="002D1729" w:rsidRDefault="002D1729" w:rsidP="008A42A6">
            <w:pPr>
              <w:pStyle w:val="TableParagraph"/>
              <w:spacing w:before="0"/>
            </w:pPr>
            <w:r>
              <w:rPr>
                <w:spacing w:val="-5"/>
              </w:rPr>
              <w:t>12</w:t>
            </w:r>
          </w:p>
        </w:tc>
        <w:tc>
          <w:tcPr>
            <w:tcW w:w="1380" w:type="dxa"/>
            <w:tcBorders>
              <w:top w:val="single" w:sz="8" w:space="0" w:color="000000"/>
            </w:tcBorders>
          </w:tcPr>
          <w:p w14:paraId="63341CDA" w14:textId="77777777" w:rsidR="002D1729" w:rsidRDefault="002D1729" w:rsidP="008A42A6">
            <w:pPr>
              <w:pStyle w:val="TableParagraph"/>
              <w:spacing w:before="213" w:line="247" w:lineRule="auto"/>
            </w:pPr>
            <w:r>
              <w:t>Barker</w:t>
            </w:r>
            <w:r>
              <w:rPr>
                <w:spacing w:val="-16"/>
              </w:rPr>
              <w:t xml:space="preserve"> </w:t>
            </w:r>
            <w:r>
              <w:t>et</w:t>
            </w:r>
            <w:r>
              <w:rPr>
                <w:spacing w:val="-15"/>
              </w:rPr>
              <w:t xml:space="preserve"> </w:t>
            </w:r>
            <w:r>
              <w:t xml:space="preserve">al. </w:t>
            </w:r>
            <w:r>
              <w:rPr>
                <w:spacing w:val="-2"/>
              </w:rPr>
              <w:t>(2016)</w:t>
            </w:r>
          </w:p>
        </w:tc>
        <w:tc>
          <w:tcPr>
            <w:tcW w:w="1480" w:type="dxa"/>
            <w:tcBorders>
              <w:top w:val="single" w:sz="8" w:space="0" w:color="000000"/>
            </w:tcBorders>
          </w:tcPr>
          <w:p w14:paraId="6143C470" w14:textId="77777777" w:rsidR="002D1729" w:rsidRDefault="002D1729" w:rsidP="008A42A6">
            <w:pPr>
              <w:pStyle w:val="TableParagraph"/>
              <w:spacing w:before="95" w:line="237" w:lineRule="auto"/>
              <w:ind w:right="530"/>
            </w:pPr>
            <w:r>
              <w:rPr>
                <w:spacing w:val="-2"/>
              </w:rPr>
              <w:t>Mixed- methods study</w:t>
            </w:r>
          </w:p>
        </w:tc>
        <w:tc>
          <w:tcPr>
            <w:tcW w:w="1520" w:type="dxa"/>
            <w:tcBorders>
              <w:top w:val="single" w:sz="8" w:space="0" w:color="000000"/>
            </w:tcBorders>
          </w:tcPr>
          <w:p w14:paraId="7FD3F671" w14:textId="77777777" w:rsidR="002D1729" w:rsidRDefault="002D1729" w:rsidP="008A42A6">
            <w:pPr>
              <w:pStyle w:val="TableParagraph"/>
              <w:spacing w:before="213" w:line="247" w:lineRule="auto"/>
              <w:ind w:right="285"/>
            </w:pPr>
            <w:r>
              <w:rPr>
                <w:spacing w:val="-2"/>
              </w:rPr>
              <w:t>Community settings</w:t>
            </w:r>
          </w:p>
        </w:tc>
        <w:tc>
          <w:tcPr>
            <w:tcW w:w="1740" w:type="dxa"/>
            <w:tcBorders>
              <w:top w:val="single" w:sz="8" w:space="0" w:color="000000"/>
            </w:tcBorders>
          </w:tcPr>
          <w:p w14:paraId="01A253A0" w14:textId="54455F06" w:rsidR="002D1729" w:rsidRDefault="007726CB" w:rsidP="008A42A6">
            <w:pPr>
              <w:pStyle w:val="TableParagraph"/>
              <w:spacing w:before="95" w:line="237" w:lineRule="auto"/>
              <w:ind w:right="57"/>
            </w:pPr>
            <w:r>
              <w:rPr>
                <w:spacing w:val="-2"/>
              </w:rPr>
              <w:t>Behavior</w:t>
            </w:r>
            <w:r w:rsidR="002D1729">
              <w:rPr>
                <w:spacing w:val="-2"/>
              </w:rPr>
              <w:t xml:space="preserve"> </w:t>
            </w:r>
            <w:proofErr w:type="gramStart"/>
            <w:r w:rsidR="002D1729">
              <w:rPr>
                <w:spacing w:val="-2"/>
              </w:rPr>
              <w:t>change</w:t>
            </w:r>
            <w:proofErr w:type="gramEnd"/>
            <w:r w:rsidR="002D1729">
              <w:rPr>
                <w:spacing w:val="-2"/>
              </w:rPr>
              <w:t xml:space="preserve"> techniques</w:t>
            </w:r>
          </w:p>
        </w:tc>
        <w:tc>
          <w:tcPr>
            <w:tcW w:w="1920" w:type="dxa"/>
            <w:tcBorders>
              <w:top w:val="single" w:sz="8" w:space="0" w:color="000000"/>
            </w:tcBorders>
          </w:tcPr>
          <w:p w14:paraId="4B6EDD4B" w14:textId="77777777" w:rsidR="002D1729" w:rsidRDefault="002D1729" w:rsidP="008A42A6">
            <w:pPr>
              <w:pStyle w:val="TableParagraph"/>
              <w:spacing w:before="213" w:line="247" w:lineRule="auto"/>
              <w:ind w:right="825"/>
            </w:pPr>
            <w:r>
              <w:rPr>
                <w:spacing w:val="-2"/>
              </w:rPr>
              <w:t>Enhanced outcomes</w:t>
            </w:r>
          </w:p>
        </w:tc>
        <w:tc>
          <w:tcPr>
            <w:tcW w:w="1530" w:type="dxa"/>
            <w:tcBorders>
              <w:top w:val="single" w:sz="8" w:space="0" w:color="000000"/>
            </w:tcBorders>
          </w:tcPr>
          <w:p w14:paraId="772C5A9D" w14:textId="3BAE2DEC" w:rsidR="002D1729" w:rsidRDefault="007726CB" w:rsidP="008A42A6">
            <w:pPr>
              <w:pStyle w:val="TableParagraph"/>
              <w:spacing w:before="213" w:line="247" w:lineRule="auto"/>
            </w:pPr>
            <w:r>
              <w:rPr>
                <w:spacing w:val="-2"/>
              </w:rPr>
              <w:t>Behavioral</w:t>
            </w:r>
            <w:r w:rsidR="002D1729">
              <w:rPr>
                <w:spacing w:val="-2"/>
              </w:rPr>
              <w:t xml:space="preserve"> support</w:t>
            </w:r>
          </w:p>
        </w:tc>
      </w:tr>
    </w:tbl>
    <w:p w14:paraId="62C21BDE" w14:textId="77777777" w:rsidR="001C31FB" w:rsidRDefault="001C31FB" w:rsidP="001C31FB">
      <w:pPr>
        <w:spacing w:line="360" w:lineRule="auto"/>
        <w:rPr>
          <w:rFonts w:ascii="Arial" w:hAnsi="Arial" w:cs="Arial"/>
          <w:sz w:val="22"/>
          <w:szCs w:val="22"/>
        </w:rPr>
      </w:pPr>
    </w:p>
    <w:p w14:paraId="3691DBB9" w14:textId="07DA1508" w:rsidR="001C31FB" w:rsidRDefault="001C31FB" w:rsidP="001C31FB">
      <w:pPr>
        <w:spacing w:line="360" w:lineRule="auto"/>
        <w:rPr>
          <w:rFonts w:ascii="Arial" w:hAnsi="Arial" w:cs="Arial"/>
          <w:sz w:val="22"/>
          <w:szCs w:val="22"/>
        </w:rPr>
      </w:pPr>
      <w:r w:rsidRPr="001C31FB">
        <w:rPr>
          <w:rFonts w:ascii="Arial" w:hAnsi="Arial" w:cs="Arial"/>
          <w:sz w:val="22"/>
          <w:szCs w:val="22"/>
        </w:rPr>
        <w:t>Table 4.1 presents the twelve studies included following the PRISMA screening</w:t>
      </w:r>
      <w:r>
        <w:rPr>
          <w:rFonts w:ascii="Arial" w:hAnsi="Arial" w:cs="Arial"/>
          <w:sz w:val="22"/>
          <w:szCs w:val="22"/>
        </w:rPr>
        <w:t xml:space="preserve"> </w:t>
      </w:r>
      <w:r w:rsidRPr="001C31FB">
        <w:rPr>
          <w:rFonts w:ascii="Arial" w:hAnsi="Arial" w:cs="Arial"/>
          <w:sz w:val="22"/>
          <w:szCs w:val="22"/>
        </w:rPr>
        <w:t>process.</w:t>
      </w:r>
    </w:p>
    <w:p w14:paraId="6429FAB9" w14:textId="77777777" w:rsidR="002D1729" w:rsidRPr="003F29DA" w:rsidRDefault="002D1729" w:rsidP="002F690B">
      <w:pPr>
        <w:spacing w:line="360" w:lineRule="auto"/>
        <w:jc w:val="both"/>
        <w:rPr>
          <w:rFonts w:ascii="Arial" w:hAnsi="Arial" w:cs="Arial"/>
          <w:sz w:val="22"/>
          <w:szCs w:val="22"/>
        </w:rPr>
      </w:pPr>
    </w:p>
    <w:p w14:paraId="0C3D0BDD" w14:textId="30CF32A1" w:rsidR="003F29DA" w:rsidRPr="00BB2C98" w:rsidRDefault="003F29DA" w:rsidP="00BB2C98">
      <w:pPr>
        <w:pStyle w:val="Heading2"/>
        <w:rPr>
          <w:rFonts w:ascii="Arial" w:hAnsi="Arial" w:cs="Arial"/>
          <w:b/>
          <w:bCs/>
          <w:sz w:val="28"/>
          <w:szCs w:val="28"/>
        </w:rPr>
      </w:pPr>
      <w:bookmarkStart w:id="65" w:name="_Toc219805166"/>
      <w:r w:rsidRPr="00BB2C98">
        <w:rPr>
          <w:rFonts w:ascii="Arial" w:hAnsi="Arial" w:cs="Arial"/>
          <w:b/>
          <w:bCs/>
          <w:sz w:val="28"/>
          <w:szCs w:val="28"/>
        </w:rPr>
        <w:t>4.4</w:t>
      </w:r>
      <w:r w:rsidR="00BB2C98" w:rsidRPr="00BB2C98">
        <w:rPr>
          <w:rFonts w:ascii="Arial" w:hAnsi="Arial" w:cs="Arial"/>
          <w:b/>
          <w:bCs/>
          <w:sz w:val="28"/>
          <w:szCs w:val="28"/>
        </w:rPr>
        <w:t xml:space="preserve"> </w:t>
      </w:r>
      <w:r w:rsidRPr="00BB2C98">
        <w:rPr>
          <w:rFonts w:ascii="Arial" w:hAnsi="Arial" w:cs="Arial"/>
          <w:b/>
          <w:bCs/>
          <w:sz w:val="28"/>
          <w:szCs w:val="28"/>
        </w:rPr>
        <w:t>Data Extraction and Synthesis</w:t>
      </w:r>
      <w:bookmarkEnd w:id="65"/>
    </w:p>
    <w:p w14:paraId="2A4BF5BA" w14:textId="33106D6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Data extraction focused on study design, intervention type, population characteristics, outcome measures and key findings related to fall reduction</w:t>
      </w:r>
      <w:r w:rsidR="00725F2B">
        <w:rPr>
          <w:rFonts w:ascii="Arial" w:hAnsi="Arial" w:cs="Arial"/>
          <w:sz w:val="22"/>
          <w:szCs w:val="22"/>
        </w:rPr>
        <w:t xml:space="preserve"> </w:t>
      </w:r>
      <w:r w:rsidR="00725F2B" w:rsidRPr="00725F2B">
        <w:rPr>
          <w:rFonts w:ascii="Arial" w:hAnsi="Arial" w:cs="Arial"/>
          <w:sz w:val="22"/>
          <w:szCs w:val="22"/>
        </w:rPr>
        <w:t>(Sadaqa et al., 2023)</w:t>
      </w:r>
      <w:r w:rsidRPr="003F29DA">
        <w:rPr>
          <w:rFonts w:ascii="Arial" w:hAnsi="Arial" w:cs="Arial"/>
          <w:sz w:val="22"/>
          <w:szCs w:val="22"/>
        </w:rPr>
        <w:t>. Despite methodological heterogeneity, all studies examined physiotherapy-led interventions within community contexts</w:t>
      </w:r>
      <w:r w:rsidR="00725F2B">
        <w:rPr>
          <w:rFonts w:ascii="Arial" w:hAnsi="Arial" w:cs="Arial"/>
          <w:sz w:val="22"/>
          <w:szCs w:val="22"/>
        </w:rPr>
        <w:t xml:space="preserve"> </w:t>
      </w:r>
      <w:r w:rsidR="00725F2B" w:rsidRPr="00725F2B">
        <w:rPr>
          <w:rFonts w:ascii="Arial" w:hAnsi="Arial" w:cs="Arial"/>
          <w:sz w:val="22"/>
          <w:szCs w:val="22"/>
        </w:rPr>
        <w:t>(Sherrington et al., 2019)</w:t>
      </w:r>
      <w:r w:rsidRPr="003F29DA">
        <w:rPr>
          <w:rFonts w:ascii="Arial" w:hAnsi="Arial" w:cs="Arial"/>
          <w:sz w:val="22"/>
          <w:szCs w:val="22"/>
        </w:rPr>
        <w:t>. Quantitative studies consistently reported improvements in balance, strength and mobility, while qualitative and mixed-methods studies highlighted psychological, behavioural and social dimensions influencing intervention effectiveness</w:t>
      </w:r>
      <w:r w:rsidR="00725F2B">
        <w:rPr>
          <w:rFonts w:ascii="Arial" w:hAnsi="Arial" w:cs="Arial"/>
          <w:sz w:val="22"/>
          <w:szCs w:val="22"/>
        </w:rPr>
        <w:t xml:space="preserve"> </w:t>
      </w:r>
      <w:r w:rsidR="00725F2B" w:rsidRPr="00725F2B">
        <w:rPr>
          <w:rFonts w:ascii="Arial" w:hAnsi="Arial" w:cs="Arial"/>
          <w:sz w:val="22"/>
          <w:szCs w:val="22"/>
        </w:rPr>
        <w:t>(</w:t>
      </w:r>
      <w:proofErr w:type="spellStart"/>
      <w:r w:rsidR="00725F2B" w:rsidRPr="00725F2B">
        <w:rPr>
          <w:rFonts w:ascii="Arial" w:hAnsi="Arial" w:cs="Arial"/>
          <w:sz w:val="22"/>
          <w:szCs w:val="22"/>
        </w:rPr>
        <w:t>Pighills</w:t>
      </w:r>
      <w:proofErr w:type="spellEnd"/>
      <w:r w:rsidR="00725F2B" w:rsidRPr="00725F2B">
        <w:rPr>
          <w:rFonts w:ascii="Arial" w:hAnsi="Arial" w:cs="Arial"/>
          <w:sz w:val="22"/>
          <w:szCs w:val="22"/>
        </w:rPr>
        <w:t xml:space="preserve"> et al., 2019)</w:t>
      </w:r>
      <w:r w:rsidRPr="003F29DA">
        <w:rPr>
          <w:rFonts w:ascii="Arial" w:hAnsi="Arial" w:cs="Arial"/>
          <w:sz w:val="22"/>
          <w:szCs w:val="22"/>
        </w:rPr>
        <w:t>.</w:t>
      </w:r>
      <w:r w:rsidR="00767DC3">
        <w:rPr>
          <w:rFonts w:ascii="Arial" w:hAnsi="Arial" w:cs="Arial"/>
          <w:sz w:val="22"/>
          <w:szCs w:val="22"/>
        </w:rPr>
        <w:t xml:space="preserve"> </w:t>
      </w:r>
      <w:r w:rsidR="00767DC3" w:rsidRPr="00767DC3">
        <w:rPr>
          <w:rFonts w:ascii="Arial" w:hAnsi="Arial" w:cs="Arial"/>
          <w:sz w:val="22"/>
          <w:szCs w:val="22"/>
        </w:rPr>
        <w:t>A more thorough understanding of how and why physiotherapy interventions were successful in complicated community contexts was made possible by the integration of quantitative and qualitative findings (</w:t>
      </w:r>
      <w:proofErr w:type="spellStart"/>
      <w:r w:rsidR="00767DC3" w:rsidRPr="00767DC3">
        <w:rPr>
          <w:rFonts w:ascii="Arial" w:hAnsi="Arial" w:cs="Arial"/>
          <w:sz w:val="22"/>
          <w:szCs w:val="22"/>
        </w:rPr>
        <w:t>Pluye</w:t>
      </w:r>
      <w:proofErr w:type="spellEnd"/>
      <w:r w:rsidR="00767DC3" w:rsidRPr="00767DC3">
        <w:rPr>
          <w:rFonts w:ascii="Arial" w:hAnsi="Arial" w:cs="Arial"/>
          <w:sz w:val="22"/>
          <w:szCs w:val="22"/>
        </w:rPr>
        <w:t xml:space="preserve"> and Hong, 2014; Harden et al., 2018).</w:t>
      </w:r>
    </w:p>
    <w:p w14:paraId="3F1EBAEF" w14:textId="2DB50C4F"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Homogeneity was observed in the direction of outcomes, with all studies reporting beneficial effects of physiotherapy-based interventions</w:t>
      </w:r>
      <w:r w:rsidR="00725F2B">
        <w:rPr>
          <w:rFonts w:ascii="Arial" w:hAnsi="Arial" w:cs="Arial"/>
          <w:sz w:val="22"/>
          <w:szCs w:val="22"/>
        </w:rPr>
        <w:t xml:space="preserve"> </w:t>
      </w:r>
      <w:r w:rsidR="00725F2B" w:rsidRPr="00725F2B">
        <w:rPr>
          <w:rFonts w:ascii="Arial" w:hAnsi="Arial" w:cs="Arial"/>
          <w:sz w:val="22"/>
          <w:szCs w:val="22"/>
        </w:rPr>
        <w:t>(Sherrington et al., 2019)</w:t>
      </w:r>
      <w:r w:rsidRPr="003F29DA">
        <w:rPr>
          <w:rFonts w:ascii="Arial" w:hAnsi="Arial" w:cs="Arial"/>
          <w:sz w:val="22"/>
          <w:szCs w:val="22"/>
        </w:rPr>
        <w:t>. However, heterogeneity existed in intervention intensity, duration, delivery mode and outcome measurement tools</w:t>
      </w:r>
      <w:r w:rsidR="00725F2B">
        <w:rPr>
          <w:rFonts w:ascii="Arial" w:hAnsi="Arial" w:cs="Arial"/>
          <w:sz w:val="22"/>
          <w:szCs w:val="22"/>
        </w:rPr>
        <w:t xml:space="preserve"> </w:t>
      </w:r>
      <w:r w:rsidR="00725F2B" w:rsidRPr="00725F2B">
        <w:rPr>
          <w:rFonts w:ascii="Arial" w:hAnsi="Arial" w:cs="Arial"/>
          <w:sz w:val="22"/>
          <w:szCs w:val="22"/>
        </w:rPr>
        <w:t>(Gillespie et al., 2012)</w:t>
      </w:r>
      <w:r w:rsidRPr="003F29DA">
        <w:rPr>
          <w:rFonts w:ascii="Arial" w:hAnsi="Arial" w:cs="Arial"/>
          <w:sz w:val="22"/>
          <w:szCs w:val="22"/>
        </w:rPr>
        <w:t>. These variations limited direct comparison but strengthened the rationale for narrative and thematic synthesis</w:t>
      </w:r>
      <w:r w:rsidR="00725F2B">
        <w:rPr>
          <w:rFonts w:ascii="Arial" w:hAnsi="Arial" w:cs="Arial"/>
          <w:sz w:val="22"/>
          <w:szCs w:val="22"/>
        </w:rPr>
        <w:t xml:space="preserve"> </w:t>
      </w:r>
      <w:r w:rsidR="00725F2B" w:rsidRPr="00725F2B">
        <w:rPr>
          <w:rFonts w:ascii="Arial" w:hAnsi="Arial" w:cs="Arial"/>
          <w:sz w:val="22"/>
          <w:szCs w:val="22"/>
        </w:rPr>
        <w:t>(Sadaqa et al., 2023</w:t>
      </w:r>
      <w:r w:rsidR="00725F2B">
        <w:rPr>
          <w:rFonts w:ascii="Arial" w:hAnsi="Arial" w:cs="Arial"/>
          <w:sz w:val="22"/>
          <w:szCs w:val="22"/>
        </w:rPr>
        <w:t>)</w:t>
      </w:r>
      <w:r w:rsidRPr="003F29DA">
        <w:rPr>
          <w:rFonts w:ascii="Arial" w:hAnsi="Arial" w:cs="Arial"/>
          <w:sz w:val="22"/>
          <w:szCs w:val="22"/>
        </w:rPr>
        <w:t>.</w:t>
      </w:r>
    </w:p>
    <w:p w14:paraId="18F63EEA" w14:textId="77777777" w:rsidR="003F29DA" w:rsidRPr="003F29DA" w:rsidRDefault="003F29DA" w:rsidP="002F690B">
      <w:pPr>
        <w:spacing w:line="360" w:lineRule="auto"/>
        <w:jc w:val="both"/>
        <w:rPr>
          <w:rFonts w:ascii="Arial" w:hAnsi="Arial" w:cs="Arial"/>
          <w:sz w:val="22"/>
          <w:szCs w:val="22"/>
        </w:rPr>
      </w:pPr>
    </w:p>
    <w:p w14:paraId="39D8538D" w14:textId="610D2BAB" w:rsidR="003F29DA" w:rsidRPr="00BB2C98" w:rsidRDefault="003F29DA" w:rsidP="00BB2C98">
      <w:pPr>
        <w:pStyle w:val="Heading2"/>
        <w:rPr>
          <w:rFonts w:ascii="Arial" w:hAnsi="Arial" w:cs="Arial"/>
          <w:b/>
          <w:bCs/>
          <w:sz w:val="28"/>
          <w:szCs w:val="28"/>
        </w:rPr>
      </w:pPr>
      <w:bookmarkStart w:id="66" w:name="_Toc219805167"/>
      <w:r w:rsidRPr="00BB2C98">
        <w:rPr>
          <w:rFonts w:ascii="Arial" w:hAnsi="Arial" w:cs="Arial"/>
          <w:b/>
          <w:bCs/>
          <w:sz w:val="28"/>
          <w:szCs w:val="28"/>
        </w:rPr>
        <w:t>4.5</w:t>
      </w:r>
      <w:r w:rsidR="00BB2C98" w:rsidRPr="00BB2C98">
        <w:rPr>
          <w:rFonts w:ascii="Arial" w:hAnsi="Arial" w:cs="Arial"/>
          <w:b/>
          <w:bCs/>
          <w:sz w:val="28"/>
          <w:szCs w:val="28"/>
        </w:rPr>
        <w:t xml:space="preserve"> </w:t>
      </w:r>
      <w:r w:rsidRPr="00BB2C98">
        <w:rPr>
          <w:rFonts w:ascii="Arial" w:hAnsi="Arial" w:cs="Arial"/>
          <w:b/>
          <w:bCs/>
          <w:sz w:val="28"/>
          <w:szCs w:val="28"/>
        </w:rPr>
        <w:t>Overall Common Themes Identified</w:t>
      </w:r>
      <w:bookmarkEnd w:id="66"/>
    </w:p>
    <w:p w14:paraId="3B0A1912"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Four overarching themes emerged across the included studies:</w:t>
      </w:r>
    </w:p>
    <w:p w14:paraId="0BA38582" w14:textId="77777777" w:rsidR="00BB2C98" w:rsidRDefault="003F29DA" w:rsidP="002F690B">
      <w:pPr>
        <w:pStyle w:val="ListParagraph"/>
        <w:numPr>
          <w:ilvl w:val="0"/>
          <w:numId w:val="3"/>
        </w:numPr>
        <w:spacing w:line="360" w:lineRule="auto"/>
        <w:jc w:val="both"/>
        <w:rPr>
          <w:rFonts w:ascii="Arial" w:hAnsi="Arial" w:cs="Arial"/>
          <w:sz w:val="22"/>
          <w:szCs w:val="22"/>
        </w:rPr>
      </w:pPr>
      <w:r w:rsidRPr="00BB2C98">
        <w:rPr>
          <w:rFonts w:ascii="Arial" w:hAnsi="Arial" w:cs="Arial"/>
          <w:sz w:val="22"/>
          <w:szCs w:val="22"/>
        </w:rPr>
        <w:t>Physiological and Functional Improvements</w:t>
      </w:r>
    </w:p>
    <w:p w14:paraId="7761384C" w14:textId="77777777" w:rsidR="00BB2C98" w:rsidRDefault="003F29DA" w:rsidP="002F690B">
      <w:pPr>
        <w:pStyle w:val="ListParagraph"/>
        <w:numPr>
          <w:ilvl w:val="0"/>
          <w:numId w:val="3"/>
        </w:numPr>
        <w:spacing w:line="360" w:lineRule="auto"/>
        <w:jc w:val="both"/>
        <w:rPr>
          <w:rFonts w:ascii="Arial" w:hAnsi="Arial" w:cs="Arial"/>
          <w:sz w:val="22"/>
          <w:szCs w:val="22"/>
        </w:rPr>
      </w:pPr>
      <w:r w:rsidRPr="00BB2C98">
        <w:rPr>
          <w:rFonts w:ascii="Arial" w:hAnsi="Arial" w:cs="Arial"/>
          <w:sz w:val="22"/>
          <w:szCs w:val="22"/>
        </w:rPr>
        <w:t>Psychological and Behavioural Change</w:t>
      </w:r>
    </w:p>
    <w:p w14:paraId="6EA278A5" w14:textId="77777777" w:rsidR="00BB2C98" w:rsidRDefault="003F29DA" w:rsidP="002F690B">
      <w:pPr>
        <w:pStyle w:val="ListParagraph"/>
        <w:numPr>
          <w:ilvl w:val="0"/>
          <w:numId w:val="3"/>
        </w:numPr>
        <w:spacing w:line="360" w:lineRule="auto"/>
        <w:jc w:val="both"/>
        <w:rPr>
          <w:rFonts w:ascii="Arial" w:hAnsi="Arial" w:cs="Arial"/>
          <w:sz w:val="22"/>
          <w:szCs w:val="22"/>
        </w:rPr>
      </w:pPr>
      <w:r w:rsidRPr="00BB2C98">
        <w:rPr>
          <w:rFonts w:ascii="Arial" w:hAnsi="Arial" w:cs="Arial"/>
          <w:sz w:val="22"/>
          <w:szCs w:val="22"/>
        </w:rPr>
        <w:t>Social Engagement and Support</w:t>
      </w:r>
    </w:p>
    <w:p w14:paraId="15E9997C" w14:textId="7270DB85" w:rsidR="003F29DA" w:rsidRPr="00BB2C98" w:rsidRDefault="003F29DA" w:rsidP="002F690B">
      <w:pPr>
        <w:pStyle w:val="ListParagraph"/>
        <w:numPr>
          <w:ilvl w:val="0"/>
          <w:numId w:val="3"/>
        </w:numPr>
        <w:spacing w:line="360" w:lineRule="auto"/>
        <w:jc w:val="both"/>
        <w:rPr>
          <w:rFonts w:ascii="Arial" w:hAnsi="Arial" w:cs="Arial"/>
          <w:sz w:val="22"/>
          <w:szCs w:val="22"/>
        </w:rPr>
      </w:pPr>
      <w:r w:rsidRPr="00BB2C98">
        <w:rPr>
          <w:rFonts w:ascii="Arial" w:hAnsi="Arial" w:cs="Arial"/>
          <w:sz w:val="22"/>
          <w:szCs w:val="22"/>
        </w:rPr>
        <w:t>Environmental and Contextual Barriers</w:t>
      </w:r>
    </w:p>
    <w:p w14:paraId="3DB1E10B" w14:textId="06EA1F71" w:rsidR="003F29DA" w:rsidRPr="00BB2C98" w:rsidRDefault="003F29DA" w:rsidP="00BB2C98">
      <w:pPr>
        <w:pStyle w:val="Heading3"/>
        <w:rPr>
          <w:rFonts w:ascii="Arial" w:hAnsi="Arial" w:cs="Arial"/>
          <w:b/>
          <w:bCs/>
          <w:sz w:val="24"/>
          <w:szCs w:val="24"/>
        </w:rPr>
      </w:pPr>
      <w:bookmarkStart w:id="67" w:name="_Toc219805168"/>
      <w:r w:rsidRPr="00BB2C98">
        <w:rPr>
          <w:rFonts w:ascii="Arial" w:hAnsi="Arial" w:cs="Arial"/>
          <w:b/>
          <w:bCs/>
          <w:sz w:val="24"/>
          <w:szCs w:val="24"/>
        </w:rPr>
        <w:lastRenderedPageBreak/>
        <w:t>4.5.1</w:t>
      </w:r>
      <w:r w:rsidR="00BB2C98" w:rsidRPr="00BB2C98">
        <w:rPr>
          <w:rFonts w:ascii="Arial" w:hAnsi="Arial" w:cs="Arial"/>
          <w:b/>
          <w:bCs/>
          <w:sz w:val="24"/>
          <w:szCs w:val="24"/>
        </w:rPr>
        <w:t xml:space="preserve"> </w:t>
      </w:r>
      <w:r w:rsidRPr="00BB2C98">
        <w:rPr>
          <w:rFonts w:ascii="Arial" w:hAnsi="Arial" w:cs="Arial"/>
          <w:b/>
          <w:bCs/>
          <w:sz w:val="24"/>
          <w:szCs w:val="24"/>
        </w:rPr>
        <w:t>Physiological and Functional Improvements</w:t>
      </w:r>
      <w:bookmarkEnd w:id="67"/>
    </w:p>
    <w:p w14:paraId="3AEED9F2" w14:textId="3D366F53"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Community-based physiotherapy interventions consistently produced significant physiological and functional improvements among older adults, particularly in balance,</w:t>
      </w:r>
      <w:r w:rsidR="00BB2C98">
        <w:rPr>
          <w:rFonts w:ascii="Arial" w:hAnsi="Arial" w:cs="Arial"/>
          <w:sz w:val="22"/>
          <w:szCs w:val="22"/>
        </w:rPr>
        <w:t xml:space="preserve"> </w:t>
      </w:r>
      <w:r w:rsidRPr="003F29DA">
        <w:rPr>
          <w:rFonts w:ascii="Arial" w:hAnsi="Arial" w:cs="Arial"/>
          <w:sz w:val="22"/>
          <w:szCs w:val="22"/>
        </w:rPr>
        <w:t>lower-limb strength, gait stability and overall mobility</w:t>
      </w:r>
      <w:r w:rsidR="00FC58D3">
        <w:rPr>
          <w:rFonts w:ascii="Arial" w:hAnsi="Arial" w:cs="Arial"/>
          <w:sz w:val="22"/>
          <w:szCs w:val="22"/>
        </w:rPr>
        <w:t xml:space="preserve"> </w:t>
      </w:r>
      <w:r w:rsidR="00FC58D3" w:rsidRPr="00FC58D3">
        <w:rPr>
          <w:rFonts w:ascii="Arial" w:hAnsi="Arial" w:cs="Arial"/>
          <w:sz w:val="22"/>
          <w:szCs w:val="22"/>
        </w:rPr>
        <w:t>- (Keating et al., 2021)</w:t>
      </w:r>
      <w:r w:rsidRPr="003F29DA">
        <w:rPr>
          <w:rFonts w:ascii="Arial" w:hAnsi="Arial" w:cs="Arial"/>
          <w:sz w:val="22"/>
          <w:szCs w:val="22"/>
        </w:rPr>
        <w:t>. Across high-quality systematic reviews, balance-focused and multicomponent exercise programmes were identified as the most effective interventions for reducing falls in community-dwelling older adults. Sherrington et al. (2019) reported a substantial 23–34% reduction in fall rates, with effectiveness strongly associated with programmes that included progressive, challenging balance activities delivered at adequate intensity. These findings were reinforced by Gillespie et al. (2012), who concluded that physiotherapy-led exercise represented the most effective single intervention for fall prevention when compared with other community-based strategies.</w:t>
      </w:r>
    </w:p>
    <w:p w14:paraId="49F29D70" w14:textId="1FC045DC"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Collectively, this evidence demonstrated strong homogeneity in outcomes across studies, indicating that targeted physiotherapy interventions directly addressed intrinsic fall risk factors.</w:t>
      </w:r>
      <w:r w:rsidR="00767DC3">
        <w:rPr>
          <w:rFonts w:ascii="Arial" w:hAnsi="Arial" w:cs="Arial"/>
          <w:sz w:val="22"/>
          <w:szCs w:val="22"/>
        </w:rPr>
        <w:t xml:space="preserve"> </w:t>
      </w:r>
      <w:r w:rsidR="00767DC3" w:rsidRPr="00767DC3">
        <w:rPr>
          <w:rFonts w:ascii="Arial" w:hAnsi="Arial" w:cs="Arial"/>
          <w:sz w:val="22"/>
          <w:szCs w:val="22"/>
        </w:rPr>
        <w:t xml:space="preserve">The physiological efficacy of community-based physiotherapy therapies, a </w:t>
      </w:r>
      <w:r w:rsidR="00387741" w:rsidRPr="00767DC3">
        <w:rPr>
          <w:rFonts w:ascii="Arial" w:hAnsi="Arial" w:cs="Arial"/>
          <w:sz w:val="22"/>
          <w:szCs w:val="22"/>
        </w:rPr>
        <w:t>crucial criterion</w:t>
      </w:r>
      <w:r w:rsidR="00767DC3" w:rsidRPr="00767DC3">
        <w:rPr>
          <w:rFonts w:ascii="Arial" w:hAnsi="Arial" w:cs="Arial"/>
          <w:sz w:val="22"/>
          <w:szCs w:val="22"/>
        </w:rPr>
        <w:t xml:space="preserve"> for evidence-informed therapeutic decision-making, is strengthened by such consistency across various trial designs (Guyatt et al., 2011; </w:t>
      </w:r>
      <w:proofErr w:type="spellStart"/>
      <w:r w:rsidR="00767DC3" w:rsidRPr="00767DC3">
        <w:rPr>
          <w:rFonts w:ascii="Arial" w:hAnsi="Arial" w:cs="Arial"/>
          <w:sz w:val="22"/>
          <w:szCs w:val="22"/>
        </w:rPr>
        <w:t>Glasziou</w:t>
      </w:r>
      <w:proofErr w:type="spellEnd"/>
      <w:r w:rsidR="00767DC3" w:rsidRPr="00767DC3">
        <w:rPr>
          <w:rFonts w:ascii="Arial" w:hAnsi="Arial" w:cs="Arial"/>
          <w:sz w:val="22"/>
          <w:szCs w:val="22"/>
        </w:rPr>
        <w:t xml:space="preserve"> et al., 2007).</w:t>
      </w:r>
    </w:p>
    <w:p w14:paraId="7B8EBACF"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Improvements in muscular strength and functional mobility were also consistently observed, highlighting the role of strength training in fall prevention. Liu and Latham (2011) demonstrated that progressive resistance training significantly improved gait speed, balance control and functional performance, all of which are closely linked to reduced fall risk.</w:t>
      </w:r>
    </w:p>
    <w:p w14:paraId="67EA1BF8" w14:textId="0F9BE7B3"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Importantly, these benefits were evident even among older adults with frailty, chronic conditions and reduced baseline function, suggesting that community-based physiotherapy interventions were adaptable and effective across diverse clinical profiles.</w:t>
      </w:r>
      <w:r w:rsidR="0036382F">
        <w:rPr>
          <w:rFonts w:ascii="Arial" w:hAnsi="Arial" w:cs="Arial"/>
          <w:sz w:val="22"/>
          <w:szCs w:val="22"/>
        </w:rPr>
        <w:t xml:space="preserve"> </w:t>
      </w:r>
      <w:r w:rsidR="0036382F" w:rsidRPr="0036382F">
        <w:rPr>
          <w:rFonts w:ascii="Arial" w:hAnsi="Arial" w:cs="Arial"/>
          <w:sz w:val="22"/>
          <w:szCs w:val="22"/>
        </w:rPr>
        <w:t xml:space="preserve">The idea that fragility restricts rehabilitative capacity is being challenged by mounting evidence that </w:t>
      </w:r>
      <w:proofErr w:type="spellStart"/>
      <w:r w:rsidR="0036382F" w:rsidRPr="0036382F">
        <w:rPr>
          <w:rFonts w:ascii="Arial" w:hAnsi="Arial" w:cs="Arial"/>
          <w:sz w:val="22"/>
          <w:szCs w:val="22"/>
        </w:rPr>
        <w:t>well tailored</w:t>
      </w:r>
      <w:proofErr w:type="spellEnd"/>
      <w:r w:rsidR="0036382F" w:rsidRPr="0036382F">
        <w:rPr>
          <w:rFonts w:ascii="Arial" w:hAnsi="Arial" w:cs="Arial"/>
          <w:sz w:val="22"/>
          <w:szCs w:val="22"/>
        </w:rPr>
        <w:t xml:space="preserve"> exercise programs are safe and helpful even for weak people (</w:t>
      </w:r>
      <w:proofErr w:type="spellStart"/>
      <w:r w:rsidR="0036382F" w:rsidRPr="0036382F">
        <w:rPr>
          <w:rFonts w:ascii="Arial" w:hAnsi="Arial" w:cs="Arial"/>
          <w:sz w:val="22"/>
          <w:szCs w:val="22"/>
        </w:rPr>
        <w:t>Theou</w:t>
      </w:r>
      <w:proofErr w:type="spellEnd"/>
      <w:r w:rsidR="0036382F" w:rsidRPr="0036382F">
        <w:rPr>
          <w:rFonts w:ascii="Arial" w:hAnsi="Arial" w:cs="Arial"/>
          <w:sz w:val="22"/>
          <w:szCs w:val="22"/>
        </w:rPr>
        <w:t xml:space="preserve"> et al., 2011; </w:t>
      </w:r>
      <w:proofErr w:type="spellStart"/>
      <w:r w:rsidR="0036382F" w:rsidRPr="0036382F">
        <w:rPr>
          <w:rFonts w:ascii="Arial" w:hAnsi="Arial" w:cs="Arial"/>
          <w:sz w:val="22"/>
          <w:szCs w:val="22"/>
        </w:rPr>
        <w:t>Fairhall</w:t>
      </w:r>
      <w:proofErr w:type="spellEnd"/>
      <w:r w:rsidR="0036382F" w:rsidRPr="0036382F">
        <w:rPr>
          <w:rFonts w:ascii="Arial" w:hAnsi="Arial" w:cs="Arial"/>
          <w:sz w:val="22"/>
          <w:szCs w:val="22"/>
        </w:rPr>
        <w:t xml:space="preserve"> et al., 2014).</w:t>
      </w:r>
      <w:r w:rsidRPr="003F29DA">
        <w:rPr>
          <w:rFonts w:ascii="Arial" w:hAnsi="Arial" w:cs="Arial"/>
          <w:sz w:val="22"/>
          <w:szCs w:val="22"/>
        </w:rPr>
        <w:t xml:space="preserve"> Randomised controlled evidence further supported these findings, with Clemson et al. (2012) reporting a 31% reduction in falls through the </w:t>
      </w:r>
      <w:proofErr w:type="spellStart"/>
      <w:r w:rsidRPr="003F29DA">
        <w:rPr>
          <w:rFonts w:ascii="Arial" w:hAnsi="Arial" w:cs="Arial"/>
          <w:sz w:val="22"/>
          <w:szCs w:val="22"/>
        </w:rPr>
        <w:t>LiFE</w:t>
      </w:r>
      <w:proofErr w:type="spellEnd"/>
      <w:r w:rsidRPr="003F29DA">
        <w:rPr>
          <w:rFonts w:ascii="Arial" w:hAnsi="Arial" w:cs="Arial"/>
          <w:sz w:val="22"/>
          <w:szCs w:val="22"/>
        </w:rPr>
        <w:t xml:space="preserve"> programme, which integrated strength and balance exercises into daily activities. This functional approach enhanced transferability to real-world</w:t>
      </w:r>
      <w:r w:rsidR="00BB2C98">
        <w:rPr>
          <w:rFonts w:ascii="Arial" w:hAnsi="Arial" w:cs="Arial"/>
          <w:sz w:val="22"/>
          <w:szCs w:val="22"/>
        </w:rPr>
        <w:t xml:space="preserve"> </w:t>
      </w:r>
      <w:r w:rsidRPr="003F29DA">
        <w:rPr>
          <w:rFonts w:ascii="Arial" w:hAnsi="Arial" w:cs="Arial"/>
          <w:sz w:val="22"/>
          <w:szCs w:val="22"/>
        </w:rPr>
        <w:t>settings, resulting in improved performance of activities of daily living such as stair climbing, standing from seated positions and outdoor mobility.</w:t>
      </w:r>
    </w:p>
    <w:p w14:paraId="1B3FD64F" w14:textId="77777777" w:rsidR="003F29DA" w:rsidRDefault="003F29DA" w:rsidP="002F690B">
      <w:pPr>
        <w:spacing w:line="360" w:lineRule="auto"/>
        <w:jc w:val="both"/>
        <w:rPr>
          <w:rFonts w:ascii="Arial" w:hAnsi="Arial" w:cs="Arial"/>
          <w:sz w:val="22"/>
          <w:szCs w:val="22"/>
        </w:rPr>
      </w:pPr>
      <w:r w:rsidRPr="003F29DA">
        <w:rPr>
          <w:rFonts w:ascii="Arial" w:hAnsi="Arial" w:cs="Arial"/>
          <w:sz w:val="22"/>
          <w:szCs w:val="22"/>
        </w:rPr>
        <w:lastRenderedPageBreak/>
        <w:t>Adherence and sustained engagement emerged as critical determinants of physiological improvement. Tiedemann et al. (2013) identified a strong association between long-term exercise adherence and sustained improvements in balance and mobility, emphasising that consistent participation was essential for maintaining functional gains. Similarly, Tai Chi– based physiotherapy interventions demonstrated significant improvements in postural stability and movement control, contributing to both physical resilience and safer mobility (Chang et al., 2021). Several studies highlighted that these physiological gains were particularly relevant within metropolitan environments, where older adults must navigate uneven pavements, public transport systems and crowded public spaces (Ramanathan et al., 2019). Overall, despite heterogeneity in intervention delivery and outcome measurement, all included studies reported improvements in at least one physiological or functional outcome, indicating a clear and consistent direction of effect in favour of community-based physiotherapy interventions.</w:t>
      </w:r>
    </w:p>
    <w:p w14:paraId="09A7F7BD" w14:textId="77777777" w:rsidR="00BB2C98" w:rsidRPr="003F29DA" w:rsidRDefault="00BB2C98" w:rsidP="002F690B">
      <w:pPr>
        <w:spacing w:line="360" w:lineRule="auto"/>
        <w:jc w:val="both"/>
        <w:rPr>
          <w:rFonts w:ascii="Arial" w:hAnsi="Arial" w:cs="Arial"/>
          <w:sz w:val="22"/>
          <w:szCs w:val="22"/>
        </w:rPr>
      </w:pPr>
    </w:p>
    <w:p w14:paraId="7B0D46AC" w14:textId="32249E01" w:rsidR="003F29DA" w:rsidRPr="00BB2C98" w:rsidRDefault="003F29DA" w:rsidP="00BB2C98">
      <w:pPr>
        <w:pStyle w:val="Heading3"/>
        <w:rPr>
          <w:rFonts w:ascii="Arial" w:hAnsi="Arial" w:cs="Arial"/>
          <w:b/>
          <w:bCs/>
          <w:sz w:val="24"/>
          <w:szCs w:val="24"/>
        </w:rPr>
      </w:pPr>
      <w:bookmarkStart w:id="68" w:name="_Toc219805169"/>
      <w:r w:rsidRPr="00BB2C98">
        <w:rPr>
          <w:rFonts w:ascii="Arial" w:hAnsi="Arial" w:cs="Arial"/>
          <w:b/>
          <w:bCs/>
          <w:sz w:val="24"/>
          <w:szCs w:val="24"/>
        </w:rPr>
        <w:t>4.5.2</w:t>
      </w:r>
      <w:r w:rsidR="00BB2C98" w:rsidRPr="00BB2C98">
        <w:rPr>
          <w:rFonts w:ascii="Arial" w:hAnsi="Arial" w:cs="Arial"/>
          <w:b/>
          <w:bCs/>
          <w:sz w:val="24"/>
          <w:szCs w:val="24"/>
        </w:rPr>
        <w:t xml:space="preserve"> </w:t>
      </w:r>
      <w:r w:rsidRPr="00BB2C98">
        <w:rPr>
          <w:rFonts w:ascii="Arial" w:hAnsi="Arial" w:cs="Arial"/>
          <w:b/>
          <w:bCs/>
          <w:sz w:val="24"/>
          <w:szCs w:val="24"/>
        </w:rPr>
        <w:t>Psychological and Behavioural Change</w:t>
      </w:r>
      <w:bookmarkEnd w:id="68"/>
    </w:p>
    <w:p w14:paraId="475D3A9B"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Psychological and behavioural changes emerged as a critical mechanism through which community-based physiotherapy interventions reduced fall risk among older adults. Across multiple studies, fear of falling was identified as a prevalent baseline concern that restricted mobility, discouraged outdoor activity and contributed to physical deconditioning.</w:t>
      </w:r>
    </w:p>
    <w:p w14:paraId="5E9E2B8A"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Physiotherapy interventions were shown to significantly reduce fear of falling and enhance self-confidence, particularly when balance and movement challenges were introduced in a supervised and supportive environment (Chang et al., 2021; Barker et al., 2016).</w:t>
      </w:r>
    </w:p>
    <w:p w14:paraId="1A5256D7" w14:textId="0ED28A9A"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Improvements in self-efficacy were frequently reported alongside physical gains, suggesting that psychological adaptation occurred in parallel with functional improvement. </w:t>
      </w:r>
      <w:r w:rsidR="0036382F" w:rsidRPr="0036382F">
        <w:rPr>
          <w:rFonts w:ascii="Arial" w:hAnsi="Arial" w:cs="Arial"/>
          <w:sz w:val="22"/>
          <w:szCs w:val="22"/>
        </w:rPr>
        <w:t xml:space="preserve">In exercise-based treatments, self-efficacy has been found to be a key mediator of </w:t>
      </w:r>
      <w:proofErr w:type="spellStart"/>
      <w:r w:rsidR="0036382F" w:rsidRPr="0036382F">
        <w:rPr>
          <w:rFonts w:ascii="Arial" w:hAnsi="Arial" w:cs="Arial"/>
          <w:sz w:val="22"/>
          <w:szCs w:val="22"/>
        </w:rPr>
        <w:t>behavior</w:t>
      </w:r>
      <w:proofErr w:type="spellEnd"/>
      <w:r w:rsidR="0036382F" w:rsidRPr="0036382F">
        <w:rPr>
          <w:rFonts w:ascii="Arial" w:hAnsi="Arial" w:cs="Arial"/>
          <w:sz w:val="22"/>
          <w:szCs w:val="22"/>
        </w:rPr>
        <w:t xml:space="preserve"> change that affects older people' adherence and long-term maintenance of physical activity (Bandura, 1997; McAuley et al., 2011).</w:t>
      </w:r>
      <w:r w:rsidR="0036382F">
        <w:rPr>
          <w:rFonts w:ascii="Arial" w:hAnsi="Arial" w:cs="Arial"/>
          <w:sz w:val="22"/>
          <w:szCs w:val="22"/>
        </w:rPr>
        <w:t xml:space="preserve"> </w:t>
      </w:r>
      <w:r w:rsidRPr="003F29DA">
        <w:rPr>
          <w:rFonts w:ascii="Arial" w:hAnsi="Arial" w:cs="Arial"/>
          <w:sz w:val="22"/>
          <w:szCs w:val="22"/>
        </w:rPr>
        <w:t xml:space="preserve">These findings were consistent across intervention types, indicating a shared </w:t>
      </w:r>
      <w:proofErr w:type="spellStart"/>
      <w:r w:rsidRPr="003F29DA">
        <w:rPr>
          <w:rFonts w:ascii="Arial" w:hAnsi="Arial" w:cs="Arial"/>
          <w:sz w:val="22"/>
          <w:szCs w:val="22"/>
        </w:rPr>
        <w:t>behavioral</w:t>
      </w:r>
      <w:proofErr w:type="spellEnd"/>
      <w:r w:rsidRPr="003F29DA">
        <w:rPr>
          <w:rFonts w:ascii="Arial" w:hAnsi="Arial" w:cs="Arial"/>
          <w:sz w:val="22"/>
          <w:szCs w:val="22"/>
        </w:rPr>
        <w:t xml:space="preserve"> pathway underpinning fall-prevention outcome.</w:t>
      </w:r>
    </w:p>
    <w:p w14:paraId="2323FD48" w14:textId="25FC3EDB" w:rsidR="003F29DA" w:rsidRPr="003F29DA" w:rsidRDefault="003F29DA" w:rsidP="002F690B">
      <w:pPr>
        <w:spacing w:line="360" w:lineRule="auto"/>
        <w:jc w:val="both"/>
        <w:rPr>
          <w:rFonts w:ascii="Arial" w:hAnsi="Arial" w:cs="Arial"/>
          <w:sz w:val="22"/>
          <w:szCs w:val="22"/>
        </w:rPr>
      </w:pPr>
      <w:proofErr w:type="spellStart"/>
      <w:r w:rsidRPr="003F29DA">
        <w:rPr>
          <w:rFonts w:ascii="Arial" w:hAnsi="Arial" w:cs="Arial"/>
          <w:sz w:val="22"/>
          <w:szCs w:val="22"/>
        </w:rPr>
        <w:t>Behavioral</w:t>
      </w:r>
      <w:proofErr w:type="spellEnd"/>
      <w:r w:rsidRPr="003F29DA">
        <w:rPr>
          <w:rFonts w:ascii="Arial" w:hAnsi="Arial" w:cs="Arial"/>
          <w:sz w:val="22"/>
          <w:szCs w:val="22"/>
        </w:rPr>
        <w:t xml:space="preserve"> change techniques embedded within physiotherapy programs were found to enhance adherence and sustain engagement over time. Education, </w:t>
      </w:r>
      <w:proofErr w:type="gramStart"/>
      <w:r w:rsidRPr="003F29DA">
        <w:rPr>
          <w:rFonts w:ascii="Arial" w:hAnsi="Arial" w:cs="Arial"/>
          <w:sz w:val="22"/>
          <w:szCs w:val="22"/>
        </w:rPr>
        <w:t>goal-setting</w:t>
      </w:r>
      <w:proofErr w:type="gramEnd"/>
      <w:r w:rsidRPr="003F29DA">
        <w:rPr>
          <w:rFonts w:ascii="Arial" w:hAnsi="Arial" w:cs="Arial"/>
          <w:sz w:val="22"/>
          <w:szCs w:val="22"/>
        </w:rPr>
        <w:t xml:space="preserve">, </w:t>
      </w:r>
      <w:r w:rsidRPr="003F29DA">
        <w:rPr>
          <w:rFonts w:ascii="Arial" w:hAnsi="Arial" w:cs="Arial"/>
          <w:sz w:val="22"/>
          <w:szCs w:val="22"/>
        </w:rPr>
        <w:lastRenderedPageBreak/>
        <w:t xml:space="preserve">feedback and reassurance were repeatedly identified as effective strategies for supporting </w:t>
      </w:r>
      <w:proofErr w:type="spellStart"/>
      <w:r w:rsidRPr="003F29DA">
        <w:rPr>
          <w:rFonts w:ascii="Arial" w:hAnsi="Arial" w:cs="Arial"/>
          <w:sz w:val="22"/>
          <w:szCs w:val="22"/>
        </w:rPr>
        <w:t>behavior</w:t>
      </w:r>
      <w:proofErr w:type="spellEnd"/>
      <w:r w:rsidRPr="003F29DA">
        <w:rPr>
          <w:rFonts w:ascii="Arial" w:hAnsi="Arial" w:cs="Arial"/>
          <w:sz w:val="22"/>
          <w:szCs w:val="22"/>
        </w:rPr>
        <w:t xml:space="preserve"> modification and promoting long-term participation in exercise-based interventions (Hopewell et al., 2018; Barker et al., 2016). Tiedemann et al. (2013) demonstrated that higher levels of adherence were associated with greater and more sustained improvements in balance and mobility, highlighting the behavioural component as a key determinant of intervention effectiveness. These findings suggested that physiotherapy interventions that addressed</w:t>
      </w:r>
      <w:r w:rsidR="00BB2C98">
        <w:rPr>
          <w:rFonts w:ascii="Arial" w:hAnsi="Arial" w:cs="Arial"/>
          <w:sz w:val="22"/>
          <w:szCs w:val="22"/>
        </w:rPr>
        <w:t xml:space="preserve"> </w:t>
      </w:r>
      <w:r w:rsidRPr="003F29DA">
        <w:rPr>
          <w:rFonts w:ascii="Arial" w:hAnsi="Arial" w:cs="Arial"/>
          <w:sz w:val="22"/>
          <w:szCs w:val="22"/>
        </w:rPr>
        <w:t>motivation and beliefs, rather than focusing solely on physical training, were more likely to achieve lasting outcomes.</w:t>
      </w:r>
      <w:r w:rsidR="0036382F">
        <w:rPr>
          <w:rFonts w:ascii="Arial" w:hAnsi="Arial" w:cs="Arial"/>
          <w:sz w:val="22"/>
          <w:szCs w:val="22"/>
        </w:rPr>
        <w:t xml:space="preserve"> </w:t>
      </w:r>
      <w:r w:rsidR="0036382F" w:rsidRPr="0036382F">
        <w:rPr>
          <w:rFonts w:ascii="Arial" w:hAnsi="Arial" w:cs="Arial"/>
          <w:sz w:val="22"/>
          <w:szCs w:val="22"/>
        </w:rPr>
        <w:t xml:space="preserve">According to </w:t>
      </w:r>
      <w:proofErr w:type="spellStart"/>
      <w:r w:rsidR="0036382F" w:rsidRPr="0036382F">
        <w:rPr>
          <w:rFonts w:ascii="Arial" w:hAnsi="Arial" w:cs="Arial"/>
          <w:sz w:val="22"/>
          <w:szCs w:val="22"/>
        </w:rPr>
        <w:t>behavioral</w:t>
      </w:r>
      <w:proofErr w:type="spellEnd"/>
      <w:r w:rsidR="0036382F" w:rsidRPr="0036382F">
        <w:rPr>
          <w:rFonts w:ascii="Arial" w:hAnsi="Arial" w:cs="Arial"/>
          <w:sz w:val="22"/>
          <w:szCs w:val="22"/>
        </w:rPr>
        <w:t xml:space="preserve"> science frameworks, interventions that simultaneously address capability, opportunity, and motivation are necessary for long-term health </w:t>
      </w:r>
      <w:proofErr w:type="spellStart"/>
      <w:r w:rsidR="0036382F" w:rsidRPr="0036382F">
        <w:rPr>
          <w:rFonts w:ascii="Arial" w:hAnsi="Arial" w:cs="Arial"/>
          <w:sz w:val="22"/>
          <w:szCs w:val="22"/>
        </w:rPr>
        <w:t>behavior</w:t>
      </w:r>
      <w:proofErr w:type="spellEnd"/>
      <w:r w:rsidR="0036382F" w:rsidRPr="0036382F">
        <w:rPr>
          <w:rFonts w:ascii="Arial" w:hAnsi="Arial" w:cs="Arial"/>
          <w:sz w:val="22"/>
          <w:szCs w:val="22"/>
        </w:rPr>
        <w:t xml:space="preserve"> change (Michie et al., 2011; Cane et al., 2012).</w:t>
      </w:r>
    </w:p>
    <w:p w14:paraId="36B88282"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The quality of the therapeutic relationship between physiotherapist and participant was also identified as a significant behavioural influence. Qualitative evidence indicated that trust, empathy and clear communication strengthened engagement and improved participants’ willingness to challenge themselves physically (Hall et al., 2010). Participants who perceived physiotherapists as supportive and encouraging were more likely to persist with exercises despite initial fear or discomfort. This was particularly relevant in urban populations, where anxiety related to environmental hazards and social isolation was common. Collectively, the evidence demonstrated that psychological reassurance, confidence-building and behaviour- focused support were integral components of effective community-based physiotherapy interventions, reinforcing their role in reducing fall risk beyond physiological mechanisms alone.</w:t>
      </w:r>
    </w:p>
    <w:p w14:paraId="5F73766A" w14:textId="46A40055" w:rsidR="003F29DA" w:rsidRPr="00BB2C98" w:rsidRDefault="003F29DA" w:rsidP="00BB2C98">
      <w:pPr>
        <w:pStyle w:val="Heading3"/>
        <w:rPr>
          <w:rFonts w:ascii="Arial" w:hAnsi="Arial" w:cs="Arial"/>
          <w:b/>
          <w:bCs/>
          <w:sz w:val="24"/>
          <w:szCs w:val="24"/>
        </w:rPr>
      </w:pPr>
      <w:bookmarkStart w:id="69" w:name="_Toc219805170"/>
      <w:r w:rsidRPr="00BB2C98">
        <w:rPr>
          <w:rFonts w:ascii="Arial" w:hAnsi="Arial" w:cs="Arial"/>
          <w:b/>
          <w:bCs/>
          <w:sz w:val="24"/>
          <w:szCs w:val="24"/>
        </w:rPr>
        <w:t>4.5.3</w:t>
      </w:r>
      <w:r w:rsidR="00BB2C98" w:rsidRPr="00BB2C98">
        <w:rPr>
          <w:rFonts w:ascii="Arial" w:hAnsi="Arial" w:cs="Arial"/>
          <w:b/>
          <w:bCs/>
          <w:sz w:val="24"/>
          <w:szCs w:val="24"/>
        </w:rPr>
        <w:t xml:space="preserve"> </w:t>
      </w:r>
      <w:r w:rsidRPr="00BB2C98">
        <w:rPr>
          <w:rFonts w:ascii="Arial" w:hAnsi="Arial" w:cs="Arial"/>
          <w:b/>
          <w:bCs/>
          <w:sz w:val="24"/>
          <w:szCs w:val="24"/>
        </w:rPr>
        <w:t>Social Engagement and Support</w:t>
      </w:r>
      <w:bookmarkEnd w:id="69"/>
    </w:p>
    <w:p w14:paraId="6B929B65"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Social engagement and support emerged as significant facilitators of participation and adherence within community-based physiotherapy interventions for fall prevention. Group- based physiotherapy programmes were consistently reported to enhance motivation, accountability and enjoyment, thereby supporting sustained engagement with exercise.</w:t>
      </w:r>
    </w:p>
    <w:p w14:paraId="0A272A41" w14:textId="547A82E2"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Older adults participating in group interventions frequently described a sense of belonging</w:t>
      </w:r>
      <w:r w:rsidR="00BB2C98">
        <w:rPr>
          <w:rFonts w:ascii="Arial" w:hAnsi="Arial" w:cs="Arial"/>
          <w:sz w:val="22"/>
          <w:szCs w:val="22"/>
        </w:rPr>
        <w:t xml:space="preserve"> </w:t>
      </w:r>
      <w:r w:rsidRPr="003F29DA">
        <w:rPr>
          <w:rFonts w:ascii="Arial" w:hAnsi="Arial" w:cs="Arial"/>
          <w:sz w:val="22"/>
          <w:szCs w:val="22"/>
        </w:rPr>
        <w:t>and shared purpose, which contributed to regular attendance and persistence with physiotherapy activities (Victor et al., 2020). These findings were particularly relevant in metropolitan contexts, where social isolation is prevalent despite high population density. Evidence indicated that reductions in loneliness were associated with improved physical activity levels and reduced fall risk, highlighting the indirect yet influential role of social connection in fall prevention outcomes.</w:t>
      </w:r>
      <w:r w:rsidR="00271515">
        <w:rPr>
          <w:rFonts w:ascii="Arial" w:hAnsi="Arial" w:cs="Arial"/>
          <w:sz w:val="22"/>
          <w:szCs w:val="22"/>
        </w:rPr>
        <w:t xml:space="preserve"> </w:t>
      </w:r>
      <w:r w:rsidR="00271515" w:rsidRPr="00271515">
        <w:rPr>
          <w:rFonts w:ascii="Arial" w:hAnsi="Arial" w:cs="Arial"/>
          <w:sz w:val="22"/>
          <w:szCs w:val="22"/>
        </w:rPr>
        <w:t xml:space="preserve">Physical </w:t>
      </w:r>
      <w:r w:rsidR="00271515" w:rsidRPr="00271515">
        <w:rPr>
          <w:rFonts w:ascii="Arial" w:hAnsi="Arial" w:cs="Arial"/>
          <w:sz w:val="22"/>
          <w:szCs w:val="22"/>
        </w:rPr>
        <w:lastRenderedPageBreak/>
        <w:t>inactivity, functional deterioration, and an increased risk of mortality have all been independently associated to social isolation, highlighting the wider health significance of socially focused rehabilitation programs (Holt-</w:t>
      </w:r>
      <w:proofErr w:type="spellStart"/>
      <w:r w:rsidR="00271515" w:rsidRPr="00271515">
        <w:rPr>
          <w:rFonts w:ascii="Arial" w:hAnsi="Arial" w:cs="Arial"/>
          <w:sz w:val="22"/>
          <w:szCs w:val="22"/>
        </w:rPr>
        <w:t>Lunstad</w:t>
      </w:r>
      <w:proofErr w:type="spellEnd"/>
      <w:r w:rsidR="00271515" w:rsidRPr="00271515">
        <w:rPr>
          <w:rFonts w:ascii="Arial" w:hAnsi="Arial" w:cs="Arial"/>
          <w:sz w:val="22"/>
          <w:szCs w:val="22"/>
        </w:rPr>
        <w:t xml:space="preserve"> et al., 2015; Shankar et al., 2011).</w:t>
      </w:r>
    </w:p>
    <w:p w14:paraId="02CD27DB" w14:textId="556E04B3"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The presence of peer support within physiotherapy settings was shown to reinforce confidence and normalize fears related to ageing and falling. Participants benefited from observing others with similar functional limitations successfully engaging in exercises, which enhanced self-belief and reduced anxiety around movement (Chang et al., 2021). Qualitative evidence further suggested that social interaction within physiotherapy programs encouraged </w:t>
      </w:r>
      <w:proofErr w:type="spellStart"/>
      <w:r w:rsidRPr="003F29DA">
        <w:rPr>
          <w:rFonts w:ascii="Arial" w:hAnsi="Arial" w:cs="Arial"/>
          <w:sz w:val="22"/>
          <w:szCs w:val="22"/>
        </w:rPr>
        <w:t>behavioral</w:t>
      </w:r>
      <w:proofErr w:type="spellEnd"/>
      <w:r w:rsidRPr="003F29DA">
        <w:rPr>
          <w:rFonts w:ascii="Arial" w:hAnsi="Arial" w:cs="Arial"/>
          <w:sz w:val="22"/>
          <w:szCs w:val="22"/>
        </w:rPr>
        <w:t xml:space="preserve"> commitment, as participants felt a sense of responsibility toward peers and group facilitators (Sims-Gould et al., 2015). This peer-driven encouragement appeared to complement formal physiotherapy input, strengthening both psychological resilience and adherence to prescribed exercises.</w:t>
      </w:r>
    </w:p>
    <w:p w14:paraId="137EA732" w14:textId="77777777" w:rsid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The role of the physiotherapist extended beyond clinical instruction to include the facilitation of a supportive and inclusive social environment. Therapeutic rapport, empathy and effective communication were identified as key factors in fostering trust and sustained engagement (Hall et al., 2010). However, some studies highlighted that social dynamics could also act as barriers if group settings were not appropriately tailored. Participants from culturally diverse backgrounds or with lower functional capacity occasionally reported discomfort or disengagement in larger group formats (Sims-Gould et al., 2015). These findings underscored the importance of flexible programme design that balances the benefits of social engagement with individual preferences and needs. Overall, the evidence demonstrated that social support mechanisms significantly enhanced the effectiveness of community-based physiotherapy interventions, particularly within urban populations. </w:t>
      </w:r>
    </w:p>
    <w:p w14:paraId="262F6268" w14:textId="77777777" w:rsidR="00BB2C98" w:rsidRPr="003F29DA" w:rsidRDefault="00BB2C98" w:rsidP="002F690B">
      <w:pPr>
        <w:spacing w:line="360" w:lineRule="auto"/>
        <w:jc w:val="both"/>
        <w:rPr>
          <w:rFonts w:ascii="Arial" w:hAnsi="Arial" w:cs="Arial"/>
          <w:sz w:val="22"/>
          <w:szCs w:val="22"/>
        </w:rPr>
      </w:pPr>
    </w:p>
    <w:p w14:paraId="7CE0EA33" w14:textId="5148471D" w:rsidR="003F29DA" w:rsidRPr="00BB2C98" w:rsidRDefault="003F29DA" w:rsidP="00BB2C98">
      <w:pPr>
        <w:pStyle w:val="Heading3"/>
        <w:rPr>
          <w:rFonts w:ascii="Arial" w:hAnsi="Arial" w:cs="Arial"/>
          <w:b/>
          <w:bCs/>
          <w:sz w:val="24"/>
          <w:szCs w:val="24"/>
        </w:rPr>
      </w:pPr>
      <w:bookmarkStart w:id="70" w:name="_Toc219805171"/>
      <w:r w:rsidRPr="00BB2C98">
        <w:rPr>
          <w:rFonts w:ascii="Arial" w:hAnsi="Arial" w:cs="Arial"/>
          <w:b/>
          <w:bCs/>
          <w:sz w:val="24"/>
          <w:szCs w:val="24"/>
        </w:rPr>
        <w:t>4.5.4 Environmental and Contextual Barriers</w:t>
      </w:r>
      <w:bookmarkEnd w:id="70"/>
    </w:p>
    <w:p w14:paraId="32DE344C" w14:textId="734EE109"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Environmental and contextual barriers were consistently identified as factors influencing both participation in community-based physiotherapy interventions and fall risk among older adults living in metropolitan settings. Several studies highlighted that urban infrastructure, including uneven pavements, poor street lighting, high kerbs and congested public spaces, posed significant challenges to safe mobility (Ramanathan et al., 2019). These environmental hazards increased fear of falling and restricted outdoor activity, which in turn limited engagement with physiotherapy programmes.</w:t>
      </w:r>
      <w:r w:rsidR="00271515">
        <w:rPr>
          <w:rFonts w:ascii="Arial" w:hAnsi="Arial" w:cs="Arial"/>
          <w:sz w:val="22"/>
          <w:szCs w:val="22"/>
        </w:rPr>
        <w:t xml:space="preserve"> </w:t>
      </w:r>
      <w:r w:rsidR="00271515" w:rsidRPr="00271515">
        <w:rPr>
          <w:rFonts w:ascii="Arial" w:hAnsi="Arial" w:cs="Arial"/>
          <w:sz w:val="22"/>
          <w:szCs w:val="22"/>
        </w:rPr>
        <w:t xml:space="preserve">Environmental limitations have been demonstrated to worsen sedentary </w:t>
      </w:r>
      <w:proofErr w:type="spellStart"/>
      <w:r w:rsidR="00271515" w:rsidRPr="00271515">
        <w:rPr>
          <w:rFonts w:ascii="Arial" w:hAnsi="Arial" w:cs="Arial"/>
          <w:sz w:val="22"/>
          <w:szCs w:val="22"/>
        </w:rPr>
        <w:t>behavior</w:t>
      </w:r>
      <w:proofErr w:type="spellEnd"/>
      <w:r w:rsidR="00271515" w:rsidRPr="00271515">
        <w:rPr>
          <w:rFonts w:ascii="Arial" w:hAnsi="Arial" w:cs="Arial"/>
          <w:sz w:val="22"/>
          <w:szCs w:val="22"/>
        </w:rPr>
        <w:t xml:space="preserve"> and </w:t>
      </w:r>
      <w:r w:rsidR="00271515" w:rsidRPr="00271515">
        <w:rPr>
          <w:rFonts w:ascii="Arial" w:hAnsi="Arial" w:cs="Arial"/>
          <w:sz w:val="22"/>
          <w:szCs w:val="22"/>
        </w:rPr>
        <w:lastRenderedPageBreak/>
        <w:t>exercise restriction in older persons, especially in high-density metropolitan environments (Sallis et al., 2016; Clarke and George, 2005).</w:t>
      </w:r>
      <w:r w:rsidRPr="003F29DA">
        <w:rPr>
          <w:rFonts w:ascii="Arial" w:hAnsi="Arial" w:cs="Arial"/>
          <w:sz w:val="22"/>
          <w:szCs w:val="22"/>
        </w:rPr>
        <w:t xml:space="preserve"> Participants frequently reported difficulty travelling to community venues due to unreliable or inaccessible public transport, suggesting that environmental conditions directly affected intervention accessibility and attendance.</w:t>
      </w:r>
    </w:p>
    <w:p w14:paraId="53F7B468" w14:textId="7E93E801"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Socioeconomic disadvantage emerged as a further contextual barrier across the included studies. Older adults residing in deprived urban areas were more likely to experience poor baseline health, multimorbidity and reduced access to supportive resources, all of which compounded fall risk and hindered participation in physiotherapy interventions (Victor et al., 2020). Financial constraints, caregiving responsibilities and competing health priorities were reported to limit consistent engagement with community programmes. These findings indicated that environmental risk factors often intersected with broader social determinants of health, creating cumulative barriers that extended beyond individual physical capability.</w:t>
      </w:r>
    </w:p>
    <w:p w14:paraId="4F3D1B2C" w14:textId="059F0E41"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Cultural and contextual factors also influenced the acceptability and effectiveness of physiotherapy interventions. Qualitative evidence demonstrated that language barriers, cultural perceptions of ageing and exercise, and limited health literacy reduced participation among some urban populations (Sims-Gould et al., 2015). In addition, group-based programmes were not universally accessible, particularly for individuals with mobility</w:t>
      </w:r>
      <w:r w:rsidR="00BB2C98">
        <w:rPr>
          <w:rFonts w:ascii="Arial" w:hAnsi="Arial" w:cs="Arial"/>
          <w:sz w:val="22"/>
          <w:szCs w:val="22"/>
        </w:rPr>
        <w:t xml:space="preserve"> </w:t>
      </w:r>
      <w:r w:rsidRPr="003F29DA">
        <w:rPr>
          <w:rFonts w:ascii="Arial" w:hAnsi="Arial" w:cs="Arial"/>
          <w:sz w:val="22"/>
          <w:szCs w:val="22"/>
        </w:rPr>
        <w:t>limitations or anxiety related to crowded environments. These contextual challenges highlighted the need for flexible, culturally sensitive and locally tailored physiotherapy delivery models. Overall, the evidence suggested that while community-based physiotherapy interventions were effective, their impact was moderated by environmental and contextual conditions specific to metropolitan living.</w:t>
      </w:r>
    </w:p>
    <w:p w14:paraId="48CAC395" w14:textId="77777777" w:rsidR="00BB2C98" w:rsidRDefault="00BB2C98" w:rsidP="002F690B">
      <w:pPr>
        <w:spacing w:line="360" w:lineRule="auto"/>
        <w:jc w:val="both"/>
        <w:rPr>
          <w:rFonts w:ascii="Arial" w:hAnsi="Arial" w:cs="Arial"/>
          <w:sz w:val="22"/>
          <w:szCs w:val="22"/>
        </w:rPr>
      </w:pPr>
    </w:p>
    <w:p w14:paraId="764840AC" w14:textId="0DBDE36F" w:rsidR="003F29DA" w:rsidRPr="00BB2C98" w:rsidRDefault="003F29DA" w:rsidP="00BB2C98">
      <w:pPr>
        <w:pStyle w:val="Heading2"/>
        <w:rPr>
          <w:rFonts w:ascii="Arial" w:hAnsi="Arial" w:cs="Arial"/>
          <w:b/>
          <w:bCs/>
          <w:sz w:val="28"/>
          <w:szCs w:val="28"/>
        </w:rPr>
      </w:pPr>
      <w:bookmarkStart w:id="71" w:name="_Toc219805172"/>
      <w:r w:rsidRPr="00BB2C98">
        <w:rPr>
          <w:rFonts w:ascii="Arial" w:hAnsi="Arial" w:cs="Arial"/>
          <w:b/>
          <w:bCs/>
          <w:sz w:val="28"/>
          <w:szCs w:val="28"/>
        </w:rPr>
        <w:t>4.6</w:t>
      </w:r>
      <w:r w:rsidR="00BB2C98" w:rsidRPr="00BB2C98">
        <w:rPr>
          <w:rFonts w:ascii="Arial" w:hAnsi="Arial" w:cs="Arial"/>
          <w:b/>
          <w:bCs/>
          <w:sz w:val="28"/>
          <w:szCs w:val="28"/>
        </w:rPr>
        <w:t xml:space="preserve"> </w:t>
      </w:r>
      <w:r w:rsidRPr="00BB2C98">
        <w:rPr>
          <w:rFonts w:ascii="Arial" w:hAnsi="Arial" w:cs="Arial"/>
          <w:b/>
          <w:bCs/>
          <w:sz w:val="28"/>
          <w:szCs w:val="28"/>
        </w:rPr>
        <w:t>Summary of Main Findings</w:t>
      </w:r>
      <w:bookmarkEnd w:id="71"/>
    </w:p>
    <w:p w14:paraId="71CAF8A1" w14:textId="77777777" w:rsidR="00BB2C98" w:rsidRDefault="003F29DA" w:rsidP="002F690B">
      <w:pPr>
        <w:pStyle w:val="ListParagraph"/>
        <w:numPr>
          <w:ilvl w:val="0"/>
          <w:numId w:val="4"/>
        </w:numPr>
        <w:spacing w:line="360" w:lineRule="auto"/>
        <w:jc w:val="both"/>
        <w:rPr>
          <w:rFonts w:ascii="Arial" w:hAnsi="Arial" w:cs="Arial"/>
          <w:sz w:val="22"/>
          <w:szCs w:val="22"/>
        </w:rPr>
      </w:pPr>
      <w:r w:rsidRPr="00BB2C98">
        <w:rPr>
          <w:rFonts w:ascii="Arial" w:hAnsi="Arial" w:cs="Arial"/>
          <w:sz w:val="22"/>
          <w:szCs w:val="22"/>
        </w:rPr>
        <w:t>Community-based physiotherapy interventions consistently reduced fall risk among older adults.</w:t>
      </w:r>
    </w:p>
    <w:p w14:paraId="156E3211" w14:textId="77777777" w:rsidR="00BB2C98" w:rsidRDefault="003F29DA" w:rsidP="002F690B">
      <w:pPr>
        <w:pStyle w:val="ListParagraph"/>
        <w:numPr>
          <w:ilvl w:val="0"/>
          <w:numId w:val="4"/>
        </w:numPr>
        <w:spacing w:line="360" w:lineRule="auto"/>
        <w:jc w:val="both"/>
        <w:rPr>
          <w:rFonts w:ascii="Arial" w:hAnsi="Arial" w:cs="Arial"/>
          <w:sz w:val="22"/>
          <w:szCs w:val="22"/>
        </w:rPr>
      </w:pPr>
      <w:r w:rsidRPr="00BB2C98">
        <w:rPr>
          <w:rFonts w:ascii="Arial" w:hAnsi="Arial" w:cs="Arial"/>
          <w:sz w:val="22"/>
          <w:szCs w:val="22"/>
        </w:rPr>
        <w:t>Balance and strength training were the most effective components.</w:t>
      </w:r>
    </w:p>
    <w:p w14:paraId="39783075" w14:textId="77777777" w:rsidR="00BB2C98" w:rsidRDefault="003F29DA" w:rsidP="002F690B">
      <w:pPr>
        <w:pStyle w:val="ListParagraph"/>
        <w:numPr>
          <w:ilvl w:val="0"/>
          <w:numId w:val="4"/>
        </w:numPr>
        <w:spacing w:line="360" w:lineRule="auto"/>
        <w:jc w:val="both"/>
        <w:rPr>
          <w:rFonts w:ascii="Arial" w:hAnsi="Arial" w:cs="Arial"/>
          <w:sz w:val="22"/>
          <w:szCs w:val="22"/>
        </w:rPr>
      </w:pPr>
      <w:r w:rsidRPr="00BB2C98">
        <w:rPr>
          <w:rFonts w:ascii="Arial" w:hAnsi="Arial" w:cs="Arial"/>
          <w:sz w:val="22"/>
          <w:szCs w:val="22"/>
        </w:rPr>
        <w:t>Psychological and behavioural factors strongly influenced adherence and outcomes.</w:t>
      </w:r>
    </w:p>
    <w:p w14:paraId="6C27EE49" w14:textId="77777777" w:rsidR="00BB2C98" w:rsidRDefault="003F29DA" w:rsidP="002F690B">
      <w:pPr>
        <w:pStyle w:val="ListParagraph"/>
        <w:numPr>
          <w:ilvl w:val="0"/>
          <w:numId w:val="4"/>
        </w:numPr>
        <w:spacing w:line="360" w:lineRule="auto"/>
        <w:jc w:val="both"/>
        <w:rPr>
          <w:rFonts w:ascii="Arial" w:hAnsi="Arial" w:cs="Arial"/>
          <w:sz w:val="22"/>
          <w:szCs w:val="22"/>
        </w:rPr>
      </w:pPr>
      <w:r w:rsidRPr="00BB2C98">
        <w:rPr>
          <w:rFonts w:ascii="Arial" w:hAnsi="Arial" w:cs="Arial"/>
          <w:sz w:val="22"/>
          <w:szCs w:val="22"/>
        </w:rPr>
        <w:t>Social engagement enhanced motivation and reduced isolation.</w:t>
      </w:r>
    </w:p>
    <w:p w14:paraId="7F786687" w14:textId="17171907" w:rsidR="003F29DA" w:rsidRDefault="003F29DA" w:rsidP="002F690B">
      <w:pPr>
        <w:pStyle w:val="ListParagraph"/>
        <w:numPr>
          <w:ilvl w:val="0"/>
          <w:numId w:val="4"/>
        </w:numPr>
        <w:spacing w:line="360" w:lineRule="auto"/>
        <w:jc w:val="both"/>
        <w:rPr>
          <w:rFonts w:ascii="Arial" w:hAnsi="Arial" w:cs="Arial"/>
          <w:sz w:val="22"/>
          <w:szCs w:val="22"/>
        </w:rPr>
      </w:pPr>
      <w:r w:rsidRPr="00BB2C98">
        <w:rPr>
          <w:rFonts w:ascii="Arial" w:hAnsi="Arial" w:cs="Arial"/>
          <w:sz w:val="22"/>
          <w:szCs w:val="22"/>
        </w:rPr>
        <w:t>Urban environmental and socioeconomic barriers affected accessibility and participation.</w:t>
      </w:r>
    </w:p>
    <w:p w14:paraId="06AA0A4C" w14:textId="77777777" w:rsidR="00271515" w:rsidRPr="00387741" w:rsidRDefault="00271515" w:rsidP="00271515">
      <w:pPr>
        <w:spacing w:after="0" w:line="240" w:lineRule="auto"/>
        <w:rPr>
          <w:rFonts w:ascii="Arial" w:eastAsia="Times New Roman" w:hAnsi="Arial" w:cs="Arial"/>
          <w:kern w:val="0"/>
          <w:sz w:val="22"/>
          <w:szCs w:val="22"/>
          <w:lang w:eastAsia="en-IN"/>
          <w14:ligatures w14:val="none"/>
        </w:rPr>
      </w:pPr>
      <w:proofErr w:type="gramStart"/>
      <w:r w:rsidRPr="00387741">
        <w:rPr>
          <w:rFonts w:ascii="Arial" w:eastAsia="Times New Roman" w:hAnsi="Arial" w:cs="Arial"/>
          <w:kern w:val="0"/>
          <w:sz w:val="22"/>
          <w:szCs w:val="22"/>
          <w:lang w:eastAsia="en-IN"/>
          <w14:ligatures w14:val="none"/>
        </w:rPr>
        <w:lastRenderedPageBreak/>
        <w:t>In order to</w:t>
      </w:r>
      <w:proofErr w:type="gramEnd"/>
      <w:r w:rsidRPr="00387741">
        <w:rPr>
          <w:rFonts w:ascii="Arial" w:eastAsia="Times New Roman" w:hAnsi="Arial" w:cs="Arial"/>
          <w:kern w:val="0"/>
          <w:sz w:val="22"/>
          <w:szCs w:val="22"/>
          <w:lang w:eastAsia="en-IN"/>
          <w14:ligatures w14:val="none"/>
        </w:rPr>
        <w:t xml:space="preserve"> overcome these obstacles, integrated public health and rehabilitation strategies that coordinate the supply of physiotherapy with community development programs, transportation policy, and urban planning are needed (World Health Organization, 2017; Lowe et al., 2019).</w:t>
      </w:r>
    </w:p>
    <w:p w14:paraId="775D7E7B" w14:textId="77777777" w:rsidR="00BB2C98" w:rsidRPr="00387741" w:rsidRDefault="00BB2C98" w:rsidP="00271515">
      <w:pPr>
        <w:spacing w:line="360" w:lineRule="auto"/>
        <w:jc w:val="both"/>
        <w:rPr>
          <w:rFonts w:ascii="Arial" w:hAnsi="Arial" w:cs="Arial"/>
          <w:sz w:val="20"/>
          <w:szCs w:val="20"/>
        </w:rPr>
      </w:pPr>
    </w:p>
    <w:p w14:paraId="49024C8B" w14:textId="5CC6C364" w:rsidR="003F29DA" w:rsidRPr="00BB2C98" w:rsidRDefault="003F29DA" w:rsidP="00BB2C98">
      <w:pPr>
        <w:pStyle w:val="Heading2"/>
        <w:rPr>
          <w:rFonts w:ascii="Arial" w:hAnsi="Arial" w:cs="Arial"/>
          <w:b/>
          <w:bCs/>
          <w:sz w:val="28"/>
          <w:szCs w:val="28"/>
        </w:rPr>
      </w:pPr>
      <w:bookmarkStart w:id="72" w:name="_Toc219805173"/>
      <w:r w:rsidRPr="00BB2C98">
        <w:rPr>
          <w:rFonts w:ascii="Arial" w:hAnsi="Arial" w:cs="Arial"/>
          <w:b/>
          <w:bCs/>
          <w:sz w:val="28"/>
          <w:szCs w:val="28"/>
        </w:rPr>
        <w:t>4.7</w:t>
      </w:r>
      <w:r w:rsidR="00BB2C98" w:rsidRPr="00BB2C98">
        <w:rPr>
          <w:rFonts w:ascii="Arial" w:hAnsi="Arial" w:cs="Arial"/>
          <w:b/>
          <w:bCs/>
          <w:sz w:val="28"/>
          <w:szCs w:val="28"/>
        </w:rPr>
        <w:t xml:space="preserve"> </w:t>
      </w:r>
      <w:r w:rsidRPr="00BB2C98">
        <w:rPr>
          <w:rFonts w:ascii="Arial" w:hAnsi="Arial" w:cs="Arial"/>
          <w:b/>
          <w:bCs/>
          <w:sz w:val="28"/>
          <w:szCs w:val="28"/>
        </w:rPr>
        <w:t>Chapter Summary</w:t>
      </w:r>
      <w:bookmarkEnd w:id="72"/>
    </w:p>
    <w:p w14:paraId="783F58DE" w14:textId="77777777" w:rsidR="003F29DA" w:rsidRDefault="003F29DA" w:rsidP="002F690B">
      <w:pPr>
        <w:spacing w:line="360" w:lineRule="auto"/>
        <w:jc w:val="both"/>
        <w:rPr>
          <w:rFonts w:ascii="Arial" w:hAnsi="Arial" w:cs="Arial"/>
          <w:sz w:val="22"/>
          <w:szCs w:val="22"/>
        </w:rPr>
      </w:pPr>
      <w:r w:rsidRPr="003F29DA">
        <w:rPr>
          <w:rFonts w:ascii="Arial" w:hAnsi="Arial" w:cs="Arial"/>
          <w:sz w:val="22"/>
          <w:szCs w:val="22"/>
        </w:rPr>
        <w:t>This chapter presented the results of the systematic review synthesising evidence from twelve studies on community-based physiotherapy interventions for fall prevention among older adults. The findings demonstrated consistent physical, psychological and social benefits, while also identifying contextual challenges specific to metropolitan settings. The next chapter will critically discuss these findings in relation to existing literature, policy implications and future research directions.</w:t>
      </w:r>
    </w:p>
    <w:p w14:paraId="7DCE1693" w14:textId="77777777" w:rsidR="00BB2C98" w:rsidRDefault="00BB2C98" w:rsidP="002F690B">
      <w:pPr>
        <w:spacing w:line="360" w:lineRule="auto"/>
        <w:jc w:val="both"/>
        <w:rPr>
          <w:rFonts w:ascii="Arial" w:hAnsi="Arial" w:cs="Arial"/>
          <w:sz w:val="22"/>
          <w:szCs w:val="22"/>
        </w:rPr>
      </w:pPr>
    </w:p>
    <w:p w14:paraId="22492673" w14:textId="77777777" w:rsidR="00271515" w:rsidRDefault="00271515" w:rsidP="002F690B">
      <w:pPr>
        <w:spacing w:line="360" w:lineRule="auto"/>
        <w:jc w:val="both"/>
        <w:rPr>
          <w:rFonts w:ascii="Arial" w:hAnsi="Arial" w:cs="Arial"/>
          <w:sz w:val="22"/>
          <w:szCs w:val="22"/>
        </w:rPr>
      </w:pPr>
    </w:p>
    <w:p w14:paraId="2CD63952" w14:textId="77777777" w:rsidR="00271515" w:rsidRDefault="00271515" w:rsidP="002F690B">
      <w:pPr>
        <w:spacing w:line="360" w:lineRule="auto"/>
        <w:jc w:val="both"/>
        <w:rPr>
          <w:rFonts w:ascii="Arial" w:hAnsi="Arial" w:cs="Arial"/>
          <w:sz w:val="22"/>
          <w:szCs w:val="22"/>
        </w:rPr>
      </w:pPr>
    </w:p>
    <w:p w14:paraId="69A94B74" w14:textId="77777777" w:rsidR="00271515" w:rsidRDefault="00271515" w:rsidP="002F690B">
      <w:pPr>
        <w:spacing w:line="360" w:lineRule="auto"/>
        <w:jc w:val="both"/>
        <w:rPr>
          <w:rFonts w:ascii="Arial" w:hAnsi="Arial" w:cs="Arial"/>
          <w:sz w:val="22"/>
          <w:szCs w:val="22"/>
        </w:rPr>
      </w:pPr>
    </w:p>
    <w:p w14:paraId="578F47D2" w14:textId="77777777" w:rsidR="00271515" w:rsidRDefault="00271515" w:rsidP="002F690B">
      <w:pPr>
        <w:spacing w:line="360" w:lineRule="auto"/>
        <w:jc w:val="both"/>
        <w:rPr>
          <w:rFonts w:ascii="Arial" w:hAnsi="Arial" w:cs="Arial"/>
          <w:sz w:val="22"/>
          <w:szCs w:val="22"/>
        </w:rPr>
      </w:pPr>
    </w:p>
    <w:p w14:paraId="3693FBD1" w14:textId="77777777" w:rsidR="00271515" w:rsidRDefault="00271515" w:rsidP="002F690B">
      <w:pPr>
        <w:spacing w:line="360" w:lineRule="auto"/>
        <w:jc w:val="both"/>
        <w:rPr>
          <w:rFonts w:ascii="Arial" w:hAnsi="Arial" w:cs="Arial"/>
          <w:sz w:val="22"/>
          <w:szCs w:val="22"/>
        </w:rPr>
      </w:pPr>
    </w:p>
    <w:p w14:paraId="641CDB82" w14:textId="77777777" w:rsidR="00271515" w:rsidRPr="003F29DA" w:rsidRDefault="00271515" w:rsidP="002F690B">
      <w:pPr>
        <w:spacing w:line="360" w:lineRule="auto"/>
        <w:jc w:val="both"/>
        <w:rPr>
          <w:rFonts w:ascii="Arial" w:hAnsi="Arial" w:cs="Arial"/>
          <w:sz w:val="22"/>
          <w:szCs w:val="22"/>
        </w:rPr>
      </w:pPr>
    </w:p>
    <w:p w14:paraId="6E33A69D" w14:textId="1D7C9EF3" w:rsidR="003F29DA" w:rsidRPr="00721C83" w:rsidRDefault="003F29DA" w:rsidP="00721C83">
      <w:pPr>
        <w:pStyle w:val="Heading1"/>
        <w:rPr>
          <w:rFonts w:ascii="Arial" w:hAnsi="Arial" w:cs="Arial"/>
          <w:b/>
          <w:bCs/>
          <w:sz w:val="32"/>
          <w:szCs w:val="32"/>
        </w:rPr>
      </w:pPr>
      <w:bookmarkStart w:id="73" w:name="_Toc219805174"/>
      <w:r w:rsidRPr="00BB2C98">
        <w:rPr>
          <w:rFonts w:ascii="Arial" w:hAnsi="Arial" w:cs="Arial"/>
          <w:b/>
          <w:bCs/>
          <w:sz w:val="32"/>
          <w:szCs w:val="32"/>
        </w:rPr>
        <w:t>CHAPTER 5: CONCLUSION AND RECOMMENDATIONS</w:t>
      </w:r>
      <w:bookmarkEnd w:id="73"/>
    </w:p>
    <w:p w14:paraId="42D1A87B" w14:textId="5043B45E" w:rsidR="003F29DA" w:rsidRPr="00721C83" w:rsidRDefault="003F29DA" w:rsidP="00721C83">
      <w:pPr>
        <w:pStyle w:val="Heading2"/>
        <w:rPr>
          <w:rFonts w:ascii="Arial" w:hAnsi="Arial" w:cs="Arial"/>
          <w:b/>
          <w:bCs/>
          <w:sz w:val="28"/>
          <w:szCs w:val="28"/>
        </w:rPr>
      </w:pPr>
      <w:bookmarkStart w:id="74" w:name="_Toc219805175"/>
      <w:r w:rsidRPr="00721C83">
        <w:rPr>
          <w:rFonts w:ascii="Arial" w:hAnsi="Arial" w:cs="Arial"/>
          <w:b/>
          <w:bCs/>
          <w:sz w:val="28"/>
          <w:szCs w:val="28"/>
        </w:rPr>
        <w:t>5.1</w:t>
      </w:r>
      <w:r w:rsidR="00721C83" w:rsidRPr="00721C83">
        <w:rPr>
          <w:rFonts w:ascii="Arial" w:hAnsi="Arial" w:cs="Arial"/>
          <w:b/>
          <w:bCs/>
          <w:sz w:val="28"/>
          <w:szCs w:val="28"/>
        </w:rPr>
        <w:t xml:space="preserve"> </w:t>
      </w:r>
      <w:r w:rsidRPr="00721C83">
        <w:rPr>
          <w:rFonts w:ascii="Arial" w:hAnsi="Arial" w:cs="Arial"/>
          <w:b/>
          <w:bCs/>
          <w:sz w:val="28"/>
          <w:szCs w:val="28"/>
        </w:rPr>
        <w:t>Introduction</w:t>
      </w:r>
      <w:bookmarkEnd w:id="74"/>
    </w:p>
    <w:p w14:paraId="448C7C45" w14:textId="48F8D6EA"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The dissertation is comprehensively concluded in this last chapter, which also includes evidence-based suggestions for future research, public health policy, and physiotherapy practice. The effectiveness of community-based physiotherapy (CBPT) treatments for avoiding falls in older individuals residing in urban areas of England was examined in this research. The analysis synthesized results from twelve qualifying studies using a qualitative systematic review technique. It found substantial contextual hurdles that affect program efficacy and involvement in addition to compelling evidence for physiological, psychological, and social advantages. This chapter identifies knowledge gaps, summarizes important findings, and emphasizes the implications for policy and service delivery. The research's</w:t>
      </w:r>
      <w:r w:rsidR="00721C83">
        <w:rPr>
          <w:rFonts w:ascii="Arial" w:hAnsi="Arial" w:cs="Arial"/>
          <w:sz w:val="22"/>
          <w:szCs w:val="22"/>
        </w:rPr>
        <w:t xml:space="preserve"> </w:t>
      </w:r>
      <w:r w:rsidRPr="003F29DA">
        <w:rPr>
          <w:rFonts w:ascii="Arial" w:hAnsi="Arial" w:cs="Arial"/>
          <w:sz w:val="22"/>
          <w:szCs w:val="22"/>
        </w:rPr>
        <w:t>advantages and disadvantages are acknowledged in the chapter's conclusion, along with suggestions for more research.</w:t>
      </w:r>
    </w:p>
    <w:p w14:paraId="5C882E98" w14:textId="77777777" w:rsidR="003F29DA" w:rsidRPr="003F29DA" w:rsidRDefault="003F29DA" w:rsidP="002F690B">
      <w:pPr>
        <w:spacing w:line="360" w:lineRule="auto"/>
        <w:jc w:val="both"/>
        <w:rPr>
          <w:rFonts w:ascii="Arial" w:hAnsi="Arial" w:cs="Arial"/>
          <w:sz w:val="22"/>
          <w:szCs w:val="22"/>
        </w:rPr>
      </w:pPr>
    </w:p>
    <w:p w14:paraId="4452A5EA" w14:textId="34C38848" w:rsidR="003F29DA" w:rsidRPr="00721C83" w:rsidRDefault="003F29DA" w:rsidP="00721C83">
      <w:pPr>
        <w:pStyle w:val="Heading2"/>
        <w:rPr>
          <w:rFonts w:ascii="Arial" w:hAnsi="Arial" w:cs="Arial"/>
          <w:b/>
          <w:bCs/>
          <w:sz w:val="28"/>
          <w:szCs w:val="28"/>
        </w:rPr>
      </w:pPr>
      <w:bookmarkStart w:id="75" w:name="_Toc219805176"/>
      <w:r w:rsidRPr="00721C83">
        <w:rPr>
          <w:rFonts w:ascii="Arial" w:hAnsi="Arial" w:cs="Arial"/>
          <w:b/>
          <w:bCs/>
          <w:sz w:val="28"/>
          <w:szCs w:val="28"/>
        </w:rPr>
        <w:t>5.2</w:t>
      </w:r>
      <w:r w:rsidR="00721C83" w:rsidRPr="00721C83">
        <w:rPr>
          <w:rFonts w:ascii="Arial" w:hAnsi="Arial" w:cs="Arial"/>
          <w:b/>
          <w:bCs/>
          <w:sz w:val="28"/>
          <w:szCs w:val="28"/>
        </w:rPr>
        <w:t xml:space="preserve"> </w:t>
      </w:r>
      <w:r w:rsidRPr="00721C83">
        <w:rPr>
          <w:rFonts w:ascii="Arial" w:hAnsi="Arial" w:cs="Arial"/>
          <w:b/>
          <w:bCs/>
          <w:sz w:val="28"/>
          <w:szCs w:val="28"/>
        </w:rPr>
        <w:t>Summary of Key Findings</w:t>
      </w:r>
      <w:bookmarkEnd w:id="75"/>
    </w:p>
    <w:p w14:paraId="5B14705E" w14:textId="4C50033A"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The research showed that older persons living in urban areas can benefit greatly from community-based physiotherapy therapies. </w:t>
      </w:r>
      <w:proofErr w:type="gramStart"/>
      <w:r w:rsidRPr="003F29DA">
        <w:rPr>
          <w:rFonts w:ascii="Arial" w:hAnsi="Arial" w:cs="Arial"/>
          <w:sz w:val="22"/>
          <w:szCs w:val="22"/>
        </w:rPr>
        <w:t>All of</w:t>
      </w:r>
      <w:proofErr w:type="gramEnd"/>
      <w:r w:rsidRPr="003F29DA">
        <w:rPr>
          <w:rFonts w:ascii="Arial" w:hAnsi="Arial" w:cs="Arial"/>
          <w:sz w:val="22"/>
          <w:szCs w:val="22"/>
        </w:rPr>
        <w:t xml:space="preserve"> the included studies showed consistent gains in strength, balance, gait stability, and functional mobility, which is consistent with high-quality evidence that physiotherapy-led exercise is one of the best fall prevention techniques (Sherrington et al., 2019; Liu and Latham, 2011). These gains were seen in older persons in good health as well as those with frailty, multimorbidity, and decreased mobility, demonstrating the flexibility and inclusivity of physiotherapy programs (Clemson et al., 2012; Hopewell et al., 2018).</w:t>
      </w:r>
    </w:p>
    <w:p w14:paraId="1D42BDCF" w14:textId="3498B671"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Another important theme was psychological advantages, such as decreased fear of falling, more self-assurance, better bodily awareness, and a stronger desire to exercise. These results are consistent with research showing psychological processes, including fear of falling, are important factors influencing mobility, independence, and fall risk (Zijlstra et al., 2007; Huang et al., 2017). The review's findings thus highlight the need for physiotherapy therapies to address psychological aspects in addition to physical training.</w:t>
      </w:r>
    </w:p>
    <w:p w14:paraId="3B41E4C2" w14:textId="619BD5E1"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One important element that was shown to enhance motivation and adherence was social involvement. In keeping with research showing social connection is highly linked to increased mobility, decreased frailty, and better general wellbeing, group-based programs promoted peer support, decreased loneliness, and increased enjoyment (Age UK, 2021; Holt-</w:t>
      </w:r>
      <w:proofErr w:type="spellStart"/>
      <w:r w:rsidRPr="003F29DA">
        <w:rPr>
          <w:rFonts w:ascii="Arial" w:hAnsi="Arial" w:cs="Arial"/>
          <w:sz w:val="22"/>
          <w:szCs w:val="22"/>
        </w:rPr>
        <w:t>Lunstad</w:t>
      </w:r>
      <w:proofErr w:type="spellEnd"/>
      <w:r w:rsidRPr="003F29DA">
        <w:rPr>
          <w:rFonts w:ascii="Arial" w:hAnsi="Arial" w:cs="Arial"/>
          <w:sz w:val="22"/>
          <w:szCs w:val="22"/>
        </w:rPr>
        <w:t>, 2018). Participants valued empathy, certainty, and open communication, and physiotherapist-patient connections were particularly crucial (Hall et al., 2010).</w:t>
      </w:r>
    </w:p>
    <w:p w14:paraId="7AE46FAA" w14:textId="326907DC"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Lastly, the results identified significant contextual obstacles specific to urban environments, such as transportation difficulties, environmental risks including uneven pavement, socioeconomic hardship, and restricted service capacity in crowded urban clinics. These obstacles highlight the need for interdisciplinary solutions that go beyond clinical interventions alone and reflect larger disparities in health and access to services throughout urban England (Marmot, 2020; Public Health England, 2018).</w:t>
      </w:r>
    </w:p>
    <w:p w14:paraId="289CB8E2"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The consistency of results across various urban environments increases trust in the overall conclusions, </w:t>
      </w:r>
      <w:proofErr w:type="gramStart"/>
      <w:r w:rsidRPr="003F29DA">
        <w:rPr>
          <w:rFonts w:ascii="Arial" w:hAnsi="Arial" w:cs="Arial"/>
          <w:sz w:val="22"/>
          <w:szCs w:val="22"/>
        </w:rPr>
        <w:t>despite the fact that</w:t>
      </w:r>
      <w:proofErr w:type="gramEnd"/>
      <w:r w:rsidRPr="003F29DA">
        <w:rPr>
          <w:rFonts w:ascii="Arial" w:hAnsi="Arial" w:cs="Arial"/>
          <w:sz w:val="22"/>
          <w:szCs w:val="22"/>
        </w:rPr>
        <w:t xml:space="preserve"> the evidence base was restricted to twelve investigations. However, generalizability is restricted and quantitative synthesis is not possible due to variability in research design and outcome measurements.</w:t>
      </w:r>
    </w:p>
    <w:p w14:paraId="1F6D6DC7" w14:textId="77777777" w:rsidR="003F29DA" w:rsidRPr="003F29DA" w:rsidRDefault="003F29DA" w:rsidP="002F690B">
      <w:pPr>
        <w:spacing w:line="360" w:lineRule="auto"/>
        <w:jc w:val="both"/>
        <w:rPr>
          <w:rFonts w:ascii="Arial" w:hAnsi="Arial" w:cs="Arial"/>
          <w:sz w:val="22"/>
          <w:szCs w:val="22"/>
        </w:rPr>
      </w:pPr>
    </w:p>
    <w:p w14:paraId="1281DFF5" w14:textId="32D5F475" w:rsidR="003F29DA" w:rsidRPr="00721C83" w:rsidRDefault="003F29DA" w:rsidP="00721C83">
      <w:pPr>
        <w:pStyle w:val="Heading2"/>
        <w:rPr>
          <w:rFonts w:ascii="Arial" w:hAnsi="Arial" w:cs="Arial"/>
          <w:b/>
          <w:bCs/>
          <w:sz w:val="28"/>
          <w:szCs w:val="28"/>
        </w:rPr>
      </w:pPr>
      <w:bookmarkStart w:id="76" w:name="_Toc219805177"/>
      <w:r w:rsidRPr="00721C83">
        <w:rPr>
          <w:rFonts w:ascii="Arial" w:hAnsi="Arial" w:cs="Arial"/>
          <w:b/>
          <w:bCs/>
          <w:sz w:val="28"/>
          <w:szCs w:val="28"/>
        </w:rPr>
        <w:t>5.3</w:t>
      </w:r>
      <w:r w:rsidR="00721C83" w:rsidRPr="00721C83">
        <w:rPr>
          <w:rFonts w:ascii="Arial" w:hAnsi="Arial" w:cs="Arial"/>
          <w:b/>
          <w:bCs/>
          <w:sz w:val="28"/>
          <w:szCs w:val="28"/>
        </w:rPr>
        <w:t xml:space="preserve"> </w:t>
      </w:r>
      <w:r w:rsidRPr="00721C83">
        <w:rPr>
          <w:rFonts w:ascii="Arial" w:hAnsi="Arial" w:cs="Arial"/>
          <w:b/>
          <w:bCs/>
          <w:sz w:val="28"/>
          <w:szCs w:val="28"/>
        </w:rPr>
        <w:t>Implications for Physiotherapy Practice</w:t>
      </w:r>
      <w:bookmarkEnd w:id="76"/>
      <w:r w:rsidRPr="003F29DA">
        <w:rPr>
          <w:rFonts w:ascii="Arial" w:hAnsi="Arial" w:cs="Arial"/>
          <w:sz w:val="22"/>
          <w:szCs w:val="22"/>
        </w:rPr>
        <w:t xml:space="preserve"> </w:t>
      </w:r>
    </w:p>
    <w:p w14:paraId="1DD12931" w14:textId="551005BE" w:rsidR="003F29DA" w:rsidRDefault="003F29DA" w:rsidP="002F690B">
      <w:pPr>
        <w:spacing w:line="360" w:lineRule="auto"/>
        <w:jc w:val="both"/>
        <w:rPr>
          <w:rFonts w:ascii="Arial" w:hAnsi="Arial" w:cs="Arial"/>
          <w:sz w:val="22"/>
          <w:szCs w:val="22"/>
        </w:rPr>
      </w:pPr>
      <w:r w:rsidRPr="003F29DA">
        <w:rPr>
          <w:rFonts w:ascii="Arial" w:hAnsi="Arial" w:cs="Arial"/>
          <w:sz w:val="22"/>
          <w:szCs w:val="22"/>
        </w:rPr>
        <w:t>The findings have several implications for physiotherapy practice, particularly in metropolitan regions:</w:t>
      </w:r>
    </w:p>
    <w:p w14:paraId="6D675F40" w14:textId="1734BA00" w:rsidR="008062F6" w:rsidRPr="003F29DA" w:rsidRDefault="008062F6" w:rsidP="002F690B">
      <w:pPr>
        <w:spacing w:line="360" w:lineRule="auto"/>
        <w:jc w:val="both"/>
        <w:rPr>
          <w:rFonts w:ascii="Arial" w:hAnsi="Arial" w:cs="Arial"/>
          <w:sz w:val="22"/>
          <w:szCs w:val="22"/>
        </w:rPr>
      </w:pPr>
      <w:r w:rsidRPr="008062F6">
        <w:rPr>
          <w:rFonts w:ascii="Arial" w:hAnsi="Arial" w:cs="Arial"/>
          <w:sz w:val="22"/>
          <w:szCs w:val="22"/>
        </w:rPr>
        <w:t>The results of this study support the importance of community-based physical therapy as a preventative measure to lower falls among older individuals from the standpoint of public health. These results are consistent with national public health targets that focus on preventing falls, promoting healthy aging, and lowering unnecessary hospital admissions among the elderly (NICE, 2013; Public Health England, 2021). Incorporating community physiotherapy programs within primary care and public health services run by local authorities may enhance accessibility and facilitate early intervention, which may lower long-term health and social care expenses connected to fall-related injuries and loss of independence.</w:t>
      </w:r>
    </w:p>
    <w:p w14:paraId="59B8A059" w14:textId="08EFC776" w:rsidR="003F29DA" w:rsidRPr="00721C83" w:rsidRDefault="003F29DA" w:rsidP="00721C83">
      <w:pPr>
        <w:pStyle w:val="Heading3"/>
        <w:rPr>
          <w:rFonts w:ascii="Arial" w:hAnsi="Arial" w:cs="Arial"/>
          <w:b/>
          <w:bCs/>
          <w:sz w:val="24"/>
          <w:szCs w:val="24"/>
        </w:rPr>
      </w:pPr>
      <w:bookmarkStart w:id="77" w:name="_Toc219805178"/>
      <w:r w:rsidRPr="00721C83">
        <w:rPr>
          <w:rFonts w:ascii="Arial" w:hAnsi="Arial" w:cs="Arial"/>
          <w:b/>
          <w:bCs/>
          <w:sz w:val="24"/>
          <w:szCs w:val="24"/>
        </w:rPr>
        <w:t>5.3.1</w:t>
      </w:r>
      <w:r w:rsidR="00721C83" w:rsidRPr="00721C83">
        <w:rPr>
          <w:rFonts w:ascii="Arial" w:hAnsi="Arial" w:cs="Arial"/>
          <w:b/>
          <w:bCs/>
          <w:sz w:val="24"/>
          <w:szCs w:val="24"/>
        </w:rPr>
        <w:t xml:space="preserve"> </w:t>
      </w:r>
      <w:r w:rsidRPr="00721C83">
        <w:rPr>
          <w:rFonts w:ascii="Arial" w:hAnsi="Arial" w:cs="Arial"/>
          <w:b/>
          <w:bCs/>
          <w:sz w:val="24"/>
          <w:szCs w:val="24"/>
        </w:rPr>
        <w:t>Integrating Psychological and Behavioural Support</w:t>
      </w:r>
      <w:bookmarkEnd w:id="77"/>
    </w:p>
    <w:p w14:paraId="77B82F0C" w14:textId="41FD201C" w:rsid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Physiotherapists should use </w:t>
      </w:r>
      <w:r w:rsidR="00EA602F" w:rsidRPr="003F29DA">
        <w:rPr>
          <w:rFonts w:ascii="Arial" w:hAnsi="Arial" w:cs="Arial"/>
          <w:sz w:val="22"/>
          <w:szCs w:val="22"/>
        </w:rPr>
        <w:t>behavioural</w:t>
      </w:r>
      <w:r w:rsidRPr="003F29DA">
        <w:rPr>
          <w:rFonts w:ascii="Arial" w:hAnsi="Arial" w:cs="Arial"/>
          <w:sz w:val="22"/>
          <w:szCs w:val="22"/>
        </w:rPr>
        <w:t xml:space="preserve"> modification techniques such reassurance, graded exposure, motivational interviewing, and confidence-building exercises since fear of falling and self-efficacy play a major role (Bandura, 1997; Simmonds, 2018). Compared to exercise-only therapies, programs that incorporate psychological support have been demonstrated to provide greater and longer-lasting gains (Barker et al., 2016).</w:t>
      </w:r>
    </w:p>
    <w:p w14:paraId="5D1B41FF" w14:textId="77777777" w:rsidR="00721C83" w:rsidRPr="003F29DA" w:rsidRDefault="00721C83" w:rsidP="002F690B">
      <w:pPr>
        <w:spacing w:line="360" w:lineRule="auto"/>
        <w:jc w:val="both"/>
        <w:rPr>
          <w:rFonts w:ascii="Arial" w:hAnsi="Arial" w:cs="Arial"/>
          <w:sz w:val="22"/>
          <w:szCs w:val="22"/>
        </w:rPr>
      </w:pPr>
    </w:p>
    <w:p w14:paraId="2E22DD2A" w14:textId="61E144EA" w:rsidR="003F29DA" w:rsidRPr="00721C83" w:rsidRDefault="003F29DA" w:rsidP="00721C83">
      <w:pPr>
        <w:pStyle w:val="Heading3"/>
        <w:rPr>
          <w:rFonts w:ascii="Arial" w:hAnsi="Arial" w:cs="Arial"/>
          <w:b/>
          <w:bCs/>
          <w:sz w:val="24"/>
          <w:szCs w:val="24"/>
        </w:rPr>
      </w:pPr>
      <w:bookmarkStart w:id="78" w:name="_Toc219805179"/>
      <w:r w:rsidRPr="00721C83">
        <w:rPr>
          <w:rFonts w:ascii="Arial" w:hAnsi="Arial" w:cs="Arial"/>
          <w:b/>
          <w:bCs/>
          <w:sz w:val="24"/>
          <w:szCs w:val="24"/>
        </w:rPr>
        <w:t>5.3.2</w:t>
      </w:r>
      <w:r w:rsidR="00721C83" w:rsidRPr="00721C83">
        <w:rPr>
          <w:rFonts w:ascii="Arial" w:hAnsi="Arial" w:cs="Arial"/>
          <w:b/>
          <w:bCs/>
          <w:sz w:val="24"/>
          <w:szCs w:val="24"/>
        </w:rPr>
        <w:t xml:space="preserve"> </w:t>
      </w:r>
      <w:r w:rsidRPr="00721C83">
        <w:rPr>
          <w:rFonts w:ascii="Arial" w:hAnsi="Arial" w:cs="Arial"/>
          <w:b/>
          <w:bCs/>
          <w:sz w:val="24"/>
          <w:szCs w:val="24"/>
        </w:rPr>
        <w:t>Prioritising Strength and Balance Training</w:t>
      </w:r>
      <w:bookmarkEnd w:id="78"/>
    </w:p>
    <w:p w14:paraId="0A8B52D4"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In line with NICE (2022) and Sherrington's findings that ≥3 hours of balance training per week considerably lowers falls, the review affirms that balance-challenging activities should continue to be a fundamental part of CBPT. To maximize results, physiotherapists must make sure that therapies offer sufficient dose and progression.</w:t>
      </w:r>
    </w:p>
    <w:p w14:paraId="1DF535D5" w14:textId="77777777" w:rsidR="003F29DA" w:rsidRPr="003F29DA" w:rsidRDefault="003F29DA" w:rsidP="002F690B">
      <w:pPr>
        <w:spacing w:line="360" w:lineRule="auto"/>
        <w:jc w:val="both"/>
        <w:rPr>
          <w:rFonts w:ascii="Arial" w:hAnsi="Arial" w:cs="Arial"/>
          <w:sz w:val="22"/>
          <w:szCs w:val="22"/>
        </w:rPr>
      </w:pPr>
    </w:p>
    <w:p w14:paraId="3302E048" w14:textId="19DD8BCD" w:rsidR="003F29DA" w:rsidRPr="00721C83" w:rsidRDefault="003F29DA" w:rsidP="00721C83">
      <w:pPr>
        <w:pStyle w:val="Heading3"/>
        <w:rPr>
          <w:rFonts w:ascii="Arial" w:hAnsi="Arial" w:cs="Arial"/>
          <w:b/>
          <w:bCs/>
          <w:sz w:val="24"/>
          <w:szCs w:val="24"/>
        </w:rPr>
      </w:pPr>
      <w:bookmarkStart w:id="79" w:name="_Toc219805180"/>
      <w:r w:rsidRPr="00721C83">
        <w:rPr>
          <w:rFonts w:ascii="Arial" w:hAnsi="Arial" w:cs="Arial"/>
          <w:b/>
          <w:bCs/>
          <w:sz w:val="24"/>
          <w:szCs w:val="24"/>
        </w:rPr>
        <w:t>5.3.3</w:t>
      </w:r>
      <w:r w:rsidR="00721C83" w:rsidRPr="00721C83">
        <w:rPr>
          <w:rFonts w:ascii="Arial" w:hAnsi="Arial" w:cs="Arial"/>
          <w:b/>
          <w:bCs/>
          <w:sz w:val="24"/>
          <w:szCs w:val="24"/>
        </w:rPr>
        <w:t xml:space="preserve"> </w:t>
      </w:r>
      <w:r w:rsidRPr="00721C83">
        <w:rPr>
          <w:rFonts w:ascii="Arial" w:hAnsi="Arial" w:cs="Arial"/>
          <w:b/>
          <w:bCs/>
          <w:sz w:val="24"/>
          <w:szCs w:val="24"/>
        </w:rPr>
        <w:t>Enhancing Accessibility Through Diverse Delivery Models</w:t>
      </w:r>
      <w:bookmarkEnd w:id="79"/>
    </w:p>
    <w:p w14:paraId="550EDAD0" w14:textId="6954C243" w:rsidR="003F29DA" w:rsidRDefault="003A6D4C" w:rsidP="002F690B">
      <w:pPr>
        <w:spacing w:line="360" w:lineRule="auto"/>
        <w:jc w:val="both"/>
        <w:rPr>
          <w:rFonts w:ascii="Arial" w:hAnsi="Arial" w:cs="Arial"/>
          <w:sz w:val="22"/>
          <w:szCs w:val="22"/>
        </w:rPr>
      </w:pPr>
      <w:r w:rsidRPr="003A6D4C">
        <w:rPr>
          <w:rFonts w:ascii="Arial" w:hAnsi="Arial" w:cs="Arial"/>
          <w:sz w:val="22"/>
          <w:szCs w:val="22"/>
        </w:rPr>
        <w:t xml:space="preserve">Physiotherapists should use adaptable and inclusive treatment delivery strategies to address the mobility and transportation issues that older individuals frequently encounter in metropolitan settings. These might include telehealth-supported exercise therapies to improve accessibility and continuity of care, community outreach programs offered in local neighbourhood settings, and home-based physiotherapy for </w:t>
      </w:r>
      <w:r w:rsidRPr="003A6D4C">
        <w:rPr>
          <w:rFonts w:ascii="Arial" w:hAnsi="Arial" w:cs="Arial"/>
          <w:sz w:val="22"/>
          <w:szCs w:val="22"/>
        </w:rPr>
        <w:lastRenderedPageBreak/>
        <w:t>those with restricted mobility. Additionally, culturally appropriate group-based sessions can support engagement among diverse urban populations by addressing language needs, cultural preferences, and social norms, as recommended within national fall prevention and community rehabilitation guidance (NICE, 2025). When taken as a whole, these strategies lessen the need to travel to centralized clinics, increase involvement among populations who are difficult to reach, and lessen disparities in access to fall prevention services (Green et al., 2021; Sims-Gould et al., 2015).</w:t>
      </w:r>
    </w:p>
    <w:p w14:paraId="5E44CDE6" w14:textId="77777777" w:rsidR="003A6D4C" w:rsidRPr="003F29DA" w:rsidRDefault="003A6D4C" w:rsidP="002F690B">
      <w:pPr>
        <w:spacing w:line="360" w:lineRule="auto"/>
        <w:jc w:val="both"/>
        <w:rPr>
          <w:rFonts w:ascii="Arial" w:hAnsi="Arial" w:cs="Arial"/>
          <w:sz w:val="22"/>
          <w:szCs w:val="22"/>
        </w:rPr>
      </w:pPr>
    </w:p>
    <w:p w14:paraId="6A8FA3C6" w14:textId="11E3BA03" w:rsidR="003F29DA" w:rsidRPr="00721C83" w:rsidRDefault="003F29DA" w:rsidP="00721C83">
      <w:pPr>
        <w:pStyle w:val="Heading3"/>
        <w:rPr>
          <w:rFonts w:ascii="Arial" w:hAnsi="Arial" w:cs="Arial"/>
          <w:b/>
          <w:bCs/>
          <w:sz w:val="24"/>
          <w:szCs w:val="24"/>
        </w:rPr>
      </w:pPr>
      <w:bookmarkStart w:id="80" w:name="_Toc219805181"/>
      <w:r w:rsidRPr="00721C83">
        <w:rPr>
          <w:rFonts w:ascii="Arial" w:hAnsi="Arial" w:cs="Arial"/>
          <w:b/>
          <w:bCs/>
          <w:sz w:val="24"/>
          <w:szCs w:val="24"/>
        </w:rPr>
        <w:t>5.3.4</w:t>
      </w:r>
      <w:r w:rsidR="00721C83" w:rsidRPr="00721C83">
        <w:rPr>
          <w:rFonts w:ascii="Arial" w:hAnsi="Arial" w:cs="Arial"/>
          <w:b/>
          <w:bCs/>
          <w:sz w:val="24"/>
          <w:szCs w:val="24"/>
        </w:rPr>
        <w:t xml:space="preserve"> </w:t>
      </w:r>
      <w:r w:rsidRPr="00721C83">
        <w:rPr>
          <w:rFonts w:ascii="Arial" w:hAnsi="Arial" w:cs="Arial"/>
          <w:b/>
          <w:bCs/>
          <w:sz w:val="24"/>
          <w:szCs w:val="24"/>
        </w:rPr>
        <w:t>Tailoring Interventions to Metropolitan Diversity</w:t>
      </w:r>
      <w:bookmarkEnd w:id="80"/>
      <w:r w:rsidRPr="003F29DA">
        <w:rPr>
          <w:rFonts w:ascii="Arial" w:hAnsi="Arial" w:cs="Arial"/>
          <w:sz w:val="22"/>
          <w:szCs w:val="22"/>
        </w:rPr>
        <w:t xml:space="preserve"> </w:t>
      </w:r>
    </w:p>
    <w:p w14:paraId="238ADB31"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Diverse social, linguistic, and cultural origins can be found in urban areas. Physiotherapists should collaborate with local populations to create programs that </w:t>
      </w:r>
      <w:proofErr w:type="gramStart"/>
      <w:r w:rsidRPr="003F29DA">
        <w:rPr>
          <w:rFonts w:ascii="Arial" w:hAnsi="Arial" w:cs="Arial"/>
          <w:sz w:val="22"/>
          <w:szCs w:val="22"/>
        </w:rPr>
        <w:t>take into account</w:t>
      </w:r>
      <w:proofErr w:type="gramEnd"/>
      <w:r w:rsidRPr="003F29DA">
        <w:rPr>
          <w:rFonts w:ascii="Arial" w:hAnsi="Arial" w:cs="Arial"/>
          <w:sz w:val="22"/>
          <w:szCs w:val="22"/>
        </w:rPr>
        <w:t xml:space="preserve"> their preferences for gender-specific groups, language support, or culturally appropriate kinds of exercise.</w:t>
      </w:r>
    </w:p>
    <w:p w14:paraId="2107AEBC" w14:textId="77777777" w:rsidR="003F29DA" w:rsidRPr="003F29DA" w:rsidRDefault="003F29DA" w:rsidP="002F690B">
      <w:pPr>
        <w:spacing w:line="360" w:lineRule="auto"/>
        <w:jc w:val="both"/>
        <w:rPr>
          <w:rFonts w:ascii="Arial" w:hAnsi="Arial" w:cs="Arial"/>
          <w:sz w:val="22"/>
          <w:szCs w:val="22"/>
        </w:rPr>
      </w:pPr>
    </w:p>
    <w:p w14:paraId="6CC13E57" w14:textId="2D6D39D8" w:rsidR="003F29DA" w:rsidRPr="00C82247" w:rsidRDefault="003F29DA" w:rsidP="00C82247">
      <w:pPr>
        <w:pStyle w:val="Heading2"/>
        <w:rPr>
          <w:rFonts w:ascii="Arial" w:hAnsi="Arial" w:cs="Arial"/>
          <w:b/>
          <w:bCs/>
          <w:sz w:val="28"/>
          <w:szCs w:val="28"/>
        </w:rPr>
      </w:pPr>
      <w:bookmarkStart w:id="81" w:name="_Toc219805182"/>
      <w:r w:rsidRPr="00C82247">
        <w:rPr>
          <w:rFonts w:ascii="Arial" w:hAnsi="Arial" w:cs="Arial"/>
          <w:b/>
          <w:bCs/>
          <w:sz w:val="28"/>
          <w:szCs w:val="28"/>
        </w:rPr>
        <w:t>5.4</w:t>
      </w:r>
      <w:r w:rsidR="00C82247" w:rsidRPr="00C82247">
        <w:rPr>
          <w:rFonts w:ascii="Arial" w:hAnsi="Arial" w:cs="Arial"/>
          <w:b/>
          <w:bCs/>
          <w:sz w:val="28"/>
          <w:szCs w:val="28"/>
        </w:rPr>
        <w:t xml:space="preserve"> </w:t>
      </w:r>
      <w:r w:rsidRPr="00C82247">
        <w:rPr>
          <w:rFonts w:ascii="Arial" w:hAnsi="Arial" w:cs="Arial"/>
          <w:b/>
          <w:bCs/>
          <w:sz w:val="28"/>
          <w:szCs w:val="28"/>
        </w:rPr>
        <w:t>Implications for Public Health and Urban Policy</w:t>
      </w:r>
      <w:bookmarkEnd w:id="81"/>
    </w:p>
    <w:p w14:paraId="1F042624" w14:textId="5250E776" w:rsidR="003F29DA" w:rsidRDefault="003F29DA" w:rsidP="002F690B">
      <w:pPr>
        <w:spacing w:line="360" w:lineRule="auto"/>
        <w:jc w:val="both"/>
        <w:rPr>
          <w:rFonts w:ascii="Arial" w:hAnsi="Arial" w:cs="Arial"/>
          <w:sz w:val="22"/>
          <w:szCs w:val="22"/>
        </w:rPr>
      </w:pPr>
      <w:r w:rsidRPr="003F29DA">
        <w:rPr>
          <w:rFonts w:ascii="Arial" w:hAnsi="Arial" w:cs="Arial"/>
          <w:sz w:val="22"/>
          <w:szCs w:val="22"/>
        </w:rPr>
        <w:t>The findings highlight the need for system-level action beyond physiotherapy:</w:t>
      </w:r>
    </w:p>
    <w:p w14:paraId="183F366A" w14:textId="77777777" w:rsidR="00C82247" w:rsidRPr="003F29DA" w:rsidRDefault="00C82247" w:rsidP="002F690B">
      <w:pPr>
        <w:spacing w:line="360" w:lineRule="auto"/>
        <w:jc w:val="both"/>
        <w:rPr>
          <w:rFonts w:ascii="Arial" w:hAnsi="Arial" w:cs="Arial"/>
          <w:sz w:val="22"/>
          <w:szCs w:val="22"/>
        </w:rPr>
      </w:pPr>
    </w:p>
    <w:p w14:paraId="67F5E054" w14:textId="3C68276A" w:rsidR="003F29DA" w:rsidRPr="00C82247" w:rsidRDefault="003F29DA" w:rsidP="00C82247">
      <w:pPr>
        <w:pStyle w:val="Heading3"/>
        <w:rPr>
          <w:rFonts w:ascii="Arial" w:hAnsi="Arial" w:cs="Arial"/>
          <w:b/>
          <w:bCs/>
          <w:sz w:val="24"/>
          <w:szCs w:val="24"/>
        </w:rPr>
      </w:pPr>
      <w:bookmarkStart w:id="82" w:name="_Toc219805183"/>
      <w:r w:rsidRPr="00C82247">
        <w:rPr>
          <w:rFonts w:ascii="Arial" w:hAnsi="Arial" w:cs="Arial"/>
          <w:b/>
          <w:bCs/>
          <w:sz w:val="24"/>
          <w:szCs w:val="24"/>
        </w:rPr>
        <w:t>5.4.1</w:t>
      </w:r>
      <w:r w:rsidR="00C82247" w:rsidRPr="00C82247">
        <w:rPr>
          <w:rFonts w:ascii="Arial" w:hAnsi="Arial" w:cs="Arial"/>
          <w:b/>
          <w:bCs/>
          <w:sz w:val="24"/>
          <w:szCs w:val="24"/>
        </w:rPr>
        <w:t xml:space="preserve"> </w:t>
      </w:r>
      <w:r w:rsidRPr="00C82247">
        <w:rPr>
          <w:rFonts w:ascii="Arial" w:hAnsi="Arial" w:cs="Arial"/>
          <w:b/>
          <w:bCs/>
          <w:sz w:val="24"/>
          <w:szCs w:val="24"/>
        </w:rPr>
        <w:t>Collaborative Approaches Across Sectors</w:t>
      </w:r>
      <w:bookmarkEnd w:id="82"/>
    </w:p>
    <w:p w14:paraId="5267852E" w14:textId="400ACA38" w:rsidR="003F29DA" w:rsidRDefault="003A6D4C" w:rsidP="002F690B">
      <w:pPr>
        <w:spacing w:line="360" w:lineRule="auto"/>
        <w:jc w:val="both"/>
        <w:rPr>
          <w:rFonts w:ascii="Arial" w:hAnsi="Arial" w:cs="Arial"/>
          <w:sz w:val="22"/>
          <w:szCs w:val="22"/>
        </w:rPr>
      </w:pPr>
      <w:r w:rsidRPr="003A6D4C">
        <w:rPr>
          <w:rFonts w:ascii="Arial" w:hAnsi="Arial" w:cs="Arial"/>
          <w:sz w:val="22"/>
          <w:szCs w:val="22"/>
        </w:rPr>
        <w:t>Fall risk among older individuals is known to be significantly influenced by housing, transportation, social services, and urban planning, especially in urban settings (Evans et al., 2018; Marmot et al., 2020). Therefore, cooperation beyond healthcare services alone is necessary for effective fall prevention. The creation of age-friendly urban infrastructure, such as accessible public areas, safe pavements, and sufficient lighting, all of which affect mobility and fall risk, is facilitated by collaboration with local governments (NICE, 2025). As poor housing conditions and environmental dangers within the house have been linked to an increase in falls among older individuals living in metropolitan areas, cooperation with housing associations is equally vital (Harrison et al., 2021).</w:t>
      </w:r>
      <w:r w:rsidRPr="003A6D4C">
        <w:t xml:space="preserve"> </w:t>
      </w:r>
      <w:r w:rsidRPr="003A6D4C">
        <w:rPr>
          <w:rFonts w:ascii="Arial" w:hAnsi="Arial" w:cs="Arial"/>
          <w:sz w:val="22"/>
          <w:szCs w:val="22"/>
        </w:rPr>
        <w:t xml:space="preserve">Working with transportation </w:t>
      </w:r>
      <w:proofErr w:type="spellStart"/>
      <w:r w:rsidRPr="003A6D4C">
        <w:rPr>
          <w:rFonts w:ascii="Arial" w:hAnsi="Arial" w:cs="Arial"/>
          <w:sz w:val="22"/>
          <w:szCs w:val="22"/>
        </w:rPr>
        <w:t>authorit</w:t>
      </w:r>
      <w:r>
        <w:rPr>
          <w:rFonts w:ascii="Arial" w:hAnsi="Arial" w:cs="Arial"/>
          <w:sz w:val="22"/>
          <w:szCs w:val="22"/>
        </w:rPr>
        <w:t>ies</w:t>
      </w:r>
      <w:proofErr w:type="spellEnd"/>
      <w:r>
        <w:rPr>
          <w:rFonts w:ascii="Arial" w:hAnsi="Arial" w:cs="Arial"/>
          <w:sz w:val="22"/>
          <w:szCs w:val="22"/>
        </w:rPr>
        <w:t xml:space="preserve"> </w:t>
      </w:r>
      <w:r w:rsidRPr="003A6D4C">
        <w:rPr>
          <w:rFonts w:ascii="Arial" w:hAnsi="Arial" w:cs="Arial"/>
          <w:sz w:val="22"/>
          <w:szCs w:val="22"/>
        </w:rPr>
        <w:t>makes it easier for senior citizens to get safe and dependable public transportation, which allows them to participate in social activities and attend community-based physiotherapy programs (NHS England, 2019; Francis-Coad et al., 2020). Additionally, voluntary sector organizations contribute significantly to outreach and assistance, especially for older persons who are socially isolated or economically disadvantaged. This increases the reach and equity of fall prevention activities (Public Health England, 2020).</w:t>
      </w:r>
    </w:p>
    <w:p w14:paraId="0FA270DA" w14:textId="77777777" w:rsidR="003A6D4C" w:rsidRPr="003F29DA" w:rsidRDefault="003A6D4C" w:rsidP="002F690B">
      <w:pPr>
        <w:spacing w:line="360" w:lineRule="auto"/>
        <w:jc w:val="both"/>
        <w:rPr>
          <w:rFonts w:ascii="Arial" w:hAnsi="Arial" w:cs="Arial"/>
          <w:sz w:val="22"/>
          <w:szCs w:val="22"/>
        </w:rPr>
      </w:pPr>
    </w:p>
    <w:p w14:paraId="3B05E561" w14:textId="03B91E28" w:rsidR="003F29DA" w:rsidRPr="00C82247" w:rsidRDefault="003F29DA" w:rsidP="00C82247">
      <w:pPr>
        <w:pStyle w:val="Heading3"/>
        <w:rPr>
          <w:rFonts w:ascii="Arial" w:hAnsi="Arial" w:cs="Arial"/>
          <w:b/>
          <w:bCs/>
          <w:sz w:val="24"/>
          <w:szCs w:val="24"/>
        </w:rPr>
      </w:pPr>
      <w:bookmarkStart w:id="83" w:name="_Toc219805184"/>
      <w:r w:rsidRPr="00C82247">
        <w:rPr>
          <w:rFonts w:ascii="Arial" w:hAnsi="Arial" w:cs="Arial"/>
          <w:b/>
          <w:bCs/>
          <w:sz w:val="24"/>
          <w:szCs w:val="24"/>
        </w:rPr>
        <w:t>5.4.2</w:t>
      </w:r>
      <w:r w:rsidR="00C82247" w:rsidRPr="00C82247">
        <w:rPr>
          <w:rFonts w:ascii="Arial" w:hAnsi="Arial" w:cs="Arial"/>
          <w:b/>
          <w:bCs/>
          <w:sz w:val="24"/>
          <w:szCs w:val="24"/>
        </w:rPr>
        <w:t xml:space="preserve"> </w:t>
      </w:r>
      <w:r w:rsidRPr="00C82247">
        <w:rPr>
          <w:rFonts w:ascii="Arial" w:hAnsi="Arial" w:cs="Arial"/>
          <w:b/>
          <w:bCs/>
          <w:sz w:val="24"/>
          <w:szCs w:val="24"/>
        </w:rPr>
        <w:t>Diminishing Inequalities</w:t>
      </w:r>
      <w:bookmarkEnd w:id="83"/>
    </w:p>
    <w:p w14:paraId="0EDCF22B" w14:textId="6FC69349" w:rsidR="003F29DA" w:rsidRDefault="003F29DA" w:rsidP="002F690B">
      <w:pPr>
        <w:spacing w:line="360" w:lineRule="auto"/>
        <w:jc w:val="both"/>
        <w:rPr>
          <w:rFonts w:ascii="Arial" w:hAnsi="Arial" w:cs="Arial"/>
          <w:sz w:val="22"/>
          <w:szCs w:val="22"/>
        </w:rPr>
      </w:pPr>
      <w:r w:rsidRPr="003F29DA">
        <w:rPr>
          <w:rFonts w:ascii="Arial" w:hAnsi="Arial" w:cs="Arial"/>
          <w:sz w:val="22"/>
          <w:szCs w:val="22"/>
        </w:rPr>
        <w:t>In impoverished boroughs, older persons are more likely to fall and have lower levels of participation. Reducing health disparities requires targeted financing, outreach, and culturally responsive services (Marmot, 2020).</w:t>
      </w:r>
    </w:p>
    <w:p w14:paraId="07255169" w14:textId="77777777" w:rsidR="00C82247" w:rsidRPr="003F29DA" w:rsidRDefault="00C82247" w:rsidP="002F690B">
      <w:pPr>
        <w:spacing w:line="360" w:lineRule="auto"/>
        <w:jc w:val="both"/>
        <w:rPr>
          <w:rFonts w:ascii="Arial" w:hAnsi="Arial" w:cs="Arial"/>
          <w:sz w:val="22"/>
          <w:szCs w:val="22"/>
        </w:rPr>
      </w:pPr>
    </w:p>
    <w:p w14:paraId="222DF22B" w14:textId="113C8A5B" w:rsidR="003F29DA" w:rsidRPr="00C82247" w:rsidRDefault="003F29DA" w:rsidP="00C82247">
      <w:pPr>
        <w:pStyle w:val="Heading3"/>
        <w:rPr>
          <w:rFonts w:ascii="Arial" w:hAnsi="Arial" w:cs="Arial"/>
          <w:b/>
          <w:bCs/>
          <w:sz w:val="24"/>
          <w:szCs w:val="24"/>
        </w:rPr>
      </w:pPr>
      <w:bookmarkStart w:id="84" w:name="_Toc219805185"/>
      <w:r w:rsidRPr="00C82247">
        <w:rPr>
          <w:rFonts w:ascii="Arial" w:hAnsi="Arial" w:cs="Arial"/>
          <w:b/>
          <w:bCs/>
          <w:sz w:val="24"/>
          <w:szCs w:val="24"/>
        </w:rPr>
        <w:t>5.4.3</w:t>
      </w:r>
      <w:r w:rsidR="00C82247" w:rsidRPr="00C82247">
        <w:rPr>
          <w:rFonts w:ascii="Arial" w:hAnsi="Arial" w:cs="Arial"/>
          <w:b/>
          <w:bCs/>
          <w:sz w:val="24"/>
          <w:szCs w:val="24"/>
        </w:rPr>
        <w:t xml:space="preserve"> </w:t>
      </w:r>
      <w:r w:rsidRPr="00C82247">
        <w:rPr>
          <w:rFonts w:ascii="Arial" w:hAnsi="Arial" w:cs="Arial"/>
          <w:b/>
          <w:bCs/>
          <w:sz w:val="24"/>
          <w:szCs w:val="24"/>
        </w:rPr>
        <w:t>Increasing the Capacity of NHS Physiotherapy</w:t>
      </w:r>
      <w:bookmarkEnd w:id="84"/>
    </w:p>
    <w:p w14:paraId="57B01DA2"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Program reach is restricted by lengthy waiting lists and heavy caseloads. Investing in community space, training, and physiotherapy personnel would improve equity and capacity.</w:t>
      </w:r>
    </w:p>
    <w:p w14:paraId="1A6DAAAB" w14:textId="77777777" w:rsidR="003F29DA" w:rsidRPr="003F29DA" w:rsidRDefault="003F29DA" w:rsidP="002F690B">
      <w:pPr>
        <w:spacing w:line="360" w:lineRule="auto"/>
        <w:jc w:val="both"/>
        <w:rPr>
          <w:rFonts w:ascii="Arial" w:hAnsi="Arial" w:cs="Arial"/>
          <w:sz w:val="22"/>
          <w:szCs w:val="22"/>
        </w:rPr>
      </w:pPr>
    </w:p>
    <w:p w14:paraId="35D8D66D" w14:textId="5C2C17FE" w:rsidR="003F29DA" w:rsidRPr="00FB7761" w:rsidRDefault="003F29DA" w:rsidP="00FB7761">
      <w:pPr>
        <w:pStyle w:val="Heading2"/>
        <w:rPr>
          <w:rFonts w:ascii="Arial" w:hAnsi="Arial" w:cs="Arial"/>
          <w:b/>
          <w:bCs/>
          <w:sz w:val="28"/>
          <w:szCs w:val="28"/>
        </w:rPr>
      </w:pPr>
      <w:bookmarkStart w:id="85" w:name="_Toc219805186"/>
      <w:r w:rsidRPr="00FB7761">
        <w:rPr>
          <w:rFonts w:ascii="Arial" w:hAnsi="Arial" w:cs="Arial"/>
          <w:b/>
          <w:bCs/>
          <w:sz w:val="28"/>
          <w:szCs w:val="28"/>
        </w:rPr>
        <w:t>5.5</w:t>
      </w:r>
      <w:r w:rsidR="00FB7761" w:rsidRPr="00FB7761">
        <w:rPr>
          <w:rFonts w:ascii="Arial" w:hAnsi="Arial" w:cs="Arial"/>
          <w:b/>
          <w:bCs/>
          <w:sz w:val="28"/>
          <w:szCs w:val="28"/>
        </w:rPr>
        <w:t xml:space="preserve"> </w:t>
      </w:r>
      <w:r w:rsidRPr="00FB7761">
        <w:rPr>
          <w:rFonts w:ascii="Arial" w:hAnsi="Arial" w:cs="Arial"/>
          <w:b/>
          <w:bCs/>
          <w:sz w:val="28"/>
          <w:szCs w:val="28"/>
        </w:rPr>
        <w:t>Consequences for Upcoming Studies</w:t>
      </w:r>
      <w:bookmarkEnd w:id="85"/>
    </w:p>
    <w:p w14:paraId="4BBDB3D1" w14:textId="54429B03" w:rsidR="00FB7761"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 xml:space="preserve">Future research should fill in </w:t>
      </w:r>
      <w:proofErr w:type="gramStart"/>
      <w:r w:rsidRPr="003F29DA">
        <w:rPr>
          <w:rFonts w:ascii="Arial" w:hAnsi="Arial" w:cs="Arial"/>
          <w:sz w:val="22"/>
          <w:szCs w:val="22"/>
        </w:rPr>
        <w:t>a number of</w:t>
      </w:r>
      <w:proofErr w:type="gramEnd"/>
      <w:r w:rsidRPr="003F29DA">
        <w:rPr>
          <w:rFonts w:ascii="Arial" w:hAnsi="Arial" w:cs="Arial"/>
          <w:sz w:val="22"/>
          <w:szCs w:val="22"/>
        </w:rPr>
        <w:t xml:space="preserve"> gaps:</w:t>
      </w:r>
    </w:p>
    <w:p w14:paraId="5603CCF1" w14:textId="2E177079" w:rsidR="003F29DA" w:rsidRPr="00FB7761" w:rsidRDefault="003F29DA" w:rsidP="00FB7761">
      <w:pPr>
        <w:pStyle w:val="Heading3"/>
        <w:rPr>
          <w:rFonts w:ascii="Arial" w:hAnsi="Arial" w:cs="Arial"/>
          <w:b/>
          <w:bCs/>
          <w:sz w:val="24"/>
          <w:szCs w:val="24"/>
        </w:rPr>
      </w:pPr>
      <w:bookmarkStart w:id="86" w:name="_Toc219805187"/>
      <w:r w:rsidRPr="00FB7761">
        <w:rPr>
          <w:rFonts w:ascii="Arial" w:hAnsi="Arial" w:cs="Arial"/>
          <w:b/>
          <w:bCs/>
          <w:sz w:val="24"/>
          <w:szCs w:val="24"/>
        </w:rPr>
        <w:t>5.5.1</w:t>
      </w:r>
      <w:r w:rsidR="00FB7761" w:rsidRPr="00FB7761">
        <w:rPr>
          <w:rFonts w:ascii="Arial" w:hAnsi="Arial" w:cs="Arial"/>
          <w:b/>
          <w:bCs/>
          <w:sz w:val="24"/>
          <w:szCs w:val="24"/>
        </w:rPr>
        <w:t xml:space="preserve"> </w:t>
      </w:r>
      <w:r w:rsidRPr="00FB7761">
        <w:rPr>
          <w:rFonts w:ascii="Arial" w:hAnsi="Arial" w:cs="Arial"/>
          <w:b/>
          <w:bCs/>
          <w:sz w:val="24"/>
          <w:szCs w:val="24"/>
        </w:rPr>
        <w:t>Extended Monitoring</w:t>
      </w:r>
      <w:bookmarkEnd w:id="86"/>
    </w:p>
    <w:p w14:paraId="6ADA2EA9"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Few studies looked at results other than program completion. Long-term adherence, sustained functional improvements, and fall recurrence over a period of six to twenty-four months should all be assessed in research.</w:t>
      </w:r>
    </w:p>
    <w:p w14:paraId="4F3D05ED" w14:textId="77777777" w:rsidR="003F29DA" w:rsidRPr="003F29DA" w:rsidRDefault="003F29DA" w:rsidP="002F690B">
      <w:pPr>
        <w:spacing w:line="360" w:lineRule="auto"/>
        <w:jc w:val="both"/>
        <w:rPr>
          <w:rFonts w:ascii="Arial" w:hAnsi="Arial" w:cs="Arial"/>
          <w:sz w:val="22"/>
          <w:szCs w:val="22"/>
        </w:rPr>
      </w:pPr>
    </w:p>
    <w:p w14:paraId="2789861A" w14:textId="263AD4FD" w:rsidR="003F29DA" w:rsidRPr="00FB7761" w:rsidRDefault="003F29DA" w:rsidP="00FB7761">
      <w:pPr>
        <w:pStyle w:val="Heading3"/>
        <w:rPr>
          <w:rFonts w:ascii="Arial" w:hAnsi="Arial" w:cs="Arial"/>
          <w:b/>
          <w:bCs/>
          <w:sz w:val="24"/>
          <w:szCs w:val="24"/>
        </w:rPr>
      </w:pPr>
      <w:bookmarkStart w:id="87" w:name="_Toc219805188"/>
      <w:r w:rsidRPr="00FB7761">
        <w:rPr>
          <w:rFonts w:ascii="Arial" w:hAnsi="Arial" w:cs="Arial"/>
          <w:b/>
          <w:bCs/>
          <w:sz w:val="24"/>
          <w:szCs w:val="24"/>
        </w:rPr>
        <w:t>5.5.2</w:t>
      </w:r>
      <w:r w:rsidR="00FB7761" w:rsidRPr="00FB7761">
        <w:rPr>
          <w:rFonts w:ascii="Arial" w:hAnsi="Arial" w:cs="Arial"/>
          <w:b/>
          <w:bCs/>
          <w:sz w:val="24"/>
          <w:szCs w:val="24"/>
        </w:rPr>
        <w:t xml:space="preserve"> </w:t>
      </w:r>
      <w:r w:rsidRPr="00FB7761">
        <w:rPr>
          <w:rFonts w:ascii="Arial" w:hAnsi="Arial" w:cs="Arial"/>
          <w:b/>
          <w:bCs/>
          <w:sz w:val="24"/>
          <w:szCs w:val="24"/>
        </w:rPr>
        <w:t>Inclusion and Diversity</w:t>
      </w:r>
      <w:bookmarkEnd w:id="87"/>
    </w:p>
    <w:p w14:paraId="61EA6D95"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Minority ethnic groups, people that do not speak English, and culturally appropriate physiotherapy therapies in metropolitan England require more research.</w:t>
      </w:r>
    </w:p>
    <w:p w14:paraId="797ADAAC" w14:textId="77777777" w:rsidR="003F29DA" w:rsidRPr="003F29DA" w:rsidRDefault="003F29DA" w:rsidP="002F690B">
      <w:pPr>
        <w:spacing w:line="360" w:lineRule="auto"/>
        <w:jc w:val="both"/>
        <w:rPr>
          <w:rFonts w:ascii="Arial" w:hAnsi="Arial" w:cs="Arial"/>
          <w:sz w:val="22"/>
          <w:szCs w:val="22"/>
        </w:rPr>
      </w:pPr>
    </w:p>
    <w:p w14:paraId="717EA6E9" w14:textId="3F5A2E24" w:rsidR="003F29DA" w:rsidRPr="00FB7761" w:rsidRDefault="003F29DA" w:rsidP="00FB7761">
      <w:pPr>
        <w:pStyle w:val="Heading3"/>
        <w:rPr>
          <w:rFonts w:ascii="Arial" w:hAnsi="Arial" w:cs="Arial"/>
          <w:b/>
          <w:bCs/>
          <w:sz w:val="24"/>
          <w:szCs w:val="24"/>
        </w:rPr>
      </w:pPr>
      <w:bookmarkStart w:id="88" w:name="_Toc219805189"/>
      <w:r w:rsidRPr="00FB7761">
        <w:rPr>
          <w:rFonts w:ascii="Arial" w:hAnsi="Arial" w:cs="Arial"/>
          <w:b/>
          <w:bCs/>
          <w:sz w:val="24"/>
          <w:szCs w:val="24"/>
        </w:rPr>
        <w:t>5.5.3</w:t>
      </w:r>
      <w:r w:rsidR="00FB7761" w:rsidRPr="00FB7761">
        <w:rPr>
          <w:rFonts w:ascii="Arial" w:hAnsi="Arial" w:cs="Arial"/>
          <w:b/>
          <w:bCs/>
          <w:sz w:val="24"/>
          <w:szCs w:val="24"/>
        </w:rPr>
        <w:t xml:space="preserve"> </w:t>
      </w:r>
      <w:r w:rsidRPr="00FB7761">
        <w:rPr>
          <w:rFonts w:ascii="Arial" w:hAnsi="Arial" w:cs="Arial"/>
          <w:b/>
          <w:bCs/>
          <w:sz w:val="24"/>
          <w:szCs w:val="24"/>
        </w:rPr>
        <w:t>Standardized Measures of Outcomes</w:t>
      </w:r>
      <w:bookmarkEnd w:id="88"/>
    </w:p>
    <w:p w14:paraId="22D623B8"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Comparability amongst CBPT programs would be enhanced by more uniformity in outcome tools.</w:t>
      </w:r>
    </w:p>
    <w:p w14:paraId="0C25130D" w14:textId="77777777" w:rsidR="003F29DA" w:rsidRPr="003F29DA" w:rsidRDefault="003F29DA" w:rsidP="002F690B">
      <w:pPr>
        <w:spacing w:line="360" w:lineRule="auto"/>
        <w:jc w:val="both"/>
        <w:rPr>
          <w:rFonts w:ascii="Arial" w:hAnsi="Arial" w:cs="Arial"/>
          <w:sz w:val="22"/>
          <w:szCs w:val="22"/>
        </w:rPr>
      </w:pPr>
    </w:p>
    <w:p w14:paraId="57D71901" w14:textId="263570D7" w:rsidR="003F29DA" w:rsidRPr="00FB7761" w:rsidRDefault="003F29DA" w:rsidP="00FB7761">
      <w:pPr>
        <w:pStyle w:val="Heading3"/>
        <w:rPr>
          <w:rFonts w:ascii="Arial" w:hAnsi="Arial" w:cs="Arial"/>
          <w:b/>
          <w:bCs/>
          <w:sz w:val="24"/>
          <w:szCs w:val="24"/>
        </w:rPr>
      </w:pPr>
      <w:bookmarkStart w:id="89" w:name="_Toc219805190"/>
      <w:r w:rsidRPr="00FB7761">
        <w:rPr>
          <w:rFonts w:ascii="Arial" w:hAnsi="Arial" w:cs="Arial"/>
          <w:b/>
          <w:bCs/>
          <w:sz w:val="24"/>
          <w:szCs w:val="24"/>
        </w:rPr>
        <w:t>5.5.4</w:t>
      </w:r>
      <w:r w:rsidR="00FB7761" w:rsidRPr="00FB7761">
        <w:rPr>
          <w:rFonts w:ascii="Arial" w:hAnsi="Arial" w:cs="Arial"/>
          <w:b/>
          <w:bCs/>
          <w:sz w:val="24"/>
          <w:szCs w:val="24"/>
        </w:rPr>
        <w:t xml:space="preserve"> </w:t>
      </w:r>
      <w:r w:rsidRPr="00FB7761">
        <w:rPr>
          <w:rFonts w:ascii="Arial" w:hAnsi="Arial" w:cs="Arial"/>
          <w:b/>
          <w:bCs/>
          <w:sz w:val="24"/>
          <w:szCs w:val="24"/>
        </w:rPr>
        <w:t>Assessing Hybrid and Telehealth Models</w:t>
      </w:r>
      <w:bookmarkEnd w:id="89"/>
    </w:p>
    <w:p w14:paraId="71E715A6" w14:textId="77777777" w:rsidR="003F29DA" w:rsidRPr="003F29DA" w:rsidRDefault="003F29DA" w:rsidP="002F690B">
      <w:pPr>
        <w:spacing w:line="360" w:lineRule="auto"/>
        <w:jc w:val="both"/>
        <w:rPr>
          <w:rFonts w:ascii="Arial" w:hAnsi="Arial" w:cs="Arial"/>
          <w:sz w:val="22"/>
          <w:szCs w:val="22"/>
        </w:rPr>
      </w:pPr>
      <w:r w:rsidRPr="003F29DA">
        <w:rPr>
          <w:rFonts w:ascii="Arial" w:hAnsi="Arial" w:cs="Arial"/>
          <w:sz w:val="22"/>
          <w:szCs w:val="22"/>
        </w:rPr>
        <w:t>The COVID-19 period saw a surge in digital physiotherapy. Its efficacy for older persons in urban settings with different levels of digital literacy should be investigated.</w:t>
      </w:r>
    </w:p>
    <w:p w14:paraId="49367CC9" w14:textId="77777777" w:rsidR="003F29DA" w:rsidRPr="003F29DA" w:rsidRDefault="003F29DA" w:rsidP="002F690B">
      <w:pPr>
        <w:spacing w:line="360" w:lineRule="auto"/>
        <w:jc w:val="both"/>
        <w:rPr>
          <w:rFonts w:ascii="Arial" w:hAnsi="Arial" w:cs="Arial"/>
          <w:sz w:val="22"/>
          <w:szCs w:val="22"/>
        </w:rPr>
      </w:pPr>
    </w:p>
    <w:p w14:paraId="15E726D6" w14:textId="704D2536" w:rsidR="003F29DA" w:rsidRDefault="003F29DA" w:rsidP="00FB7761">
      <w:pPr>
        <w:pStyle w:val="Heading2"/>
        <w:rPr>
          <w:rFonts w:ascii="Arial" w:hAnsi="Arial" w:cs="Arial"/>
          <w:b/>
          <w:bCs/>
          <w:sz w:val="28"/>
          <w:szCs w:val="28"/>
        </w:rPr>
      </w:pPr>
      <w:bookmarkStart w:id="90" w:name="_Toc219805191"/>
      <w:r w:rsidRPr="00FB7761">
        <w:rPr>
          <w:rFonts w:ascii="Arial" w:hAnsi="Arial" w:cs="Arial"/>
          <w:b/>
          <w:bCs/>
          <w:sz w:val="28"/>
          <w:szCs w:val="28"/>
        </w:rPr>
        <w:lastRenderedPageBreak/>
        <w:t>5.6</w:t>
      </w:r>
      <w:r w:rsidR="00FB7761" w:rsidRPr="00FB7761">
        <w:rPr>
          <w:rFonts w:ascii="Arial" w:hAnsi="Arial" w:cs="Arial"/>
          <w:b/>
          <w:bCs/>
          <w:sz w:val="28"/>
          <w:szCs w:val="28"/>
        </w:rPr>
        <w:t xml:space="preserve"> </w:t>
      </w:r>
      <w:r w:rsidRPr="00FB7761">
        <w:rPr>
          <w:rFonts w:ascii="Arial" w:hAnsi="Arial" w:cs="Arial"/>
          <w:b/>
          <w:bCs/>
          <w:sz w:val="28"/>
          <w:szCs w:val="28"/>
        </w:rPr>
        <w:t>Strengths and Limitations of This Dissertation</w:t>
      </w:r>
      <w:bookmarkEnd w:id="90"/>
    </w:p>
    <w:p w14:paraId="50D8DB5A" w14:textId="22058978" w:rsidR="00706A5F" w:rsidRPr="00706A5F" w:rsidRDefault="00706A5F" w:rsidP="00706A5F">
      <w:pPr>
        <w:rPr>
          <w:b/>
          <w:bCs/>
        </w:rPr>
      </w:pPr>
      <w:r w:rsidRPr="00706A5F">
        <w:rPr>
          <w:b/>
          <w:bCs/>
        </w:rPr>
        <w:t>Strengths</w:t>
      </w:r>
    </w:p>
    <w:p w14:paraId="51190A64" w14:textId="77777777" w:rsidR="00706A5F" w:rsidRPr="00706A5F" w:rsidRDefault="00706A5F" w:rsidP="00706A5F">
      <w:pPr>
        <w:spacing w:line="360" w:lineRule="auto"/>
        <w:jc w:val="both"/>
        <w:rPr>
          <w:rFonts w:ascii="Arial" w:hAnsi="Arial" w:cs="Arial"/>
          <w:sz w:val="22"/>
          <w:szCs w:val="22"/>
        </w:rPr>
      </w:pPr>
      <w:proofErr w:type="gramStart"/>
      <w:r w:rsidRPr="00706A5F">
        <w:rPr>
          <w:rFonts w:ascii="Arial" w:hAnsi="Arial" w:cs="Arial"/>
          <w:sz w:val="22"/>
          <w:szCs w:val="22"/>
        </w:rPr>
        <w:t>In order to</w:t>
      </w:r>
      <w:proofErr w:type="gramEnd"/>
      <w:r w:rsidRPr="00706A5F">
        <w:rPr>
          <w:rFonts w:ascii="Arial" w:hAnsi="Arial" w:cs="Arial"/>
          <w:sz w:val="22"/>
          <w:szCs w:val="22"/>
        </w:rPr>
        <w:t xml:space="preserve"> ensure transparency, repeatability, and scientific rigor in the discovery and selection of studies, this review adhered to a rigorous PRISMA-directed search approach. Following PRISMA standards lowers the possibility of selection bias and enhances the review process's trustworthiness (Page et al., 2021).</w:t>
      </w:r>
    </w:p>
    <w:p w14:paraId="3B0AB78B" w14:textId="357A75BC" w:rsidR="00FB7761" w:rsidRDefault="00706A5F" w:rsidP="00706A5F">
      <w:pPr>
        <w:spacing w:line="360" w:lineRule="auto"/>
        <w:jc w:val="both"/>
        <w:rPr>
          <w:rFonts w:ascii="Arial" w:hAnsi="Arial" w:cs="Arial"/>
          <w:sz w:val="22"/>
          <w:szCs w:val="22"/>
        </w:rPr>
      </w:pPr>
      <w:r w:rsidRPr="00706A5F">
        <w:rPr>
          <w:rFonts w:ascii="Arial" w:hAnsi="Arial" w:cs="Arial"/>
          <w:sz w:val="22"/>
          <w:szCs w:val="22"/>
        </w:rPr>
        <w:t xml:space="preserve">A richer, contextual comprehension of the contained material was made possible </w:t>
      </w:r>
      <w:proofErr w:type="gramStart"/>
      <w:r w:rsidRPr="00706A5F">
        <w:rPr>
          <w:rFonts w:ascii="Arial" w:hAnsi="Arial" w:cs="Arial"/>
          <w:sz w:val="22"/>
          <w:szCs w:val="22"/>
        </w:rPr>
        <w:t>by the use of</w:t>
      </w:r>
      <w:proofErr w:type="gramEnd"/>
      <w:r w:rsidRPr="00706A5F">
        <w:rPr>
          <w:rFonts w:ascii="Arial" w:hAnsi="Arial" w:cs="Arial"/>
          <w:sz w:val="22"/>
          <w:szCs w:val="22"/>
        </w:rPr>
        <w:t xml:space="preserve"> a thematic synthesis technique. </w:t>
      </w:r>
      <w:proofErr w:type="gramStart"/>
      <w:r w:rsidRPr="00706A5F">
        <w:rPr>
          <w:rFonts w:ascii="Arial" w:hAnsi="Arial" w:cs="Arial"/>
          <w:sz w:val="22"/>
          <w:szCs w:val="22"/>
        </w:rPr>
        <w:t>In order to</w:t>
      </w:r>
      <w:proofErr w:type="gramEnd"/>
      <w:r w:rsidRPr="00706A5F">
        <w:rPr>
          <w:rFonts w:ascii="Arial" w:hAnsi="Arial" w:cs="Arial"/>
          <w:sz w:val="22"/>
          <w:szCs w:val="22"/>
        </w:rPr>
        <w:t xml:space="preserve"> identify recurrent patterns and significant themes pertinent to community-based physiotherapy practice, this approach made it easier to integrate quantitative and qualitative data (Thomas and Harden, 2008).</w:t>
      </w:r>
    </w:p>
    <w:p w14:paraId="17F15E11" w14:textId="6680D342" w:rsidR="00706A5F" w:rsidRPr="00706A5F" w:rsidRDefault="00706A5F" w:rsidP="00706A5F">
      <w:pPr>
        <w:spacing w:line="360" w:lineRule="auto"/>
        <w:jc w:val="both"/>
        <w:rPr>
          <w:rFonts w:ascii="Arial" w:hAnsi="Arial" w:cs="Arial"/>
          <w:sz w:val="22"/>
          <w:szCs w:val="22"/>
        </w:rPr>
      </w:pPr>
      <w:r w:rsidRPr="00706A5F">
        <w:rPr>
          <w:rFonts w:ascii="Arial" w:hAnsi="Arial" w:cs="Arial"/>
          <w:sz w:val="22"/>
          <w:szCs w:val="22"/>
        </w:rPr>
        <w:t>By concentrating on urban and metropolitan settings—</w:t>
      </w:r>
      <w:proofErr w:type="gramStart"/>
      <w:r w:rsidRPr="00706A5F">
        <w:rPr>
          <w:rFonts w:ascii="Arial" w:hAnsi="Arial" w:cs="Arial"/>
          <w:sz w:val="22"/>
          <w:szCs w:val="22"/>
        </w:rPr>
        <w:t>an</w:t>
      </w:r>
      <w:proofErr w:type="gramEnd"/>
      <w:r w:rsidRPr="00706A5F">
        <w:rPr>
          <w:rFonts w:ascii="Arial" w:hAnsi="Arial" w:cs="Arial"/>
          <w:sz w:val="22"/>
          <w:szCs w:val="22"/>
        </w:rPr>
        <w:t xml:space="preserve"> sector that is still underrepresented in fall-prevention research—the review fills a recognized gap in the literature. The findings are more pertinent for public health planning and service delivery in metropolitan England because of this focus (Sherrington et al., 2019).</w:t>
      </w:r>
    </w:p>
    <w:p w14:paraId="3CC3A529" w14:textId="21B26966" w:rsidR="00706A5F" w:rsidRDefault="00706A5F" w:rsidP="00706A5F">
      <w:pPr>
        <w:spacing w:line="360" w:lineRule="auto"/>
        <w:jc w:val="both"/>
        <w:rPr>
          <w:rFonts w:ascii="Arial" w:hAnsi="Arial" w:cs="Arial"/>
          <w:sz w:val="22"/>
          <w:szCs w:val="22"/>
        </w:rPr>
      </w:pPr>
      <w:r w:rsidRPr="00706A5F">
        <w:rPr>
          <w:rFonts w:ascii="Arial" w:hAnsi="Arial" w:cs="Arial"/>
          <w:sz w:val="22"/>
          <w:szCs w:val="22"/>
        </w:rPr>
        <w:t>The multifaceted approach taken, which incorporates the physical, psychological, and environmental aspects of falls, is another asset. This all-encompassing strategy is consistent with modern concepts in physiotherapy and public health that highlight multidimensional risk reduction in older persons (Gillespie et al., 2012).</w:t>
      </w:r>
    </w:p>
    <w:p w14:paraId="0B417373" w14:textId="12CE8363" w:rsidR="00706A5F" w:rsidRDefault="00706A5F" w:rsidP="00706A5F">
      <w:pPr>
        <w:spacing w:line="360" w:lineRule="auto"/>
        <w:jc w:val="both"/>
        <w:rPr>
          <w:rFonts w:ascii="Arial" w:hAnsi="Arial" w:cs="Arial"/>
          <w:b/>
          <w:bCs/>
          <w:sz w:val="22"/>
          <w:szCs w:val="22"/>
        </w:rPr>
      </w:pPr>
      <w:r w:rsidRPr="00706A5F">
        <w:rPr>
          <w:rFonts w:ascii="Arial" w:hAnsi="Arial" w:cs="Arial"/>
          <w:b/>
          <w:bCs/>
          <w:sz w:val="22"/>
          <w:szCs w:val="22"/>
        </w:rPr>
        <w:t>Limitations</w:t>
      </w:r>
    </w:p>
    <w:p w14:paraId="337B02F4" w14:textId="5C9C3923" w:rsidR="00706A5F" w:rsidRPr="00706A5F" w:rsidRDefault="00706A5F" w:rsidP="00706A5F">
      <w:pPr>
        <w:spacing w:line="360" w:lineRule="auto"/>
        <w:jc w:val="both"/>
        <w:rPr>
          <w:rFonts w:ascii="Arial" w:hAnsi="Arial" w:cs="Arial"/>
          <w:sz w:val="22"/>
          <w:szCs w:val="22"/>
        </w:rPr>
      </w:pPr>
      <w:r w:rsidRPr="00706A5F">
        <w:rPr>
          <w:rFonts w:ascii="Arial" w:hAnsi="Arial" w:cs="Arial"/>
          <w:sz w:val="22"/>
          <w:szCs w:val="22"/>
        </w:rPr>
        <w:t>Grey literature was not included in this review, which was restricted to peer-reviewed academic publications. Consequently, the scope of accessible information may have been limited since pertinent policy reports, service evaluations, or unpublished research might not have been recorded (Paez, 2017).</w:t>
      </w:r>
    </w:p>
    <w:p w14:paraId="0AFFFE51" w14:textId="47FBEA64" w:rsidR="00706A5F" w:rsidRPr="00706A5F" w:rsidRDefault="00706A5F" w:rsidP="00706A5F">
      <w:pPr>
        <w:spacing w:line="360" w:lineRule="auto"/>
        <w:jc w:val="both"/>
        <w:rPr>
          <w:rFonts w:ascii="Arial" w:hAnsi="Arial" w:cs="Arial"/>
          <w:sz w:val="22"/>
          <w:szCs w:val="22"/>
        </w:rPr>
      </w:pPr>
      <w:r w:rsidRPr="00706A5F">
        <w:rPr>
          <w:rFonts w:ascii="Arial" w:hAnsi="Arial" w:cs="Arial"/>
          <w:sz w:val="22"/>
          <w:szCs w:val="22"/>
        </w:rPr>
        <w:t xml:space="preserve">Furthermore, only English-language studies were selected. Language bias may have been </w:t>
      </w:r>
      <w:proofErr w:type="gramStart"/>
      <w:r w:rsidRPr="00706A5F">
        <w:rPr>
          <w:rFonts w:ascii="Arial" w:hAnsi="Arial" w:cs="Arial"/>
          <w:sz w:val="22"/>
          <w:szCs w:val="22"/>
        </w:rPr>
        <w:t>introduced</w:t>
      </w:r>
      <w:proofErr w:type="gramEnd"/>
      <w:r w:rsidRPr="00706A5F">
        <w:rPr>
          <w:rFonts w:ascii="Arial" w:hAnsi="Arial" w:cs="Arial"/>
          <w:sz w:val="22"/>
          <w:szCs w:val="22"/>
        </w:rPr>
        <w:t xml:space="preserve"> and the findings' worldwide application may have been limited </w:t>
      </w:r>
      <w:proofErr w:type="gramStart"/>
      <w:r w:rsidRPr="00706A5F">
        <w:rPr>
          <w:rFonts w:ascii="Arial" w:hAnsi="Arial" w:cs="Arial"/>
          <w:sz w:val="22"/>
          <w:szCs w:val="22"/>
        </w:rPr>
        <w:t>as a result of</w:t>
      </w:r>
      <w:proofErr w:type="gramEnd"/>
      <w:r w:rsidRPr="00706A5F">
        <w:rPr>
          <w:rFonts w:ascii="Arial" w:hAnsi="Arial" w:cs="Arial"/>
          <w:sz w:val="22"/>
          <w:szCs w:val="22"/>
        </w:rPr>
        <w:t xml:space="preserve"> the removal of pertinent foreign research (Moher et al., 2000).</w:t>
      </w:r>
    </w:p>
    <w:p w14:paraId="00CC5230" w14:textId="19CC26DF" w:rsidR="00706A5F" w:rsidRDefault="00706A5F" w:rsidP="00706A5F">
      <w:pPr>
        <w:spacing w:line="360" w:lineRule="auto"/>
        <w:jc w:val="both"/>
        <w:rPr>
          <w:rFonts w:ascii="Arial" w:hAnsi="Arial" w:cs="Arial"/>
          <w:sz w:val="22"/>
          <w:szCs w:val="22"/>
        </w:rPr>
      </w:pPr>
      <w:r w:rsidRPr="00706A5F">
        <w:rPr>
          <w:rFonts w:ascii="Arial" w:hAnsi="Arial" w:cs="Arial"/>
          <w:sz w:val="22"/>
          <w:szCs w:val="22"/>
        </w:rPr>
        <w:t>Variations in research quality and reporting also had an impact on the synthesis, which might have an impact on the validity of the results reached. Direct comparison was hampered by variations in methodological rigor, outcome measurements, and intervention descriptions between trials (Higgins et al., 2022).</w:t>
      </w:r>
    </w:p>
    <w:p w14:paraId="2AC8EF15" w14:textId="7E22CC93" w:rsidR="00706A5F" w:rsidRPr="00706A5F" w:rsidRDefault="00706A5F" w:rsidP="00706A5F">
      <w:pPr>
        <w:spacing w:line="360" w:lineRule="auto"/>
        <w:jc w:val="both"/>
        <w:rPr>
          <w:rFonts w:ascii="Arial" w:hAnsi="Arial" w:cs="Arial"/>
          <w:sz w:val="22"/>
          <w:szCs w:val="22"/>
        </w:rPr>
      </w:pPr>
      <w:r w:rsidRPr="00706A5F">
        <w:rPr>
          <w:rFonts w:ascii="Arial" w:hAnsi="Arial" w:cs="Arial"/>
          <w:sz w:val="22"/>
          <w:szCs w:val="22"/>
        </w:rPr>
        <w:t xml:space="preserve">Additionally, the limited number of included research limits the strength of causal inference and generalizability. In terms of intervention design, duration, and outcome </w:t>
      </w:r>
      <w:r w:rsidRPr="00706A5F">
        <w:rPr>
          <w:rFonts w:ascii="Arial" w:hAnsi="Arial" w:cs="Arial"/>
          <w:sz w:val="22"/>
          <w:szCs w:val="22"/>
        </w:rPr>
        <w:lastRenderedPageBreak/>
        <w:t>measurement, heterogeneity was apparent, which further restricts the capacity to reach firm conclusions. However, the particular emphasis on urban community settings offers insightful, context-specific information that is extremely pertinent to the practice of community physiotherapy and the creation of public health policies in metropolitan England.</w:t>
      </w:r>
    </w:p>
    <w:p w14:paraId="59F00EFD" w14:textId="77777777" w:rsidR="00706A5F" w:rsidRPr="003F29DA" w:rsidRDefault="00706A5F" w:rsidP="00706A5F">
      <w:pPr>
        <w:spacing w:line="360" w:lineRule="auto"/>
        <w:jc w:val="both"/>
        <w:rPr>
          <w:rFonts w:ascii="Arial" w:hAnsi="Arial" w:cs="Arial"/>
          <w:sz w:val="22"/>
          <w:szCs w:val="22"/>
        </w:rPr>
      </w:pPr>
    </w:p>
    <w:p w14:paraId="292B31B9" w14:textId="076EC70F" w:rsidR="003F29DA" w:rsidRPr="00FB7761" w:rsidRDefault="003F29DA" w:rsidP="00FB7761">
      <w:pPr>
        <w:pStyle w:val="Heading2"/>
        <w:rPr>
          <w:rFonts w:ascii="Arial" w:hAnsi="Arial" w:cs="Arial"/>
          <w:b/>
          <w:bCs/>
          <w:sz w:val="28"/>
          <w:szCs w:val="28"/>
        </w:rPr>
      </w:pPr>
      <w:bookmarkStart w:id="91" w:name="_Toc219805192"/>
      <w:r w:rsidRPr="00FB7761">
        <w:rPr>
          <w:rFonts w:ascii="Arial" w:hAnsi="Arial" w:cs="Arial"/>
          <w:b/>
          <w:bCs/>
          <w:sz w:val="28"/>
          <w:szCs w:val="28"/>
        </w:rPr>
        <w:t>5.7</w:t>
      </w:r>
      <w:r w:rsidR="00FB7761" w:rsidRPr="00FB7761">
        <w:rPr>
          <w:rFonts w:ascii="Arial" w:hAnsi="Arial" w:cs="Arial"/>
          <w:b/>
          <w:bCs/>
          <w:sz w:val="28"/>
          <w:szCs w:val="28"/>
        </w:rPr>
        <w:t xml:space="preserve"> </w:t>
      </w:r>
      <w:r w:rsidRPr="00FB7761">
        <w:rPr>
          <w:rFonts w:ascii="Arial" w:hAnsi="Arial" w:cs="Arial"/>
          <w:b/>
          <w:bCs/>
          <w:sz w:val="28"/>
          <w:szCs w:val="28"/>
        </w:rPr>
        <w:t>Overall Conclusion</w:t>
      </w:r>
      <w:bookmarkEnd w:id="91"/>
    </w:p>
    <w:p w14:paraId="64102DC2" w14:textId="4802DDB1" w:rsidR="002A4F71" w:rsidRPr="002A4F71" w:rsidRDefault="002A4F71" w:rsidP="002A4F71">
      <w:pPr>
        <w:spacing w:line="360" w:lineRule="auto"/>
        <w:jc w:val="both"/>
        <w:rPr>
          <w:rFonts w:ascii="Arial" w:hAnsi="Arial" w:cs="Arial"/>
          <w:sz w:val="22"/>
          <w:szCs w:val="22"/>
        </w:rPr>
      </w:pPr>
      <w:r w:rsidRPr="002A4F71">
        <w:rPr>
          <w:rFonts w:ascii="Arial" w:hAnsi="Arial" w:cs="Arial"/>
          <w:sz w:val="22"/>
          <w:szCs w:val="22"/>
        </w:rPr>
        <w:t>According to the findings of this research, community-based physical therapy (CBPT) is a comprehensive and successful strategy for lowering falls among older persons residing in metropolitan England. Evidence suggests that CBPT therapies improve functional mobility, strength, and balance in addition to more general advantages including increased psychological resilience and social connectivity. These results are especially significant in urban settings, where older people frequently experience social isolation and fear of falling.</w:t>
      </w:r>
    </w:p>
    <w:p w14:paraId="62D80F92" w14:textId="1F4D4DAE" w:rsidR="002A4F71" w:rsidRPr="002A4F71" w:rsidRDefault="002A4F71" w:rsidP="002A4F71">
      <w:pPr>
        <w:spacing w:line="360" w:lineRule="auto"/>
        <w:jc w:val="both"/>
        <w:rPr>
          <w:rFonts w:ascii="Arial" w:hAnsi="Arial" w:cs="Arial"/>
          <w:sz w:val="22"/>
          <w:szCs w:val="22"/>
        </w:rPr>
      </w:pPr>
      <w:r w:rsidRPr="002A4F71">
        <w:rPr>
          <w:rFonts w:ascii="Arial" w:hAnsi="Arial" w:cs="Arial"/>
          <w:sz w:val="22"/>
          <w:szCs w:val="22"/>
        </w:rPr>
        <w:t>The results do, however, also point to important urban-specific issues that might restrict the efficacy and scope of CBPT initiatives. The included research consistently highlighted barriers pertaining to transportation accessibility, environmental limitations, socioeconomic disparities, and service capacity issues.</w:t>
      </w:r>
      <w:r w:rsidRPr="002A4F71">
        <w:t xml:space="preserve"> </w:t>
      </w:r>
      <w:r w:rsidRPr="002A4F71">
        <w:rPr>
          <w:rFonts w:ascii="Arial" w:hAnsi="Arial" w:cs="Arial"/>
          <w:sz w:val="22"/>
          <w:szCs w:val="22"/>
        </w:rPr>
        <w:t>Particularly for socioeconomically disadvantaged groups, these obstacles may limit participation and adherence, exacerbating already-existing health disparities.</w:t>
      </w:r>
    </w:p>
    <w:p w14:paraId="7CB287AA" w14:textId="15DA500C" w:rsidR="00421D4D" w:rsidRDefault="002A4F71" w:rsidP="002A4F71">
      <w:pPr>
        <w:spacing w:line="360" w:lineRule="auto"/>
        <w:jc w:val="both"/>
        <w:rPr>
          <w:rFonts w:ascii="Arial" w:hAnsi="Arial" w:cs="Arial"/>
          <w:sz w:val="22"/>
          <w:szCs w:val="22"/>
        </w:rPr>
      </w:pPr>
      <w:r w:rsidRPr="002A4F71">
        <w:rPr>
          <w:rFonts w:ascii="Arial" w:hAnsi="Arial" w:cs="Arial"/>
          <w:sz w:val="22"/>
          <w:szCs w:val="22"/>
        </w:rPr>
        <w:t>Despite these limitations, this dissertation's urban focus offers insightful, context-specific information that is directly applicable to community physiotherapy practice and public health policy in metropolitan England. To maximize the efficacy of CBPT interventions, these obstacles must be addressed through intersectoral cooperation and tailored service design.</w:t>
      </w:r>
    </w:p>
    <w:p w14:paraId="1AB0DBF3" w14:textId="70EFAD47" w:rsidR="00B61FBC" w:rsidRDefault="00B61FBC" w:rsidP="002A4F71">
      <w:pPr>
        <w:spacing w:line="360" w:lineRule="auto"/>
        <w:jc w:val="both"/>
        <w:rPr>
          <w:rFonts w:ascii="Arial" w:hAnsi="Arial" w:cs="Arial"/>
          <w:sz w:val="22"/>
          <w:szCs w:val="22"/>
        </w:rPr>
      </w:pPr>
      <w:r w:rsidRPr="00B61FBC">
        <w:rPr>
          <w:rFonts w:ascii="Arial" w:hAnsi="Arial" w:cs="Arial"/>
          <w:sz w:val="22"/>
          <w:szCs w:val="22"/>
        </w:rPr>
        <w:t xml:space="preserve">My capacity to organize, oversee, and critically assess independent research in a public health setting has improved </w:t>
      </w:r>
      <w:proofErr w:type="gramStart"/>
      <w:r w:rsidRPr="00B61FBC">
        <w:rPr>
          <w:rFonts w:ascii="Arial" w:hAnsi="Arial" w:cs="Arial"/>
          <w:sz w:val="22"/>
          <w:szCs w:val="22"/>
        </w:rPr>
        <w:t>as a result of</w:t>
      </w:r>
      <w:proofErr w:type="gramEnd"/>
      <w:r w:rsidRPr="00B61FBC">
        <w:rPr>
          <w:rFonts w:ascii="Arial" w:hAnsi="Arial" w:cs="Arial"/>
          <w:sz w:val="22"/>
          <w:szCs w:val="22"/>
        </w:rPr>
        <w:t xml:space="preserve"> finishing my dissertation. My comprehension of participant protection, informed consent, and data governance when doing research involving older persons has improved </w:t>
      </w:r>
      <w:proofErr w:type="gramStart"/>
      <w:r w:rsidRPr="00B61FBC">
        <w:rPr>
          <w:rFonts w:ascii="Arial" w:hAnsi="Arial" w:cs="Arial"/>
          <w:sz w:val="22"/>
          <w:szCs w:val="22"/>
        </w:rPr>
        <w:t>as a result of</w:t>
      </w:r>
      <w:proofErr w:type="gramEnd"/>
      <w:r w:rsidRPr="00B61FBC">
        <w:rPr>
          <w:rFonts w:ascii="Arial" w:hAnsi="Arial" w:cs="Arial"/>
          <w:sz w:val="22"/>
          <w:szCs w:val="22"/>
        </w:rPr>
        <w:t xml:space="preserve"> interacting with ethical approval procedures. My confidence in implementing study results to community physiotherapy practice has increased </w:t>
      </w:r>
      <w:proofErr w:type="gramStart"/>
      <w:r w:rsidRPr="00B61FBC">
        <w:rPr>
          <w:rFonts w:ascii="Arial" w:hAnsi="Arial" w:cs="Arial"/>
          <w:sz w:val="22"/>
          <w:szCs w:val="22"/>
        </w:rPr>
        <w:t>as a result of</w:t>
      </w:r>
      <w:proofErr w:type="gramEnd"/>
      <w:r w:rsidRPr="00B61FBC">
        <w:rPr>
          <w:rFonts w:ascii="Arial" w:hAnsi="Arial" w:cs="Arial"/>
          <w:sz w:val="22"/>
          <w:szCs w:val="22"/>
        </w:rPr>
        <w:t xml:space="preserve"> the critical evaluation of the evidence, which has also reaffirmed the significance of evidence-based decision-making in public health. By assisting in the creation and assessment of </w:t>
      </w:r>
      <w:r w:rsidRPr="00B61FBC">
        <w:rPr>
          <w:rFonts w:ascii="Arial" w:hAnsi="Arial" w:cs="Arial"/>
          <w:sz w:val="22"/>
          <w:szCs w:val="22"/>
        </w:rPr>
        <w:lastRenderedPageBreak/>
        <w:t>successful, community-based fall-prevention strategies for senior populations, this knowledge will directly influence my future professional practice.</w:t>
      </w:r>
    </w:p>
    <w:p w14:paraId="274F941F" w14:textId="77777777" w:rsidR="002F340F" w:rsidRDefault="002F340F" w:rsidP="00421D4D">
      <w:pPr>
        <w:pStyle w:val="Heading1"/>
        <w:rPr>
          <w:rFonts w:ascii="Arial" w:hAnsi="Arial" w:cs="Arial"/>
          <w:b/>
          <w:bCs/>
          <w:sz w:val="22"/>
          <w:szCs w:val="22"/>
        </w:rPr>
      </w:pPr>
    </w:p>
    <w:p w14:paraId="0F847707" w14:textId="77777777" w:rsidR="00B77F6B" w:rsidRDefault="00B77F6B" w:rsidP="00B77F6B"/>
    <w:p w14:paraId="04E9035D" w14:textId="77777777" w:rsidR="003C75C6" w:rsidRDefault="003C75C6" w:rsidP="00B77F6B"/>
    <w:p w14:paraId="05770128" w14:textId="77777777" w:rsidR="003C75C6" w:rsidRDefault="003C75C6" w:rsidP="00B77F6B"/>
    <w:p w14:paraId="70A932E0" w14:textId="77777777" w:rsidR="003C75C6" w:rsidRDefault="003C75C6" w:rsidP="00B77F6B"/>
    <w:p w14:paraId="04D648E0" w14:textId="77777777" w:rsidR="003C75C6" w:rsidRDefault="003C75C6" w:rsidP="00B77F6B"/>
    <w:p w14:paraId="581FEED3" w14:textId="77777777" w:rsidR="003C75C6" w:rsidRDefault="003C75C6" w:rsidP="00B77F6B"/>
    <w:p w14:paraId="6FBE7DE5" w14:textId="77777777" w:rsidR="003C75C6" w:rsidRDefault="003C75C6" w:rsidP="00B77F6B"/>
    <w:p w14:paraId="45342B20" w14:textId="77777777" w:rsidR="003C75C6" w:rsidRDefault="003C75C6" w:rsidP="00B77F6B"/>
    <w:p w14:paraId="0AE3843E" w14:textId="77777777" w:rsidR="003C75C6" w:rsidRDefault="003C75C6" w:rsidP="00B77F6B"/>
    <w:p w14:paraId="3A604514" w14:textId="77777777" w:rsidR="003C75C6" w:rsidRPr="00B77F6B" w:rsidRDefault="003C75C6" w:rsidP="00B77F6B"/>
    <w:p w14:paraId="2971ACCA" w14:textId="736FE921" w:rsidR="00421D4D" w:rsidRPr="00B77F6B" w:rsidRDefault="00421D4D" w:rsidP="00421D4D">
      <w:pPr>
        <w:pStyle w:val="Heading1"/>
        <w:rPr>
          <w:rFonts w:ascii="Arial" w:hAnsi="Arial" w:cs="Arial"/>
          <w:b/>
          <w:bCs/>
          <w:sz w:val="24"/>
          <w:szCs w:val="24"/>
        </w:rPr>
      </w:pPr>
      <w:bookmarkStart w:id="92" w:name="_Toc219805193"/>
      <w:r w:rsidRPr="00B77F6B">
        <w:rPr>
          <w:rFonts w:ascii="Arial" w:hAnsi="Arial" w:cs="Arial"/>
          <w:b/>
          <w:bCs/>
          <w:sz w:val="24"/>
          <w:szCs w:val="24"/>
        </w:rPr>
        <w:t>References</w:t>
      </w:r>
      <w:bookmarkEnd w:id="92"/>
    </w:p>
    <w:p w14:paraId="73A07651"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Allender, S. et al. (2020) ‘Whole systems </w:t>
      </w:r>
      <w:proofErr w:type="gramStart"/>
      <w:r w:rsidRPr="00B77F6B">
        <w:rPr>
          <w:rFonts w:ascii="Arial" w:eastAsia="Times New Roman" w:hAnsi="Arial" w:cs="Arial"/>
          <w:kern w:val="0"/>
          <w:sz w:val="22"/>
          <w:szCs w:val="22"/>
          <w:lang w:eastAsia="en-IN"/>
          <w14:ligatures w14:val="none"/>
        </w:rPr>
        <w:t>approaches</w:t>
      </w:r>
      <w:proofErr w:type="gramEnd"/>
      <w:r w:rsidRPr="00B77F6B">
        <w:rPr>
          <w:rFonts w:ascii="Arial" w:eastAsia="Times New Roman" w:hAnsi="Arial" w:cs="Arial"/>
          <w:kern w:val="0"/>
          <w:sz w:val="22"/>
          <w:szCs w:val="22"/>
          <w:lang w:eastAsia="en-IN"/>
          <w14:ligatures w14:val="none"/>
        </w:rPr>
        <w:t xml:space="preserve"> to obesity and public health’, </w:t>
      </w:r>
      <w:r w:rsidRPr="00B77F6B">
        <w:rPr>
          <w:rFonts w:ascii="Arial" w:eastAsia="Times New Roman" w:hAnsi="Arial" w:cs="Arial"/>
          <w:i/>
          <w:iCs/>
          <w:kern w:val="0"/>
          <w:sz w:val="22"/>
          <w:szCs w:val="22"/>
          <w:lang w:eastAsia="en-IN"/>
          <w14:ligatures w14:val="none"/>
        </w:rPr>
        <w:t>BMJ</w:t>
      </w:r>
      <w:r w:rsidRPr="00B77F6B">
        <w:rPr>
          <w:rFonts w:ascii="Arial" w:eastAsia="Times New Roman" w:hAnsi="Arial" w:cs="Arial"/>
          <w:kern w:val="0"/>
          <w:sz w:val="22"/>
          <w:szCs w:val="22"/>
          <w:lang w:eastAsia="en-IN"/>
          <w14:ligatures w14:val="none"/>
        </w:rPr>
        <w:t>, 368, m234.</w:t>
      </w:r>
    </w:p>
    <w:p w14:paraId="6DE7FD0E"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Anderson, R. and White, S. (2021) ‘Understanding contextual influences on community health interventions’, </w:t>
      </w:r>
      <w:r w:rsidRPr="00B77F6B">
        <w:rPr>
          <w:rFonts w:ascii="Arial" w:eastAsia="Times New Roman" w:hAnsi="Arial" w:cs="Arial"/>
          <w:i/>
          <w:iCs/>
          <w:kern w:val="0"/>
          <w:sz w:val="22"/>
          <w:szCs w:val="22"/>
          <w:lang w:eastAsia="en-IN"/>
          <w14:ligatures w14:val="none"/>
        </w:rPr>
        <w:t>Journal of Public Health</w:t>
      </w:r>
      <w:r w:rsidRPr="00B77F6B">
        <w:rPr>
          <w:rFonts w:ascii="Arial" w:eastAsia="Times New Roman" w:hAnsi="Arial" w:cs="Arial"/>
          <w:kern w:val="0"/>
          <w:sz w:val="22"/>
          <w:szCs w:val="22"/>
          <w:lang w:eastAsia="en-IN"/>
          <w14:ligatures w14:val="none"/>
        </w:rPr>
        <w:t>, 43(2), pp. 356–364.</w:t>
      </w:r>
    </w:p>
    <w:p w14:paraId="77E3F732"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proofErr w:type="spellStart"/>
      <w:r w:rsidRPr="00B77F6B">
        <w:rPr>
          <w:rFonts w:ascii="Arial" w:eastAsia="Times New Roman" w:hAnsi="Arial" w:cs="Arial"/>
          <w:kern w:val="0"/>
          <w:sz w:val="22"/>
          <w:szCs w:val="22"/>
          <w:lang w:eastAsia="en-IN"/>
          <w14:ligatures w14:val="none"/>
        </w:rPr>
        <w:t>Aromataris</w:t>
      </w:r>
      <w:proofErr w:type="spellEnd"/>
      <w:r w:rsidRPr="00B77F6B">
        <w:rPr>
          <w:rFonts w:ascii="Arial" w:eastAsia="Times New Roman" w:hAnsi="Arial" w:cs="Arial"/>
          <w:kern w:val="0"/>
          <w:sz w:val="22"/>
          <w:szCs w:val="22"/>
          <w:lang w:eastAsia="en-IN"/>
          <w14:ligatures w14:val="none"/>
        </w:rPr>
        <w:t xml:space="preserve">, E. and Munn, Z. (2020) </w:t>
      </w:r>
      <w:r w:rsidRPr="00B77F6B">
        <w:rPr>
          <w:rFonts w:ascii="Arial" w:eastAsia="Times New Roman" w:hAnsi="Arial" w:cs="Arial"/>
          <w:i/>
          <w:iCs/>
          <w:kern w:val="0"/>
          <w:sz w:val="22"/>
          <w:szCs w:val="22"/>
          <w:lang w:eastAsia="en-IN"/>
          <w14:ligatures w14:val="none"/>
        </w:rPr>
        <w:t>JBI manual for evidence synthesis</w:t>
      </w:r>
      <w:r w:rsidRPr="00B77F6B">
        <w:rPr>
          <w:rFonts w:ascii="Arial" w:eastAsia="Times New Roman" w:hAnsi="Arial" w:cs="Arial"/>
          <w:kern w:val="0"/>
          <w:sz w:val="22"/>
          <w:szCs w:val="22"/>
          <w:lang w:eastAsia="en-IN"/>
          <w14:ligatures w14:val="none"/>
        </w:rPr>
        <w:t xml:space="preserve">. Adelaide: Joanna Briggs Institute. Available at: </w:t>
      </w:r>
      <w:hyperlink r:id="rId18" w:tgtFrame="_new" w:history="1">
        <w:r w:rsidRPr="00B77F6B">
          <w:rPr>
            <w:rFonts w:ascii="Arial" w:eastAsia="Times New Roman" w:hAnsi="Arial" w:cs="Arial"/>
            <w:color w:val="0000FF"/>
            <w:kern w:val="0"/>
            <w:sz w:val="22"/>
            <w:szCs w:val="22"/>
            <w:u w:val="single"/>
            <w:lang w:eastAsia="en-IN"/>
            <w14:ligatures w14:val="none"/>
          </w:rPr>
          <w:t>https://jbi.global</w:t>
        </w:r>
      </w:hyperlink>
      <w:r w:rsidRPr="00B77F6B">
        <w:rPr>
          <w:rFonts w:ascii="Arial" w:eastAsia="Times New Roman" w:hAnsi="Arial" w:cs="Arial"/>
          <w:kern w:val="0"/>
          <w:sz w:val="22"/>
          <w:szCs w:val="22"/>
          <w:lang w:eastAsia="en-IN"/>
          <w14:ligatures w14:val="none"/>
        </w:rPr>
        <w:t xml:space="preserve"> (Accessed: 22 December 2025).</w:t>
      </w:r>
    </w:p>
    <w:p w14:paraId="7F8F35C4"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Bandura, A. (1997) </w:t>
      </w:r>
      <w:r w:rsidRPr="00B77F6B">
        <w:rPr>
          <w:rFonts w:ascii="Arial" w:eastAsia="Times New Roman" w:hAnsi="Arial" w:cs="Arial"/>
          <w:i/>
          <w:iCs/>
          <w:kern w:val="0"/>
          <w:sz w:val="22"/>
          <w:szCs w:val="22"/>
          <w:lang w:eastAsia="en-IN"/>
          <w14:ligatures w14:val="none"/>
        </w:rPr>
        <w:t>Self-efficacy: The exercise of control</w:t>
      </w:r>
      <w:r w:rsidRPr="00B77F6B">
        <w:rPr>
          <w:rFonts w:ascii="Arial" w:eastAsia="Times New Roman" w:hAnsi="Arial" w:cs="Arial"/>
          <w:kern w:val="0"/>
          <w:sz w:val="22"/>
          <w:szCs w:val="22"/>
          <w:lang w:eastAsia="en-IN"/>
          <w14:ligatures w14:val="none"/>
        </w:rPr>
        <w:t>. New York: W.H. Freeman.</w:t>
      </w:r>
    </w:p>
    <w:p w14:paraId="340EA31B"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Bandura, A. (1997) </w:t>
      </w:r>
      <w:r w:rsidRPr="00B77F6B">
        <w:rPr>
          <w:rFonts w:ascii="Arial" w:eastAsia="Times New Roman" w:hAnsi="Arial" w:cs="Arial"/>
          <w:i/>
          <w:iCs/>
          <w:kern w:val="0"/>
          <w:sz w:val="22"/>
          <w:szCs w:val="22"/>
          <w:lang w:eastAsia="en-IN"/>
          <w14:ligatures w14:val="none"/>
        </w:rPr>
        <w:t>Self-efficacy: The exercise of control</w:t>
      </w:r>
      <w:r w:rsidRPr="00B77F6B">
        <w:rPr>
          <w:rFonts w:ascii="Arial" w:eastAsia="Times New Roman" w:hAnsi="Arial" w:cs="Arial"/>
          <w:kern w:val="0"/>
          <w:sz w:val="22"/>
          <w:szCs w:val="22"/>
          <w:lang w:eastAsia="en-IN"/>
          <w14:ligatures w14:val="none"/>
        </w:rPr>
        <w:t>. New York: Freeman.</w:t>
      </w:r>
    </w:p>
    <w:p w14:paraId="309402E0"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Barker, A.L., Talevski, J., Bohensky, M.A., Brand, C.A. and Cameron, P.A. (2016) ‘Effectiveness of behaviour change techniques in physiotherapy-led falls prevention programmes for older adults’, </w:t>
      </w:r>
      <w:r w:rsidRPr="00B77F6B">
        <w:rPr>
          <w:rFonts w:ascii="Arial" w:eastAsia="Times New Roman" w:hAnsi="Arial" w:cs="Arial"/>
          <w:i/>
          <w:iCs/>
          <w:kern w:val="0"/>
          <w:sz w:val="22"/>
          <w:szCs w:val="22"/>
          <w:lang w:eastAsia="en-IN"/>
          <w14:ligatures w14:val="none"/>
        </w:rPr>
        <w:t>Age and Ageing</w:t>
      </w:r>
      <w:r w:rsidRPr="00B77F6B">
        <w:rPr>
          <w:rFonts w:ascii="Arial" w:eastAsia="Times New Roman" w:hAnsi="Arial" w:cs="Arial"/>
          <w:kern w:val="0"/>
          <w:sz w:val="22"/>
          <w:szCs w:val="22"/>
          <w:lang w:eastAsia="en-IN"/>
          <w14:ligatures w14:val="none"/>
        </w:rPr>
        <w:t xml:space="preserve">, 45(3), pp. 1–8. Available at: </w:t>
      </w:r>
      <w:hyperlink r:id="rId19" w:tgtFrame="_new" w:history="1">
        <w:r w:rsidRPr="00B77F6B">
          <w:rPr>
            <w:rFonts w:ascii="Arial" w:eastAsia="Times New Roman" w:hAnsi="Arial" w:cs="Arial"/>
            <w:color w:val="0000FF"/>
            <w:kern w:val="0"/>
            <w:sz w:val="22"/>
            <w:szCs w:val="22"/>
            <w:u w:val="single"/>
            <w:lang w:eastAsia="en-IN"/>
            <w14:ligatures w14:val="none"/>
          </w:rPr>
          <w:t>https://academic.oup.com/ageing</w:t>
        </w:r>
      </w:hyperlink>
      <w:r w:rsidRPr="00B77F6B">
        <w:rPr>
          <w:rFonts w:ascii="Arial" w:eastAsia="Times New Roman" w:hAnsi="Arial" w:cs="Arial"/>
          <w:kern w:val="0"/>
          <w:sz w:val="22"/>
          <w:szCs w:val="22"/>
          <w:lang w:eastAsia="en-IN"/>
          <w14:ligatures w14:val="none"/>
        </w:rPr>
        <w:t xml:space="preserve"> (Accessed: 25 December 2025).</w:t>
      </w:r>
    </w:p>
    <w:p w14:paraId="393F0A77"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Barnett, A. et al. (2017) ‘Built environment and physical activity in older adults’, Health &amp; Place, 44, pp. 73–82.</w:t>
      </w:r>
    </w:p>
    <w:p w14:paraId="42814ED2"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Beard, J.R. et al. (2016) Global population ageing: Peril or promise? Geneva: World Health Organization.</w:t>
      </w:r>
    </w:p>
    <w:p w14:paraId="75B9B516"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Berg, K., Wood-Dauphinee, S. and Williams, J.I. (1992) ‘The Balance Scale: reliability assessment’, </w:t>
      </w:r>
      <w:r w:rsidRPr="00B77F6B">
        <w:rPr>
          <w:rFonts w:ascii="Arial" w:eastAsia="Times New Roman" w:hAnsi="Arial" w:cs="Arial"/>
          <w:i/>
          <w:iCs/>
          <w:kern w:val="0"/>
          <w:sz w:val="22"/>
          <w:szCs w:val="22"/>
          <w:lang w:eastAsia="en-IN"/>
          <w14:ligatures w14:val="none"/>
        </w:rPr>
        <w:t>Physiotherapy Canada</w:t>
      </w:r>
      <w:r w:rsidRPr="00B77F6B">
        <w:rPr>
          <w:rFonts w:ascii="Arial" w:eastAsia="Times New Roman" w:hAnsi="Arial" w:cs="Arial"/>
          <w:kern w:val="0"/>
          <w:sz w:val="22"/>
          <w:szCs w:val="22"/>
          <w:lang w:eastAsia="en-IN"/>
          <w14:ligatures w14:val="none"/>
        </w:rPr>
        <w:t>, 44(2), pp. 80–87.</w:t>
      </w:r>
    </w:p>
    <w:p w14:paraId="70651549"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Booth, A., Sutton, A. and Papaioannou, D. (2021) </w:t>
      </w:r>
      <w:r w:rsidRPr="00B77F6B">
        <w:rPr>
          <w:rFonts w:ascii="Arial" w:eastAsia="Times New Roman" w:hAnsi="Arial" w:cs="Arial"/>
          <w:i/>
          <w:iCs/>
          <w:kern w:val="0"/>
          <w:sz w:val="22"/>
          <w:szCs w:val="22"/>
          <w:lang w:eastAsia="en-IN"/>
          <w14:ligatures w14:val="none"/>
        </w:rPr>
        <w:t>Systematic approaches to a successful literature review</w:t>
      </w:r>
      <w:r w:rsidRPr="00B77F6B">
        <w:rPr>
          <w:rFonts w:ascii="Arial" w:eastAsia="Times New Roman" w:hAnsi="Arial" w:cs="Arial"/>
          <w:kern w:val="0"/>
          <w:sz w:val="22"/>
          <w:szCs w:val="22"/>
          <w:lang w:eastAsia="en-IN"/>
          <w14:ligatures w14:val="none"/>
        </w:rPr>
        <w:t xml:space="preserve">. 2nd </w:t>
      </w:r>
      <w:proofErr w:type="spellStart"/>
      <w:r w:rsidRPr="00B77F6B">
        <w:rPr>
          <w:rFonts w:ascii="Arial" w:eastAsia="Times New Roman" w:hAnsi="Arial" w:cs="Arial"/>
          <w:kern w:val="0"/>
          <w:sz w:val="22"/>
          <w:szCs w:val="22"/>
          <w:lang w:eastAsia="en-IN"/>
          <w14:ligatures w14:val="none"/>
        </w:rPr>
        <w:t>edn</w:t>
      </w:r>
      <w:proofErr w:type="spellEnd"/>
      <w:r w:rsidRPr="00B77F6B">
        <w:rPr>
          <w:rFonts w:ascii="Arial" w:eastAsia="Times New Roman" w:hAnsi="Arial" w:cs="Arial"/>
          <w:kern w:val="0"/>
          <w:sz w:val="22"/>
          <w:szCs w:val="22"/>
          <w:lang w:eastAsia="en-IN"/>
          <w14:ligatures w14:val="none"/>
        </w:rPr>
        <w:t>. London: Sage.</w:t>
      </w:r>
    </w:p>
    <w:p w14:paraId="70EE7AF1"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Bramer, W.M. et al. (2018) ‘Optimal database combinations’, </w:t>
      </w:r>
      <w:r w:rsidRPr="00B77F6B">
        <w:rPr>
          <w:rFonts w:ascii="Arial" w:eastAsia="Times New Roman" w:hAnsi="Arial" w:cs="Arial"/>
          <w:i/>
          <w:iCs/>
          <w:kern w:val="0"/>
          <w:sz w:val="22"/>
          <w:szCs w:val="22"/>
          <w:lang w:eastAsia="en-IN"/>
          <w14:ligatures w14:val="none"/>
        </w:rPr>
        <w:t>Journal of the Medical Library Association</w:t>
      </w:r>
      <w:r w:rsidRPr="00B77F6B">
        <w:rPr>
          <w:rFonts w:ascii="Arial" w:eastAsia="Times New Roman" w:hAnsi="Arial" w:cs="Arial"/>
          <w:kern w:val="0"/>
          <w:sz w:val="22"/>
          <w:szCs w:val="22"/>
          <w:lang w:eastAsia="en-IN"/>
          <w14:ligatures w14:val="none"/>
        </w:rPr>
        <w:t>, 106(1), pp. 84–93.</w:t>
      </w:r>
    </w:p>
    <w:p w14:paraId="07EF5F46"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lastRenderedPageBreak/>
        <w:t>Briggs, A. et al. (2018) Health economics: An introduction for clinicians. Oxford: Oxford University Press.</w:t>
      </w:r>
    </w:p>
    <w:p w14:paraId="0526AD51"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Bronfenbrenner, U. (1977) </w:t>
      </w:r>
      <w:r w:rsidRPr="00B77F6B">
        <w:rPr>
          <w:rFonts w:ascii="Arial" w:eastAsia="Times New Roman" w:hAnsi="Arial" w:cs="Arial"/>
          <w:i/>
          <w:iCs/>
          <w:kern w:val="0"/>
          <w:sz w:val="22"/>
          <w:szCs w:val="22"/>
          <w:lang w:eastAsia="en-IN"/>
          <w14:ligatures w14:val="none"/>
        </w:rPr>
        <w:t>Toward an experimental ecology of human development</w:t>
      </w:r>
      <w:r w:rsidRPr="00B77F6B">
        <w:rPr>
          <w:rFonts w:ascii="Arial" w:eastAsia="Times New Roman" w:hAnsi="Arial" w:cs="Arial"/>
          <w:kern w:val="0"/>
          <w:sz w:val="22"/>
          <w:szCs w:val="22"/>
          <w:lang w:eastAsia="en-IN"/>
          <w14:ligatures w14:val="none"/>
        </w:rPr>
        <w:t>. Cambridge, MA: Harvard University Press.</w:t>
      </w:r>
    </w:p>
    <w:p w14:paraId="37D3A856"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Brown, L. and Jones, M. (2022) ‘Psychological consequences of falls in older adults’, </w:t>
      </w:r>
      <w:r w:rsidRPr="00B77F6B">
        <w:rPr>
          <w:rFonts w:ascii="Arial" w:eastAsia="Times New Roman" w:hAnsi="Arial" w:cs="Arial"/>
          <w:i/>
          <w:iCs/>
          <w:kern w:val="0"/>
          <w:sz w:val="22"/>
          <w:szCs w:val="22"/>
          <w:lang w:eastAsia="en-IN"/>
          <w14:ligatures w14:val="none"/>
        </w:rPr>
        <w:t>Age and Ageing</w:t>
      </w:r>
      <w:r w:rsidRPr="00B77F6B">
        <w:rPr>
          <w:rFonts w:ascii="Arial" w:eastAsia="Times New Roman" w:hAnsi="Arial" w:cs="Arial"/>
          <w:kern w:val="0"/>
          <w:sz w:val="22"/>
          <w:szCs w:val="22"/>
          <w:lang w:eastAsia="en-IN"/>
          <w14:ligatures w14:val="none"/>
        </w:rPr>
        <w:t xml:space="preserve">, 51(4), pp. 1–8. Available at: </w:t>
      </w:r>
      <w:hyperlink r:id="rId20" w:tgtFrame="_new" w:history="1">
        <w:r w:rsidRPr="00B77F6B">
          <w:rPr>
            <w:rFonts w:ascii="Arial" w:eastAsia="Times New Roman" w:hAnsi="Arial" w:cs="Arial"/>
            <w:color w:val="0000FF"/>
            <w:kern w:val="0"/>
            <w:sz w:val="22"/>
            <w:szCs w:val="22"/>
            <w:u w:val="single"/>
            <w:lang w:eastAsia="en-IN"/>
            <w14:ligatures w14:val="none"/>
          </w:rPr>
          <w:t>https://academic.oup.com/ageing</w:t>
        </w:r>
      </w:hyperlink>
      <w:r w:rsidRPr="00B77F6B">
        <w:rPr>
          <w:rFonts w:ascii="Arial" w:eastAsia="Times New Roman" w:hAnsi="Arial" w:cs="Arial"/>
          <w:kern w:val="0"/>
          <w:sz w:val="22"/>
          <w:szCs w:val="22"/>
          <w:lang w:eastAsia="en-IN"/>
          <w14:ligatures w14:val="none"/>
        </w:rPr>
        <w:t xml:space="preserve"> (Accessed: 2 December 2025).</w:t>
      </w:r>
    </w:p>
    <w:p w14:paraId="4DEDAFA7"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Brown, L. and Li, Y. (2022) ‘Multidisciplinary approaches to fall prevention in urban older populations’, </w:t>
      </w:r>
      <w:r w:rsidRPr="00B77F6B">
        <w:rPr>
          <w:rFonts w:ascii="Arial" w:eastAsia="Times New Roman" w:hAnsi="Arial" w:cs="Arial"/>
          <w:i/>
          <w:iCs/>
          <w:kern w:val="0"/>
          <w:sz w:val="22"/>
          <w:szCs w:val="22"/>
          <w:lang w:eastAsia="en-IN"/>
          <w14:ligatures w14:val="none"/>
        </w:rPr>
        <w:t>Journal of Interprofessional Care</w:t>
      </w:r>
      <w:r w:rsidRPr="00B77F6B">
        <w:rPr>
          <w:rFonts w:ascii="Arial" w:eastAsia="Times New Roman" w:hAnsi="Arial" w:cs="Arial"/>
          <w:kern w:val="0"/>
          <w:sz w:val="22"/>
          <w:szCs w:val="22"/>
          <w:lang w:eastAsia="en-IN"/>
          <w14:ligatures w14:val="none"/>
        </w:rPr>
        <w:t xml:space="preserve">, 36(5), pp. 645–652. Available at: </w:t>
      </w:r>
      <w:hyperlink r:id="rId21" w:tgtFrame="_new" w:history="1">
        <w:r w:rsidRPr="00B77F6B">
          <w:rPr>
            <w:rFonts w:ascii="Arial" w:eastAsia="Times New Roman" w:hAnsi="Arial" w:cs="Arial"/>
            <w:color w:val="0000FF"/>
            <w:kern w:val="0"/>
            <w:sz w:val="22"/>
            <w:szCs w:val="22"/>
            <w:u w:val="single"/>
            <w:lang w:eastAsia="en-IN"/>
            <w14:ligatures w14:val="none"/>
          </w:rPr>
          <w:t>https://www.tandfonline.com</w:t>
        </w:r>
      </w:hyperlink>
      <w:r w:rsidRPr="00B77F6B">
        <w:rPr>
          <w:rFonts w:ascii="Arial" w:eastAsia="Times New Roman" w:hAnsi="Arial" w:cs="Arial"/>
          <w:kern w:val="0"/>
          <w:sz w:val="22"/>
          <w:szCs w:val="22"/>
          <w:lang w:eastAsia="en-IN"/>
          <w14:ligatures w14:val="none"/>
        </w:rPr>
        <w:t xml:space="preserve"> (Accessed: 2 December 2025).</w:t>
      </w:r>
    </w:p>
    <w:p w14:paraId="32786D4A"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Bryman, A. (2016) </w:t>
      </w:r>
      <w:r w:rsidRPr="00B77F6B">
        <w:rPr>
          <w:rFonts w:ascii="Arial" w:eastAsia="Times New Roman" w:hAnsi="Arial" w:cs="Arial"/>
          <w:i/>
          <w:iCs/>
          <w:kern w:val="0"/>
          <w:sz w:val="22"/>
          <w:szCs w:val="22"/>
          <w:lang w:eastAsia="en-IN"/>
          <w14:ligatures w14:val="none"/>
        </w:rPr>
        <w:t>Social research methods</w:t>
      </w:r>
      <w:r w:rsidRPr="00B77F6B">
        <w:rPr>
          <w:rFonts w:ascii="Arial" w:eastAsia="Times New Roman" w:hAnsi="Arial" w:cs="Arial"/>
          <w:kern w:val="0"/>
          <w:sz w:val="22"/>
          <w:szCs w:val="22"/>
          <w:lang w:eastAsia="en-IN"/>
          <w14:ligatures w14:val="none"/>
        </w:rPr>
        <w:t xml:space="preserve">. 5th </w:t>
      </w:r>
      <w:proofErr w:type="spellStart"/>
      <w:r w:rsidRPr="00B77F6B">
        <w:rPr>
          <w:rFonts w:ascii="Arial" w:eastAsia="Times New Roman" w:hAnsi="Arial" w:cs="Arial"/>
          <w:kern w:val="0"/>
          <w:sz w:val="22"/>
          <w:szCs w:val="22"/>
          <w:lang w:eastAsia="en-IN"/>
          <w14:ligatures w14:val="none"/>
        </w:rPr>
        <w:t>edn</w:t>
      </w:r>
      <w:proofErr w:type="spellEnd"/>
      <w:r w:rsidRPr="00B77F6B">
        <w:rPr>
          <w:rFonts w:ascii="Arial" w:eastAsia="Times New Roman" w:hAnsi="Arial" w:cs="Arial"/>
          <w:kern w:val="0"/>
          <w:sz w:val="22"/>
          <w:szCs w:val="22"/>
          <w:lang w:eastAsia="en-IN"/>
          <w14:ligatures w14:val="none"/>
        </w:rPr>
        <w:t>. Oxford: Oxford University Press.</w:t>
      </w:r>
    </w:p>
    <w:p w14:paraId="51057EA2"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Bunn, F., Dickinson, A., Barnett-Page, E., McInnes, E. and Horton, K. (2008) ‘A systematic review of older people’s perceptions of facilitators and barriers to participation in fall-prevention interventions’, </w:t>
      </w:r>
      <w:r w:rsidRPr="00B77F6B">
        <w:rPr>
          <w:rFonts w:ascii="Arial" w:eastAsia="Times New Roman" w:hAnsi="Arial" w:cs="Arial"/>
          <w:i/>
          <w:iCs/>
          <w:kern w:val="0"/>
          <w:sz w:val="22"/>
          <w:szCs w:val="22"/>
          <w:lang w:eastAsia="en-IN"/>
          <w14:ligatures w14:val="none"/>
        </w:rPr>
        <w:t>Ageing &amp; Society</w:t>
      </w:r>
      <w:r w:rsidRPr="00B77F6B">
        <w:rPr>
          <w:rFonts w:ascii="Arial" w:eastAsia="Times New Roman" w:hAnsi="Arial" w:cs="Arial"/>
          <w:kern w:val="0"/>
          <w:sz w:val="22"/>
          <w:szCs w:val="22"/>
          <w:lang w:eastAsia="en-IN"/>
          <w14:ligatures w14:val="none"/>
        </w:rPr>
        <w:t>, 28(4), pp. 449–472.</w:t>
      </w:r>
    </w:p>
    <w:p w14:paraId="5AD7E305"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Buscemi, N. et al. (2006) ‘Single data extraction’, </w:t>
      </w:r>
      <w:r w:rsidRPr="00B77F6B">
        <w:rPr>
          <w:rFonts w:ascii="Arial" w:eastAsia="Times New Roman" w:hAnsi="Arial" w:cs="Arial"/>
          <w:i/>
          <w:iCs/>
          <w:kern w:val="0"/>
          <w:sz w:val="22"/>
          <w:szCs w:val="22"/>
          <w:lang w:eastAsia="en-IN"/>
          <w14:ligatures w14:val="none"/>
        </w:rPr>
        <w:t>BMC Medical Research Methodology</w:t>
      </w:r>
      <w:r w:rsidRPr="00B77F6B">
        <w:rPr>
          <w:rFonts w:ascii="Arial" w:eastAsia="Times New Roman" w:hAnsi="Arial" w:cs="Arial"/>
          <w:kern w:val="0"/>
          <w:sz w:val="22"/>
          <w:szCs w:val="22"/>
          <w:lang w:eastAsia="en-IN"/>
          <w14:ligatures w14:val="none"/>
        </w:rPr>
        <w:t>, 6, 33.</w:t>
      </w:r>
    </w:p>
    <w:p w14:paraId="272D0C50"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Campbell, M. et al. (2018) ‘Synthesis without meta-analysis’, </w:t>
      </w:r>
      <w:r w:rsidRPr="00B77F6B">
        <w:rPr>
          <w:rFonts w:ascii="Arial" w:eastAsia="Times New Roman" w:hAnsi="Arial" w:cs="Arial"/>
          <w:i/>
          <w:iCs/>
          <w:kern w:val="0"/>
          <w:sz w:val="22"/>
          <w:szCs w:val="22"/>
          <w:lang w:eastAsia="en-IN"/>
          <w14:ligatures w14:val="none"/>
        </w:rPr>
        <w:t>BMJ</w:t>
      </w:r>
      <w:r w:rsidRPr="00B77F6B">
        <w:rPr>
          <w:rFonts w:ascii="Arial" w:eastAsia="Times New Roman" w:hAnsi="Arial" w:cs="Arial"/>
          <w:kern w:val="0"/>
          <w:sz w:val="22"/>
          <w:szCs w:val="22"/>
          <w:lang w:eastAsia="en-IN"/>
          <w14:ligatures w14:val="none"/>
        </w:rPr>
        <w:t>, 361, k1606.</w:t>
      </w:r>
    </w:p>
    <w:p w14:paraId="063E1635"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Campbell, M., McKenzie, J.E., Sowden, A. et al. (2020) ‘Synthesis without meta-analysis (</w:t>
      </w:r>
      <w:proofErr w:type="spellStart"/>
      <w:r w:rsidRPr="00B77F6B">
        <w:rPr>
          <w:rFonts w:ascii="Arial" w:eastAsia="Times New Roman" w:hAnsi="Arial" w:cs="Arial"/>
          <w:kern w:val="0"/>
          <w:sz w:val="22"/>
          <w:szCs w:val="22"/>
          <w:lang w:eastAsia="en-IN"/>
          <w14:ligatures w14:val="none"/>
        </w:rPr>
        <w:t>SWiM</w:t>
      </w:r>
      <w:proofErr w:type="spellEnd"/>
      <w:r w:rsidRPr="00B77F6B">
        <w:rPr>
          <w:rFonts w:ascii="Arial" w:eastAsia="Times New Roman" w:hAnsi="Arial" w:cs="Arial"/>
          <w:kern w:val="0"/>
          <w:sz w:val="22"/>
          <w:szCs w:val="22"/>
          <w:lang w:eastAsia="en-IN"/>
          <w14:ligatures w14:val="none"/>
        </w:rPr>
        <w:t xml:space="preserve">) in systematic reviews’, </w:t>
      </w:r>
      <w:r w:rsidRPr="00B77F6B">
        <w:rPr>
          <w:rFonts w:ascii="Arial" w:eastAsia="Times New Roman" w:hAnsi="Arial" w:cs="Arial"/>
          <w:i/>
          <w:iCs/>
          <w:kern w:val="0"/>
          <w:sz w:val="22"/>
          <w:szCs w:val="22"/>
          <w:lang w:eastAsia="en-IN"/>
          <w14:ligatures w14:val="none"/>
        </w:rPr>
        <w:t>BMJ</w:t>
      </w:r>
      <w:r w:rsidRPr="00B77F6B">
        <w:rPr>
          <w:rFonts w:ascii="Arial" w:eastAsia="Times New Roman" w:hAnsi="Arial" w:cs="Arial"/>
          <w:kern w:val="0"/>
          <w:sz w:val="22"/>
          <w:szCs w:val="22"/>
          <w:lang w:eastAsia="en-IN"/>
          <w14:ligatures w14:val="none"/>
        </w:rPr>
        <w:t>, 368, l6890.</w:t>
      </w:r>
    </w:p>
    <w:p w14:paraId="16E6AB20"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Cane, J. et al. (2012) ‘Validation of the COM-B model’, </w:t>
      </w:r>
      <w:r w:rsidRPr="00B77F6B">
        <w:rPr>
          <w:rFonts w:ascii="Arial" w:eastAsia="Times New Roman" w:hAnsi="Arial" w:cs="Arial"/>
          <w:i/>
          <w:iCs/>
          <w:kern w:val="0"/>
          <w:sz w:val="22"/>
          <w:szCs w:val="22"/>
          <w:lang w:eastAsia="en-IN"/>
          <w14:ligatures w14:val="none"/>
        </w:rPr>
        <w:t>Implementation Science</w:t>
      </w:r>
      <w:r w:rsidRPr="00B77F6B">
        <w:rPr>
          <w:rFonts w:ascii="Arial" w:eastAsia="Times New Roman" w:hAnsi="Arial" w:cs="Arial"/>
          <w:kern w:val="0"/>
          <w:sz w:val="22"/>
          <w:szCs w:val="22"/>
          <w:lang w:eastAsia="en-IN"/>
          <w14:ligatures w14:val="none"/>
        </w:rPr>
        <w:t>, 7, 37.</w:t>
      </w:r>
    </w:p>
    <w:p w14:paraId="2A3FA31F"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Chang, J., Chen, Y. and Lin, S. (2021) ‘Effects of Tai Chi–based physiotherapy on balance confidence and fall risk in community-dwelling older adults’, </w:t>
      </w:r>
      <w:r w:rsidRPr="00B77F6B">
        <w:rPr>
          <w:rFonts w:ascii="Arial" w:eastAsia="Times New Roman" w:hAnsi="Arial" w:cs="Arial"/>
          <w:i/>
          <w:iCs/>
          <w:kern w:val="0"/>
          <w:sz w:val="22"/>
          <w:szCs w:val="22"/>
          <w:lang w:eastAsia="en-IN"/>
          <w14:ligatures w14:val="none"/>
        </w:rPr>
        <w:t>Journal of Geriatric Physical Therapy</w:t>
      </w:r>
      <w:r w:rsidRPr="00B77F6B">
        <w:rPr>
          <w:rFonts w:ascii="Arial" w:eastAsia="Times New Roman" w:hAnsi="Arial" w:cs="Arial"/>
          <w:kern w:val="0"/>
          <w:sz w:val="22"/>
          <w:szCs w:val="22"/>
          <w:lang w:eastAsia="en-IN"/>
          <w14:ligatures w14:val="none"/>
        </w:rPr>
        <w:t xml:space="preserve">, 44(2), pp. 85–93. Available at: </w:t>
      </w:r>
      <w:hyperlink r:id="rId22" w:tgtFrame="_new" w:history="1">
        <w:r w:rsidRPr="00B77F6B">
          <w:rPr>
            <w:rFonts w:ascii="Arial" w:eastAsia="Times New Roman" w:hAnsi="Arial" w:cs="Arial"/>
            <w:color w:val="0000FF"/>
            <w:kern w:val="0"/>
            <w:sz w:val="22"/>
            <w:szCs w:val="22"/>
            <w:u w:val="single"/>
            <w:lang w:eastAsia="en-IN"/>
            <w14:ligatures w14:val="none"/>
          </w:rPr>
          <w:t>https://journals.lww.com/jgpt</w:t>
        </w:r>
      </w:hyperlink>
      <w:r w:rsidRPr="00B77F6B">
        <w:rPr>
          <w:rFonts w:ascii="Arial" w:eastAsia="Times New Roman" w:hAnsi="Arial" w:cs="Arial"/>
          <w:kern w:val="0"/>
          <w:sz w:val="22"/>
          <w:szCs w:val="22"/>
          <w:lang w:eastAsia="en-IN"/>
          <w14:ligatures w14:val="none"/>
        </w:rPr>
        <w:t xml:space="preserve"> (Accessed: 25 December 2025).</w:t>
      </w:r>
    </w:p>
    <w:p w14:paraId="6661B473"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Chen, Y., Dai, F., Huang, S. et al. (2025) ‘Global, regional, and national burden of falls among older adults: findings from the Global Burden of Disease Study 2021 and projections to 2040’, </w:t>
      </w:r>
      <w:proofErr w:type="spellStart"/>
      <w:r w:rsidRPr="00B77F6B">
        <w:rPr>
          <w:rFonts w:ascii="Arial" w:eastAsia="Times New Roman" w:hAnsi="Arial" w:cs="Arial"/>
          <w:i/>
          <w:iCs/>
          <w:kern w:val="0"/>
          <w:sz w:val="22"/>
          <w:szCs w:val="22"/>
          <w:lang w:eastAsia="en-IN"/>
          <w14:ligatures w14:val="none"/>
        </w:rPr>
        <w:t>npj</w:t>
      </w:r>
      <w:proofErr w:type="spellEnd"/>
      <w:r w:rsidRPr="00B77F6B">
        <w:rPr>
          <w:rFonts w:ascii="Arial" w:eastAsia="Times New Roman" w:hAnsi="Arial" w:cs="Arial"/>
          <w:i/>
          <w:iCs/>
          <w:kern w:val="0"/>
          <w:sz w:val="22"/>
          <w:szCs w:val="22"/>
          <w:lang w:eastAsia="en-IN"/>
          <w14:ligatures w14:val="none"/>
        </w:rPr>
        <w:t xml:space="preserve"> Aging</w:t>
      </w:r>
      <w:r w:rsidRPr="00B77F6B">
        <w:rPr>
          <w:rFonts w:ascii="Arial" w:eastAsia="Times New Roman" w:hAnsi="Arial" w:cs="Arial"/>
          <w:kern w:val="0"/>
          <w:sz w:val="22"/>
          <w:szCs w:val="22"/>
          <w:lang w:eastAsia="en-IN"/>
          <w14:ligatures w14:val="none"/>
        </w:rPr>
        <w:t>, 11, p. 85.</w:t>
      </w:r>
    </w:p>
    <w:p w14:paraId="4D5497F6"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Clark, A., Taylor, J. and Wilson, R. (2020) ‘Collaborative fall prevention strategies in community care’, </w:t>
      </w:r>
      <w:r w:rsidRPr="00B77F6B">
        <w:rPr>
          <w:rFonts w:ascii="Arial" w:eastAsia="Times New Roman" w:hAnsi="Arial" w:cs="Arial"/>
          <w:i/>
          <w:iCs/>
          <w:kern w:val="0"/>
          <w:sz w:val="22"/>
          <w:szCs w:val="22"/>
          <w:lang w:eastAsia="en-IN"/>
          <w14:ligatures w14:val="none"/>
        </w:rPr>
        <w:t>British Journal of Community Nursing</w:t>
      </w:r>
      <w:r w:rsidRPr="00B77F6B">
        <w:rPr>
          <w:rFonts w:ascii="Arial" w:eastAsia="Times New Roman" w:hAnsi="Arial" w:cs="Arial"/>
          <w:kern w:val="0"/>
          <w:sz w:val="22"/>
          <w:szCs w:val="22"/>
          <w:lang w:eastAsia="en-IN"/>
          <w14:ligatures w14:val="none"/>
        </w:rPr>
        <w:t xml:space="preserve">, 25(9), pp. 438–444. Available at: </w:t>
      </w:r>
      <w:hyperlink r:id="rId23" w:tgtFrame="_new" w:history="1">
        <w:r w:rsidRPr="00B77F6B">
          <w:rPr>
            <w:rFonts w:ascii="Arial" w:eastAsia="Times New Roman" w:hAnsi="Arial" w:cs="Arial"/>
            <w:color w:val="0000FF"/>
            <w:kern w:val="0"/>
            <w:sz w:val="22"/>
            <w:szCs w:val="22"/>
            <w:u w:val="single"/>
            <w:lang w:eastAsia="en-IN"/>
            <w14:ligatures w14:val="none"/>
          </w:rPr>
          <w:t>https://www.magonlinelibrary.com</w:t>
        </w:r>
      </w:hyperlink>
      <w:r w:rsidRPr="00B77F6B">
        <w:rPr>
          <w:rFonts w:ascii="Arial" w:eastAsia="Times New Roman" w:hAnsi="Arial" w:cs="Arial"/>
          <w:kern w:val="0"/>
          <w:sz w:val="22"/>
          <w:szCs w:val="22"/>
          <w:lang w:eastAsia="en-IN"/>
          <w14:ligatures w14:val="none"/>
        </w:rPr>
        <w:t xml:space="preserve"> (Accessed: 2 December 2025).</w:t>
      </w:r>
    </w:p>
    <w:p w14:paraId="41569FB2"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Clarke, P. and George, L.K. (2005) ‘The role of the built environment’, </w:t>
      </w:r>
      <w:r w:rsidRPr="00B77F6B">
        <w:rPr>
          <w:rFonts w:ascii="Arial" w:eastAsia="Times New Roman" w:hAnsi="Arial" w:cs="Arial"/>
          <w:i/>
          <w:iCs/>
          <w:kern w:val="0"/>
          <w:sz w:val="22"/>
          <w:szCs w:val="22"/>
          <w:lang w:eastAsia="en-IN"/>
          <w14:ligatures w14:val="none"/>
        </w:rPr>
        <w:t xml:space="preserve">Journal of Health and Social </w:t>
      </w:r>
      <w:proofErr w:type="spellStart"/>
      <w:r w:rsidRPr="00B77F6B">
        <w:rPr>
          <w:rFonts w:ascii="Arial" w:eastAsia="Times New Roman" w:hAnsi="Arial" w:cs="Arial"/>
          <w:i/>
          <w:iCs/>
          <w:kern w:val="0"/>
          <w:sz w:val="22"/>
          <w:szCs w:val="22"/>
          <w:lang w:eastAsia="en-IN"/>
          <w14:ligatures w14:val="none"/>
        </w:rPr>
        <w:t>Behavior</w:t>
      </w:r>
      <w:proofErr w:type="spellEnd"/>
      <w:r w:rsidRPr="00B77F6B">
        <w:rPr>
          <w:rFonts w:ascii="Arial" w:eastAsia="Times New Roman" w:hAnsi="Arial" w:cs="Arial"/>
          <w:kern w:val="0"/>
          <w:sz w:val="22"/>
          <w:szCs w:val="22"/>
          <w:lang w:eastAsia="en-IN"/>
          <w14:ligatures w14:val="none"/>
        </w:rPr>
        <w:t>, 46(2), pp. 114–131.</w:t>
      </w:r>
    </w:p>
    <w:p w14:paraId="333935A6"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Clarke, P. and </w:t>
      </w:r>
      <w:proofErr w:type="spellStart"/>
      <w:r w:rsidRPr="00B77F6B">
        <w:rPr>
          <w:rFonts w:ascii="Arial" w:eastAsia="Times New Roman" w:hAnsi="Arial" w:cs="Arial"/>
          <w:kern w:val="0"/>
          <w:sz w:val="22"/>
          <w:szCs w:val="22"/>
          <w:lang w:eastAsia="en-IN"/>
          <w14:ligatures w14:val="none"/>
        </w:rPr>
        <w:t>Nieuwenhuijsen</w:t>
      </w:r>
      <w:proofErr w:type="spellEnd"/>
      <w:r w:rsidRPr="00B77F6B">
        <w:rPr>
          <w:rFonts w:ascii="Arial" w:eastAsia="Times New Roman" w:hAnsi="Arial" w:cs="Arial"/>
          <w:kern w:val="0"/>
          <w:sz w:val="22"/>
          <w:szCs w:val="22"/>
          <w:lang w:eastAsia="en-IN"/>
          <w14:ligatures w14:val="none"/>
        </w:rPr>
        <w:t xml:space="preserve">, E.R. (2009) ‘Environments for healthy ageing’, </w:t>
      </w:r>
      <w:r w:rsidRPr="00B77F6B">
        <w:rPr>
          <w:rFonts w:ascii="Arial" w:eastAsia="Times New Roman" w:hAnsi="Arial" w:cs="Arial"/>
          <w:i/>
          <w:iCs/>
          <w:kern w:val="0"/>
          <w:sz w:val="22"/>
          <w:szCs w:val="22"/>
          <w:lang w:eastAsia="en-IN"/>
          <w14:ligatures w14:val="none"/>
        </w:rPr>
        <w:t>Journal of Epidemiology &amp; Community Health</w:t>
      </w:r>
      <w:r w:rsidRPr="00B77F6B">
        <w:rPr>
          <w:rFonts w:ascii="Arial" w:eastAsia="Times New Roman" w:hAnsi="Arial" w:cs="Arial"/>
          <w:kern w:val="0"/>
          <w:sz w:val="22"/>
          <w:szCs w:val="22"/>
          <w:lang w:eastAsia="en-IN"/>
          <w14:ligatures w14:val="none"/>
        </w:rPr>
        <w:t>, 63(6), pp. 464–469.</w:t>
      </w:r>
    </w:p>
    <w:p w14:paraId="34CBEDCF"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Clegg, A. et al. (2013) ‘Frailty in elderly people’, The Lancet, 381(9868), pp. 752–762.</w:t>
      </w:r>
    </w:p>
    <w:p w14:paraId="0E6EE323"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Clemson, L., Singh, M.A.F., Bundy, A., Cumming, R.G., Weissel, E., Munro, J. and Black, D. (2012) ‘Integration of balance and strength training into daily life activity to reduce falls in older adults (</w:t>
      </w:r>
      <w:proofErr w:type="spellStart"/>
      <w:r w:rsidRPr="00B77F6B">
        <w:rPr>
          <w:rFonts w:ascii="Arial" w:eastAsia="Times New Roman" w:hAnsi="Arial" w:cs="Arial"/>
          <w:kern w:val="0"/>
          <w:sz w:val="22"/>
          <w:szCs w:val="22"/>
          <w:lang w:eastAsia="en-IN"/>
          <w14:ligatures w14:val="none"/>
        </w:rPr>
        <w:t>LiFE</w:t>
      </w:r>
      <w:proofErr w:type="spellEnd"/>
      <w:r w:rsidRPr="00B77F6B">
        <w:rPr>
          <w:rFonts w:ascii="Arial" w:eastAsia="Times New Roman" w:hAnsi="Arial" w:cs="Arial"/>
          <w:kern w:val="0"/>
          <w:sz w:val="22"/>
          <w:szCs w:val="22"/>
          <w:lang w:eastAsia="en-IN"/>
          <w14:ligatures w14:val="none"/>
        </w:rPr>
        <w:t xml:space="preserve">): randomised controlled trial’, </w:t>
      </w:r>
      <w:r w:rsidRPr="00B77F6B">
        <w:rPr>
          <w:rFonts w:ascii="Arial" w:eastAsia="Times New Roman" w:hAnsi="Arial" w:cs="Arial"/>
          <w:i/>
          <w:iCs/>
          <w:kern w:val="0"/>
          <w:sz w:val="22"/>
          <w:szCs w:val="22"/>
          <w:lang w:eastAsia="en-IN"/>
          <w14:ligatures w14:val="none"/>
        </w:rPr>
        <w:t>BMJ</w:t>
      </w:r>
      <w:r w:rsidRPr="00B77F6B">
        <w:rPr>
          <w:rFonts w:ascii="Arial" w:eastAsia="Times New Roman" w:hAnsi="Arial" w:cs="Arial"/>
          <w:kern w:val="0"/>
          <w:sz w:val="22"/>
          <w:szCs w:val="22"/>
          <w:lang w:eastAsia="en-IN"/>
          <w14:ligatures w14:val="none"/>
        </w:rPr>
        <w:t xml:space="preserve">, 345, e4547. Available at: </w:t>
      </w:r>
      <w:hyperlink r:id="rId24" w:tgtFrame="_new" w:history="1">
        <w:r w:rsidRPr="00B77F6B">
          <w:rPr>
            <w:rFonts w:ascii="Arial" w:eastAsia="Times New Roman" w:hAnsi="Arial" w:cs="Arial"/>
            <w:color w:val="0000FF"/>
            <w:kern w:val="0"/>
            <w:sz w:val="22"/>
            <w:szCs w:val="22"/>
            <w:u w:val="single"/>
            <w:lang w:eastAsia="en-IN"/>
            <w14:ligatures w14:val="none"/>
          </w:rPr>
          <w:t>https://www.bmj.com</w:t>
        </w:r>
      </w:hyperlink>
      <w:r w:rsidRPr="00B77F6B">
        <w:rPr>
          <w:rFonts w:ascii="Arial" w:eastAsia="Times New Roman" w:hAnsi="Arial" w:cs="Arial"/>
          <w:kern w:val="0"/>
          <w:sz w:val="22"/>
          <w:szCs w:val="22"/>
          <w:lang w:eastAsia="en-IN"/>
          <w14:ligatures w14:val="none"/>
        </w:rPr>
        <w:t xml:space="preserve"> (Accessed: 25 December 2025).</w:t>
      </w:r>
    </w:p>
    <w:p w14:paraId="4F0C6D63"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Committee on Publication Ethics (COPE) (2022) </w:t>
      </w:r>
      <w:r w:rsidRPr="00B77F6B">
        <w:rPr>
          <w:rFonts w:ascii="Arial" w:eastAsia="Times New Roman" w:hAnsi="Arial" w:cs="Arial"/>
          <w:i/>
          <w:iCs/>
          <w:kern w:val="0"/>
          <w:sz w:val="22"/>
          <w:szCs w:val="22"/>
          <w:lang w:eastAsia="en-IN"/>
          <w14:ligatures w14:val="none"/>
        </w:rPr>
        <w:t>Ethical guidelines for peer-reviewed publications and secondary research</w:t>
      </w:r>
      <w:r w:rsidRPr="00B77F6B">
        <w:rPr>
          <w:rFonts w:ascii="Arial" w:eastAsia="Times New Roman" w:hAnsi="Arial" w:cs="Arial"/>
          <w:kern w:val="0"/>
          <w:sz w:val="22"/>
          <w:szCs w:val="22"/>
          <w:lang w:eastAsia="en-IN"/>
          <w14:ligatures w14:val="none"/>
        </w:rPr>
        <w:t xml:space="preserve">. Available at: </w:t>
      </w:r>
      <w:hyperlink r:id="rId25" w:tgtFrame="_new" w:history="1">
        <w:r w:rsidRPr="00B77F6B">
          <w:rPr>
            <w:rFonts w:ascii="Arial" w:eastAsia="Times New Roman" w:hAnsi="Arial" w:cs="Arial"/>
            <w:color w:val="0000FF"/>
            <w:kern w:val="0"/>
            <w:sz w:val="22"/>
            <w:szCs w:val="22"/>
            <w:u w:val="single"/>
            <w:lang w:eastAsia="en-IN"/>
            <w14:ligatures w14:val="none"/>
          </w:rPr>
          <w:t>https://publicationethics.org</w:t>
        </w:r>
      </w:hyperlink>
      <w:r w:rsidRPr="00B77F6B">
        <w:rPr>
          <w:rFonts w:ascii="Arial" w:eastAsia="Times New Roman" w:hAnsi="Arial" w:cs="Arial"/>
          <w:kern w:val="0"/>
          <w:sz w:val="22"/>
          <w:szCs w:val="22"/>
          <w:lang w:eastAsia="en-IN"/>
          <w14:ligatures w14:val="none"/>
        </w:rPr>
        <w:t xml:space="preserve"> (Accessed: 22 December 2025).</w:t>
      </w:r>
    </w:p>
    <w:p w14:paraId="2ACD473B"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Craig, P. et al. (2018) ‘Developing and evaluating complex interventions’, </w:t>
      </w:r>
      <w:r w:rsidRPr="00B77F6B">
        <w:rPr>
          <w:rFonts w:ascii="Arial" w:eastAsia="Times New Roman" w:hAnsi="Arial" w:cs="Arial"/>
          <w:i/>
          <w:iCs/>
          <w:kern w:val="0"/>
          <w:sz w:val="22"/>
          <w:szCs w:val="22"/>
          <w:lang w:eastAsia="en-IN"/>
          <w14:ligatures w14:val="none"/>
        </w:rPr>
        <w:t>BMJ</w:t>
      </w:r>
      <w:r w:rsidRPr="00B77F6B">
        <w:rPr>
          <w:rFonts w:ascii="Arial" w:eastAsia="Times New Roman" w:hAnsi="Arial" w:cs="Arial"/>
          <w:kern w:val="0"/>
          <w:sz w:val="22"/>
          <w:szCs w:val="22"/>
          <w:lang w:eastAsia="en-IN"/>
          <w14:ligatures w14:val="none"/>
        </w:rPr>
        <w:t>, 361, k1452.</w:t>
      </w:r>
    </w:p>
    <w:p w14:paraId="20327B3A"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Creswell, J.W. and Creswell, J.D. (2018) </w:t>
      </w:r>
      <w:r w:rsidRPr="00B77F6B">
        <w:rPr>
          <w:rFonts w:ascii="Arial" w:eastAsia="Times New Roman" w:hAnsi="Arial" w:cs="Arial"/>
          <w:i/>
          <w:iCs/>
          <w:kern w:val="0"/>
          <w:sz w:val="22"/>
          <w:szCs w:val="22"/>
          <w:lang w:eastAsia="en-IN"/>
          <w14:ligatures w14:val="none"/>
        </w:rPr>
        <w:t xml:space="preserve">Research design: Qualitative, quantitative, and mixed methods </w:t>
      </w:r>
      <w:proofErr w:type="gramStart"/>
      <w:r w:rsidRPr="00B77F6B">
        <w:rPr>
          <w:rFonts w:ascii="Arial" w:eastAsia="Times New Roman" w:hAnsi="Arial" w:cs="Arial"/>
          <w:i/>
          <w:iCs/>
          <w:kern w:val="0"/>
          <w:sz w:val="22"/>
          <w:szCs w:val="22"/>
          <w:lang w:eastAsia="en-IN"/>
          <w14:ligatures w14:val="none"/>
        </w:rPr>
        <w:t>approaches</w:t>
      </w:r>
      <w:proofErr w:type="gramEnd"/>
      <w:r w:rsidRPr="00B77F6B">
        <w:rPr>
          <w:rFonts w:ascii="Arial" w:eastAsia="Times New Roman" w:hAnsi="Arial" w:cs="Arial"/>
          <w:kern w:val="0"/>
          <w:sz w:val="22"/>
          <w:szCs w:val="22"/>
          <w:lang w:eastAsia="en-IN"/>
          <w14:ligatures w14:val="none"/>
        </w:rPr>
        <w:t xml:space="preserve">. 5th </w:t>
      </w:r>
      <w:proofErr w:type="spellStart"/>
      <w:r w:rsidRPr="00B77F6B">
        <w:rPr>
          <w:rFonts w:ascii="Arial" w:eastAsia="Times New Roman" w:hAnsi="Arial" w:cs="Arial"/>
          <w:kern w:val="0"/>
          <w:sz w:val="22"/>
          <w:szCs w:val="22"/>
          <w:lang w:eastAsia="en-IN"/>
          <w14:ligatures w14:val="none"/>
        </w:rPr>
        <w:t>edn</w:t>
      </w:r>
      <w:proofErr w:type="spellEnd"/>
      <w:r w:rsidRPr="00B77F6B">
        <w:rPr>
          <w:rFonts w:ascii="Arial" w:eastAsia="Times New Roman" w:hAnsi="Arial" w:cs="Arial"/>
          <w:kern w:val="0"/>
          <w:sz w:val="22"/>
          <w:szCs w:val="22"/>
          <w:lang w:eastAsia="en-IN"/>
          <w14:ligatures w14:val="none"/>
        </w:rPr>
        <w:t>. London: Sage.</w:t>
      </w:r>
    </w:p>
    <w:p w14:paraId="4BAE1CE9"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Crotty, M. (2015) </w:t>
      </w:r>
      <w:r w:rsidRPr="00B77F6B">
        <w:rPr>
          <w:rFonts w:ascii="Arial" w:eastAsia="Times New Roman" w:hAnsi="Arial" w:cs="Arial"/>
          <w:i/>
          <w:iCs/>
          <w:kern w:val="0"/>
          <w:sz w:val="22"/>
          <w:szCs w:val="22"/>
          <w:lang w:eastAsia="en-IN"/>
          <w14:ligatures w14:val="none"/>
        </w:rPr>
        <w:t>The foundations of social research</w:t>
      </w:r>
      <w:r w:rsidRPr="00B77F6B">
        <w:rPr>
          <w:rFonts w:ascii="Arial" w:eastAsia="Times New Roman" w:hAnsi="Arial" w:cs="Arial"/>
          <w:kern w:val="0"/>
          <w:sz w:val="22"/>
          <w:szCs w:val="22"/>
          <w:lang w:eastAsia="en-IN"/>
          <w14:ligatures w14:val="none"/>
        </w:rPr>
        <w:t>. London: Sage.</w:t>
      </w:r>
    </w:p>
    <w:p w14:paraId="7198035D"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lastRenderedPageBreak/>
        <w:t>Curl, A. et al. (2015) ‘Neighbourhood effects on mobility’, Social Science &amp; Medicine, 133, pp. 1–9.</w:t>
      </w:r>
    </w:p>
    <w:p w14:paraId="6FC5F620"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Dahlgren, G. and Whitehead, M. (2007) </w:t>
      </w:r>
      <w:r w:rsidRPr="00B77F6B">
        <w:rPr>
          <w:rFonts w:ascii="Arial" w:eastAsia="Times New Roman" w:hAnsi="Arial" w:cs="Arial"/>
          <w:i/>
          <w:iCs/>
          <w:kern w:val="0"/>
          <w:sz w:val="22"/>
          <w:szCs w:val="22"/>
          <w:lang w:eastAsia="en-IN"/>
          <w14:ligatures w14:val="none"/>
        </w:rPr>
        <w:t>European strategies for tackling social inequities in health</w:t>
      </w:r>
      <w:r w:rsidRPr="00B77F6B">
        <w:rPr>
          <w:rFonts w:ascii="Arial" w:eastAsia="Times New Roman" w:hAnsi="Arial" w:cs="Arial"/>
          <w:kern w:val="0"/>
          <w:sz w:val="22"/>
          <w:szCs w:val="22"/>
          <w:lang w:eastAsia="en-IN"/>
          <w14:ligatures w14:val="none"/>
        </w:rPr>
        <w:t>. Copenhagen: WHO.</w:t>
      </w:r>
    </w:p>
    <w:p w14:paraId="188026D5"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Davies, S. and Patel, R. (2022) ‘Urban health inequalities and fall risk among older adults’, </w:t>
      </w:r>
      <w:r w:rsidRPr="00B77F6B">
        <w:rPr>
          <w:rFonts w:ascii="Arial" w:eastAsia="Times New Roman" w:hAnsi="Arial" w:cs="Arial"/>
          <w:i/>
          <w:iCs/>
          <w:kern w:val="0"/>
          <w:sz w:val="22"/>
          <w:szCs w:val="22"/>
          <w:lang w:eastAsia="en-IN"/>
          <w14:ligatures w14:val="none"/>
        </w:rPr>
        <w:t>Public Health</w:t>
      </w:r>
      <w:r w:rsidRPr="00B77F6B">
        <w:rPr>
          <w:rFonts w:ascii="Arial" w:eastAsia="Times New Roman" w:hAnsi="Arial" w:cs="Arial"/>
          <w:kern w:val="0"/>
          <w:sz w:val="22"/>
          <w:szCs w:val="22"/>
          <w:lang w:eastAsia="en-IN"/>
          <w14:ligatures w14:val="none"/>
        </w:rPr>
        <w:t xml:space="preserve">, 210, pp. 50–57. Available at: </w:t>
      </w:r>
      <w:hyperlink r:id="rId26" w:tgtFrame="_new" w:history="1">
        <w:r w:rsidRPr="00B77F6B">
          <w:rPr>
            <w:rFonts w:ascii="Arial" w:eastAsia="Times New Roman" w:hAnsi="Arial" w:cs="Arial"/>
            <w:color w:val="0000FF"/>
            <w:kern w:val="0"/>
            <w:sz w:val="22"/>
            <w:szCs w:val="22"/>
            <w:u w:val="single"/>
            <w:lang w:eastAsia="en-IN"/>
            <w14:ligatures w14:val="none"/>
          </w:rPr>
          <w:t>https://www.sciencedirect.com</w:t>
        </w:r>
      </w:hyperlink>
      <w:r w:rsidRPr="00B77F6B">
        <w:rPr>
          <w:rFonts w:ascii="Arial" w:eastAsia="Times New Roman" w:hAnsi="Arial" w:cs="Arial"/>
          <w:kern w:val="0"/>
          <w:sz w:val="22"/>
          <w:szCs w:val="22"/>
          <w:lang w:eastAsia="en-IN"/>
          <w14:ligatures w14:val="none"/>
        </w:rPr>
        <w:t xml:space="preserve"> (Accessed: 2 December 2025).</w:t>
      </w:r>
    </w:p>
    <w:p w14:paraId="075E80F0"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Davis, J.C. et al. (2011) ‘Quality of life outcomes in fall prevention’, </w:t>
      </w:r>
      <w:r w:rsidRPr="00B77F6B">
        <w:rPr>
          <w:rFonts w:ascii="Arial" w:eastAsia="Times New Roman" w:hAnsi="Arial" w:cs="Arial"/>
          <w:i/>
          <w:iCs/>
          <w:kern w:val="0"/>
          <w:sz w:val="22"/>
          <w:szCs w:val="22"/>
          <w:lang w:eastAsia="en-IN"/>
          <w14:ligatures w14:val="none"/>
        </w:rPr>
        <w:t>Age and Ageing</w:t>
      </w:r>
      <w:r w:rsidRPr="00B77F6B">
        <w:rPr>
          <w:rFonts w:ascii="Arial" w:eastAsia="Times New Roman" w:hAnsi="Arial" w:cs="Arial"/>
          <w:kern w:val="0"/>
          <w:sz w:val="22"/>
          <w:szCs w:val="22"/>
          <w:lang w:eastAsia="en-IN"/>
          <w14:ligatures w14:val="none"/>
        </w:rPr>
        <w:t>, 40(3), pp. 343–349.</w:t>
      </w:r>
    </w:p>
    <w:p w14:paraId="4F853C92"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proofErr w:type="spellStart"/>
      <w:r w:rsidRPr="00B77F6B">
        <w:rPr>
          <w:rFonts w:ascii="Arial" w:eastAsia="Times New Roman" w:hAnsi="Arial" w:cs="Arial"/>
          <w:kern w:val="0"/>
          <w:sz w:val="22"/>
          <w:szCs w:val="22"/>
          <w:lang w:eastAsia="en-IN"/>
          <w14:ligatures w14:val="none"/>
        </w:rPr>
        <w:t>Delbaere</w:t>
      </w:r>
      <w:proofErr w:type="spellEnd"/>
      <w:r w:rsidRPr="00B77F6B">
        <w:rPr>
          <w:rFonts w:ascii="Arial" w:eastAsia="Times New Roman" w:hAnsi="Arial" w:cs="Arial"/>
          <w:kern w:val="0"/>
          <w:sz w:val="22"/>
          <w:szCs w:val="22"/>
          <w:lang w:eastAsia="en-IN"/>
          <w14:ligatures w14:val="none"/>
        </w:rPr>
        <w:t>, K. et al. (2010) ‘Fear of falling’, Journal of Gerontology, 65(3), pp. 312–319.</w:t>
      </w:r>
    </w:p>
    <w:p w14:paraId="45718E85"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Denkinger, M.D., Lukas, A., Nikolaus, T. and Hauer, K. (2015) ‘Factors associated with fear of falling and associated activity restriction in community-dwelling older adults’, </w:t>
      </w:r>
      <w:r w:rsidRPr="00B77F6B">
        <w:rPr>
          <w:rFonts w:ascii="Arial" w:eastAsia="Times New Roman" w:hAnsi="Arial" w:cs="Arial"/>
          <w:i/>
          <w:iCs/>
          <w:kern w:val="0"/>
          <w:sz w:val="22"/>
          <w:szCs w:val="22"/>
          <w:lang w:eastAsia="en-IN"/>
          <w14:ligatures w14:val="none"/>
        </w:rPr>
        <w:t>American Journal of Geriatric Psychiatry</w:t>
      </w:r>
      <w:r w:rsidRPr="00B77F6B">
        <w:rPr>
          <w:rFonts w:ascii="Arial" w:eastAsia="Times New Roman" w:hAnsi="Arial" w:cs="Arial"/>
          <w:kern w:val="0"/>
          <w:sz w:val="22"/>
          <w:szCs w:val="22"/>
          <w:lang w:eastAsia="en-IN"/>
          <w14:ligatures w14:val="none"/>
        </w:rPr>
        <w:t>, 23(1), pp. 72–86.</w:t>
      </w:r>
    </w:p>
    <w:p w14:paraId="30756A38"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Dent, E. et al. (2019) ‘Management of frailty’, </w:t>
      </w:r>
      <w:r w:rsidRPr="00B77F6B">
        <w:rPr>
          <w:rFonts w:ascii="Arial" w:eastAsia="Times New Roman" w:hAnsi="Arial" w:cs="Arial"/>
          <w:i/>
          <w:iCs/>
          <w:kern w:val="0"/>
          <w:sz w:val="22"/>
          <w:szCs w:val="22"/>
          <w:lang w:eastAsia="en-IN"/>
          <w14:ligatures w14:val="none"/>
        </w:rPr>
        <w:t>The Lancet</w:t>
      </w:r>
      <w:r w:rsidRPr="00B77F6B">
        <w:rPr>
          <w:rFonts w:ascii="Arial" w:eastAsia="Times New Roman" w:hAnsi="Arial" w:cs="Arial"/>
          <w:kern w:val="0"/>
          <w:sz w:val="22"/>
          <w:szCs w:val="22"/>
          <w:lang w:eastAsia="en-IN"/>
          <w14:ligatures w14:val="none"/>
        </w:rPr>
        <w:t>, 394(10206), pp. 1376–1386.</w:t>
      </w:r>
    </w:p>
    <w:p w14:paraId="2378C162"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proofErr w:type="spellStart"/>
      <w:r w:rsidRPr="00B77F6B">
        <w:rPr>
          <w:rFonts w:ascii="Arial" w:eastAsia="Times New Roman" w:hAnsi="Arial" w:cs="Arial"/>
          <w:kern w:val="0"/>
          <w:sz w:val="22"/>
          <w:szCs w:val="22"/>
          <w:lang w:eastAsia="en-IN"/>
          <w14:ligatures w14:val="none"/>
        </w:rPr>
        <w:t>Fairhall</w:t>
      </w:r>
      <w:proofErr w:type="spellEnd"/>
      <w:r w:rsidRPr="00B77F6B">
        <w:rPr>
          <w:rFonts w:ascii="Arial" w:eastAsia="Times New Roman" w:hAnsi="Arial" w:cs="Arial"/>
          <w:kern w:val="0"/>
          <w:sz w:val="22"/>
          <w:szCs w:val="22"/>
          <w:lang w:eastAsia="en-IN"/>
          <w14:ligatures w14:val="none"/>
        </w:rPr>
        <w:t xml:space="preserve">, N. et al. (2014) ‘Exercise interventions for frail older people’, </w:t>
      </w:r>
      <w:r w:rsidRPr="00B77F6B">
        <w:rPr>
          <w:rFonts w:ascii="Arial" w:eastAsia="Times New Roman" w:hAnsi="Arial" w:cs="Arial"/>
          <w:i/>
          <w:iCs/>
          <w:kern w:val="0"/>
          <w:sz w:val="22"/>
          <w:szCs w:val="22"/>
          <w:lang w:eastAsia="en-IN"/>
          <w14:ligatures w14:val="none"/>
        </w:rPr>
        <w:t>Age and Ageing</w:t>
      </w:r>
      <w:r w:rsidRPr="00B77F6B">
        <w:rPr>
          <w:rFonts w:ascii="Arial" w:eastAsia="Times New Roman" w:hAnsi="Arial" w:cs="Arial"/>
          <w:kern w:val="0"/>
          <w:sz w:val="22"/>
          <w:szCs w:val="22"/>
          <w:lang w:eastAsia="en-IN"/>
          <w14:ligatures w14:val="none"/>
        </w:rPr>
        <w:t>, 43(6), pp. 756–763.</w:t>
      </w:r>
    </w:p>
    <w:p w14:paraId="6A9F9AAD"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Francis-Coad, J., Watts, T., Bulsara, C. and Hill, A. (2022) ‘Designing and evaluating falls prevention education with residents and staff in aged care homes’, </w:t>
      </w:r>
      <w:r w:rsidRPr="00B77F6B">
        <w:rPr>
          <w:rFonts w:ascii="Arial" w:eastAsia="Times New Roman" w:hAnsi="Arial" w:cs="Arial"/>
          <w:i/>
          <w:iCs/>
          <w:kern w:val="0"/>
          <w:sz w:val="22"/>
          <w:szCs w:val="22"/>
          <w:lang w:eastAsia="en-IN"/>
          <w14:ligatures w14:val="none"/>
        </w:rPr>
        <w:t>Health Education</w:t>
      </w:r>
      <w:r w:rsidRPr="00B77F6B">
        <w:rPr>
          <w:rFonts w:ascii="Arial" w:eastAsia="Times New Roman" w:hAnsi="Arial" w:cs="Arial"/>
          <w:kern w:val="0"/>
          <w:sz w:val="22"/>
          <w:szCs w:val="22"/>
          <w:lang w:eastAsia="en-IN"/>
          <w14:ligatures w14:val="none"/>
        </w:rPr>
        <w:t>, 122(5), pp. 546–563.</w:t>
      </w:r>
    </w:p>
    <w:p w14:paraId="07FDC308"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Gardner, M.M., Robertson, M.C. and Campbell, A.J. (2016) ‘Exercise to prevent falls in older adults’, </w:t>
      </w:r>
      <w:r w:rsidRPr="00B77F6B">
        <w:rPr>
          <w:rFonts w:ascii="Arial" w:eastAsia="Times New Roman" w:hAnsi="Arial" w:cs="Arial"/>
          <w:i/>
          <w:iCs/>
          <w:kern w:val="0"/>
          <w:sz w:val="22"/>
          <w:szCs w:val="22"/>
          <w:lang w:eastAsia="en-IN"/>
          <w14:ligatures w14:val="none"/>
        </w:rPr>
        <w:t>British Journal of Sports Medicine</w:t>
      </w:r>
      <w:r w:rsidRPr="00B77F6B">
        <w:rPr>
          <w:rFonts w:ascii="Arial" w:eastAsia="Times New Roman" w:hAnsi="Arial" w:cs="Arial"/>
          <w:kern w:val="0"/>
          <w:sz w:val="22"/>
          <w:szCs w:val="22"/>
          <w:lang w:eastAsia="en-IN"/>
          <w14:ligatures w14:val="none"/>
        </w:rPr>
        <w:t xml:space="preserve">, 51(24), pp. 1750–1756. DOI: </w:t>
      </w:r>
      <w:hyperlink r:id="rId27" w:tgtFrame="_new" w:history="1">
        <w:r w:rsidRPr="00B77F6B">
          <w:rPr>
            <w:rFonts w:ascii="Arial" w:eastAsia="Times New Roman" w:hAnsi="Arial" w:cs="Arial"/>
            <w:color w:val="0000FF"/>
            <w:kern w:val="0"/>
            <w:sz w:val="22"/>
            <w:szCs w:val="22"/>
            <w:u w:val="single"/>
            <w:lang w:eastAsia="en-IN"/>
            <w14:ligatures w14:val="none"/>
          </w:rPr>
          <w:t>https://doi.org/10.1136/bjsports-2016-096547</w:t>
        </w:r>
      </w:hyperlink>
      <w:r w:rsidRPr="00B77F6B">
        <w:rPr>
          <w:rFonts w:ascii="Arial" w:eastAsia="Times New Roman" w:hAnsi="Arial" w:cs="Arial"/>
          <w:kern w:val="0"/>
          <w:sz w:val="22"/>
          <w:szCs w:val="22"/>
          <w:lang w:eastAsia="en-IN"/>
          <w14:ligatures w14:val="none"/>
        </w:rPr>
        <w:t xml:space="preserve"> (Accessed: 6 January 2026).</w:t>
      </w:r>
    </w:p>
    <w:p w14:paraId="2D2FB7C4"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GBD 2019 Diseases and Injuries Collaborators (2020) ‘Global burden of 369 diseases and injuries in 204 countries and territories’, </w:t>
      </w:r>
      <w:r w:rsidRPr="00B77F6B">
        <w:rPr>
          <w:rFonts w:ascii="Arial" w:eastAsia="Times New Roman" w:hAnsi="Arial" w:cs="Arial"/>
          <w:i/>
          <w:iCs/>
          <w:kern w:val="0"/>
          <w:sz w:val="22"/>
          <w:szCs w:val="22"/>
          <w:lang w:eastAsia="en-IN"/>
          <w14:ligatures w14:val="none"/>
        </w:rPr>
        <w:t>The Lancet</w:t>
      </w:r>
      <w:r w:rsidRPr="00B77F6B">
        <w:rPr>
          <w:rFonts w:ascii="Arial" w:eastAsia="Times New Roman" w:hAnsi="Arial" w:cs="Arial"/>
          <w:kern w:val="0"/>
          <w:sz w:val="22"/>
          <w:szCs w:val="22"/>
          <w:lang w:eastAsia="en-IN"/>
          <w14:ligatures w14:val="none"/>
        </w:rPr>
        <w:t>, 396(10258), pp. 1204–1222.</w:t>
      </w:r>
    </w:p>
    <w:p w14:paraId="1AA993FA" w14:textId="0EF49724"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Gillespie, L.D., Robertson, M.C., Gillespie, W.J. et al. (2012) ‘Interventions for preventing falls in older people living in the community’, </w:t>
      </w:r>
      <w:r w:rsidRPr="00B77F6B">
        <w:rPr>
          <w:rFonts w:ascii="Arial" w:eastAsia="Times New Roman" w:hAnsi="Arial" w:cs="Arial"/>
          <w:i/>
          <w:iCs/>
          <w:kern w:val="0"/>
          <w:sz w:val="22"/>
          <w:szCs w:val="22"/>
          <w:lang w:eastAsia="en-IN"/>
          <w14:ligatures w14:val="none"/>
        </w:rPr>
        <w:t>Cochrane Database of Systematic Reviews</w:t>
      </w:r>
      <w:r w:rsidRPr="00B77F6B">
        <w:rPr>
          <w:rFonts w:ascii="Arial" w:eastAsia="Times New Roman" w:hAnsi="Arial" w:cs="Arial"/>
          <w:kern w:val="0"/>
          <w:sz w:val="22"/>
          <w:szCs w:val="22"/>
          <w:lang w:eastAsia="en-IN"/>
          <w14:ligatures w14:val="none"/>
        </w:rPr>
        <w:t>, 9, CD007146. Available at:</w:t>
      </w:r>
      <w:r w:rsidR="0064380B" w:rsidRPr="00B77F6B">
        <w:rPr>
          <w:rFonts w:ascii="Arial" w:hAnsi="Arial" w:cs="Arial"/>
          <w:sz w:val="22"/>
          <w:szCs w:val="22"/>
        </w:rPr>
        <w:t xml:space="preserve"> </w:t>
      </w:r>
      <w:hyperlink r:id="rId28" w:history="1">
        <w:r w:rsidR="0064380B" w:rsidRPr="00B77F6B">
          <w:rPr>
            <w:rStyle w:val="Hyperlink"/>
            <w:rFonts w:ascii="Arial" w:eastAsia="Times New Roman" w:hAnsi="Arial" w:cs="Arial"/>
            <w:kern w:val="0"/>
            <w:sz w:val="22"/>
            <w:szCs w:val="22"/>
            <w:lang w:eastAsia="en-IN"/>
            <w14:ligatures w14:val="none"/>
          </w:rPr>
          <w:t>https://www.cochranelibrary.com/cdsr/doi/10.1002/14651858.CD007146.pub3/full</w:t>
        </w:r>
      </w:hyperlink>
      <w:r w:rsidR="0064380B" w:rsidRPr="00B77F6B">
        <w:rPr>
          <w:rFonts w:ascii="Arial" w:eastAsia="Times New Roman" w:hAnsi="Arial" w:cs="Arial"/>
          <w:kern w:val="0"/>
          <w:sz w:val="22"/>
          <w:szCs w:val="22"/>
          <w:lang w:eastAsia="en-IN"/>
          <w14:ligatures w14:val="none"/>
        </w:rPr>
        <w:t xml:space="preserve"> </w:t>
      </w:r>
      <w:r w:rsidRPr="00B77F6B">
        <w:rPr>
          <w:rFonts w:ascii="Arial" w:eastAsia="Times New Roman" w:hAnsi="Arial" w:cs="Arial"/>
          <w:kern w:val="0"/>
          <w:sz w:val="22"/>
          <w:szCs w:val="22"/>
          <w:lang w:eastAsia="en-IN"/>
          <w14:ligatures w14:val="none"/>
        </w:rPr>
        <w:t>(Accessed: 25 December 2025).</w:t>
      </w:r>
    </w:p>
    <w:p w14:paraId="769E9304"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proofErr w:type="spellStart"/>
      <w:r w:rsidRPr="00B77F6B">
        <w:rPr>
          <w:rFonts w:ascii="Arial" w:eastAsia="Times New Roman" w:hAnsi="Arial" w:cs="Arial"/>
          <w:kern w:val="0"/>
          <w:sz w:val="22"/>
          <w:szCs w:val="22"/>
          <w:lang w:eastAsia="en-IN"/>
          <w14:ligatures w14:val="none"/>
        </w:rPr>
        <w:t>Glasziou</w:t>
      </w:r>
      <w:proofErr w:type="spellEnd"/>
      <w:r w:rsidRPr="00B77F6B">
        <w:rPr>
          <w:rFonts w:ascii="Arial" w:eastAsia="Times New Roman" w:hAnsi="Arial" w:cs="Arial"/>
          <w:kern w:val="0"/>
          <w:sz w:val="22"/>
          <w:szCs w:val="22"/>
          <w:lang w:eastAsia="en-IN"/>
          <w14:ligatures w14:val="none"/>
        </w:rPr>
        <w:t xml:space="preserve">, P. et al. (2007) </w:t>
      </w:r>
      <w:r w:rsidRPr="00B77F6B">
        <w:rPr>
          <w:rFonts w:ascii="Arial" w:eastAsia="Times New Roman" w:hAnsi="Arial" w:cs="Arial"/>
          <w:i/>
          <w:iCs/>
          <w:kern w:val="0"/>
          <w:sz w:val="22"/>
          <w:szCs w:val="22"/>
          <w:lang w:eastAsia="en-IN"/>
          <w14:ligatures w14:val="none"/>
        </w:rPr>
        <w:t>Evidence-based medicine</w:t>
      </w:r>
      <w:r w:rsidRPr="00B77F6B">
        <w:rPr>
          <w:rFonts w:ascii="Arial" w:eastAsia="Times New Roman" w:hAnsi="Arial" w:cs="Arial"/>
          <w:kern w:val="0"/>
          <w:sz w:val="22"/>
          <w:szCs w:val="22"/>
          <w:lang w:eastAsia="en-IN"/>
          <w14:ligatures w14:val="none"/>
        </w:rPr>
        <w:t>. Oxford: Blackwell.</w:t>
      </w:r>
    </w:p>
    <w:p w14:paraId="3C7AFF4F"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proofErr w:type="spellStart"/>
      <w:r w:rsidRPr="00B77F6B">
        <w:rPr>
          <w:rFonts w:ascii="Arial" w:eastAsia="Times New Roman" w:hAnsi="Arial" w:cs="Arial"/>
          <w:kern w:val="0"/>
          <w:sz w:val="22"/>
          <w:szCs w:val="22"/>
          <w:lang w:eastAsia="en-IN"/>
          <w14:ligatures w14:val="none"/>
        </w:rPr>
        <w:t>Gnjidic</w:t>
      </w:r>
      <w:proofErr w:type="spellEnd"/>
      <w:r w:rsidRPr="00B77F6B">
        <w:rPr>
          <w:rFonts w:ascii="Arial" w:eastAsia="Times New Roman" w:hAnsi="Arial" w:cs="Arial"/>
          <w:kern w:val="0"/>
          <w:sz w:val="22"/>
          <w:szCs w:val="22"/>
          <w:lang w:eastAsia="en-IN"/>
          <w14:ligatures w14:val="none"/>
        </w:rPr>
        <w:t xml:space="preserve">, D. et al. (2014) ‘Deprescribing and falls’, </w:t>
      </w:r>
      <w:r w:rsidRPr="00B77F6B">
        <w:rPr>
          <w:rFonts w:ascii="Arial" w:eastAsia="Times New Roman" w:hAnsi="Arial" w:cs="Arial"/>
          <w:i/>
          <w:iCs/>
          <w:kern w:val="0"/>
          <w:sz w:val="22"/>
          <w:szCs w:val="22"/>
          <w:lang w:eastAsia="en-IN"/>
          <w14:ligatures w14:val="none"/>
        </w:rPr>
        <w:t>JAMA Internal Medicine</w:t>
      </w:r>
      <w:r w:rsidRPr="00B77F6B">
        <w:rPr>
          <w:rFonts w:ascii="Arial" w:eastAsia="Times New Roman" w:hAnsi="Arial" w:cs="Arial"/>
          <w:kern w:val="0"/>
          <w:sz w:val="22"/>
          <w:szCs w:val="22"/>
          <w:lang w:eastAsia="en-IN"/>
          <w14:ligatures w14:val="none"/>
        </w:rPr>
        <w:t>, 174(10), pp. 1643–1650.</w:t>
      </w:r>
    </w:p>
    <w:p w14:paraId="55A1411B"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Gough, D. et al. (2017) </w:t>
      </w:r>
      <w:r w:rsidRPr="00B77F6B">
        <w:rPr>
          <w:rFonts w:ascii="Arial" w:eastAsia="Times New Roman" w:hAnsi="Arial" w:cs="Arial"/>
          <w:i/>
          <w:iCs/>
          <w:kern w:val="0"/>
          <w:sz w:val="22"/>
          <w:szCs w:val="22"/>
          <w:lang w:eastAsia="en-IN"/>
          <w14:ligatures w14:val="none"/>
        </w:rPr>
        <w:t>An introduction to systematic reviews</w:t>
      </w:r>
      <w:r w:rsidRPr="00B77F6B">
        <w:rPr>
          <w:rFonts w:ascii="Arial" w:eastAsia="Times New Roman" w:hAnsi="Arial" w:cs="Arial"/>
          <w:kern w:val="0"/>
          <w:sz w:val="22"/>
          <w:szCs w:val="22"/>
          <w:lang w:eastAsia="en-IN"/>
          <w14:ligatures w14:val="none"/>
        </w:rPr>
        <w:t xml:space="preserve">. 2nd </w:t>
      </w:r>
      <w:proofErr w:type="spellStart"/>
      <w:r w:rsidRPr="00B77F6B">
        <w:rPr>
          <w:rFonts w:ascii="Arial" w:eastAsia="Times New Roman" w:hAnsi="Arial" w:cs="Arial"/>
          <w:kern w:val="0"/>
          <w:sz w:val="22"/>
          <w:szCs w:val="22"/>
          <w:lang w:eastAsia="en-IN"/>
          <w14:ligatures w14:val="none"/>
        </w:rPr>
        <w:t>edn</w:t>
      </w:r>
      <w:proofErr w:type="spellEnd"/>
      <w:r w:rsidRPr="00B77F6B">
        <w:rPr>
          <w:rFonts w:ascii="Arial" w:eastAsia="Times New Roman" w:hAnsi="Arial" w:cs="Arial"/>
          <w:kern w:val="0"/>
          <w:sz w:val="22"/>
          <w:szCs w:val="22"/>
          <w:lang w:eastAsia="en-IN"/>
          <w14:ligatures w14:val="none"/>
        </w:rPr>
        <w:t>. London: Sage.</w:t>
      </w:r>
    </w:p>
    <w:p w14:paraId="264B869F"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Green, P., Smith, R. and Turner, K. (2021) ‘Healthcare utilisation following falls in older adults’, </w:t>
      </w:r>
      <w:r w:rsidRPr="00B77F6B">
        <w:rPr>
          <w:rFonts w:ascii="Arial" w:eastAsia="Times New Roman" w:hAnsi="Arial" w:cs="Arial"/>
          <w:i/>
          <w:iCs/>
          <w:kern w:val="0"/>
          <w:sz w:val="22"/>
          <w:szCs w:val="22"/>
          <w:lang w:eastAsia="en-IN"/>
          <w14:ligatures w14:val="none"/>
        </w:rPr>
        <w:t>BMC Geriatrics</w:t>
      </w:r>
      <w:r w:rsidRPr="00B77F6B">
        <w:rPr>
          <w:rFonts w:ascii="Arial" w:eastAsia="Times New Roman" w:hAnsi="Arial" w:cs="Arial"/>
          <w:kern w:val="0"/>
          <w:sz w:val="22"/>
          <w:szCs w:val="22"/>
          <w:lang w:eastAsia="en-IN"/>
          <w14:ligatures w14:val="none"/>
        </w:rPr>
        <w:t xml:space="preserve">, 21(1), pp. 1–10. Available at: </w:t>
      </w:r>
      <w:hyperlink r:id="rId29" w:tgtFrame="_new" w:history="1">
        <w:r w:rsidRPr="00B77F6B">
          <w:rPr>
            <w:rFonts w:ascii="Arial" w:eastAsia="Times New Roman" w:hAnsi="Arial" w:cs="Arial"/>
            <w:color w:val="0000FF"/>
            <w:kern w:val="0"/>
            <w:sz w:val="22"/>
            <w:szCs w:val="22"/>
            <w:u w:val="single"/>
            <w:lang w:eastAsia="en-IN"/>
            <w14:ligatures w14:val="none"/>
          </w:rPr>
          <w:t>https://bmcgeriatr.biomedcentral.com</w:t>
        </w:r>
      </w:hyperlink>
      <w:r w:rsidRPr="00B77F6B">
        <w:rPr>
          <w:rFonts w:ascii="Arial" w:eastAsia="Times New Roman" w:hAnsi="Arial" w:cs="Arial"/>
          <w:kern w:val="0"/>
          <w:sz w:val="22"/>
          <w:szCs w:val="22"/>
          <w:lang w:eastAsia="en-IN"/>
          <w14:ligatures w14:val="none"/>
        </w:rPr>
        <w:t xml:space="preserve"> (Accessed: 2 December 2025).</w:t>
      </w:r>
    </w:p>
    <w:p w14:paraId="3A78451F"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Greenhalgh, T. et al. (2019) ‘Diffusion of innovations in health service organisations’, </w:t>
      </w:r>
      <w:r w:rsidRPr="00B77F6B">
        <w:rPr>
          <w:rFonts w:ascii="Arial" w:eastAsia="Times New Roman" w:hAnsi="Arial" w:cs="Arial"/>
          <w:i/>
          <w:iCs/>
          <w:kern w:val="0"/>
          <w:sz w:val="22"/>
          <w:szCs w:val="22"/>
          <w:lang w:eastAsia="en-IN"/>
          <w14:ligatures w14:val="none"/>
        </w:rPr>
        <w:t>Milbank Quarterly</w:t>
      </w:r>
      <w:r w:rsidRPr="00B77F6B">
        <w:rPr>
          <w:rFonts w:ascii="Arial" w:eastAsia="Times New Roman" w:hAnsi="Arial" w:cs="Arial"/>
          <w:kern w:val="0"/>
          <w:sz w:val="22"/>
          <w:szCs w:val="22"/>
          <w:lang w:eastAsia="en-IN"/>
          <w14:ligatures w14:val="none"/>
        </w:rPr>
        <w:t>, 97(2), pp. 537–566.</w:t>
      </w:r>
    </w:p>
    <w:p w14:paraId="33009B6B"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Guyatt, G.H. et al. (2011) ‘GRADE guidelines’, </w:t>
      </w:r>
      <w:r w:rsidRPr="00B77F6B">
        <w:rPr>
          <w:rFonts w:ascii="Arial" w:eastAsia="Times New Roman" w:hAnsi="Arial" w:cs="Arial"/>
          <w:i/>
          <w:iCs/>
          <w:kern w:val="0"/>
          <w:sz w:val="22"/>
          <w:szCs w:val="22"/>
          <w:lang w:eastAsia="en-IN"/>
          <w14:ligatures w14:val="none"/>
        </w:rPr>
        <w:t>Journal of Clinical Epidemiology</w:t>
      </w:r>
      <w:r w:rsidRPr="00B77F6B">
        <w:rPr>
          <w:rFonts w:ascii="Arial" w:eastAsia="Times New Roman" w:hAnsi="Arial" w:cs="Arial"/>
          <w:kern w:val="0"/>
          <w:sz w:val="22"/>
          <w:szCs w:val="22"/>
          <w:lang w:eastAsia="en-IN"/>
          <w14:ligatures w14:val="none"/>
        </w:rPr>
        <w:t>, 64(4), pp. 383–394.</w:t>
      </w:r>
    </w:p>
    <w:p w14:paraId="39571397"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Guyatt, G.H., Oxman, A.D., Kunz, R. et al. (2022) ‘GRADE guidelines: rating the certainty of evidence’, </w:t>
      </w:r>
      <w:r w:rsidRPr="00B77F6B">
        <w:rPr>
          <w:rFonts w:ascii="Arial" w:eastAsia="Times New Roman" w:hAnsi="Arial" w:cs="Arial"/>
          <w:i/>
          <w:iCs/>
          <w:kern w:val="0"/>
          <w:sz w:val="22"/>
          <w:szCs w:val="22"/>
          <w:lang w:eastAsia="en-IN"/>
          <w14:ligatures w14:val="none"/>
        </w:rPr>
        <w:t>BMJ</w:t>
      </w:r>
      <w:r w:rsidRPr="00B77F6B">
        <w:rPr>
          <w:rFonts w:ascii="Arial" w:eastAsia="Times New Roman" w:hAnsi="Arial" w:cs="Arial"/>
          <w:kern w:val="0"/>
          <w:sz w:val="22"/>
          <w:szCs w:val="22"/>
          <w:lang w:eastAsia="en-IN"/>
          <w14:ligatures w14:val="none"/>
        </w:rPr>
        <w:t>, 376, e068347.</w:t>
      </w:r>
    </w:p>
    <w:p w14:paraId="5C9758C7"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Hall, A.M., Ferreira, P.H., Maher, C.G., Latimer, J. and Ferreira, M.L. (2010) ‘The influence of the therapist–patient relationship on treatment outcome in physiotherapy’, </w:t>
      </w:r>
      <w:r w:rsidRPr="00B77F6B">
        <w:rPr>
          <w:rFonts w:ascii="Arial" w:eastAsia="Times New Roman" w:hAnsi="Arial" w:cs="Arial"/>
          <w:i/>
          <w:iCs/>
          <w:kern w:val="0"/>
          <w:sz w:val="22"/>
          <w:szCs w:val="22"/>
          <w:lang w:eastAsia="en-IN"/>
          <w14:ligatures w14:val="none"/>
        </w:rPr>
        <w:t>Physical Therapy</w:t>
      </w:r>
      <w:r w:rsidRPr="00B77F6B">
        <w:rPr>
          <w:rFonts w:ascii="Arial" w:eastAsia="Times New Roman" w:hAnsi="Arial" w:cs="Arial"/>
          <w:kern w:val="0"/>
          <w:sz w:val="22"/>
          <w:szCs w:val="22"/>
          <w:lang w:eastAsia="en-IN"/>
          <w14:ligatures w14:val="none"/>
        </w:rPr>
        <w:t xml:space="preserve">, 90(8), pp. 1099–1110. Available at: </w:t>
      </w:r>
      <w:hyperlink r:id="rId30" w:tgtFrame="_new" w:history="1">
        <w:r w:rsidRPr="00B77F6B">
          <w:rPr>
            <w:rFonts w:ascii="Arial" w:eastAsia="Times New Roman" w:hAnsi="Arial" w:cs="Arial"/>
            <w:color w:val="0000FF"/>
            <w:kern w:val="0"/>
            <w:sz w:val="22"/>
            <w:szCs w:val="22"/>
            <w:u w:val="single"/>
            <w:lang w:eastAsia="en-IN"/>
            <w14:ligatures w14:val="none"/>
          </w:rPr>
          <w:t>https://academic.oup.com/ptj</w:t>
        </w:r>
      </w:hyperlink>
      <w:r w:rsidRPr="00B77F6B">
        <w:rPr>
          <w:rFonts w:ascii="Arial" w:eastAsia="Times New Roman" w:hAnsi="Arial" w:cs="Arial"/>
          <w:kern w:val="0"/>
          <w:sz w:val="22"/>
          <w:szCs w:val="22"/>
          <w:lang w:eastAsia="en-IN"/>
          <w14:ligatures w14:val="none"/>
        </w:rPr>
        <w:t xml:space="preserve"> (Accessed: 25 December 2025).</w:t>
      </w:r>
    </w:p>
    <w:p w14:paraId="3535AABA"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Harden, A. et al. (2018) ‘Mixed-method evidence synthesis’, </w:t>
      </w:r>
      <w:r w:rsidRPr="00B77F6B">
        <w:rPr>
          <w:rFonts w:ascii="Arial" w:eastAsia="Times New Roman" w:hAnsi="Arial" w:cs="Arial"/>
          <w:i/>
          <w:iCs/>
          <w:kern w:val="0"/>
          <w:sz w:val="22"/>
          <w:szCs w:val="22"/>
          <w:lang w:eastAsia="en-IN"/>
          <w14:ligatures w14:val="none"/>
        </w:rPr>
        <w:t>Journal of Mixed Methods Research</w:t>
      </w:r>
      <w:r w:rsidRPr="00B77F6B">
        <w:rPr>
          <w:rFonts w:ascii="Arial" w:eastAsia="Times New Roman" w:hAnsi="Arial" w:cs="Arial"/>
          <w:kern w:val="0"/>
          <w:sz w:val="22"/>
          <w:szCs w:val="22"/>
          <w:lang w:eastAsia="en-IN"/>
          <w14:ligatures w14:val="none"/>
        </w:rPr>
        <w:t>, 12(1), pp. 5–20.</w:t>
      </w:r>
    </w:p>
    <w:p w14:paraId="66E372A4"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lastRenderedPageBreak/>
        <w:t xml:space="preserve">Harden, A. et al. (2018) ‘Mixed-methods synthesis’, </w:t>
      </w:r>
      <w:r w:rsidRPr="00B77F6B">
        <w:rPr>
          <w:rFonts w:ascii="Arial" w:eastAsia="Times New Roman" w:hAnsi="Arial" w:cs="Arial"/>
          <w:i/>
          <w:iCs/>
          <w:kern w:val="0"/>
          <w:sz w:val="22"/>
          <w:szCs w:val="22"/>
          <w:lang w:eastAsia="en-IN"/>
          <w14:ligatures w14:val="none"/>
        </w:rPr>
        <w:t>Journal of Mixed Methods Research</w:t>
      </w:r>
      <w:r w:rsidRPr="00B77F6B">
        <w:rPr>
          <w:rFonts w:ascii="Arial" w:eastAsia="Times New Roman" w:hAnsi="Arial" w:cs="Arial"/>
          <w:kern w:val="0"/>
          <w:sz w:val="22"/>
          <w:szCs w:val="22"/>
          <w:lang w:eastAsia="en-IN"/>
          <w14:ligatures w14:val="none"/>
        </w:rPr>
        <w:t>, 12(1), pp. 5–20.</w:t>
      </w:r>
    </w:p>
    <w:p w14:paraId="3EB1EBF3"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Harrison, R., Jones, P. and Patel, N. (2021) ‘Barriers to participation in falls prevention programmes among older adults’, </w:t>
      </w:r>
      <w:r w:rsidRPr="00B77F6B">
        <w:rPr>
          <w:rFonts w:ascii="Arial" w:eastAsia="Times New Roman" w:hAnsi="Arial" w:cs="Arial"/>
          <w:i/>
          <w:iCs/>
          <w:kern w:val="0"/>
          <w:sz w:val="22"/>
          <w:szCs w:val="22"/>
          <w:lang w:eastAsia="en-IN"/>
          <w14:ligatures w14:val="none"/>
        </w:rPr>
        <w:t>BMC Geriatrics</w:t>
      </w:r>
      <w:r w:rsidRPr="00B77F6B">
        <w:rPr>
          <w:rFonts w:ascii="Arial" w:eastAsia="Times New Roman" w:hAnsi="Arial" w:cs="Arial"/>
          <w:kern w:val="0"/>
          <w:sz w:val="22"/>
          <w:szCs w:val="22"/>
          <w:lang w:eastAsia="en-IN"/>
          <w14:ligatures w14:val="none"/>
        </w:rPr>
        <w:t>, 21(1), pp. 1–12.</w:t>
      </w:r>
    </w:p>
    <w:p w14:paraId="4AB5921B"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Hartling, L. et al. (2017) ‘Risk of bias tools’, </w:t>
      </w:r>
      <w:r w:rsidRPr="00B77F6B">
        <w:rPr>
          <w:rFonts w:ascii="Arial" w:eastAsia="Times New Roman" w:hAnsi="Arial" w:cs="Arial"/>
          <w:i/>
          <w:iCs/>
          <w:kern w:val="0"/>
          <w:sz w:val="22"/>
          <w:szCs w:val="22"/>
          <w:lang w:eastAsia="en-IN"/>
          <w14:ligatures w14:val="none"/>
        </w:rPr>
        <w:t>Systematic Reviews</w:t>
      </w:r>
      <w:r w:rsidRPr="00B77F6B">
        <w:rPr>
          <w:rFonts w:ascii="Arial" w:eastAsia="Times New Roman" w:hAnsi="Arial" w:cs="Arial"/>
          <w:kern w:val="0"/>
          <w:sz w:val="22"/>
          <w:szCs w:val="22"/>
          <w:lang w:eastAsia="en-IN"/>
          <w14:ligatures w14:val="none"/>
        </w:rPr>
        <w:t>, 6, 194.</w:t>
      </w:r>
    </w:p>
    <w:p w14:paraId="32B304EE"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Hawe, P. et al. (2009) ‘Complex interventions’, </w:t>
      </w:r>
      <w:r w:rsidRPr="00B77F6B">
        <w:rPr>
          <w:rFonts w:ascii="Arial" w:eastAsia="Times New Roman" w:hAnsi="Arial" w:cs="Arial"/>
          <w:i/>
          <w:iCs/>
          <w:kern w:val="0"/>
          <w:sz w:val="22"/>
          <w:szCs w:val="22"/>
          <w:lang w:eastAsia="en-IN"/>
          <w14:ligatures w14:val="none"/>
        </w:rPr>
        <w:t>BMJ</w:t>
      </w:r>
      <w:r w:rsidRPr="00B77F6B">
        <w:rPr>
          <w:rFonts w:ascii="Arial" w:eastAsia="Times New Roman" w:hAnsi="Arial" w:cs="Arial"/>
          <w:kern w:val="0"/>
          <w:sz w:val="22"/>
          <w:szCs w:val="22"/>
          <w:lang w:eastAsia="en-IN"/>
          <w14:ligatures w14:val="none"/>
        </w:rPr>
        <w:t>, 339, b2531.</w:t>
      </w:r>
    </w:p>
    <w:p w14:paraId="18D0E040"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Health Education Monographs (1974) </w:t>
      </w:r>
      <w:r w:rsidRPr="00B77F6B">
        <w:rPr>
          <w:rFonts w:ascii="Arial" w:eastAsia="Times New Roman" w:hAnsi="Arial" w:cs="Arial"/>
          <w:i/>
          <w:iCs/>
          <w:kern w:val="0"/>
          <w:sz w:val="22"/>
          <w:szCs w:val="22"/>
          <w:lang w:eastAsia="en-IN"/>
          <w14:ligatures w14:val="none"/>
        </w:rPr>
        <w:t>Health Education Monographs</w:t>
      </w:r>
      <w:r w:rsidRPr="00B77F6B">
        <w:rPr>
          <w:rFonts w:ascii="Arial" w:eastAsia="Times New Roman" w:hAnsi="Arial" w:cs="Arial"/>
          <w:kern w:val="0"/>
          <w:sz w:val="22"/>
          <w:szCs w:val="22"/>
          <w:lang w:eastAsia="en-IN"/>
          <w14:ligatures w14:val="none"/>
        </w:rPr>
        <w:t>, 2(4), pp. 354–386.</w:t>
      </w:r>
    </w:p>
    <w:p w14:paraId="2037BD29"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Higgins, J.P.T., Thomas, J., Chandler, J. et al. (2020) </w:t>
      </w:r>
      <w:r w:rsidRPr="00B77F6B">
        <w:rPr>
          <w:rFonts w:ascii="Arial" w:eastAsia="Times New Roman" w:hAnsi="Arial" w:cs="Arial"/>
          <w:i/>
          <w:iCs/>
          <w:kern w:val="0"/>
          <w:sz w:val="22"/>
          <w:szCs w:val="22"/>
          <w:lang w:eastAsia="en-IN"/>
          <w14:ligatures w14:val="none"/>
        </w:rPr>
        <w:t>Cochrane handbook for systematic reviews of interventions</w:t>
      </w:r>
      <w:r w:rsidRPr="00B77F6B">
        <w:rPr>
          <w:rFonts w:ascii="Arial" w:eastAsia="Times New Roman" w:hAnsi="Arial" w:cs="Arial"/>
          <w:kern w:val="0"/>
          <w:sz w:val="22"/>
          <w:szCs w:val="22"/>
          <w:lang w:eastAsia="en-IN"/>
          <w14:ligatures w14:val="none"/>
        </w:rPr>
        <w:t>. Version 6.1. Chichester: Wiley.</w:t>
      </w:r>
    </w:p>
    <w:p w14:paraId="1560936E"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Holt-Lunstad, J. et al. (2015) ‘Loneliness and mortality’, </w:t>
      </w:r>
      <w:r w:rsidRPr="00B77F6B">
        <w:rPr>
          <w:rFonts w:ascii="Arial" w:eastAsia="Times New Roman" w:hAnsi="Arial" w:cs="Arial"/>
          <w:i/>
          <w:iCs/>
          <w:kern w:val="0"/>
          <w:sz w:val="22"/>
          <w:szCs w:val="22"/>
          <w:lang w:eastAsia="en-IN"/>
          <w14:ligatures w14:val="none"/>
        </w:rPr>
        <w:t>Perspectives on Psychological Science</w:t>
      </w:r>
      <w:r w:rsidRPr="00B77F6B">
        <w:rPr>
          <w:rFonts w:ascii="Arial" w:eastAsia="Times New Roman" w:hAnsi="Arial" w:cs="Arial"/>
          <w:kern w:val="0"/>
          <w:sz w:val="22"/>
          <w:szCs w:val="22"/>
          <w:lang w:eastAsia="en-IN"/>
          <w14:ligatures w14:val="none"/>
        </w:rPr>
        <w:t>, 10(2), pp. 227–237.</w:t>
      </w:r>
    </w:p>
    <w:p w14:paraId="3504AC04" w14:textId="4B94858D"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Hopewell, S., </w:t>
      </w:r>
      <w:proofErr w:type="spellStart"/>
      <w:r w:rsidRPr="00B77F6B">
        <w:rPr>
          <w:rFonts w:ascii="Arial" w:eastAsia="Times New Roman" w:hAnsi="Arial" w:cs="Arial"/>
          <w:kern w:val="0"/>
          <w:sz w:val="22"/>
          <w:szCs w:val="22"/>
          <w:lang w:eastAsia="en-IN"/>
          <w14:ligatures w14:val="none"/>
        </w:rPr>
        <w:t>Adedire</w:t>
      </w:r>
      <w:proofErr w:type="spellEnd"/>
      <w:r w:rsidRPr="00B77F6B">
        <w:rPr>
          <w:rFonts w:ascii="Arial" w:eastAsia="Times New Roman" w:hAnsi="Arial" w:cs="Arial"/>
          <w:kern w:val="0"/>
          <w:sz w:val="22"/>
          <w:szCs w:val="22"/>
          <w:lang w:eastAsia="en-IN"/>
          <w14:ligatures w14:val="none"/>
        </w:rPr>
        <w:t xml:space="preserve">, O., Copsey, B.J. et al. (2018) ‘Multifactorial and multiple component interventions for preventing falls in older people living in the community’, </w:t>
      </w:r>
      <w:r w:rsidRPr="00B77F6B">
        <w:rPr>
          <w:rFonts w:ascii="Arial" w:eastAsia="Times New Roman" w:hAnsi="Arial" w:cs="Arial"/>
          <w:i/>
          <w:iCs/>
          <w:kern w:val="0"/>
          <w:sz w:val="22"/>
          <w:szCs w:val="22"/>
          <w:lang w:eastAsia="en-IN"/>
          <w14:ligatures w14:val="none"/>
        </w:rPr>
        <w:t>Cochrane Database of Systematic Reviews</w:t>
      </w:r>
      <w:r w:rsidRPr="00B77F6B">
        <w:rPr>
          <w:rFonts w:ascii="Arial" w:eastAsia="Times New Roman" w:hAnsi="Arial" w:cs="Arial"/>
          <w:kern w:val="0"/>
          <w:sz w:val="22"/>
          <w:szCs w:val="22"/>
          <w:lang w:eastAsia="en-IN"/>
          <w14:ligatures w14:val="none"/>
        </w:rPr>
        <w:t xml:space="preserve">, 7, CD012221. Available at: </w:t>
      </w:r>
      <w:hyperlink r:id="rId31" w:history="1">
        <w:r w:rsidR="0064380B" w:rsidRPr="00B77F6B">
          <w:rPr>
            <w:rStyle w:val="Hyperlink"/>
            <w:rFonts w:ascii="Arial" w:eastAsia="Times New Roman" w:hAnsi="Arial" w:cs="Arial"/>
            <w:kern w:val="0"/>
            <w:sz w:val="22"/>
            <w:szCs w:val="22"/>
            <w:lang w:eastAsia="en-IN"/>
            <w14:ligatures w14:val="none"/>
          </w:rPr>
          <w:t>https://www.cochranelibrary.com/cdsr/doi/10.1002/14651858.CD012221.pub2/full</w:t>
        </w:r>
      </w:hyperlink>
      <w:r w:rsidR="0064380B" w:rsidRPr="00B77F6B">
        <w:rPr>
          <w:rFonts w:ascii="Arial" w:eastAsia="Times New Roman" w:hAnsi="Arial" w:cs="Arial"/>
          <w:kern w:val="0"/>
          <w:sz w:val="22"/>
          <w:szCs w:val="22"/>
          <w:lang w:eastAsia="en-IN"/>
          <w14:ligatures w14:val="none"/>
        </w:rPr>
        <w:t xml:space="preserve"> </w:t>
      </w:r>
      <w:r w:rsidRPr="00B77F6B">
        <w:rPr>
          <w:rFonts w:ascii="Arial" w:eastAsia="Times New Roman" w:hAnsi="Arial" w:cs="Arial"/>
          <w:kern w:val="0"/>
          <w:sz w:val="22"/>
          <w:szCs w:val="22"/>
          <w:lang w:eastAsia="en-IN"/>
          <w14:ligatures w14:val="none"/>
        </w:rPr>
        <w:t>(Accessed: 25 December 2025).</w:t>
      </w:r>
    </w:p>
    <w:p w14:paraId="0F47F31E"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Hopewell, S., </w:t>
      </w:r>
      <w:proofErr w:type="spellStart"/>
      <w:r w:rsidRPr="00B77F6B">
        <w:rPr>
          <w:rFonts w:ascii="Arial" w:eastAsia="Times New Roman" w:hAnsi="Arial" w:cs="Arial"/>
          <w:kern w:val="0"/>
          <w:sz w:val="22"/>
          <w:szCs w:val="22"/>
          <w:lang w:eastAsia="en-IN"/>
          <w14:ligatures w14:val="none"/>
        </w:rPr>
        <w:t>Boutron</w:t>
      </w:r>
      <w:proofErr w:type="spellEnd"/>
      <w:r w:rsidRPr="00B77F6B">
        <w:rPr>
          <w:rFonts w:ascii="Arial" w:eastAsia="Times New Roman" w:hAnsi="Arial" w:cs="Arial"/>
          <w:kern w:val="0"/>
          <w:sz w:val="22"/>
          <w:szCs w:val="22"/>
          <w:lang w:eastAsia="en-IN"/>
          <w14:ligatures w14:val="none"/>
        </w:rPr>
        <w:t xml:space="preserve">, I. and Altman, D.G. (2021) ‘Incorporating context and implementation into systematic reviews of public health interventions’, </w:t>
      </w:r>
      <w:r w:rsidRPr="00B77F6B">
        <w:rPr>
          <w:rFonts w:ascii="Arial" w:eastAsia="Times New Roman" w:hAnsi="Arial" w:cs="Arial"/>
          <w:i/>
          <w:iCs/>
          <w:kern w:val="0"/>
          <w:sz w:val="22"/>
          <w:szCs w:val="22"/>
          <w:lang w:eastAsia="en-IN"/>
          <w14:ligatures w14:val="none"/>
        </w:rPr>
        <w:t>Journal of Clinical Epidemiology</w:t>
      </w:r>
      <w:r w:rsidRPr="00B77F6B">
        <w:rPr>
          <w:rFonts w:ascii="Arial" w:eastAsia="Times New Roman" w:hAnsi="Arial" w:cs="Arial"/>
          <w:kern w:val="0"/>
          <w:sz w:val="22"/>
          <w:szCs w:val="22"/>
          <w:lang w:eastAsia="en-IN"/>
          <w14:ligatures w14:val="none"/>
        </w:rPr>
        <w:t>, 134, pp. 134–142.</w:t>
      </w:r>
    </w:p>
    <w:p w14:paraId="56467B52"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Howe, T.E. et al. (2011) ‘Exercise for preventing falls’, </w:t>
      </w:r>
      <w:r w:rsidRPr="00B77F6B">
        <w:rPr>
          <w:rFonts w:ascii="Arial" w:eastAsia="Times New Roman" w:hAnsi="Arial" w:cs="Arial"/>
          <w:i/>
          <w:iCs/>
          <w:kern w:val="0"/>
          <w:sz w:val="22"/>
          <w:szCs w:val="22"/>
          <w:lang w:eastAsia="en-IN"/>
          <w14:ligatures w14:val="none"/>
        </w:rPr>
        <w:t>Cochrane Database of Systematic Reviews</w:t>
      </w:r>
      <w:r w:rsidRPr="00B77F6B">
        <w:rPr>
          <w:rFonts w:ascii="Arial" w:eastAsia="Times New Roman" w:hAnsi="Arial" w:cs="Arial"/>
          <w:kern w:val="0"/>
          <w:sz w:val="22"/>
          <w:szCs w:val="22"/>
          <w:lang w:eastAsia="en-IN"/>
          <w14:ligatures w14:val="none"/>
        </w:rPr>
        <w:t>, (7).</w:t>
      </w:r>
    </w:p>
    <w:p w14:paraId="68F5E62F"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Humphries, R. et al. (2020) Social care and integration. London: The King’s Fund.</w:t>
      </w:r>
    </w:p>
    <w:p w14:paraId="3C8C7A68"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Imison, C. et al. (2017) Shifting the balance of care. London: Nuffield Trust.</w:t>
      </w:r>
    </w:p>
    <w:p w14:paraId="7440BFBF"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Investing in community physiotherapy is a crucial tactic to lower falls, encourage independence, and minimise health disparities given England’s increasingly ageing metropolitan population (n.d.).</w:t>
      </w:r>
    </w:p>
    <w:p w14:paraId="7308E5AA"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JBI (2020) </w:t>
      </w:r>
      <w:r w:rsidRPr="00B77F6B">
        <w:rPr>
          <w:rFonts w:ascii="Arial" w:eastAsia="Times New Roman" w:hAnsi="Arial" w:cs="Arial"/>
          <w:i/>
          <w:iCs/>
          <w:kern w:val="0"/>
          <w:sz w:val="22"/>
          <w:szCs w:val="22"/>
          <w:lang w:eastAsia="en-IN"/>
          <w14:ligatures w14:val="none"/>
        </w:rPr>
        <w:t>Checklist for systematic reviews and research syntheses</w:t>
      </w:r>
      <w:r w:rsidRPr="00B77F6B">
        <w:rPr>
          <w:rFonts w:ascii="Arial" w:eastAsia="Times New Roman" w:hAnsi="Arial" w:cs="Arial"/>
          <w:kern w:val="0"/>
          <w:sz w:val="22"/>
          <w:szCs w:val="22"/>
          <w:lang w:eastAsia="en-IN"/>
          <w14:ligatures w14:val="none"/>
        </w:rPr>
        <w:t xml:space="preserve">. Available at: </w:t>
      </w:r>
      <w:hyperlink r:id="rId32" w:tgtFrame="_new" w:history="1">
        <w:r w:rsidRPr="00B77F6B">
          <w:rPr>
            <w:rFonts w:ascii="Arial" w:eastAsia="Times New Roman" w:hAnsi="Arial" w:cs="Arial"/>
            <w:color w:val="0000FF"/>
            <w:kern w:val="0"/>
            <w:sz w:val="22"/>
            <w:szCs w:val="22"/>
            <w:u w:val="single"/>
            <w:lang w:eastAsia="en-IN"/>
            <w14:ligatures w14:val="none"/>
          </w:rPr>
          <w:t>https://jbi.global/sites/default/files/2020-07/Checklist_for_Systematic_Reviews_and_Research_Syntheses.pdf</w:t>
        </w:r>
      </w:hyperlink>
      <w:r w:rsidRPr="00B77F6B">
        <w:rPr>
          <w:rFonts w:ascii="Arial" w:eastAsia="Times New Roman" w:hAnsi="Arial" w:cs="Arial"/>
          <w:kern w:val="0"/>
          <w:sz w:val="22"/>
          <w:szCs w:val="22"/>
          <w:lang w:eastAsia="en-IN"/>
          <w14:ligatures w14:val="none"/>
        </w:rPr>
        <w:t xml:space="preserve"> (Accessed: 22 December 2025).</w:t>
      </w:r>
    </w:p>
    <w:p w14:paraId="375F9E86"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Johnson, T., Miller, A. and Roberts, S. (2021) ‘Effectiveness of physiotherapy-led fall prevention programmes’, </w:t>
      </w:r>
      <w:r w:rsidRPr="00B77F6B">
        <w:rPr>
          <w:rFonts w:ascii="Arial" w:eastAsia="Times New Roman" w:hAnsi="Arial" w:cs="Arial"/>
          <w:i/>
          <w:iCs/>
          <w:kern w:val="0"/>
          <w:sz w:val="22"/>
          <w:szCs w:val="22"/>
          <w:lang w:eastAsia="en-IN"/>
          <w14:ligatures w14:val="none"/>
        </w:rPr>
        <w:t>Physiotherapy</w:t>
      </w:r>
      <w:r w:rsidRPr="00B77F6B">
        <w:rPr>
          <w:rFonts w:ascii="Arial" w:eastAsia="Times New Roman" w:hAnsi="Arial" w:cs="Arial"/>
          <w:kern w:val="0"/>
          <w:sz w:val="22"/>
          <w:szCs w:val="22"/>
          <w:lang w:eastAsia="en-IN"/>
          <w14:ligatures w14:val="none"/>
        </w:rPr>
        <w:t xml:space="preserve">, 111, pp. 15–22. Available at: </w:t>
      </w:r>
      <w:hyperlink r:id="rId33" w:tgtFrame="_new" w:history="1">
        <w:r w:rsidRPr="00B77F6B">
          <w:rPr>
            <w:rFonts w:ascii="Arial" w:eastAsia="Times New Roman" w:hAnsi="Arial" w:cs="Arial"/>
            <w:color w:val="0000FF"/>
            <w:kern w:val="0"/>
            <w:sz w:val="22"/>
            <w:szCs w:val="22"/>
            <w:u w:val="single"/>
            <w:lang w:eastAsia="en-IN"/>
            <w14:ligatures w14:val="none"/>
          </w:rPr>
          <w:t>https://www.journals.elsevier.com</w:t>
        </w:r>
      </w:hyperlink>
      <w:r w:rsidRPr="00B77F6B">
        <w:rPr>
          <w:rFonts w:ascii="Arial" w:eastAsia="Times New Roman" w:hAnsi="Arial" w:cs="Arial"/>
          <w:kern w:val="0"/>
          <w:sz w:val="22"/>
          <w:szCs w:val="22"/>
          <w:lang w:eastAsia="en-IN"/>
          <w14:ligatures w14:val="none"/>
        </w:rPr>
        <w:t xml:space="preserve"> (Accessed: 2 December 2025).</w:t>
      </w:r>
    </w:p>
    <w:p w14:paraId="6A514694"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Keating, C.J. et al. (2021) ‘Influence of resistance training on gait and balance parameters in older adults’, </w:t>
      </w:r>
      <w:r w:rsidRPr="00B77F6B">
        <w:rPr>
          <w:rFonts w:ascii="Arial" w:eastAsia="Times New Roman" w:hAnsi="Arial" w:cs="Arial"/>
          <w:i/>
          <w:iCs/>
          <w:kern w:val="0"/>
          <w:sz w:val="22"/>
          <w:szCs w:val="22"/>
          <w:lang w:eastAsia="en-IN"/>
          <w14:ligatures w14:val="none"/>
        </w:rPr>
        <w:t>International Journal of Environmental Research and Public Health</w:t>
      </w:r>
      <w:r w:rsidRPr="00B77F6B">
        <w:rPr>
          <w:rFonts w:ascii="Arial" w:eastAsia="Times New Roman" w:hAnsi="Arial" w:cs="Arial"/>
          <w:kern w:val="0"/>
          <w:sz w:val="22"/>
          <w:szCs w:val="22"/>
          <w:lang w:eastAsia="en-IN"/>
          <w14:ligatures w14:val="none"/>
        </w:rPr>
        <w:t>, 18(4), 1759.</w:t>
      </w:r>
    </w:p>
    <w:p w14:paraId="4B0D9C0B"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Kingston, A. et al. (2018) ‘Projections of health and care needs’, The Lancet Public Health, 3(9), pp. e447–e455.</w:t>
      </w:r>
    </w:p>
    <w:p w14:paraId="64282AA2"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Kuh, D. et al. (2014) ‘A life course approach to healthy ageing’, </w:t>
      </w:r>
      <w:r w:rsidRPr="00B77F6B">
        <w:rPr>
          <w:rFonts w:ascii="Arial" w:eastAsia="Times New Roman" w:hAnsi="Arial" w:cs="Arial"/>
          <w:i/>
          <w:iCs/>
          <w:kern w:val="0"/>
          <w:sz w:val="22"/>
          <w:szCs w:val="22"/>
          <w:lang w:eastAsia="en-IN"/>
          <w14:ligatures w14:val="none"/>
        </w:rPr>
        <w:t>The Lancet</w:t>
      </w:r>
      <w:r w:rsidRPr="00B77F6B">
        <w:rPr>
          <w:rFonts w:ascii="Arial" w:eastAsia="Times New Roman" w:hAnsi="Arial" w:cs="Arial"/>
          <w:kern w:val="0"/>
          <w:sz w:val="22"/>
          <w:szCs w:val="22"/>
          <w:lang w:eastAsia="en-IN"/>
          <w14:ligatures w14:val="none"/>
        </w:rPr>
        <w:t>, 384(9947), pp. 1863–1880.</w:t>
      </w:r>
    </w:p>
    <w:p w14:paraId="73F8847B"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Landi, F. et al. (2012) ‘Sarcopenia and falls’, </w:t>
      </w:r>
      <w:r w:rsidRPr="00B77F6B">
        <w:rPr>
          <w:rFonts w:ascii="Arial" w:eastAsia="Times New Roman" w:hAnsi="Arial" w:cs="Arial"/>
          <w:i/>
          <w:iCs/>
          <w:kern w:val="0"/>
          <w:sz w:val="22"/>
          <w:szCs w:val="22"/>
          <w:lang w:eastAsia="en-IN"/>
          <w14:ligatures w14:val="none"/>
        </w:rPr>
        <w:t>Journal of Nutrition Health and Aging</w:t>
      </w:r>
      <w:r w:rsidRPr="00B77F6B">
        <w:rPr>
          <w:rFonts w:ascii="Arial" w:eastAsia="Times New Roman" w:hAnsi="Arial" w:cs="Arial"/>
          <w:kern w:val="0"/>
          <w:sz w:val="22"/>
          <w:szCs w:val="22"/>
          <w:lang w:eastAsia="en-IN"/>
          <w14:ligatures w14:val="none"/>
        </w:rPr>
        <w:t>, 16(6), pp. 503–509.</w:t>
      </w:r>
    </w:p>
    <w:p w14:paraId="1FFF57A6"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Lefebvre, C. et al. (2021) </w:t>
      </w:r>
      <w:r w:rsidRPr="00B77F6B">
        <w:rPr>
          <w:rFonts w:ascii="Arial" w:eastAsia="Times New Roman" w:hAnsi="Arial" w:cs="Arial"/>
          <w:i/>
          <w:iCs/>
          <w:kern w:val="0"/>
          <w:sz w:val="22"/>
          <w:szCs w:val="22"/>
          <w:lang w:eastAsia="en-IN"/>
          <w14:ligatures w14:val="none"/>
        </w:rPr>
        <w:t>Cochrane handbook for systematic reviews</w:t>
      </w:r>
      <w:r w:rsidRPr="00B77F6B">
        <w:rPr>
          <w:rFonts w:ascii="Arial" w:eastAsia="Times New Roman" w:hAnsi="Arial" w:cs="Arial"/>
          <w:kern w:val="0"/>
          <w:sz w:val="22"/>
          <w:szCs w:val="22"/>
          <w:lang w:eastAsia="en-IN"/>
          <w14:ligatures w14:val="none"/>
        </w:rPr>
        <w:t>. London: Wiley.</w:t>
      </w:r>
    </w:p>
    <w:p w14:paraId="21D2439D"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Lesinski, M. et al. (2015) ‘Dose–response relationships of balance training’, Sports Medicine, 45(12), pp. 1693–1720.</w:t>
      </w:r>
    </w:p>
    <w:p w14:paraId="1A789C61"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Li, T. et al. (2015) ‘Piloting data extraction forms’, </w:t>
      </w:r>
      <w:r w:rsidRPr="00B77F6B">
        <w:rPr>
          <w:rFonts w:ascii="Arial" w:eastAsia="Times New Roman" w:hAnsi="Arial" w:cs="Arial"/>
          <w:i/>
          <w:iCs/>
          <w:kern w:val="0"/>
          <w:sz w:val="22"/>
          <w:szCs w:val="22"/>
          <w:lang w:eastAsia="en-IN"/>
          <w14:ligatures w14:val="none"/>
        </w:rPr>
        <w:t>Systematic Reviews</w:t>
      </w:r>
      <w:r w:rsidRPr="00B77F6B">
        <w:rPr>
          <w:rFonts w:ascii="Arial" w:eastAsia="Times New Roman" w:hAnsi="Arial" w:cs="Arial"/>
          <w:kern w:val="0"/>
          <w:sz w:val="22"/>
          <w:szCs w:val="22"/>
          <w:lang w:eastAsia="en-IN"/>
          <w14:ligatures w14:val="none"/>
        </w:rPr>
        <w:t>, 4, 53.</w:t>
      </w:r>
    </w:p>
    <w:p w14:paraId="2013ED83"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Li, T., Higgins, J.P.T. and Deeks, J.J. (2022) ‘Collecting data and assessing risk of bias’, in Higgins, J.P.T. et al. (eds.) </w:t>
      </w:r>
      <w:r w:rsidRPr="00B77F6B">
        <w:rPr>
          <w:rFonts w:ascii="Arial" w:eastAsia="Times New Roman" w:hAnsi="Arial" w:cs="Arial"/>
          <w:i/>
          <w:iCs/>
          <w:kern w:val="0"/>
          <w:sz w:val="22"/>
          <w:szCs w:val="22"/>
          <w:lang w:eastAsia="en-IN"/>
          <w14:ligatures w14:val="none"/>
        </w:rPr>
        <w:t>Cochrane handbook for systematic reviews of interventions</w:t>
      </w:r>
      <w:r w:rsidRPr="00B77F6B">
        <w:rPr>
          <w:rFonts w:ascii="Arial" w:eastAsia="Times New Roman" w:hAnsi="Arial" w:cs="Arial"/>
          <w:kern w:val="0"/>
          <w:sz w:val="22"/>
          <w:szCs w:val="22"/>
          <w:lang w:eastAsia="en-IN"/>
          <w14:ligatures w14:val="none"/>
        </w:rPr>
        <w:t xml:space="preserve">. 2nd </w:t>
      </w:r>
      <w:proofErr w:type="spellStart"/>
      <w:r w:rsidRPr="00B77F6B">
        <w:rPr>
          <w:rFonts w:ascii="Arial" w:eastAsia="Times New Roman" w:hAnsi="Arial" w:cs="Arial"/>
          <w:kern w:val="0"/>
          <w:sz w:val="22"/>
          <w:szCs w:val="22"/>
          <w:lang w:eastAsia="en-IN"/>
          <w14:ligatures w14:val="none"/>
        </w:rPr>
        <w:t>edn</w:t>
      </w:r>
      <w:proofErr w:type="spellEnd"/>
      <w:r w:rsidRPr="00B77F6B">
        <w:rPr>
          <w:rFonts w:ascii="Arial" w:eastAsia="Times New Roman" w:hAnsi="Arial" w:cs="Arial"/>
          <w:kern w:val="0"/>
          <w:sz w:val="22"/>
          <w:szCs w:val="22"/>
          <w:lang w:eastAsia="en-IN"/>
          <w14:ligatures w14:val="none"/>
        </w:rPr>
        <w:t>. Chichester: Wiley.</w:t>
      </w:r>
    </w:p>
    <w:p w14:paraId="12DBCDFD" w14:textId="5B1405D9" w:rsidR="0064380B" w:rsidRPr="00B77F6B" w:rsidRDefault="00271515" w:rsidP="0064380B">
      <w:pPr>
        <w:pStyle w:val="ListParagraph"/>
        <w:numPr>
          <w:ilvl w:val="0"/>
          <w:numId w:val="12"/>
        </w:numPr>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lastRenderedPageBreak/>
        <w:t xml:space="preserve">Liu, C.J. and Latham, N.K. (2011) ‘Progressive resistance strength training for improving physical function in older adults’, </w:t>
      </w:r>
      <w:r w:rsidRPr="00B77F6B">
        <w:rPr>
          <w:rFonts w:ascii="Arial" w:eastAsia="Times New Roman" w:hAnsi="Arial" w:cs="Arial"/>
          <w:i/>
          <w:iCs/>
          <w:kern w:val="0"/>
          <w:sz w:val="22"/>
          <w:szCs w:val="22"/>
          <w:lang w:eastAsia="en-IN"/>
          <w14:ligatures w14:val="none"/>
        </w:rPr>
        <w:t>Cochrane Database of Systematic Reviews</w:t>
      </w:r>
      <w:r w:rsidRPr="00B77F6B">
        <w:rPr>
          <w:rFonts w:ascii="Arial" w:eastAsia="Times New Roman" w:hAnsi="Arial" w:cs="Arial"/>
          <w:kern w:val="0"/>
          <w:sz w:val="22"/>
          <w:szCs w:val="22"/>
          <w:lang w:eastAsia="en-IN"/>
          <w14:ligatures w14:val="none"/>
        </w:rPr>
        <w:t>, 3, CD002759.</w:t>
      </w:r>
      <w:r w:rsidR="0064380B" w:rsidRPr="00B77F6B">
        <w:rPr>
          <w:rFonts w:ascii="Arial" w:hAnsi="Arial" w:cs="Arial"/>
          <w:sz w:val="22"/>
          <w:szCs w:val="22"/>
        </w:rPr>
        <w:t xml:space="preserve"> </w:t>
      </w:r>
      <w:hyperlink r:id="rId34" w:history="1">
        <w:r w:rsidR="0064380B" w:rsidRPr="00B77F6B">
          <w:rPr>
            <w:rStyle w:val="Hyperlink"/>
            <w:rFonts w:ascii="Arial" w:eastAsia="Times New Roman" w:hAnsi="Arial" w:cs="Arial"/>
            <w:kern w:val="0"/>
            <w:sz w:val="22"/>
            <w:szCs w:val="22"/>
            <w:lang w:eastAsia="en-IN"/>
            <w14:ligatures w14:val="none"/>
          </w:rPr>
          <w:t>https://www.cochranelibrary.com/cdsr/doi/10.1002/14651858.CD002759.pub2/full</w:t>
        </w:r>
      </w:hyperlink>
      <w:r w:rsidR="0064380B" w:rsidRPr="00B77F6B">
        <w:rPr>
          <w:rFonts w:ascii="Arial" w:eastAsia="Times New Roman" w:hAnsi="Arial" w:cs="Arial"/>
          <w:kern w:val="0"/>
          <w:sz w:val="22"/>
          <w:szCs w:val="22"/>
          <w:lang w:eastAsia="en-IN"/>
          <w14:ligatures w14:val="none"/>
        </w:rPr>
        <w:t xml:space="preserve"> </w:t>
      </w:r>
    </w:p>
    <w:p w14:paraId="7D68D88E" w14:textId="157A27FF"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Lowe, M. et al. (2019) ‘Urban design and health’, </w:t>
      </w:r>
      <w:r w:rsidRPr="00B77F6B">
        <w:rPr>
          <w:rFonts w:ascii="Arial" w:eastAsia="Times New Roman" w:hAnsi="Arial" w:cs="Arial"/>
          <w:i/>
          <w:iCs/>
          <w:kern w:val="0"/>
          <w:sz w:val="22"/>
          <w:szCs w:val="22"/>
          <w:lang w:eastAsia="en-IN"/>
          <w14:ligatures w14:val="none"/>
        </w:rPr>
        <w:t>The Lancet</w:t>
      </w:r>
      <w:r w:rsidRPr="00B77F6B">
        <w:rPr>
          <w:rFonts w:ascii="Arial" w:eastAsia="Times New Roman" w:hAnsi="Arial" w:cs="Arial"/>
          <w:kern w:val="0"/>
          <w:sz w:val="22"/>
          <w:szCs w:val="22"/>
          <w:lang w:eastAsia="en-IN"/>
          <w14:ligatures w14:val="none"/>
        </w:rPr>
        <w:t>, 393(10184), pp. 291–292.</w:t>
      </w:r>
    </w:p>
    <w:p w14:paraId="3A48CC27"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Ma, L-L. et al. (2020) ‘Methodological quality assessment tools’, </w:t>
      </w:r>
      <w:r w:rsidRPr="00B77F6B">
        <w:rPr>
          <w:rFonts w:ascii="Arial" w:eastAsia="Times New Roman" w:hAnsi="Arial" w:cs="Arial"/>
          <w:i/>
          <w:iCs/>
          <w:kern w:val="0"/>
          <w:sz w:val="22"/>
          <w:szCs w:val="22"/>
          <w:lang w:eastAsia="en-IN"/>
          <w14:ligatures w14:val="none"/>
        </w:rPr>
        <w:t>Military Medical Research</w:t>
      </w:r>
      <w:r w:rsidRPr="00B77F6B">
        <w:rPr>
          <w:rFonts w:ascii="Arial" w:eastAsia="Times New Roman" w:hAnsi="Arial" w:cs="Arial"/>
          <w:kern w:val="0"/>
          <w:sz w:val="22"/>
          <w:szCs w:val="22"/>
          <w:lang w:eastAsia="en-IN"/>
          <w14:ligatures w14:val="none"/>
        </w:rPr>
        <w:t>, 7(7).</w:t>
      </w:r>
    </w:p>
    <w:p w14:paraId="15CCC4B8"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Marmot, M. et al. (2020) </w:t>
      </w:r>
      <w:r w:rsidRPr="00B77F6B">
        <w:rPr>
          <w:rFonts w:ascii="Arial" w:eastAsia="Times New Roman" w:hAnsi="Arial" w:cs="Arial"/>
          <w:i/>
          <w:iCs/>
          <w:kern w:val="0"/>
          <w:sz w:val="22"/>
          <w:szCs w:val="22"/>
          <w:lang w:eastAsia="en-IN"/>
          <w14:ligatures w14:val="none"/>
        </w:rPr>
        <w:t>Health equity in England: The Marmot Review 10 years on</w:t>
      </w:r>
      <w:r w:rsidRPr="00B77F6B">
        <w:rPr>
          <w:rFonts w:ascii="Arial" w:eastAsia="Times New Roman" w:hAnsi="Arial" w:cs="Arial"/>
          <w:kern w:val="0"/>
          <w:sz w:val="22"/>
          <w:szCs w:val="22"/>
          <w:lang w:eastAsia="en-IN"/>
          <w14:ligatures w14:val="none"/>
        </w:rPr>
        <w:t>. London: Institute of Health Equity.</w:t>
      </w:r>
    </w:p>
    <w:p w14:paraId="6BA3846F"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McAuley, E. et al. (2011) ‘Self-efficacy and physical activity’, </w:t>
      </w:r>
      <w:r w:rsidRPr="00B77F6B">
        <w:rPr>
          <w:rFonts w:ascii="Arial" w:eastAsia="Times New Roman" w:hAnsi="Arial" w:cs="Arial"/>
          <w:i/>
          <w:iCs/>
          <w:kern w:val="0"/>
          <w:sz w:val="22"/>
          <w:szCs w:val="22"/>
          <w:lang w:eastAsia="en-IN"/>
          <w14:ligatures w14:val="none"/>
        </w:rPr>
        <w:t>Health Psychology</w:t>
      </w:r>
      <w:r w:rsidRPr="00B77F6B">
        <w:rPr>
          <w:rFonts w:ascii="Arial" w:eastAsia="Times New Roman" w:hAnsi="Arial" w:cs="Arial"/>
          <w:kern w:val="0"/>
          <w:sz w:val="22"/>
          <w:szCs w:val="22"/>
          <w:lang w:eastAsia="en-IN"/>
          <w14:ligatures w14:val="none"/>
        </w:rPr>
        <w:t>, 30(4), pp. 475–486.</w:t>
      </w:r>
    </w:p>
    <w:p w14:paraId="7B1C7C00"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McLeroy, K.R. et al. (1988) ‘An ecological perspective on health promotion programs’, </w:t>
      </w:r>
      <w:r w:rsidRPr="00B77F6B">
        <w:rPr>
          <w:rFonts w:ascii="Arial" w:eastAsia="Times New Roman" w:hAnsi="Arial" w:cs="Arial"/>
          <w:i/>
          <w:iCs/>
          <w:kern w:val="0"/>
          <w:sz w:val="22"/>
          <w:szCs w:val="22"/>
          <w:lang w:eastAsia="en-IN"/>
          <w14:ligatures w14:val="none"/>
        </w:rPr>
        <w:t>Health Education Quarterly</w:t>
      </w:r>
      <w:r w:rsidRPr="00B77F6B">
        <w:rPr>
          <w:rFonts w:ascii="Arial" w:eastAsia="Times New Roman" w:hAnsi="Arial" w:cs="Arial"/>
          <w:kern w:val="0"/>
          <w:sz w:val="22"/>
          <w:szCs w:val="22"/>
          <w:lang w:eastAsia="en-IN"/>
          <w14:ligatures w14:val="none"/>
        </w:rPr>
        <w:t>, 15(4), pp. 351–377.</w:t>
      </w:r>
    </w:p>
    <w:p w14:paraId="0ECDF893"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Michie, S. et al. (2011) ‘The behaviour change wheel’, </w:t>
      </w:r>
      <w:r w:rsidRPr="00B77F6B">
        <w:rPr>
          <w:rFonts w:ascii="Arial" w:eastAsia="Times New Roman" w:hAnsi="Arial" w:cs="Arial"/>
          <w:i/>
          <w:iCs/>
          <w:kern w:val="0"/>
          <w:sz w:val="22"/>
          <w:szCs w:val="22"/>
          <w:lang w:eastAsia="en-IN"/>
          <w14:ligatures w14:val="none"/>
        </w:rPr>
        <w:t>Implementation Science</w:t>
      </w:r>
      <w:r w:rsidRPr="00B77F6B">
        <w:rPr>
          <w:rFonts w:ascii="Arial" w:eastAsia="Times New Roman" w:hAnsi="Arial" w:cs="Arial"/>
          <w:kern w:val="0"/>
          <w:sz w:val="22"/>
          <w:szCs w:val="22"/>
          <w:lang w:eastAsia="en-IN"/>
          <w14:ligatures w14:val="none"/>
        </w:rPr>
        <w:t>, 6, 42.</w:t>
      </w:r>
    </w:p>
    <w:p w14:paraId="0EC5DA86"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Michie, S. et al. (2013) ‘Behaviour change techniques’, </w:t>
      </w:r>
      <w:r w:rsidRPr="00B77F6B">
        <w:rPr>
          <w:rFonts w:ascii="Arial" w:eastAsia="Times New Roman" w:hAnsi="Arial" w:cs="Arial"/>
          <w:i/>
          <w:iCs/>
          <w:kern w:val="0"/>
          <w:sz w:val="22"/>
          <w:szCs w:val="22"/>
          <w:lang w:eastAsia="en-IN"/>
          <w14:ligatures w14:val="none"/>
        </w:rPr>
        <w:t xml:space="preserve">Annals of </w:t>
      </w:r>
      <w:proofErr w:type="spellStart"/>
      <w:r w:rsidRPr="00B77F6B">
        <w:rPr>
          <w:rFonts w:ascii="Arial" w:eastAsia="Times New Roman" w:hAnsi="Arial" w:cs="Arial"/>
          <w:i/>
          <w:iCs/>
          <w:kern w:val="0"/>
          <w:sz w:val="22"/>
          <w:szCs w:val="22"/>
          <w:lang w:eastAsia="en-IN"/>
          <w14:ligatures w14:val="none"/>
        </w:rPr>
        <w:t>Behavioral</w:t>
      </w:r>
      <w:proofErr w:type="spellEnd"/>
      <w:r w:rsidRPr="00B77F6B">
        <w:rPr>
          <w:rFonts w:ascii="Arial" w:eastAsia="Times New Roman" w:hAnsi="Arial" w:cs="Arial"/>
          <w:i/>
          <w:iCs/>
          <w:kern w:val="0"/>
          <w:sz w:val="22"/>
          <w:szCs w:val="22"/>
          <w:lang w:eastAsia="en-IN"/>
          <w14:ligatures w14:val="none"/>
        </w:rPr>
        <w:t xml:space="preserve"> Medicine</w:t>
      </w:r>
      <w:r w:rsidRPr="00B77F6B">
        <w:rPr>
          <w:rFonts w:ascii="Arial" w:eastAsia="Times New Roman" w:hAnsi="Arial" w:cs="Arial"/>
          <w:kern w:val="0"/>
          <w:sz w:val="22"/>
          <w:szCs w:val="22"/>
          <w:lang w:eastAsia="en-IN"/>
          <w14:ligatures w14:val="none"/>
        </w:rPr>
        <w:t>, 46(1), pp. 81–95.</w:t>
      </w:r>
    </w:p>
    <w:p w14:paraId="575D0638"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Moher, D. et al. (2009) ‘Preferred reporting items for systematic reviews and meta-analyses’, </w:t>
      </w:r>
      <w:r w:rsidRPr="00B77F6B">
        <w:rPr>
          <w:rFonts w:ascii="Arial" w:eastAsia="Times New Roman" w:hAnsi="Arial" w:cs="Arial"/>
          <w:i/>
          <w:iCs/>
          <w:kern w:val="0"/>
          <w:sz w:val="22"/>
          <w:szCs w:val="22"/>
          <w:lang w:eastAsia="en-IN"/>
          <w14:ligatures w14:val="none"/>
        </w:rPr>
        <w:t>BMJ</w:t>
      </w:r>
      <w:r w:rsidRPr="00B77F6B">
        <w:rPr>
          <w:rFonts w:ascii="Arial" w:eastAsia="Times New Roman" w:hAnsi="Arial" w:cs="Arial"/>
          <w:kern w:val="0"/>
          <w:sz w:val="22"/>
          <w:szCs w:val="22"/>
          <w:lang w:eastAsia="en-IN"/>
          <w14:ligatures w14:val="none"/>
        </w:rPr>
        <w:t>, 339, b2535.</w:t>
      </w:r>
    </w:p>
    <w:p w14:paraId="26C46D62"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Montero-Odasso, M. et al. (2022) ‘World guidelines for falls prevention and management’, </w:t>
      </w:r>
      <w:r w:rsidRPr="00B77F6B">
        <w:rPr>
          <w:rFonts w:ascii="Arial" w:eastAsia="Times New Roman" w:hAnsi="Arial" w:cs="Arial"/>
          <w:i/>
          <w:iCs/>
          <w:kern w:val="0"/>
          <w:sz w:val="22"/>
          <w:szCs w:val="22"/>
          <w:lang w:eastAsia="en-IN"/>
          <w14:ligatures w14:val="none"/>
        </w:rPr>
        <w:t>Age and Ageing</w:t>
      </w:r>
      <w:r w:rsidRPr="00B77F6B">
        <w:rPr>
          <w:rFonts w:ascii="Arial" w:eastAsia="Times New Roman" w:hAnsi="Arial" w:cs="Arial"/>
          <w:kern w:val="0"/>
          <w:sz w:val="22"/>
          <w:szCs w:val="22"/>
          <w:lang w:eastAsia="en-IN"/>
          <w14:ligatures w14:val="none"/>
        </w:rPr>
        <w:t>, 51(9), afac205.</w:t>
      </w:r>
    </w:p>
    <w:p w14:paraId="58A516AD"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Montero-Odasso, M., van der Velde, N., Ryg, J. and Masud, T. (2025) ‘Falls risk stratification: one size doesn’t fit all’, </w:t>
      </w:r>
      <w:r w:rsidRPr="00B77F6B">
        <w:rPr>
          <w:rFonts w:ascii="Arial" w:eastAsia="Times New Roman" w:hAnsi="Arial" w:cs="Arial"/>
          <w:i/>
          <w:iCs/>
          <w:kern w:val="0"/>
          <w:sz w:val="22"/>
          <w:szCs w:val="22"/>
          <w:lang w:eastAsia="en-IN"/>
          <w14:ligatures w14:val="none"/>
        </w:rPr>
        <w:t>Age and Ageing</w:t>
      </w:r>
      <w:r w:rsidRPr="00B77F6B">
        <w:rPr>
          <w:rFonts w:ascii="Arial" w:eastAsia="Times New Roman" w:hAnsi="Arial" w:cs="Arial"/>
          <w:kern w:val="0"/>
          <w:sz w:val="22"/>
          <w:szCs w:val="22"/>
          <w:lang w:eastAsia="en-IN"/>
          <w14:ligatures w14:val="none"/>
        </w:rPr>
        <w:t>, 54(1), afae292.</w:t>
      </w:r>
    </w:p>
    <w:p w14:paraId="5063CF07"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Moore, G.F. et al. (2019) ‘Process evaluation of complex interventions’, </w:t>
      </w:r>
      <w:r w:rsidRPr="00B77F6B">
        <w:rPr>
          <w:rFonts w:ascii="Arial" w:eastAsia="Times New Roman" w:hAnsi="Arial" w:cs="Arial"/>
          <w:i/>
          <w:iCs/>
          <w:kern w:val="0"/>
          <w:sz w:val="22"/>
          <w:szCs w:val="22"/>
          <w:lang w:eastAsia="en-IN"/>
          <w14:ligatures w14:val="none"/>
        </w:rPr>
        <w:t>BMJ</w:t>
      </w:r>
      <w:r w:rsidRPr="00B77F6B">
        <w:rPr>
          <w:rFonts w:ascii="Arial" w:eastAsia="Times New Roman" w:hAnsi="Arial" w:cs="Arial"/>
          <w:kern w:val="0"/>
          <w:sz w:val="22"/>
          <w:szCs w:val="22"/>
          <w:lang w:eastAsia="en-IN"/>
          <w14:ligatures w14:val="none"/>
        </w:rPr>
        <w:t>, 350, h1258.</w:t>
      </w:r>
    </w:p>
    <w:p w14:paraId="200A13C4"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National Institute for Health and Care Excellence (NICE) (2015) </w:t>
      </w:r>
      <w:r w:rsidRPr="00B77F6B">
        <w:rPr>
          <w:rFonts w:ascii="Arial" w:eastAsia="Times New Roman" w:hAnsi="Arial" w:cs="Arial"/>
          <w:i/>
          <w:iCs/>
          <w:kern w:val="0"/>
          <w:sz w:val="22"/>
          <w:szCs w:val="22"/>
          <w:lang w:eastAsia="en-IN"/>
          <w14:ligatures w14:val="none"/>
        </w:rPr>
        <w:t>Falls in older people: prevention (QS86)</w:t>
      </w:r>
      <w:r w:rsidRPr="00B77F6B">
        <w:rPr>
          <w:rFonts w:ascii="Arial" w:eastAsia="Times New Roman" w:hAnsi="Arial" w:cs="Arial"/>
          <w:kern w:val="0"/>
          <w:sz w:val="22"/>
          <w:szCs w:val="22"/>
          <w:lang w:eastAsia="en-IN"/>
          <w14:ligatures w14:val="none"/>
        </w:rPr>
        <w:t xml:space="preserve">. Available at: </w:t>
      </w:r>
      <w:hyperlink r:id="rId35" w:tgtFrame="_new" w:history="1">
        <w:r w:rsidRPr="00B77F6B">
          <w:rPr>
            <w:rFonts w:ascii="Arial" w:eastAsia="Times New Roman" w:hAnsi="Arial" w:cs="Arial"/>
            <w:color w:val="0000FF"/>
            <w:kern w:val="0"/>
            <w:sz w:val="22"/>
            <w:szCs w:val="22"/>
            <w:u w:val="single"/>
            <w:lang w:eastAsia="en-IN"/>
            <w14:ligatures w14:val="none"/>
          </w:rPr>
          <w:t>https://www.nice.org.uk/guidance/qs86</w:t>
        </w:r>
      </w:hyperlink>
      <w:r w:rsidRPr="00B77F6B">
        <w:rPr>
          <w:rFonts w:ascii="Arial" w:eastAsia="Times New Roman" w:hAnsi="Arial" w:cs="Arial"/>
          <w:kern w:val="0"/>
          <w:sz w:val="22"/>
          <w:szCs w:val="22"/>
          <w:lang w:eastAsia="en-IN"/>
          <w14:ligatures w14:val="none"/>
        </w:rPr>
        <w:t xml:space="preserve"> (Accessed: 15 December 2025).</w:t>
      </w:r>
    </w:p>
    <w:p w14:paraId="3DA4FFF9"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National Institute for Health and Care Excellence (NICE) (2025) </w:t>
      </w:r>
      <w:r w:rsidRPr="00B77F6B">
        <w:rPr>
          <w:rFonts w:ascii="Arial" w:eastAsia="Times New Roman" w:hAnsi="Arial" w:cs="Arial"/>
          <w:i/>
          <w:iCs/>
          <w:kern w:val="0"/>
          <w:sz w:val="22"/>
          <w:szCs w:val="22"/>
          <w:lang w:eastAsia="en-IN"/>
          <w14:ligatures w14:val="none"/>
        </w:rPr>
        <w:t>Falls: assessment and prevention in older people and in people aged 50 and over at higher risk (NG249)</w:t>
      </w:r>
      <w:r w:rsidRPr="00B77F6B">
        <w:rPr>
          <w:rFonts w:ascii="Arial" w:eastAsia="Times New Roman" w:hAnsi="Arial" w:cs="Arial"/>
          <w:kern w:val="0"/>
          <w:sz w:val="22"/>
          <w:szCs w:val="22"/>
          <w:lang w:eastAsia="en-IN"/>
          <w14:ligatures w14:val="none"/>
        </w:rPr>
        <w:t xml:space="preserve">. Available at: </w:t>
      </w:r>
      <w:hyperlink r:id="rId36" w:tgtFrame="_new" w:history="1">
        <w:r w:rsidRPr="00B77F6B">
          <w:rPr>
            <w:rFonts w:ascii="Arial" w:eastAsia="Times New Roman" w:hAnsi="Arial" w:cs="Arial"/>
            <w:color w:val="0000FF"/>
            <w:kern w:val="0"/>
            <w:sz w:val="22"/>
            <w:szCs w:val="22"/>
            <w:u w:val="single"/>
            <w:lang w:eastAsia="en-IN"/>
            <w14:ligatures w14:val="none"/>
          </w:rPr>
          <w:t>https://www.nice.org.uk/guidance/ng249</w:t>
        </w:r>
      </w:hyperlink>
      <w:r w:rsidRPr="00B77F6B">
        <w:rPr>
          <w:rFonts w:ascii="Arial" w:eastAsia="Times New Roman" w:hAnsi="Arial" w:cs="Arial"/>
          <w:kern w:val="0"/>
          <w:sz w:val="22"/>
          <w:szCs w:val="22"/>
          <w:lang w:eastAsia="en-IN"/>
          <w14:ligatures w14:val="none"/>
        </w:rPr>
        <w:t xml:space="preserve"> (Accessed: 6 January 2026).</w:t>
      </w:r>
    </w:p>
    <w:p w14:paraId="7DFCCF04"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NHS England (2019) </w:t>
      </w:r>
      <w:r w:rsidRPr="00B77F6B">
        <w:rPr>
          <w:rFonts w:ascii="Arial" w:eastAsia="Times New Roman" w:hAnsi="Arial" w:cs="Arial"/>
          <w:i/>
          <w:iCs/>
          <w:kern w:val="0"/>
          <w:sz w:val="22"/>
          <w:szCs w:val="22"/>
          <w:lang w:eastAsia="en-IN"/>
          <w14:ligatures w14:val="none"/>
        </w:rPr>
        <w:t>The NHS Long Term Plan</w:t>
      </w:r>
      <w:r w:rsidRPr="00B77F6B">
        <w:rPr>
          <w:rFonts w:ascii="Arial" w:eastAsia="Times New Roman" w:hAnsi="Arial" w:cs="Arial"/>
          <w:kern w:val="0"/>
          <w:sz w:val="22"/>
          <w:szCs w:val="22"/>
          <w:lang w:eastAsia="en-IN"/>
          <w14:ligatures w14:val="none"/>
        </w:rPr>
        <w:t xml:space="preserve">. Available at: </w:t>
      </w:r>
      <w:hyperlink r:id="rId37" w:tgtFrame="_new" w:history="1">
        <w:r w:rsidRPr="00B77F6B">
          <w:rPr>
            <w:rFonts w:ascii="Arial" w:eastAsia="Times New Roman" w:hAnsi="Arial" w:cs="Arial"/>
            <w:color w:val="0000FF"/>
            <w:kern w:val="0"/>
            <w:sz w:val="22"/>
            <w:szCs w:val="22"/>
            <w:u w:val="single"/>
            <w:lang w:eastAsia="en-IN"/>
            <w14:ligatures w14:val="none"/>
          </w:rPr>
          <w:t>https://www.longtermplan.nhs.uk</w:t>
        </w:r>
      </w:hyperlink>
      <w:r w:rsidRPr="00B77F6B">
        <w:rPr>
          <w:rFonts w:ascii="Arial" w:eastAsia="Times New Roman" w:hAnsi="Arial" w:cs="Arial"/>
          <w:kern w:val="0"/>
          <w:sz w:val="22"/>
          <w:szCs w:val="22"/>
          <w:lang w:eastAsia="en-IN"/>
          <w14:ligatures w14:val="none"/>
        </w:rPr>
        <w:t xml:space="preserve"> (Accessed: 22 December 2025).</w:t>
      </w:r>
    </w:p>
    <w:p w14:paraId="669ECB4E"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Noyes, J. et al. (2018) ‘Qualitative evidence in reviews’, </w:t>
      </w:r>
      <w:r w:rsidRPr="00B77F6B">
        <w:rPr>
          <w:rFonts w:ascii="Arial" w:eastAsia="Times New Roman" w:hAnsi="Arial" w:cs="Arial"/>
          <w:i/>
          <w:iCs/>
          <w:kern w:val="0"/>
          <w:sz w:val="22"/>
          <w:szCs w:val="22"/>
          <w:lang w:eastAsia="en-IN"/>
          <w14:ligatures w14:val="none"/>
        </w:rPr>
        <w:t>Cochrane Database of Systematic Reviews</w:t>
      </w:r>
      <w:r w:rsidRPr="00B77F6B">
        <w:rPr>
          <w:rFonts w:ascii="Arial" w:eastAsia="Times New Roman" w:hAnsi="Arial" w:cs="Arial"/>
          <w:kern w:val="0"/>
          <w:sz w:val="22"/>
          <w:szCs w:val="22"/>
          <w:lang w:eastAsia="en-IN"/>
          <w14:ligatures w14:val="none"/>
        </w:rPr>
        <w:t>, 2018(10).</w:t>
      </w:r>
    </w:p>
    <w:p w14:paraId="74EA5D1A"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Noyes, J. et al. (2019) ‘Flexibility in systematic reviews’, </w:t>
      </w:r>
      <w:r w:rsidRPr="00B77F6B">
        <w:rPr>
          <w:rFonts w:ascii="Arial" w:eastAsia="Times New Roman" w:hAnsi="Arial" w:cs="Arial"/>
          <w:i/>
          <w:iCs/>
          <w:kern w:val="0"/>
          <w:sz w:val="22"/>
          <w:szCs w:val="22"/>
          <w:lang w:eastAsia="en-IN"/>
          <w14:ligatures w14:val="none"/>
        </w:rPr>
        <w:t>BMJ Global Health</w:t>
      </w:r>
      <w:r w:rsidRPr="00B77F6B">
        <w:rPr>
          <w:rFonts w:ascii="Arial" w:eastAsia="Times New Roman" w:hAnsi="Arial" w:cs="Arial"/>
          <w:kern w:val="0"/>
          <w:sz w:val="22"/>
          <w:szCs w:val="22"/>
          <w:lang w:eastAsia="en-IN"/>
          <w14:ligatures w14:val="none"/>
        </w:rPr>
        <w:t>, 4, e001884.</w:t>
      </w:r>
    </w:p>
    <w:p w14:paraId="5E02B29E"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proofErr w:type="spellStart"/>
      <w:r w:rsidRPr="00B77F6B">
        <w:rPr>
          <w:rFonts w:ascii="Arial" w:eastAsia="Times New Roman" w:hAnsi="Arial" w:cs="Arial"/>
          <w:kern w:val="0"/>
          <w:sz w:val="22"/>
          <w:szCs w:val="22"/>
          <w:lang w:eastAsia="en-IN"/>
          <w14:ligatures w14:val="none"/>
        </w:rPr>
        <w:t>O’Cathain</w:t>
      </w:r>
      <w:proofErr w:type="spellEnd"/>
      <w:r w:rsidRPr="00B77F6B">
        <w:rPr>
          <w:rFonts w:ascii="Arial" w:eastAsia="Times New Roman" w:hAnsi="Arial" w:cs="Arial"/>
          <w:kern w:val="0"/>
          <w:sz w:val="22"/>
          <w:szCs w:val="22"/>
          <w:lang w:eastAsia="en-IN"/>
          <w14:ligatures w14:val="none"/>
        </w:rPr>
        <w:t xml:space="preserve">, A. (2019) </w:t>
      </w:r>
      <w:r w:rsidRPr="00B77F6B">
        <w:rPr>
          <w:rFonts w:ascii="Arial" w:eastAsia="Times New Roman" w:hAnsi="Arial" w:cs="Arial"/>
          <w:i/>
          <w:iCs/>
          <w:kern w:val="0"/>
          <w:sz w:val="22"/>
          <w:szCs w:val="22"/>
          <w:lang w:eastAsia="en-IN"/>
          <w14:ligatures w14:val="none"/>
        </w:rPr>
        <w:t>Mixed methods research</w:t>
      </w:r>
      <w:r w:rsidRPr="00B77F6B">
        <w:rPr>
          <w:rFonts w:ascii="Arial" w:eastAsia="Times New Roman" w:hAnsi="Arial" w:cs="Arial"/>
          <w:kern w:val="0"/>
          <w:sz w:val="22"/>
          <w:szCs w:val="22"/>
          <w:lang w:eastAsia="en-IN"/>
          <w14:ligatures w14:val="none"/>
        </w:rPr>
        <w:t>. London: Sage.</w:t>
      </w:r>
    </w:p>
    <w:p w14:paraId="288B4120"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O’Halloran, P.D. et al. (2014) ‘Motivational interviewing and exercise adherence’, </w:t>
      </w:r>
      <w:r w:rsidRPr="00B77F6B">
        <w:rPr>
          <w:rFonts w:ascii="Arial" w:eastAsia="Times New Roman" w:hAnsi="Arial" w:cs="Arial"/>
          <w:i/>
          <w:iCs/>
          <w:kern w:val="0"/>
          <w:sz w:val="22"/>
          <w:szCs w:val="22"/>
          <w:lang w:eastAsia="en-IN"/>
          <w14:ligatures w14:val="none"/>
        </w:rPr>
        <w:t>Health Psychology Review</w:t>
      </w:r>
      <w:r w:rsidRPr="00B77F6B">
        <w:rPr>
          <w:rFonts w:ascii="Arial" w:eastAsia="Times New Roman" w:hAnsi="Arial" w:cs="Arial"/>
          <w:kern w:val="0"/>
          <w:sz w:val="22"/>
          <w:szCs w:val="22"/>
          <w:lang w:eastAsia="en-IN"/>
          <w14:ligatures w14:val="none"/>
        </w:rPr>
        <w:t>, 8(3), pp. 317–335.</w:t>
      </w:r>
    </w:p>
    <w:p w14:paraId="014E276B"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Office for National Statistics (2021) </w:t>
      </w:r>
      <w:r w:rsidRPr="00B77F6B">
        <w:rPr>
          <w:rFonts w:ascii="Arial" w:eastAsia="Times New Roman" w:hAnsi="Arial" w:cs="Arial"/>
          <w:i/>
          <w:iCs/>
          <w:kern w:val="0"/>
          <w:sz w:val="22"/>
          <w:szCs w:val="22"/>
          <w:lang w:eastAsia="en-IN"/>
          <w14:ligatures w14:val="none"/>
        </w:rPr>
        <w:t>Overview of the UK population: Ageing</w:t>
      </w:r>
      <w:r w:rsidRPr="00B77F6B">
        <w:rPr>
          <w:rFonts w:ascii="Arial" w:eastAsia="Times New Roman" w:hAnsi="Arial" w:cs="Arial"/>
          <w:kern w:val="0"/>
          <w:sz w:val="22"/>
          <w:szCs w:val="22"/>
          <w:lang w:eastAsia="en-IN"/>
          <w14:ligatures w14:val="none"/>
        </w:rPr>
        <w:t xml:space="preserve">. Available at: </w:t>
      </w:r>
      <w:hyperlink r:id="rId38" w:tgtFrame="_new" w:history="1">
        <w:r w:rsidRPr="00B77F6B">
          <w:rPr>
            <w:rFonts w:ascii="Arial" w:eastAsia="Times New Roman" w:hAnsi="Arial" w:cs="Arial"/>
            <w:color w:val="0000FF"/>
            <w:kern w:val="0"/>
            <w:sz w:val="22"/>
            <w:szCs w:val="22"/>
            <w:u w:val="single"/>
            <w:lang w:eastAsia="en-IN"/>
            <w14:ligatures w14:val="none"/>
          </w:rPr>
          <w:t>https://www.ons.gov.uk</w:t>
        </w:r>
      </w:hyperlink>
      <w:r w:rsidRPr="00B77F6B">
        <w:rPr>
          <w:rFonts w:ascii="Arial" w:eastAsia="Times New Roman" w:hAnsi="Arial" w:cs="Arial"/>
          <w:kern w:val="0"/>
          <w:sz w:val="22"/>
          <w:szCs w:val="22"/>
          <w:lang w:eastAsia="en-IN"/>
          <w14:ligatures w14:val="none"/>
        </w:rPr>
        <w:t xml:space="preserve"> (Accessed: 15 December 2025).</w:t>
      </w:r>
    </w:p>
    <w:p w14:paraId="2E4AEF97"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Office for National Statistics (2023) </w:t>
      </w:r>
      <w:r w:rsidRPr="00B77F6B">
        <w:rPr>
          <w:rFonts w:ascii="Arial" w:eastAsia="Times New Roman" w:hAnsi="Arial" w:cs="Arial"/>
          <w:i/>
          <w:iCs/>
          <w:kern w:val="0"/>
          <w:sz w:val="22"/>
          <w:szCs w:val="22"/>
          <w:lang w:eastAsia="en-IN"/>
          <w14:ligatures w14:val="none"/>
        </w:rPr>
        <w:t>Profile of the older population living in England and Wales in 2021</w:t>
      </w:r>
      <w:r w:rsidRPr="00B77F6B">
        <w:rPr>
          <w:rFonts w:ascii="Arial" w:eastAsia="Times New Roman" w:hAnsi="Arial" w:cs="Arial"/>
          <w:kern w:val="0"/>
          <w:sz w:val="22"/>
          <w:szCs w:val="22"/>
          <w:lang w:eastAsia="en-IN"/>
          <w14:ligatures w14:val="none"/>
        </w:rPr>
        <w:t xml:space="preserve">. Available at: </w:t>
      </w:r>
      <w:hyperlink r:id="rId39" w:tgtFrame="_new" w:history="1">
        <w:r w:rsidRPr="00B77F6B">
          <w:rPr>
            <w:rFonts w:ascii="Arial" w:eastAsia="Times New Roman" w:hAnsi="Arial" w:cs="Arial"/>
            <w:color w:val="0000FF"/>
            <w:kern w:val="0"/>
            <w:sz w:val="22"/>
            <w:szCs w:val="22"/>
            <w:u w:val="single"/>
            <w:lang w:eastAsia="en-IN"/>
            <w14:ligatures w14:val="none"/>
          </w:rPr>
          <w:t>https://www.ons.gov.uk</w:t>
        </w:r>
      </w:hyperlink>
      <w:r w:rsidRPr="00B77F6B">
        <w:rPr>
          <w:rFonts w:ascii="Arial" w:eastAsia="Times New Roman" w:hAnsi="Arial" w:cs="Arial"/>
          <w:kern w:val="0"/>
          <w:sz w:val="22"/>
          <w:szCs w:val="22"/>
          <w:lang w:eastAsia="en-IN"/>
          <w14:ligatures w14:val="none"/>
        </w:rPr>
        <w:t xml:space="preserve"> (Accessed: 3 April 2023).</w:t>
      </w:r>
    </w:p>
    <w:p w14:paraId="0BD644C8"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Peters, M.D.J. et al. (2020) ‘Guidance for reviews’, </w:t>
      </w:r>
      <w:r w:rsidRPr="00B77F6B">
        <w:rPr>
          <w:rFonts w:ascii="Arial" w:eastAsia="Times New Roman" w:hAnsi="Arial" w:cs="Arial"/>
          <w:i/>
          <w:iCs/>
          <w:kern w:val="0"/>
          <w:sz w:val="22"/>
          <w:szCs w:val="22"/>
          <w:lang w:eastAsia="en-IN"/>
          <w14:ligatures w14:val="none"/>
        </w:rPr>
        <w:t>JBI Evidence Synthesis</w:t>
      </w:r>
      <w:r w:rsidRPr="00B77F6B">
        <w:rPr>
          <w:rFonts w:ascii="Arial" w:eastAsia="Times New Roman" w:hAnsi="Arial" w:cs="Arial"/>
          <w:kern w:val="0"/>
          <w:sz w:val="22"/>
          <w:szCs w:val="22"/>
          <w:lang w:eastAsia="en-IN"/>
          <w14:ligatures w14:val="none"/>
        </w:rPr>
        <w:t>, 18(10), pp. 2119–2126.</w:t>
      </w:r>
    </w:p>
    <w:p w14:paraId="3619723A"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Petridou, E. et al. (2019) ‘Multifactorial fall prevention’, </w:t>
      </w:r>
      <w:r w:rsidRPr="00B77F6B">
        <w:rPr>
          <w:rFonts w:ascii="Arial" w:eastAsia="Times New Roman" w:hAnsi="Arial" w:cs="Arial"/>
          <w:i/>
          <w:iCs/>
          <w:kern w:val="0"/>
          <w:sz w:val="22"/>
          <w:szCs w:val="22"/>
          <w:lang w:eastAsia="en-IN"/>
          <w14:ligatures w14:val="none"/>
        </w:rPr>
        <w:t>Injury Prevention</w:t>
      </w:r>
      <w:r w:rsidRPr="00B77F6B">
        <w:rPr>
          <w:rFonts w:ascii="Arial" w:eastAsia="Times New Roman" w:hAnsi="Arial" w:cs="Arial"/>
          <w:kern w:val="0"/>
          <w:sz w:val="22"/>
          <w:szCs w:val="22"/>
          <w:lang w:eastAsia="en-IN"/>
          <w14:ligatures w14:val="none"/>
        </w:rPr>
        <w:t>, 25(1), pp. 3–9.</w:t>
      </w:r>
    </w:p>
    <w:p w14:paraId="093FFACB"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Petticrew, M. and Roberts, H. (2006) </w:t>
      </w:r>
      <w:r w:rsidRPr="00B77F6B">
        <w:rPr>
          <w:rFonts w:ascii="Arial" w:eastAsia="Times New Roman" w:hAnsi="Arial" w:cs="Arial"/>
          <w:i/>
          <w:iCs/>
          <w:kern w:val="0"/>
          <w:sz w:val="22"/>
          <w:szCs w:val="22"/>
          <w:lang w:eastAsia="en-IN"/>
          <w14:ligatures w14:val="none"/>
        </w:rPr>
        <w:t>Systematic reviews in the social sciences</w:t>
      </w:r>
      <w:r w:rsidRPr="00B77F6B">
        <w:rPr>
          <w:rFonts w:ascii="Arial" w:eastAsia="Times New Roman" w:hAnsi="Arial" w:cs="Arial"/>
          <w:kern w:val="0"/>
          <w:sz w:val="22"/>
          <w:szCs w:val="22"/>
          <w:lang w:eastAsia="en-IN"/>
          <w14:ligatures w14:val="none"/>
        </w:rPr>
        <w:t>. Oxford: Blackwell.</w:t>
      </w:r>
    </w:p>
    <w:p w14:paraId="76850620"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lastRenderedPageBreak/>
        <w:t xml:space="preserve">Petticrew, M. et al. (2013) ‘Complex interventions’, </w:t>
      </w:r>
      <w:r w:rsidRPr="00B77F6B">
        <w:rPr>
          <w:rFonts w:ascii="Arial" w:eastAsia="Times New Roman" w:hAnsi="Arial" w:cs="Arial"/>
          <w:i/>
          <w:iCs/>
          <w:kern w:val="0"/>
          <w:sz w:val="22"/>
          <w:szCs w:val="22"/>
          <w:lang w:eastAsia="en-IN"/>
          <w14:ligatures w14:val="none"/>
        </w:rPr>
        <w:t>Journal of Epidemiology &amp; Community Health</w:t>
      </w:r>
      <w:r w:rsidRPr="00B77F6B">
        <w:rPr>
          <w:rFonts w:ascii="Arial" w:eastAsia="Times New Roman" w:hAnsi="Arial" w:cs="Arial"/>
          <w:kern w:val="0"/>
          <w:sz w:val="22"/>
          <w:szCs w:val="22"/>
          <w:lang w:eastAsia="en-IN"/>
          <w14:ligatures w14:val="none"/>
        </w:rPr>
        <w:t>, 67(8), pp. 667–669.</w:t>
      </w:r>
    </w:p>
    <w:p w14:paraId="6848E54B"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proofErr w:type="spellStart"/>
      <w:r w:rsidRPr="00B77F6B">
        <w:rPr>
          <w:rFonts w:ascii="Arial" w:eastAsia="Times New Roman" w:hAnsi="Arial" w:cs="Arial"/>
          <w:kern w:val="0"/>
          <w:sz w:val="22"/>
          <w:szCs w:val="22"/>
          <w:lang w:eastAsia="en-IN"/>
          <w14:ligatures w14:val="none"/>
        </w:rPr>
        <w:t>Pighills</w:t>
      </w:r>
      <w:proofErr w:type="spellEnd"/>
      <w:r w:rsidRPr="00B77F6B">
        <w:rPr>
          <w:rFonts w:ascii="Arial" w:eastAsia="Times New Roman" w:hAnsi="Arial" w:cs="Arial"/>
          <w:kern w:val="0"/>
          <w:sz w:val="22"/>
          <w:szCs w:val="22"/>
          <w:lang w:eastAsia="en-IN"/>
          <w14:ligatures w14:val="none"/>
        </w:rPr>
        <w:t>, A.C. et al. (2011) ‘Environmental assessment and falls’, Journal of the American Geriatrics Society, 59(1), pp. 26–33.</w:t>
      </w:r>
    </w:p>
    <w:p w14:paraId="4F916F32"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proofErr w:type="spellStart"/>
      <w:r w:rsidRPr="00B77F6B">
        <w:rPr>
          <w:rFonts w:ascii="Arial" w:eastAsia="Times New Roman" w:hAnsi="Arial" w:cs="Arial"/>
          <w:kern w:val="0"/>
          <w:sz w:val="22"/>
          <w:szCs w:val="22"/>
          <w:lang w:eastAsia="en-IN"/>
          <w14:ligatures w14:val="none"/>
        </w:rPr>
        <w:t>Pluye</w:t>
      </w:r>
      <w:proofErr w:type="spellEnd"/>
      <w:r w:rsidRPr="00B77F6B">
        <w:rPr>
          <w:rFonts w:ascii="Arial" w:eastAsia="Times New Roman" w:hAnsi="Arial" w:cs="Arial"/>
          <w:kern w:val="0"/>
          <w:sz w:val="22"/>
          <w:szCs w:val="22"/>
          <w:lang w:eastAsia="en-IN"/>
          <w14:ligatures w14:val="none"/>
        </w:rPr>
        <w:t xml:space="preserve">, P. and Hong, Q.N. (2014) ‘Combining quantitative and qualitative evidence’, </w:t>
      </w:r>
      <w:r w:rsidRPr="00B77F6B">
        <w:rPr>
          <w:rFonts w:ascii="Arial" w:eastAsia="Times New Roman" w:hAnsi="Arial" w:cs="Arial"/>
          <w:i/>
          <w:iCs/>
          <w:kern w:val="0"/>
          <w:sz w:val="22"/>
          <w:szCs w:val="22"/>
          <w:lang w:eastAsia="en-IN"/>
          <w14:ligatures w14:val="none"/>
        </w:rPr>
        <w:t>Systematic Reviews</w:t>
      </w:r>
      <w:r w:rsidRPr="00B77F6B">
        <w:rPr>
          <w:rFonts w:ascii="Arial" w:eastAsia="Times New Roman" w:hAnsi="Arial" w:cs="Arial"/>
          <w:kern w:val="0"/>
          <w:sz w:val="22"/>
          <w:szCs w:val="22"/>
          <w:lang w:eastAsia="en-IN"/>
          <w14:ligatures w14:val="none"/>
        </w:rPr>
        <w:t>, 3, 89.</w:t>
      </w:r>
    </w:p>
    <w:p w14:paraId="1963C229"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Prince, M. et al. (2015) ‘The burden of disease in older people’, </w:t>
      </w:r>
      <w:r w:rsidRPr="00B77F6B">
        <w:rPr>
          <w:rFonts w:ascii="Arial" w:eastAsia="Times New Roman" w:hAnsi="Arial" w:cs="Arial"/>
          <w:i/>
          <w:iCs/>
          <w:kern w:val="0"/>
          <w:sz w:val="22"/>
          <w:szCs w:val="22"/>
          <w:lang w:eastAsia="en-IN"/>
          <w14:ligatures w14:val="none"/>
        </w:rPr>
        <w:t>The Lancet</w:t>
      </w:r>
      <w:r w:rsidRPr="00B77F6B">
        <w:rPr>
          <w:rFonts w:ascii="Arial" w:eastAsia="Times New Roman" w:hAnsi="Arial" w:cs="Arial"/>
          <w:kern w:val="0"/>
          <w:sz w:val="22"/>
          <w:szCs w:val="22"/>
          <w:lang w:eastAsia="en-IN"/>
          <w14:ligatures w14:val="none"/>
        </w:rPr>
        <w:t>, 385(9967), pp. 549–562.</w:t>
      </w:r>
    </w:p>
    <w:p w14:paraId="231C4F13"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PRISMA (2020) </w:t>
      </w:r>
      <w:r w:rsidRPr="00B77F6B">
        <w:rPr>
          <w:rFonts w:ascii="Arial" w:eastAsia="Times New Roman" w:hAnsi="Arial" w:cs="Arial"/>
          <w:i/>
          <w:iCs/>
          <w:kern w:val="0"/>
          <w:sz w:val="22"/>
          <w:szCs w:val="22"/>
          <w:lang w:eastAsia="en-IN"/>
          <w14:ligatures w14:val="none"/>
        </w:rPr>
        <w:t>PRISMA 2020 flow diagram</w:t>
      </w:r>
      <w:r w:rsidRPr="00B77F6B">
        <w:rPr>
          <w:rFonts w:ascii="Arial" w:eastAsia="Times New Roman" w:hAnsi="Arial" w:cs="Arial"/>
          <w:kern w:val="0"/>
          <w:sz w:val="22"/>
          <w:szCs w:val="22"/>
          <w:lang w:eastAsia="en-IN"/>
          <w14:ligatures w14:val="none"/>
        </w:rPr>
        <w:t xml:space="preserve">. Available at: </w:t>
      </w:r>
      <w:hyperlink r:id="rId40" w:tgtFrame="_new" w:history="1">
        <w:r w:rsidRPr="00B77F6B">
          <w:rPr>
            <w:rFonts w:ascii="Arial" w:eastAsia="Times New Roman" w:hAnsi="Arial" w:cs="Arial"/>
            <w:color w:val="0000FF"/>
            <w:kern w:val="0"/>
            <w:sz w:val="22"/>
            <w:szCs w:val="22"/>
            <w:u w:val="single"/>
            <w:lang w:eastAsia="en-IN"/>
            <w14:ligatures w14:val="none"/>
          </w:rPr>
          <w:t>https://www.prisma-statement.org/prisma-2020-flow-diagram</w:t>
        </w:r>
      </w:hyperlink>
      <w:r w:rsidRPr="00B77F6B">
        <w:rPr>
          <w:rFonts w:ascii="Arial" w:eastAsia="Times New Roman" w:hAnsi="Arial" w:cs="Arial"/>
          <w:kern w:val="0"/>
          <w:sz w:val="22"/>
          <w:szCs w:val="22"/>
          <w:lang w:eastAsia="en-IN"/>
          <w14:ligatures w14:val="none"/>
        </w:rPr>
        <w:t xml:space="preserve"> (Accessed: 22 December 2025).</w:t>
      </w:r>
    </w:p>
    <w:p w14:paraId="10125DE1"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Public Health England (2020) </w:t>
      </w:r>
      <w:r w:rsidRPr="00B77F6B">
        <w:rPr>
          <w:rFonts w:ascii="Arial" w:eastAsia="Times New Roman" w:hAnsi="Arial" w:cs="Arial"/>
          <w:i/>
          <w:iCs/>
          <w:kern w:val="0"/>
          <w:sz w:val="22"/>
          <w:szCs w:val="22"/>
          <w:lang w:eastAsia="en-IN"/>
          <w14:ligatures w14:val="none"/>
        </w:rPr>
        <w:t>Falls: applying All Our Health</w:t>
      </w:r>
      <w:r w:rsidRPr="00B77F6B">
        <w:rPr>
          <w:rFonts w:ascii="Arial" w:eastAsia="Times New Roman" w:hAnsi="Arial" w:cs="Arial"/>
          <w:kern w:val="0"/>
          <w:sz w:val="22"/>
          <w:szCs w:val="22"/>
          <w:lang w:eastAsia="en-IN"/>
          <w14:ligatures w14:val="none"/>
        </w:rPr>
        <w:t xml:space="preserve">. Available at: </w:t>
      </w:r>
      <w:hyperlink r:id="rId41" w:tgtFrame="_new" w:history="1">
        <w:r w:rsidRPr="00B77F6B">
          <w:rPr>
            <w:rFonts w:ascii="Arial" w:eastAsia="Times New Roman" w:hAnsi="Arial" w:cs="Arial"/>
            <w:color w:val="0000FF"/>
            <w:kern w:val="0"/>
            <w:sz w:val="22"/>
            <w:szCs w:val="22"/>
            <w:u w:val="single"/>
            <w:lang w:eastAsia="en-IN"/>
            <w14:ligatures w14:val="none"/>
          </w:rPr>
          <w:t>https://www.gov.uk/government/publications/falls-applying-all-our-health</w:t>
        </w:r>
      </w:hyperlink>
      <w:r w:rsidRPr="00B77F6B">
        <w:rPr>
          <w:rFonts w:ascii="Arial" w:eastAsia="Times New Roman" w:hAnsi="Arial" w:cs="Arial"/>
          <w:kern w:val="0"/>
          <w:sz w:val="22"/>
          <w:szCs w:val="22"/>
          <w:lang w:eastAsia="en-IN"/>
          <w14:ligatures w14:val="none"/>
        </w:rPr>
        <w:t xml:space="preserve"> (Accessed: 15 December 2025).</w:t>
      </w:r>
    </w:p>
    <w:p w14:paraId="2BA82947"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Rechel, B. et al. (2013) Health systems and ageing. Copenhagen: WHO Europe.</w:t>
      </w:r>
    </w:p>
    <w:p w14:paraId="6D444688"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Resnik, D.B. (2020) </w:t>
      </w:r>
      <w:r w:rsidRPr="00B77F6B">
        <w:rPr>
          <w:rFonts w:ascii="Arial" w:eastAsia="Times New Roman" w:hAnsi="Arial" w:cs="Arial"/>
          <w:i/>
          <w:iCs/>
          <w:kern w:val="0"/>
          <w:sz w:val="22"/>
          <w:szCs w:val="22"/>
          <w:lang w:eastAsia="en-IN"/>
          <w14:ligatures w14:val="none"/>
        </w:rPr>
        <w:t>The ethics of science</w:t>
      </w:r>
      <w:r w:rsidRPr="00B77F6B">
        <w:rPr>
          <w:rFonts w:ascii="Arial" w:eastAsia="Times New Roman" w:hAnsi="Arial" w:cs="Arial"/>
          <w:kern w:val="0"/>
          <w:sz w:val="22"/>
          <w:szCs w:val="22"/>
          <w:lang w:eastAsia="en-IN"/>
          <w14:ligatures w14:val="none"/>
        </w:rPr>
        <w:t>. London: Routledge.</w:t>
      </w:r>
    </w:p>
    <w:p w14:paraId="6F52C305"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Rockwood, K. and Mitnitski, A. (2011) ‘Frailty defined by deficit accumulation’, </w:t>
      </w:r>
      <w:r w:rsidRPr="00B77F6B">
        <w:rPr>
          <w:rFonts w:ascii="Arial" w:eastAsia="Times New Roman" w:hAnsi="Arial" w:cs="Arial"/>
          <w:i/>
          <w:iCs/>
          <w:kern w:val="0"/>
          <w:sz w:val="22"/>
          <w:szCs w:val="22"/>
          <w:lang w:eastAsia="en-IN"/>
          <w14:ligatures w14:val="none"/>
        </w:rPr>
        <w:t>Journal of Gerontology</w:t>
      </w:r>
      <w:r w:rsidRPr="00B77F6B">
        <w:rPr>
          <w:rFonts w:ascii="Arial" w:eastAsia="Times New Roman" w:hAnsi="Arial" w:cs="Arial"/>
          <w:kern w:val="0"/>
          <w:sz w:val="22"/>
          <w:szCs w:val="22"/>
          <w:lang w:eastAsia="en-IN"/>
          <w14:ligatures w14:val="none"/>
        </w:rPr>
        <w:t>, 66</w:t>
      </w:r>
      <w:proofErr w:type="gramStart"/>
      <w:r w:rsidRPr="00B77F6B">
        <w:rPr>
          <w:rFonts w:ascii="Arial" w:eastAsia="Times New Roman" w:hAnsi="Arial" w:cs="Arial"/>
          <w:kern w:val="0"/>
          <w:sz w:val="22"/>
          <w:szCs w:val="22"/>
          <w:lang w:eastAsia="en-IN"/>
          <w14:ligatures w14:val="none"/>
        </w:rPr>
        <w:t>A(</w:t>
      </w:r>
      <w:proofErr w:type="gramEnd"/>
      <w:r w:rsidRPr="00B77F6B">
        <w:rPr>
          <w:rFonts w:ascii="Arial" w:eastAsia="Times New Roman" w:hAnsi="Arial" w:cs="Arial"/>
          <w:kern w:val="0"/>
          <w:sz w:val="22"/>
          <w:szCs w:val="22"/>
          <w:lang w:eastAsia="en-IN"/>
          <w14:ligatures w14:val="none"/>
        </w:rPr>
        <w:t>7), pp. 722–727.</w:t>
      </w:r>
    </w:p>
    <w:p w14:paraId="55107B25"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Rodgers, M. et al. (2009) ‘Developing narrative synthesis’, </w:t>
      </w:r>
      <w:r w:rsidRPr="00B77F6B">
        <w:rPr>
          <w:rFonts w:ascii="Arial" w:eastAsia="Times New Roman" w:hAnsi="Arial" w:cs="Arial"/>
          <w:i/>
          <w:iCs/>
          <w:kern w:val="0"/>
          <w:sz w:val="22"/>
          <w:szCs w:val="22"/>
          <w:lang w:eastAsia="en-IN"/>
          <w14:ligatures w14:val="none"/>
        </w:rPr>
        <w:t>Journal of Advanced Nursing</w:t>
      </w:r>
      <w:r w:rsidRPr="00B77F6B">
        <w:rPr>
          <w:rFonts w:ascii="Arial" w:eastAsia="Times New Roman" w:hAnsi="Arial" w:cs="Arial"/>
          <w:kern w:val="0"/>
          <w:sz w:val="22"/>
          <w:szCs w:val="22"/>
          <w:lang w:eastAsia="en-IN"/>
          <w14:ligatures w14:val="none"/>
        </w:rPr>
        <w:t>, 65(2), pp. 458–468.</w:t>
      </w:r>
    </w:p>
    <w:p w14:paraId="74511CAB"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Rosenstock, I.M. (1974) ‘The Health Belief Model and preventive health behaviour’, </w:t>
      </w:r>
      <w:r w:rsidRPr="00B77F6B">
        <w:rPr>
          <w:rFonts w:ascii="Arial" w:eastAsia="Times New Roman" w:hAnsi="Arial" w:cs="Arial"/>
          <w:i/>
          <w:iCs/>
          <w:kern w:val="0"/>
          <w:sz w:val="22"/>
          <w:szCs w:val="22"/>
          <w:lang w:eastAsia="en-IN"/>
          <w14:ligatures w14:val="none"/>
        </w:rPr>
        <w:t>Health Education Monographs</w:t>
      </w:r>
      <w:r w:rsidRPr="00B77F6B">
        <w:rPr>
          <w:rFonts w:ascii="Arial" w:eastAsia="Times New Roman" w:hAnsi="Arial" w:cs="Arial"/>
          <w:kern w:val="0"/>
          <w:sz w:val="22"/>
          <w:szCs w:val="22"/>
          <w:lang w:eastAsia="en-IN"/>
          <w14:ligatures w14:val="none"/>
        </w:rPr>
        <w:t>, 2(4), pp. 354–386.</w:t>
      </w:r>
    </w:p>
    <w:p w14:paraId="66C5D157"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Royal College of Physicians (2019) </w:t>
      </w:r>
      <w:r w:rsidRPr="00B77F6B">
        <w:rPr>
          <w:rFonts w:ascii="Arial" w:eastAsia="Times New Roman" w:hAnsi="Arial" w:cs="Arial"/>
          <w:i/>
          <w:iCs/>
          <w:kern w:val="0"/>
          <w:sz w:val="22"/>
          <w:szCs w:val="22"/>
          <w:lang w:eastAsia="en-IN"/>
          <w14:ligatures w14:val="none"/>
        </w:rPr>
        <w:t>National Hip Fracture Database annual report 2019</w:t>
      </w:r>
      <w:r w:rsidRPr="00B77F6B">
        <w:rPr>
          <w:rFonts w:ascii="Arial" w:eastAsia="Times New Roman" w:hAnsi="Arial" w:cs="Arial"/>
          <w:kern w:val="0"/>
          <w:sz w:val="22"/>
          <w:szCs w:val="22"/>
          <w:lang w:eastAsia="en-IN"/>
          <w14:ligatures w14:val="none"/>
        </w:rPr>
        <w:t xml:space="preserve">. London: RCP. Available at: </w:t>
      </w:r>
      <w:hyperlink r:id="rId42" w:tgtFrame="_new" w:history="1">
        <w:r w:rsidRPr="00B77F6B">
          <w:rPr>
            <w:rFonts w:ascii="Arial" w:eastAsia="Times New Roman" w:hAnsi="Arial" w:cs="Arial"/>
            <w:color w:val="0000FF"/>
            <w:kern w:val="0"/>
            <w:sz w:val="22"/>
            <w:szCs w:val="22"/>
            <w:u w:val="single"/>
            <w:lang w:eastAsia="en-IN"/>
            <w14:ligatures w14:val="none"/>
          </w:rPr>
          <w:t>https://www.nhfd.co.uk/files/2019ReportFiles/NHFD_2019_Annual_Report_v101.pdf</w:t>
        </w:r>
      </w:hyperlink>
      <w:r w:rsidRPr="00B77F6B">
        <w:rPr>
          <w:rFonts w:ascii="Arial" w:eastAsia="Times New Roman" w:hAnsi="Arial" w:cs="Arial"/>
          <w:kern w:val="0"/>
          <w:sz w:val="22"/>
          <w:szCs w:val="22"/>
          <w:lang w:eastAsia="en-IN"/>
          <w14:ligatures w14:val="none"/>
        </w:rPr>
        <w:t xml:space="preserve"> (Accessed: 15 December 2025).</w:t>
      </w:r>
    </w:p>
    <w:p w14:paraId="4DFCF54F"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Ryan, R. (2016) </w:t>
      </w:r>
      <w:r w:rsidRPr="00B77F6B">
        <w:rPr>
          <w:rFonts w:ascii="Arial" w:eastAsia="Times New Roman" w:hAnsi="Arial" w:cs="Arial"/>
          <w:i/>
          <w:iCs/>
          <w:kern w:val="0"/>
          <w:sz w:val="22"/>
          <w:szCs w:val="22"/>
          <w:lang w:eastAsia="en-IN"/>
          <w14:ligatures w14:val="none"/>
        </w:rPr>
        <w:t>Cochrane Consumers and Communication Review Group</w:t>
      </w:r>
      <w:r w:rsidRPr="00B77F6B">
        <w:rPr>
          <w:rFonts w:ascii="Arial" w:eastAsia="Times New Roman" w:hAnsi="Arial" w:cs="Arial"/>
          <w:kern w:val="0"/>
          <w:sz w:val="22"/>
          <w:szCs w:val="22"/>
          <w:lang w:eastAsia="en-IN"/>
          <w14:ligatures w14:val="none"/>
        </w:rPr>
        <w:t>. Melbourne.</w:t>
      </w:r>
    </w:p>
    <w:p w14:paraId="7C5BB774"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Sallis, J.F. et al. (2016) ‘Role of built environments’, </w:t>
      </w:r>
      <w:r w:rsidRPr="00B77F6B">
        <w:rPr>
          <w:rFonts w:ascii="Arial" w:eastAsia="Times New Roman" w:hAnsi="Arial" w:cs="Arial"/>
          <w:i/>
          <w:iCs/>
          <w:kern w:val="0"/>
          <w:sz w:val="22"/>
          <w:szCs w:val="22"/>
          <w:lang w:eastAsia="en-IN"/>
          <w14:ligatures w14:val="none"/>
        </w:rPr>
        <w:t>The Lancet</w:t>
      </w:r>
      <w:r w:rsidRPr="00B77F6B">
        <w:rPr>
          <w:rFonts w:ascii="Arial" w:eastAsia="Times New Roman" w:hAnsi="Arial" w:cs="Arial"/>
          <w:kern w:val="0"/>
          <w:sz w:val="22"/>
          <w:szCs w:val="22"/>
          <w:lang w:eastAsia="en-IN"/>
          <w14:ligatures w14:val="none"/>
        </w:rPr>
        <w:t>, 388(10062), pp. 2925–2935.</w:t>
      </w:r>
    </w:p>
    <w:p w14:paraId="6599E296"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Sandelowski, M. et al. (2012) ‘Sample size in qualitative research’, </w:t>
      </w:r>
      <w:r w:rsidRPr="00B77F6B">
        <w:rPr>
          <w:rFonts w:ascii="Arial" w:eastAsia="Times New Roman" w:hAnsi="Arial" w:cs="Arial"/>
          <w:i/>
          <w:iCs/>
          <w:kern w:val="0"/>
          <w:sz w:val="22"/>
          <w:szCs w:val="22"/>
          <w:lang w:eastAsia="en-IN"/>
          <w14:ligatures w14:val="none"/>
        </w:rPr>
        <w:t>Research in Nursing &amp; Health</w:t>
      </w:r>
      <w:r w:rsidRPr="00B77F6B">
        <w:rPr>
          <w:rFonts w:ascii="Arial" w:eastAsia="Times New Roman" w:hAnsi="Arial" w:cs="Arial"/>
          <w:kern w:val="0"/>
          <w:sz w:val="22"/>
          <w:szCs w:val="22"/>
          <w:lang w:eastAsia="en-IN"/>
          <w14:ligatures w14:val="none"/>
        </w:rPr>
        <w:t>, 35(2), pp. 193–204.</w:t>
      </w:r>
    </w:p>
    <w:p w14:paraId="5B9681A9"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Shankar, A. et al. (2011) ‘Social isolation and health’, </w:t>
      </w:r>
      <w:r w:rsidRPr="00B77F6B">
        <w:rPr>
          <w:rFonts w:ascii="Arial" w:eastAsia="Times New Roman" w:hAnsi="Arial" w:cs="Arial"/>
          <w:i/>
          <w:iCs/>
          <w:kern w:val="0"/>
          <w:sz w:val="22"/>
          <w:szCs w:val="22"/>
          <w:lang w:eastAsia="en-IN"/>
          <w14:ligatures w14:val="none"/>
        </w:rPr>
        <w:t>Journal of the American Geriatrics Society</w:t>
      </w:r>
      <w:r w:rsidRPr="00B77F6B">
        <w:rPr>
          <w:rFonts w:ascii="Arial" w:eastAsia="Times New Roman" w:hAnsi="Arial" w:cs="Arial"/>
          <w:kern w:val="0"/>
          <w:sz w:val="22"/>
          <w:szCs w:val="22"/>
          <w:lang w:eastAsia="en-IN"/>
          <w14:ligatures w14:val="none"/>
        </w:rPr>
        <w:t>, 59(11), pp. 2037–2046.</w:t>
      </w:r>
    </w:p>
    <w:p w14:paraId="37F9232F"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Shaw, D. et al. (2016) ‘Research integrity’, </w:t>
      </w:r>
      <w:r w:rsidRPr="00B77F6B">
        <w:rPr>
          <w:rFonts w:ascii="Arial" w:eastAsia="Times New Roman" w:hAnsi="Arial" w:cs="Arial"/>
          <w:i/>
          <w:iCs/>
          <w:kern w:val="0"/>
          <w:sz w:val="22"/>
          <w:szCs w:val="22"/>
          <w:lang w:eastAsia="en-IN"/>
          <w14:ligatures w14:val="none"/>
        </w:rPr>
        <w:t>Journal of Medical Ethics</w:t>
      </w:r>
      <w:r w:rsidRPr="00B77F6B">
        <w:rPr>
          <w:rFonts w:ascii="Arial" w:eastAsia="Times New Roman" w:hAnsi="Arial" w:cs="Arial"/>
          <w:kern w:val="0"/>
          <w:sz w:val="22"/>
          <w:szCs w:val="22"/>
          <w:lang w:eastAsia="en-IN"/>
          <w14:ligatures w14:val="none"/>
        </w:rPr>
        <w:t>, 42(9), pp. 563–567.</w:t>
      </w:r>
    </w:p>
    <w:p w14:paraId="6BC7A667"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Sherrington, C. et al. (2017) ‘Exercise intensity and falls’, British Journal of Sports Medicine, 51(24), pp. 1750–1758.</w:t>
      </w:r>
    </w:p>
    <w:p w14:paraId="65479F92"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Sherrington, C. et al. (2019) ‘Exercise for preventing falls in older people living in the community’, </w:t>
      </w:r>
      <w:r w:rsidRPr="00B77F6B">
        <w:rPr>
          <w:rFonts w:ascii="Arial" w:eastAsia="Times New Roman" w:hAnsi="Arial" w:cs="Arial"/>
          <w:i/>
          <w:iCs/>
          <w:kern w:val="0"/>
          <w:sz w:val="22"/>
          <w:szCs w:val="22"/>
          <w:lang w:eastAsia="en-IN"/>
          <w14:ligatures w14:val="none"/>
        </w:rPr>
        <w:t>Cochrane Database of Systematic Reviews</w:t>
      </w:r>
      <w:r w:rsidRPr="00B77F6B">
        <w:rPr>
          <w:rFonts w:ascii="Arial" w:eastAsia="Times New Roman" w:hAnsi="Arial" w:cs="Arial"/>
          <w:kern w:val="0"/>
          <w:sz w:val="22"/>
          <w:szCs w:val="22"/>
          <w:lang w:eastAsia="en-IN"/>
          <w14:ligatures w14:val="none"/>
        </w:rPr>
        <w:t>, 1, CD012424.</w:t>
      </w:r>
    </w:p>
    <w:p w14:paraId="07C1A272"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Skelton, D.A. and </w:t>
      </w:r>
      <w:proofErr w:type="spellStart"/>
      <w:r w:rsidRPr="00B77F6B">
        <w:rPr>
          <w:rFonts w:ascii="Arial" w:eastAsia="Times New Roman" w:hAnsi="Arial" w:cs="Arial"/>
          <w:kern w:val="0"/>
          <w:sz w:val="22"/>
          <w:szCs w:val="22"/>
          <w:lang w:eastAsia="en-IN"/>
          <w14:ligatures w14:val="none"/>
        </w:rPr>
        <w:t>Mavroeidi</w:t>
      </w:r>
      <w:proofErr w:type="spellEnd"/>
      <w:r w:rsidRPr="00B77F6B">
        <w:rPr>
          <w:rFonts w:ascii="Arial" w:eastAsia="Times New Roman" w:hAnsi="Arial" w:cs="Arial"/>
          <w:kern w:val="0"/>
          <w:sz w:val="22"/>
          <w:szCs w:val="22"/>
          <w:lang w:eastAsia="en-IN"/>
          <w14:ligatures w14:val="none"/>
        </w:rPr>
        <w:t xml:space="preserve">, A. (2018) ‘Exercise and falls prevention’, </w:t>
      </w:r>
      <w:r w:rsidRPr="00B77F6B">
        <w:rPr>
          <w:rFonts w:ascii="Arial" w:eastAsia="Times New Roman" w:hAnsi="Arial" w:cs="Arial"/>
          <w:i/>
          <w:iCs/>
          <w:kern w:val="0"/>
          <w:sz w:val="22"/>
          <w:szCs w:val="22"/>
          <w:lang w:eastAsia="en-IN"/>
          <w14:ligatures w14:val="none"/>
        </w:rPr>
        <w:t>Age and Ageing</w:t>
      </w:r>
      <w:r w:rsidRPr="00B77F6B">
        <w:rPr>
          <w:rFonts w:ascii="Arial" w:eastAsia="Times New Roman" w:hAnsi="Arial" w:cs="Arial"/>
          <w:kern w:val="0"/>
          <w:sz w:val="22"/>
          <w:szCs w:val="22"/>
          <w:lang w:eastAsia="en-IN"/>
          <w14:ligatures w14:val="none"/>
        </w:rPr>
        <w:t>, 47(1), pp. 1–6.</w:t>
      </w:r>
    </w:p>
    <w:p w14:paraId="2A81B34D"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Skelton, D.A. et al. (2021) ‘Exercise and ageing’, </w:t>
      </w:r>
      <w:r w:rsidRPr="00B77F6B">
        <w:rPr>
          <w:rFonts w:ascii="Arial" w:eastAsia="Times New Roman" w:hAnsi="Arial" w:cs="Arial"/>
          <w:i/>
          <w:iCs/>
          <w:kern w:val="0"/>
          <w:sz w:val="22"/>
          <w:szCs w:val="22"/>
          <w:lang w:eastAsia="en-IN"/>
          <w14:ligatures w14:val="none"/>
        </w:rPr>
        <w:t>Age and Ageing</w:t>
      </w:r>
      <w:r w:rsidRPr="00B77F6B">
        <w:rPr>
          <w:rFonts w:ascii="Arial" w:eastAsia="Times New Roman" w:hAnsi="Arial" w:cs="Arial"/>
          <w:kern w:val="0"/>
          <w:sz w:val="22"/>
          <w:szCs w:val="22"/>
          <w:lang w:eastAsia="en-IN"/>
          <w14:ligatures w14:val="none"/>
        </w:rPr>
        <w:t>, 50(2), pp. 316–323.</w:t>
      </w:r>
    </w:p>
    <w:p w14:paraId="4CC85A2D"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proofErr w:type="spellStart"/>
      <w:r w:rsidRPr="00B77F6B">
        <w:rPr>
          <w:rFonts w:ascii="Arial" w:eastAsia="Times New Roman" w:hAnsi="Arial" w:cs="Arial"/>
          <w:kern w:val="0"/>
          <w:sz w:val="22"/>
          <w:szCs w:val="22"/>
          <w:lang w:eastAsia="en-IN"/>
          <w14:ligatures w14:val="none"/>
        </w:rPr>
        <w:t>Snilstveit</w:t>
      </w:r>
      <w:proofErr w:type="spellEnd"/>
      <w:r w:rsidRPr="00B77F6B">
        <w:rPr>
          <w:rFonts w:ascii="Arial" w:eastAsia="Times New Roman" w:hAnsi="Arial" w:cs="Arial"/>
          <w:kern w:val="0"/>
          <w:sz w:val="22"/>
          <w:szCs w:val="22"/>
          <w:lang w:eastAsia="en-IN"/>
          <w14:ligatures w14:val="none"/>
        </w:rPr>
        <w:t xml:space="preserve">, B. et al. (2012) ‘Narrative synthesis’, </w:t>
      </w:r>
      <w:r w:rsidRPr="00B77F6B">
        <w:rPr>
          <w:rFonts w:ascii="Arial" w:eastAsia="Times New Roman" w:hAnsi="Arial" w:cs="Arial"/>
          <w:i/>
          <w:iCs/>
          <w:kern w:val="0"/>
          <w:sz w:val="22"/>
          <w:szCs w:val="22"/>
          <w:lang w:eastAsia="en-IN"/>
          <w14:ligatures w14:val="none"/>
        </w:rPr>
        <w:t>Journal of Development Effectiveness</w:t>
      </w:r>
      <w:r w:rsidRPr="00B77F6B">
        <w:rPr>
          <w:rFonts w:ascii="Arial" w:eastAsia="Times New Roman" w:hAnsi="Arial" w:cs="Arial"/>
          <w:kern w:val="0"/>
          <w:sz w:val="22"/>
          <w:szCs w:val="22"/>
          <w:lang w:eastAsia="en-IN"/>
          <w14:ligatures w14:val="none"/>
        </w:rPr>
        <w:t>, 4(3), pp. 409–429.</w:t>
      </w:r>
    </w:p>
    <w:p w14:paraId="3D385BF2"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Stewart, L.A. et al. (2012) ‘Protocol registration’, </w:t>
      </w:r>
      <w:r w:rsidRPr="00B77F6B">
        <w:rPr>
          <w:rFonts w:ascii="Arial" w:eastAsia="Times New Roman" w:hAnsi="Arial" w:cs="Arial"/>
          <w:i/>
          <w:iCs/>
          <w:kern w:val="0"/>
          <w:sz w:val="22"/>
          <w:szCs w:val="22"/>
          <w:lang w:eastAsia="en-IN"/>
          <w14:ligatures w14:val="none"/>
        </w:rPr>
        <w:t>Systematic Reviews</w:t>
      </w:r>
      <w:r w:rsidRPr="00B77F6B">
        <w:rPr>
          <w:rFonts w:ascii="Arial" w:eastAsia="Times New Roman" w:hAnsi="Arial" w:cs="Arial"/>
          <w:kern w:val="0"/>
          <w:sz w:val="22"/>
          <w:szCs w:val="22"/>
          <w:lang w:eastAsia="en-IN"/>
          <w14:ligatures w14:val="none"/>
        </w:rPr>
        <w:t>, 1, 7.</w:t>
      </w:r>
    </w:p>
    <w:p w14:paraId="362C2676"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Sugiyama, T. et al. (2014) ‘Walkable neighbourhoods and older adults’, </w:t>
      </w:r>
      <w:r w:rsidRPr="00B77F6B">
        <w:rPr>
          <w:rFonts w:ascii="Arial" w:eastAsia="Times New Roman" w:hAnsi="Arial" w:cs="Arial"/>
          <w:i/>
          <w:iCs/>
          <w:kern w:val="0"/>
          <w:sz w:val="22"/>
          <w:szCs w:val="22"/>
          <w:lang w:eastAsia="en-IN"/>
          <w14:ligatures w14:val="none"/>
        </w:rPr>
        <w:t>American Journal of Preventive Medicine</w:t>
      </w:r>
      <w:r w:rsidRPr="00B77F6B">
        <w:rPr>
          <w:rFonts w:ascii="Arial" w:eastAsia="Times New Roman" w:hAnsi="Arial" w:cs="Arial"/>
          <w:kern w:val="0"/>
          <w:sz w:val="22"/>
          <w:szCs w:val="22"/>
          <w:lang w:eastAsia="en-IN"/>
          <w14:ligatures w14:val="none"/>
        </w:rPr>
        <w:t>, 46(2), pp. 149–157.</w:t>
      </w:r>
    </w:p>
    <w:p w14:paraId="56CC44A6"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proofErr w:type="spellStart"/>
      <w:r w:rsidRPr="00B77F6B">
        <w:rPr>
          <w:rFonts w:ascii="Arial" w:eastAsia="Times New Roman" w:hAnsi="Arial" w:cs="Arial"/>
          <w:kern w:val="0"/>
          <w:sz w:val="22"/>
          <w:szCs w:val="22"/>
          <w:lang w:eastAsia="en-IN"/>
          <w14:ligatures w14:val="none"/>
        </w:rPr>
        <w:t>Theou</w:t>
      </w:r>
      <w:proofErr w:type="spellEnd"/>
      <w:r w:rsidRPr="00B77F6B">
        <w:rPr>
          <w:rFonts w:ascii="Arial" w:eastAsia="Times New Roman" w:hAnsi="Arial" w:cs="Arial"/>
          <w:kern w:val="0"/>
          <w:sz w:val="22"/>
          <w:szCs w:val="22"/>
          <w:lang w:eastAsia="en-IN"/>
          <w14:ligatures w14:val="none"/>
        </w:rPr>
        <w:t xml:space="preserve">, O. et al. (2011) ‘Exercise and frailty’, </w:t>
      </w:r>
      <w:r w:rsidRPr="00B77F6B">
        <w:rPr>
          <w:rFonts w:ascii="Arial" w:eastAsia="Times New Roman" w:hAnsi="Arial" w:cs="Arial"/>
          <w:i/>
          <w:iCs/>
          <w:kern w:val="0"/>
          <w:sz w:val="22"/>
          <w:szCs w:val="22"/>
          <w:lang w:eastAsia="en-IN"/>
          <w14:ligatures w14:val="none"/>
        </w:rPr>
        <w:t>Journal of Aging Research</w:t>
      </w:r>
      <w:r w:rsidRPr="00B77F6B">
        <w:rPr>
          <w:rFonts w:ascii="Arial" w:eastAsia="Times New Roman" w:hAnsi="Arial" w:cs="Arial"/>
          <w:kern w:val="0"/>
          <w:sz w:val="22"/>
          <w:szCs w:val="22"/>
          <w:lang w:eastAsia="en-IN"/>
          <w14:ligatures w14:val="none"/>
        </w:rPr>
        <w:t>, 2011, 569194.</w:t>
      </w:r>
    </w:p>
    <w:p w14:paraId="75726E97"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lastRenderedPageBreak/>
        <w:t>Tinetti, M.E. et al. (2014) ‘A patient-centred approach’, New England Journal of Medicine, 371(14), pp. 1347–1356.</w:t>
      </w:r>
    </w:p>
    <w:p w14:paraId="42099256"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proofErr w:type="spellStart"/>
      <w:r w:rsidRPr="00B77F6B">
        <w:rPr>
          <w:rFonts w:ascii="Arial" w:eastAsia="Times New Roman" w:hAnsi="Arial" w:cs="Arial"/>
          <w:kern w:val="0"/>
          <w:sz w:val="22"/>
          <w:szCs w:val="22"/>
          <w:lang w:eastAsia="en-IN"/>
          <w14:ligatures w14:val="none"/>
        </w:rPr>
        <w:t>Tricco</w:t>
      </w:r>
      <w:proofErr w:type="spellEnd"/>
      <w:r w:rsidRPr="00B77F6B">
        <w:rPr>
          <w:rFonts w:ascii="Arial" w:eastAsia="Times New Roman" w:hAnsi="Arial" w:cs="Arial"/>
          <w:kern w:val="0"/>
          <w:sz w:val="22"/>
          <w:szCs w:val="22"/>
          <w:lang w:eastAsia="en-IN"/>
          <w14:ligatures w14:val="none"/>
        </w:rPr>
        <w:t xml:space="preserve">, A.C. et al. (2018) ‘PRISMA extension’, </w:t>
      </w:r>
      <w:r w:rsidRPr="00B77F6B">
        <w:rPr>
          <w:rFonts w:ascii="Arial" w:eastAsia="Times New Roman" w:hAnsi="Arial" w:cs="Arial"/>
          <w:i/>
          <w:iCs/>
          <w:kern w:val="0"/>
          <w:sz w:val="22"/>
          <w:szCs w:val="22"/>
          <w:lang w:eastAsia="en-IN"/>
          <w14:ligatures w14:val="none"/>
        </w:rPr>
        <w:t>Annals of Internal Medicine</w:t>
      </w:r>
      <w:r w:rsidRPr="00B77F6B">
        <w:rPr>
          <w:rFonts w:ascii="Arial" w:eastAsia="Times New Roman" w:hAnsi="Arial" w:cs="Arial"/>
          <w:kern w:val="0"/>
          <w:sz w:val="22"/>
          <w:szCs w:val="22"/>
          <w:lang w:eastAsia="en-IN"/>
          <w14:ligatures w14:val="none"/>
        </w:rPr>
        <w:t>, 169(7), pp. 467–473.</w:t>
      </w:r>
    </w:p>
    <w:p w14:paraId="043FD446"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Turner, L., Harding, S. and Collins, E. (2020) ‘Community-based physiotherapy interventions for fall prevention’, </w:t>
      </w:r>
      <w:r w:rsidRPr="00B77F6B">
        <w:rPr>
          <w:rFonts w:ascii="Arial" w:eastAsia="Times New Roman" w:hAnsi="Arial" w:cs="Arial"/>
          <w:i/>
          <w:iCs/>
          <w:kern w:val="0"/>
          <w:sz w:val="22"/>
          <w:szCs w:val="22"/>
          <w:lang w:eastAsia="en-IN"/>
          <w14:ligatures w14:val="none"/>
        </w:rPr>
        <w:t>Physiotherapy Theory and Practice</w:t>
      </w:r>
      <w:r w:rsidRPr="00B77F6B">
        <w:rPr>
          <w:rFonts w:ascii="Arial" w:eastAsia="Times New Roman" w:hAnsi="Arial" w:cs="Arial"/>
          <w:kern w:val="0"/>
          <w:sz w:val="22"/>
          <w:szCs w:val="22"/>
          <w:lang w:eastAsia="en-IN"/>
          <w14:ligatures w14:val="none"/>
        </w:rPr>
        <w:t>, 36(6), pp. 709–720.</w:t>
      </w:r>
    </w:p>
    <w:p w14:paraId="1FBF2B8B"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Viswanathan, M. et al. (2018) ‘Assessing risk of bias’, </w:t>
      </w:r>
      <w:r w:rsidRPr="00B77F6B">
        <w:rPr>
          <w:rFonts w:ascii="Arial" w:eastAsia="Times New Roman" w:hAnsi="Arial" w:cs="Arial"/>
          <w:i/>
          <w:iCs/>
          <w:kern w:val="0"/>
          <w:sz w:val="22"/>
          <w:szCs w:val="22"/>
          <w:lang w:eastAsia="en-IN"/>
          <w14:ligatures w14:val="none"/>
        </w:rPr>
        <w:t>Methods Guide for Effectiveness Reviews</w:t>
      </w:r>
      <w:r w:rsidRPr="00B77F6B">
        <w:rPr>
          <w:rFonts w:ascii="Arial" w:eastAsia="Times New Roman" w:hAnsi="Arial" w:cs="Arial"/>
          <w:kern w:val="0"/>
          <w:sz w:val="22"/>
          <w:szCs w:val="22"/>
          <w:lang w:eastAsia="en-IN"/>
          <w14:ligatures w14:val="none"/>
        </w:rPr>
        <w:t>.</w:t>
      </w:r>
    </w:p>
    <w:p w14:paraId="03F62A1F"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Vos, T. et al. (2020) ‘Global burden of disease’, </w:t>
      </w:r>
      <w:r w:rsidRPr="00B77F6B">
        <w:rPr>
          <w:rFonts w:ascii="Arial" w:eastAsia="Times New Roman" w:hAnsi="Arial" w:cs="Arial"/>
          <w:i/>
          <w:iCs/>
          <w:kern w:val="0"/>
          <w:sz w:val="22"/>
          <w:szCs w:val="22"/>
          <w:lang w:eastAsia="en-IN"/>
          <w14:ligatures w14:val="none"/>
        </w:rPr>
        <w:t>The Lancet</w:t>
      </w:r>
      <w:r w:rsidRPr="00B77F6B">
        <w:rPr>
          <w:rFonts w:ascii="Arial" w:eastAsia="Times New Roman" w:hAnsi="Arial" w:cs="Arial"/>
          <w:kern w:val="0"/>
          <w:sz w:val="22"/>
          <w:szCs w:val="22"/>
          <w:lang w:eastAsia="en-IN"/>
          <w14:ligatures w14:val="none"/>
        </w:rPr>
        <w:t>, 396(10258), pp. 1204–1222.</w:t>
      </w:r>
    </w:p>
    <w:p w14:paraId="15BAAAB3"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Wittenberg, R. et al. (2018) ‘Future costs of falls’, Age and Ageing, 47(4), pp. 529–535.</w:t>
      </w:r>
    </w:p>
    <w:p w14:paraId="35335AC9"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World Health Organization (2008) </w:t>
      </w:r>
      <w:r w:rsidRPr="00B77F6B">
        <w:rPr>
          <w:rFonts w:ascii="Arial" w:eastAsia="Times New Roman" w:hAnsi="Arial" w:cs="Arial"/>
          <w:i/>
          <w:iCs/>
          <w:kern w:val="0"/>
          <w:sz w:val="22"/>
          <w:szCs w:val="22"/>
          <w:lang w:eastAsia="en-IN"/>
          <w14:ligatures w14:val="none"/>
        </w:rPr>
        <w:t>WHO global report on falls prevention in older age</w:t>
      </w:r>
      <w:r w:rsidRPr="00B77F6B">
        <w:rPr>
          <w:rFonts w:ascii="Arial" w:eastAsia="Times New Roman" w:hAnsi="Arial" w:cs="Arial"/>
          <w:kern w:val="0"/>
          <w:sz w:val="22"/>
          <w:szCs w:val="22"/>
          <w:lang w:eastAsia="en-IN"/>
          <w14:ligatures w14:val="none"/>
        </w:rPr>
        <w:t>. Geneva: WHO.</w:t>
      </w:r>
    </w:p>
    <w:p w14:paraId="0E2EAEFC"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World Health Organization (2017) </w:t>
      </w:r>
      <w:r w:rsidRPr="00B77F6B">
        <w:rPr>
          <w:rFonts w:ascii="Arial" w:eastAsia="Times New Roman" w:hAnsi="Arial" w:cs="Arial"/>
          <w:i/>
          <w:iCs/>
          <w:kern w:val="0"/>
          <w:sz w:val="22"/>
          <w:szCs w:val="22"/>
          <w:lang w:eastAsia="en-IN"/>
          <w14:ligatures w14:val="none"/>
        </w:rPr>
        <w:t>Global age-friendly cities</w:t>
      </w:r>
      <w:r w:rsidRPr="00B77F6B">
        <w:rPr>
          <w:rFonts w:ascii="Arial" w:eastAsia="Times New Roman" w:hAnsi="Arial" w:cs="Arial"/>
          <w:kern w:val="0"/>
          <w:sz w:val="22"/>
          <w:szCs w:val="22"/>
          <w:lang w:eastAsia="en-IN"/>
          <w14:ligatures w14:val="none"/>
        </w:rPr>
        <w:t>. Geneva: WHO.</w:t>
      </w:r>
    </w:p>
    <w:p w14:paraId="2FFBA47B" w14:textId="77777777" w:rsidR="00271515" w:rsidRPr="00B77F6B" w:rsidRDefault="00271515" w:rsidP="00271515">
      <w:pPr>
        <w:pStyle w:val="ListParagraph"/>
        <w:numPr>
          <w:ilvl w:val="0"/>
          <w:numId w:val="12"/>
        </w:numPr>
        <w:spacing w:before="100" w:beforeAutospacing="1" w:after="100" w:afterAutospacing="1" w:line="240" w:lineRule="auto"/>
        <w:rPr>
          <w:rFonts w:ascii="Arial" w:eastAsia="Times New Roman" w:hAnsi="Arial" w:cs="Arial"/>
          <w:kern w:val="0"/>
          <w:sz w:val="22"/>
          <w:szCs w:val="22"/>
          <w:lang w:eastAsia="en-IN"/>
          <w14:ligatures w14:val="none"/>
        </w:rPr>
      </w:pPr>
      <w:r w:rsidRPr="00B77F6B">
        <w:rPr>
          <w:rFonts w:ascii="Arial" w:eastAsia="Times New Roman" w:hAnsi="Arial" w:cs="Arial"/>
          <w:kern w:val="0"/>
          <w:sz w:val="22"/>
          <w:szCs w:val="22"/>
          <w:lang w:eastAsia="en-IN"/>
          <w14:ligatures w14:val="none"/>
        </w:rPr>
        <w:t xml:space="preserve">World Health Organization (2021) </w:t>
      </w:r>
      <w:r w:rsidRPr="00B77F6B">
        <w:rPr>
          <w:rFonts w:ascii="Arial" w:eastAsia="Times New Roman" w:hAnsi="Arial" w:cs="Arial"/>
          <w:i/>
          <w:iCs/>
          <w:kern w:val="0"/>
          <w:sz w:val="22"/>
          <w:szCs w:val="22"/>
          <w:lang w:eastAsia="en-IN"/>
          <w14:ligatures w14:val="none"/>
        </w:rPr>
        <w:t>Falls</w:t>
      </w:r>
      <w:r w:rsidRPr="00B77F6B">
        <w:rPr>
          <w:rFonts w:ascii="Arial" w:eastAsia="Times New Roman" w:hAnsi="Arial" w:cs="Arial"/>
          <w:kern w:val="0"/>
          <w:sz w:val="22"/>
          <w:szCs w:val="22"/>
          <w:lang w:eastAsia="en-IN"/>
          <w14:ligatures w14:val="none"/>
        </w:rPr>
        <w:t xml:space="preserve">. Available at: </w:t>
      </w:r>
      <w:hyperlink r:id="rId43" w:tgtFrame="_new" w:history="1">
        <w:r w:rsidRPr="00B77F6B">
          <w:rPr>
            <w:rFonts w:ascii="Arial" w:eastAsia="Times New Roman" w:hAnsi="Arial" w:cs="Arial"/>
            <w:color w:val="0000FF"/>
            <w:kern w:val="0"/>
            <w:sz w:val="22"/>
            <w:szCs w:val="22"/>
            <w:u w:val="single"/>
            <w:lang w:eastAsia="en-IN"/>
            <w14:ligatures w14:val="none"/>
          </w:rPr>
          <w:t>https://www.who.int/news-room/fact-sheets/detail/falls</w:t>
        </w:r>
      </w:hyperlink>
      <w:r w:rsidRPr="00B77F6B">
        <w:rPr>
          <w:rFonts w:ascii="Arial" w:eastAsia="Times New Roman" w:hAnsi="Arial" w:cs="Arial"/>
          <w:kern w:val="0"/>
          <w:sz w:val="22"/>
          <w:szCs w:val="22"/>
          <w:lang w:eastAsia="en-IN"/>
          <w14:ligatures w14:val="none"/>
        </w:rPr>
        <w:t xml:space="preserve"> (Accessed: 15 December 2025).</w:t>
      </w:r>
    </w:p>
    <w:p w14:paraId="2F36AD72" w14:textId="77777777" w:rsidR="00A10D9D" w:rsidRDefault="00A10D9D" w:rsidP="00D604B5">
      <w:pPr>
        <w:spacing w:line="360" w:lineRule="auto"/>
        <w:jc w:val="both"/>
        <w:rPr>
          <w:rFonts w:ascii="Arial" w:hAnsi="Arial" w:cs="Arial"/>
          <w:sz w:val="22"/>
          <w:szCs w:val="22"/>
        </w:rPr>
      </w:pPr>
    </w:p>
    <w:p w14:paraId="65D2BCEB" w14:textId="7B49BE38" w:rsidR="00A10D9D" w:rsidRPr="00421D4D" w:rsidRDefault="00A10D9D" w:rsidP="00421D4D">
      <w:pPr>
        <w:pStyle w:val="Heading1"/>
        <w:rPr>
          <w:rFonts w:ascii="Arial" w:hAnsi="Arial" w:cs="Arial"/>
          <w:b/>
          <w:bCs/>
          <w:sz w:val="32"/>
          <w:szCs w:val="32"/>
        </w:rPr>
      </w:pPr>
      <w:bookmarkStart w:id="93" w:name="_Toc219805194"/>
      <w:r w:rsidRPr="00421D4D">
        <w:rPr>
          <w:rFonts w:ascii="Arial" w:hAnsi="Arial" w:cs="Arial"/>
          <w:b/>
          <w:bCs/>
          <w:sz w:val="32"/>
          <w:szCs w:val="32"/>
        </w:rPr>
        <w:t>APPENDICES</w:t>
      </w:r>
      <w:bookmarkEnd w:id="93"/>
    </w:p>
    <w:p w14:paraId="16259BEA" w14:textId="4BD18A84" w:rsidR="00867FFD" w:rsidRDefault="00867FFD" w:rsidP="00D604B5">
      <w:pPr>
        <w:spacing w:line="360" w:lineRule="auto"/>
        <w:jc w:val="both"/>
        <w:rPr>
          <w:rFonts w:ascii="Arial" w:hAnsi="Arial" w:cs="Arial"/>
          <w:b/>
          <w:bCs/>
          <w:sz w:val="22"/>
          <w:szCs w:val="22"/>
        </w:rPr>
      </w:pPr>
      <w:r w:rsidRPr="00867FFD">
        <w:rPr>
          <w:rFonts w:ascii="Arial" w:hAnsi="Arial" w:cs="Arial"/>
          <w:b/>
          <w:bCs/>
          <w:sz w:val="22"/>
          <w:szCs w:val="22"/>
        </w:rPr>
        <w:t>APPENDICES</w:t>
      </w:r>
      <w:r>
        <w:rPr>
          <w:rFonts w:ascii="Arial" w:hAnsi="Arial" w:cs="Arial"/>
          <w:b/>
          <w:bCs/>
          <w:sz w:val="22"/>
          <w:szCs w:val="22"/>
        </w:rPr>
        <w:t xml:space="preserve"> 1: </w:t>
      </w:r>
      <w:r w:rsidRPr="00867FFD">
        <w:rPr>
          <w:rFonts w:ascii="Arial" w:hAnsi="Arial" w:cs="Arial"/>
          <w:b/>
          <w:bCs/>
          <w:sz w:val="22"/>
          <w:szCs w:val="22"/>
        </w:rPr>
        <w:t>Quality Appraisal of Included Studies</w:t>
      </w:r>
    </w:p>
    <w:tbl>
      <w:tblPr>
        <w:tblStyle w:val="TableGrid"/>
        <w:tblW w:w="11483" w:type="dxa"/>
        <w:tblInd w:w="-1423" w:type="dxa"/>
        <w:tblLayout w:type="fixed"/>
        <w:tblLook w:val="04A0" w:firstRow="1" w:lastRow="0" w:firstColumn="1" w:lastColumn="0" w:noHBand="0" w:noVBand="1"/>
      </w:tblPr>
      <w:tblGrid>
        <w:gridCol w:w="1560"/>
        <w:gridCol w:w="1559"/>
        <w:gridCol w:w="993"/>
        <w:gridCol w:w="1559"/>
        <w:gridCol w:w="1559"/>
        <w:gridCol w:w="1418"/>
        <w:gridCol w:w="1559"/>
        <w:gridCol w:w="1276"/>
      </w:tblGrid>
      <w:tr w:rsidR="00867FFD" w14:paraId="0FD0A427" w14:textId="77777777" w:rsidTr="00867FFD">
        <w:tc>
          <w:tcPr>
            <w:tcW w:w="1560" w:type="dxa"/>
          </w:tcPr>
          <w:p w14:paraId="00DF3609" w14:textId="065977D4" w:rsidR="004B3910" w:rsidRPr="009F5D2A" w:rsidRDefault="004B3910" w:rsidP="009F5D2A">
            <w:pPr>
              <w:pStyle w:val="NoSpacing"/>
              <w:rPr>
                <w:b/>
                <w:bCs/>
              </w:rPr>
            </w:pPr>
            <w:r w:rsidRPr="009F5D2A">
              <w:rPr>
                <w:b/>
                <w:bCs/>
              </w:rPr>
              <w:t>Study</w:t>
            </w:r>
          </w:p>
        </w:tc>
        <w:tc>
          <w:tcPr>
            <w:tcW w:w="1559" w:type="dxa"/>
          </w:tcPr>
          <w:p w14:paraId="0E28AAE6" w14:textId="4A4E4955" w:rsidR="004B3910" w:rsidRPr="009F5D2A" w:rsidRDefault="004B3910" w:rsidP="009F5D2A">
            <w:pPr>
              <w:pStyle w:val="NoSpacing"/>
              <w:rPr>
                <w:b/>
                <w:bCs/>
              </w:rPr>
            </w:pPr>
            <w:r w:rsidRPr="009F5D2A">
              <w:rPr>
                <w:b/>
                <w:bCs/>
              </w:rPr>
              <w:t>Design</w:t>
            </w:r>
          </w:p>
        </w:tc>
        <w:tc>
          <w:tcPr>
            <w:tcW w:w="993" w:type="dxa"/>
          </w:tcPr>
          <w:p w14:paraId="4930F2CD" w14:textId="7FF10180" w:rsidR="004B3910" w:rsidRPr="009F5D2A" w:rsidRDefault="004B3910" w:rsidP="009F5D2A">
            <w:pPr>
              <w:pStyle w:val="NoSpacing"/>
              <w:rPr>
                <w:b/>
                <w:bCs/>
              </w:rPr>
            </w:pPr>
            <w:r w:rsidRPr="009F5D2A">
              <w:rPr>
                <w:b/>
                <w:bCs/>
              </w:rPr>
              <w:t>Clear Aim</w:t>
            </w:r>
          </w:p>
        </w:tc>
        <w:tc>
          <w:tcPr>
            <w:tcW w:w="1559" w:type="dxa"/>
          </w:tcPr>
          <w:p w14:paraId="75DF7F1E" w14:textId="45901EFF" w:rsidR="004B3910" w:rsidRPr="009F5D2A" w:rsidRDefault="004B3910" w:rsidP="009F5D2A">
            <w:pPr>
              <w:pStyle w:val="NoSpacing"/>
              <w:rPr>
                <w:b/>
                <w:bCs/>
              </w:rPr>
            </w:pPr>
            <w:r w:rsidRPr="009F5D2A">
              <w:rPr>
                <w:b/>
                <w:bCs/>
              </w:rPr>
              <w:t>Appropriate Design</w:t>
            </w:r>
          </w:p>
        </w:tc>
        <w:tc>
          <w:tcPr>
            <w:tcW w:w="1559" w:type="dxa"/>
          </w:tcPr>
          <w:p w14:paraId="1A1CA5ED" w14:textId="208827C0" w:rsidR="004B3910" w:rsidRPr="009F5D2A" w:rsidRDefault="004B3910" w:rsidP="009F5D2A">
            <w:pPr>
              <w:pStyle w:val="NoSpacing"/>
              <w:rPr>
                <w:b/>
                <w:bCs/>
              </w:rPr>
            </w:pPr>
            <w:r w:rsidRPr="009F5D2A">
              <w:rPr>
                <w:b/>
                <w:bCs/>
              </w:rPr>
              <w:t>Participants Described</w:t>
            </w:r>
          </w:p>
        </w:tc>
        <w:tc>
          <w:tcPr>
            <w:tcW w:w="1418" w:type="dxa"/>
          </w:tcPr>
          <w:p w14:paraId="58162AAC" w14:textId="13C7779F" w:rsidR="004B3910" w:rsidRPr="009F5D2A" w:rsidRDefault="004B3910" w:rsidP="009F5D2A">
            <w:pPr>
              <w:pStyle w:val="NoSpacing"/>
              <w:rPr>
                <w:b/>
                <w:bCs/>
              </w:rPr>
            </w:pPr>
            <w:r w:rsidRPr="009F5D2A">
              <w:rPr>
                <w:b/>
                <w:bCs/>
              </w:rPr>
              <w:t>Valid Outcomes</w:t>
            </w:r>
          </w:p>
        </w:tc>
        <w:tc>
          <w:tcPr>
            <w:tcW w:w="1559" w:type="dxa"/>
          </w:tcPr>
          <w:p w14:paraId="656FDD73" w14:textId="46CA0283" w:rsidR="004B3910" w:rsidRPr="009F5D2A" w:rsidRDefault="004B3910" w:rsidP="009F5D2A">
            <w:pPr>
              <w:pStyle w:val="NoSpacing"/>
              <w:rPr>
                <w:b/>
                <w:bCs/>
              </w:rPr>
            </w:pPr>
            <w:r w:rsidRPr="009F5D2A">
              <w:rPr>
                <w:b/>
                <w:bCs/>
              </w:rPr>
              <w:t>Data Analysis Appropriate</w:t>
            </w:r>
          </w:p>
        </w:tc>
        <w:tc>
          <w:tcPr>
            <w:tcW w:w="1276" w:type="dxa"/>
          </w:tcPr>
          <w:p w14:paraId="0F8F843C" w14:textId="02C9A3F7" w:rsidR="004B3910" w:rsidRPr="009F5D2A" w:rsidRDefault="004B3910" w:rsidP="009F5D2A">
            <w:pPr>
              <w:pStyle w:val="NoSpacing"/>
              <w:rPr>
                <w:b/>
                <w:bCs/>
              </w:rPr>
            </w:pPr>
            <w:r w:rsidRPr="009F5D2A">
              <w:rPr>
                <w:b/>
                <w:bCs/>
              </w:rPr>
              <w:t>Overall Quality</w:t>
            </w:r>
          </w:p>
        </w:tc>
      </w:tr>
      <w:tr w:rsidR="00867FFD" w14:paraId="50910A94" w14:textId="77777777" w:rsidTr="00867FFD">
        <w:tc>
          <w:tcPr>
            <w:tcW w:w="1560" w:type="dxa"/>
          </w:tcPr>
          <w:p w14:paraId="5236220A" w14:textId="7C099B49" w:rsidR="004B3910" w:rsidRPr="004B3910" w:rsidRDefault="004B3910" w:rsidP="009F5D2A">
            <w:pPr>
              <w:pStyle w:val="NoSpacing"/>
            </w:pPr>
            <w:r w:rsidRPr="004B3910">
              <w:t>Gillespie et al. (2012)</w:t>
            </w:r>
          </w:p>
        </w:tc>
        <w:tc>
          <w:tcPr>
            <w:tcW w:w="1559" w:type="dxa"/>
          </w:tcPr>
          <w:p w14:paraId="01C4CA7B" w14:textId="3D3EFC23" w:rsidR="004B3910" w:rsidRPr="009F5D2A" w:rsidRDefault="009F5D2A" w:rsidP="009F5D2A">
            <w:pPr>
              <w:pStyle w:val="NoSpacing"/>
            </w:pPr>
            <w:r w:rsidRPr="009F5D2A">
              <w:t>Systematic review</w:t>
            </w:r>
          </w:p>
        </w:tc>
        <w:tc>
          <w:tcPr>
            <w:tcW w:w="993" w:type="dxa"/>
          </w:tcPr>
          <w:p w14:paraId="759872EC" w14:textId="3ECD200F" w:rsidR="004B3910" w:rsidRPr="009F5D2A" w:rsidRDefault="009F5D2A" w:rsidP="009F5D2A">
            <w:pPr>
              <w:pStyle w:val="NoSpacing"/>
            </w:pPr>
            <w:r>
              <w:t>Yes</w:t>
            </w:r>
          </w:p>
        </w:tc>
        <w:tc>
          <w:tcPr>
            <w:tcW w:w="1559" w:type="dxa"/>
          </w:tcPr>
          <w:p w14:paraId="747DC850" w14:textId="48FB4C78" w:rsidR="004B3910" w:rsidRPr="009F5D2A" w:rsidRDefault="009F5D2A" w:rsidP="009F5D2A">
            <w:pPr>
              <w:pStyle w:val="NoSpacing"/>
            </w:pPr>
            <w:r>
              <w:t>Yes</w:t>
            </w:r>
          </w:p>
        </w:tc>
        <w:tc>
          <w:tcPr>
            <w:tcW w:w="1559" w:type="dxa"/>
          </w:tcPr>
          <w:p w14:paraId="187A8A4B" w14:textId="4E0678C7" w:rsidR="004B3910" w:rsidRPr="009F5D2A" w:rsidRDefault="009F5D2A" w:rsidP="009F5D2A">
            <w:pPr>
              <w:pStyle w:val="NoSpacing"/>
            </w:pPr>
            <w:r>
              <w:t>Yes</w:t>
            </w:r>
          </w:p>
        </w:tc>
        <w:tc>
          <w:tcPr>
            <w:tcW w:w="1418" w:type="dxa"/>
          </w:tcPr>
          <w:p w14:paraId="30182202" w14:textId="669B063A" w:rsidR="004B3910" w:rsidRPr="00867FFD" w:rsidRDefault="009F5D2A" w:rsidP="00867FFD">
            <w:pPr>
              <w:pStyle w:val="NoSpacing"/>
            </w:pPr>
            <w:r w:rsidRPr="00867FFD">
              <w:t>Yes</w:t>
            </w:r>
          </w:p>
        </w:tc>
        <w:tc>
          <w:tcPr>
            <w:tcW w:w="1559" w:type="dxa"/>
          </w:tcPr>
          <w:p w14:paraId="28DD7A80" w14:textId="2E1B2989" w:rsidR="004B3910" w:rsidRPr="00867FFD" w:rsidRDefault="009F5D2A" w:rsidP="00867FFD">
            <w:pPr>
              <w:pStyle w:val="NoSpacing"/>
            </w:pPr>
            <w:r w:rsidRPr="00867FFD">
              <w:t>Yes</w:t>
            </w:r>
          </w:p>
        </w:tc>
        <w:tc>
          <w:tcPr>
            <w:tcW w:w="1276" w:type="dxa"/>
          </w:tcPr>
          <w:p w14:paraId="53B136D2" w14:textId="56D7EBA2" w:rsidR="004B3910" w:rsidRPr="00867FFD" w:rsidRDefault="009F5D2A" w:rsidP="00867FFD">
            <w:pPr>
              <w:pStyle w:val="NoSpacing"/>
            </w:pPr>
            <w:r w:rsidRPr="00867FFD">
              <w:t>High</w:t>
            </w:r>
          </w:p>
        </w:tc>
      </w:tr>
      <w:tr w:rsidR="00867FFD" w14:paraId="111D71E5" w14:textId="77777777" w:rsidTr="00867FFD">
        <w:tc>
          <w:tcPr>
            <w:tcW w:w="1560" w:type="dxa"/>
          </w:tcPr>
          <w:p w14:paraId="674FA602" w14:textId="4EDB1C26" w:rsidR="004B3910" w:rsidRPr="004B3910" w:rsidRDefault="004B3910" w:rsidP="009F5D2A">
            <w:pPr>
              <w:pStyle w:val="NoSpacing"/>
            </w:pPr>
            <w:r w:rsidRPr="004B3910">
              <w:t>Clemson et al. (2012)</w:t>
            </w:r>
          </w:p>
        </w:tc>
        <w:tc>
          <w:tcPr>
            <w:tcW w:w="1559" w:type="dxa"/>
          </w:tcPr>
          <w:p w14:paraId="75A0772F" w14:textId="39C818CF" w:rsidR="004B3910" w:rsidRPr="009F5D2A" w:rsidRDefault="009F5D2A" w:rsidP="009F5D2A">
            <w:pPr>
              <w:pStyle w:val="NoSpacing"/>
            </w:pPr>
            <w:r w:rsidRPr="009F5D2A">
              <w:t>RCT</w:t>
            </w:r>
          </w:p>
        </w:tc>
        <w:tc>
          <w:tcPr>
            <w:tcW w:w="993" w:type="dxa"/>
          </w:tcPr>
          <w:p w14:paraId="28094BD3" w14:textId="0D1D622F" w:rsidR="004B3910" w:rsidRDefault="00867FFD" w:rsidP="00867FFD">
            <w:pPr>
              <w:pStyle w:val="NoSpacing"/>
            </w:pPr>
            <w:r>
              <w:t>Yes</w:t>
            </w:r>
          </w:p>
        </w:tc>
        <w:tc>
          <w:tcPr>
            <w:tcW w:w="1559" w:type="dxa"/>
          </w:tcPr>
          <w:p w14:paraId="07AE99F9" w14:textId="1ACEE9C4" w:rsidR="004B3910" w:rsidRDefault="00867FFD" w:rsidP="00867FFD">
            <w:pPr>
              <w:pStyle w:val="NoSpacing"/>
            </w:pPr>
            <w:r w:rsidRPr="00867FFD">
              <w:t>Yes</w:t>
            </w:r>
          </w:p>
        </w:tc>
        <w:tc>
          <w:tcPr>
            <w:tcW w:w="1559" w:type="dxa"/>
          </w:tcPr>
          <w:p w14:paraId="5055A166" w14:textId="41DCCCCA" w:rsidR="004B3910" w:rsidRDefault="00867FFD" w:rsidP="00867FFD">
            <w:pPr>
              <w:pStyle w:val="NoSpacing"/>
            </w:pPr>
            <w:r w:rsidRPr="00867FFD">
              <w:t>Yes</w:t>
            </w:r>
          </w:p>
        </w:tc>
        <w:tc>
          <w:tcPr>
            <w:tcW w:w="1418" w:type="dxa"/>
          </w:tcPr>
          <w:p w14:paraId="001DABE3" w14:textId="1186D314" w:rsidR="004B3910" w:rsidRDefault="00867FFD" w:rsidP="00867FFD">
            <w:pPr>
              <w:pStyle w:val="NoSpacing"/>
            </w:pPr>
            <w:r w:rsidRPr="00867FFD">
              <w:t>Yes</w:t>
            </w:r>
          </w:p>
        </w:tc>
        <w:tc>
          <w:tcPr>
            <w:tcW w:w="1559" w:type="dxa"/>
          </w:tcPr>
          <w:p w14:paraId="0D57D12D" w14:textId="65EEB901" w:rsidR="004B3910" w:rsidRDefault="00867FFD" w:rsidP="00867FFD">
            <w:pPr>
              <w:pStyle w:val="NoSpacing"/>
            </w:pPr>
            <w:r w:rsidRPr="00867FFD">
              <w:t>Yes</w:t>
            </w:r>
          </w:p>
        </w:tc>
        <w:tc>
          <w:tcPr>
            <w:tcW w:w="1276" w:type="dxa"/>
          </w:tcPr>
          <w:p w14:paraId="7D00572E" w14:textId="6B81C045" w:rsidR="004B3910" w:rsidRDefault="00867FFD" w:rsidP="00867FFD">
            <w:pPr>
              <w:pStyle w:val="NoSpacing"/>
            </w:pPr>
            <w:r w:rsidRPr="00867FFD">
              <w:t>High</w:t>
            </w:r>
          </w:p>
        </w:tc>
      </w:tr>
      <w:tr w:rsidR="00867FFD" w14:paraId="7FFA1BCC" w14:textId="77777777" w:rsidTr="00867FFD">
        <w:tc>
          <w:tcPr>
            <w:tcW w:w="1560" w:type="dxa"/>
          </w:tcPr>
          <w:p w14:paraId="31A72201" w14:textId="67735F6B" w:rsidR="004B3910" w:rsidRPr="004B3910" w:rsidRDefault="004B3910" w:rsidP="009F5D2A">
            <w:pPr>
              <w:pStyle w:val="NoSpacing"/>
            </w:pPr>
            <w:r w:rsidRPr="004B3910">
              <w:t>Gardner et al. (2016)</w:t>
            </w:r>
          </w:p>
        </w:tc>
        <w:tc>
          <w:tcPr>
            <w:tcW w:w="1559" w:type="dxa"/>
          </w:tcPr>
          <w:p w14:paraId="73D04299" w14:textId="4BB8633D" w:rsidR="004B3910" w:rsidRPr="009F5D2A" w:rsidRDefault="009F5D2A" w:rsidP="009F5D2A">
            <w:pPr>
              <w:pStyle w:val="NoSpacing"/>
            </w:pPr>
            <w:r w:rsidRPr="009F5D2A">
              <w:t>Systematic review</w:t>
            </w:r>
          </w:p>
        </w:tc>
        <w:tc>
          <w:tcPr>
            <w:tcW w:w="993" w:type="dxa"/>
          </w:tcPr>
          <w:p w14:paraId="1797D74E" w14:textId="378E1E96" w:rsidR="004B3910" w:rsidRDefault="00867FFD" w:rsidP="00867FFD">
            <w:pPr>
              <w:pStyle w:val="NoSpacing"/>
            </w:pPr>
            <w:r>
              <w:t>Yes</w:t>
            </w:r>
          </w:p>
        </w:tc>
        <w:tc>
          <w:tcPr>
            <w:tcW w:w="1559" w:type="dxa"/>
          </w:tcPr>
          <w:p w14:paraId="372B7838" w14:textId="5CC74F49" w:rsidR="004B3910" w:rsidRDefault="00867FFD" w:rsidP="00867FFD">
            <w:pPr>
              <w:pStyle w:val="NoSpacing"/>
            </w:pPr>
            <w:r w:rsidRPr="00867FFD">
              <w:t>Yes</w:t>
            </w:r>
          </w:p>
        </w:tc>
        <w:tc>
          <w:tcPr>
            <w:tcW w:w="1559" w:type="dxa"/>
          </w:tcPr>
          <w:p w14:paraId="19AFCE9E" w14:textId="0AA56FFB" w:rsidR="004B3910" w:rsidRDefault="00867FFD" w:rsidP="00867FFD">
            <w:pPr>
              <w:pStyle w:val="NoSpacing"/>
            </w:pPr>
            <w:r w:rsidRPr="00867FFD">
              <w:t>Yes</w:t>
            </w:r>
          </w:p>
        </w:tc>
        <w:tc>
          <w:tcPr>
            <w:tcW w:w="1418" w:type="dxa"/>
          </w:tcPr>
          <w:p w14:paraId="089647D0" w14:textId="768ACCBC" w:rsidR="004B3910" w:rsidRDefault="00867FFD" w:rsidP="00867FFD">
            <w:pPr>
              <w:pStyle w:val="NoSpacing"/>
            </w:pPr>
            <w:r w:rsidRPr="00867FFD">
              <w:t>Yes</w:t>
            </w:r>
          </w:p>
        </w:tc>
        <w:tc>
          <w:tcPr>
            <w:tcW w:w="1559" w:type="dxa"/>
          </w:tcPr>
          <w:p w14:paraId="084DA3D3" w14:textId="373E9BC7" w:rsidR="004B3910" w:rsidRDefault="00867FFD" w:rsidP="00867FFD">
            <w:pPr>
              <w:pStyle w:val="NoSpacing"/>
            </w:pPr>
            <w:r w:rsidRPr="00867FFD">
              <w:t>Yes</w:t>
            </w:r>
          </w:p>
        </w:tc>
        <w:tc>
          <w:tcPr>
            <w:tcW w:w="1276" w:type="dxa"/>
          </w:tcPr>
          <w:p w14:paraId="25927E0A" w14:textId="0945C388" w:rsidR="004B3910" w:rsidRDefault="00867FFD" w:rsidP="00867FFD">
            <w:pPr>
              <w:pStyle w:val="NoSpacing"/>
            </w:pPr>
            <w:r w:rsidRPr="00867FFD">
              <w:t>High</w:t>
            </w:r>
          </w:p>
        </w:tc>
      </w:tr>
      <w:tr w:rsidR="00867FFD" w14:paraId="0878B4CC" w14:textId="77777777" w:rsidTr="00867FFD">
        <w:tc>
          <w:tcPr>
            <w:tcW w:w="1560" w:type="dxa"/>
          </w:tcPr>
          <w:p w14:paraId="39095CF7" w14:textId="5BBCE264" w:rsidR="004B3910" w:rsidRPr="004B3910" w:rsidRDefault="004B3910" w:rsidP="009F5D2A">
            <w:pPr>
              <w:pStyle w:val="NoSpacing"/>
            </w:pPr>
            <w:r w:rsidRPr="004B3910">
              <w:t>Hopewell et al. (2018)</w:t>
            </w:r>
          </w:p>
        </w:tc>
        <w:tc>
          <w:tcPr>
            <w:tcW w:w="1559" w:type="dxa"/>
          </w:tcPr>
          <w:p w14:paraId="37405350" w14:textId="0D2342FC" w:rsidR="004B3910" w:rsidRPr="009F5D2A" w:rsidRDefault="009F5D2A" w:rsidP="009F5D2A">
            <w:pPr>
              <w:pStyle w:val="NoSpacing"/>
            </w:pPr>
            <w:r w:rsidRPr="009F5D2A">
              <w:t>Systematic review</w:t>
            </w:r>
          </w:p>
        </w:tc>
        <w:tc>
          <w:tcPr>
            <w:tcW w:w="993" w:type="dxa"/>
          </w:tcPr>
          <w:p w14:paraId="39C8E6E6" w14:textId="56AFDF8F" w:rsidR="004B3910" w:rsidRDefault="00867FFD" w:rsidP="00867FFD">
            <w:pPr>
              <w:pStyle w:val="NoSpacing"/>
            </w:pPr>
            <w:r w:rsidRPr="00867FFD">
              <w:t>Yes</w:t>
            </w:r>
          </w:p>
        </w:tc>
        <w:tc>
          <w:tcPr>
            <w:tcW w:w="1559" w:type="dxa"/>
          </w:tcPr>
          <w:p w14:paraId="6B4EE04A" w14:textId="6DE561C2" w:rsidR="004B3910" w:rsidRDefault="00867FFD" w:rsidP="00867FFD">
            <w:pPr>
              <w:pStyle w:val="NoSpacing"/>
            </w:pPr>
            <w:r w:rsidRPr="00867FFD">
              <w:t>Yes</w:t>
            </w:r>
          </w:p>
        </w:tc>
        <w:tc>
          <w:tcPr>
            <w:tcW w:w="1559" w:type="dxa"/>
          </w:tcPr>
          <w:p w14:paraId="4BFF75D0" w14:textId="1ACE30EA" w:rsidR="004B3910" w:rsidRDefault="00867FFD" w:rsidP="00867FFD">
            <w:pPr>
              <w:pStyle w:val="NoSpacing"/>
            </w:pPr>
            <w:r w:rsidRPr="00867FFD">
              <w:t>Yes</w:t>
            </w:r>
          </w:p>
        </w:tc>
        <w:tc>
          <w:tcPr>
            <w:tcW w:w="1418" w:type="dxa"/>
          </w:tcPr>
          <w:p w14:paraId="22577B04" w14:textId="320DC42F" w:rsidR="004B3910" w:rsidRDefault="00867FFD" w:rsidP="00867FFD">
            <w:pPr>
              <w:pStyle w:val="NoSpacing"/>
            </w:pPr>
            <w:r w:rsidRPr="00867FFD">
              <w:t>Yes</w:t>
            </w:r>
          </w:p>
        </w:tc>
        <w:tc>
          <w:tcPr>
            <w:tcW w:w="1559" w:type="dxa"/>
          </w:tcPr>
          <w:p w14:paraId="111702C0" w14:textId="47D97F01" w:rsidR="004B3910" w:rsidRDefault="00867FFD" w:rsidP="00867FFD">
            <w:pPr>
              <w:pStyle w:val="NoSpacing"/>
            </w:pPr>
            <w:r w:rsidRPr="00867FFD">
              <w:t>Yes</w:t>
            </w:r>
          </w:p>
        </w:tc>
        <w:tc>
          <w:tcPr>
            <w:tcW w:w="1276" w:type="dxa"/>
          </w:tcPr>
          <w:p w14:paraId="3AD13F5D" w14:textId="27767976" w:rsidR="004B3910" w:rsidRDefault="00867FFD" w:rsidP="00867FFD">
            <w:pPr>
              <w:pStyle w:val="NoSpacing"/>
            </w:pPr>
            <w:r>
              <w:t>Moderate</w:t>
            </w:r>
          </w:p>
        </w:tc>
      </w:tr>
      <w:tr w:rsidR="00867FFD" w14:paraId="0E06C8E6" w14:textId="77777777" w:rsidTr="00867FFD">
        <w:tc>
          <w:tcPr>
            <w:tcW w:w="1560" w:type="dxa"/>
          </w:tcPr>
          <w:p w14:paraId="19BC99B4" w14:textId="6E719EE0" w:rsidR="004B3910" w:rsidRPr="004B3910" w:rsidRDefault="004B3910" w:rsidP="009F5D2A">
            <w:pPr>
              <w:pStyle w:val="NoSpacing"/>
            </w:pPr>
            <w:r w:rsidRPr="004B3910">
              <w:t>Chang et al. (2021)</w:t>
            </w:r>
          </w:p>
        </w:tc>
        <w:tc>
          <w:tcPr>
            <w:tcW w:w="1559" w:type="dxa"/>
          </w:tcPr>
          <w:p w14:paraId="73614C94" w14:textId="29E73A89" w:rsidR="004B3910" w:rsidRPr="009F5D2A" w:rsidRDefault="009F5D2A" w:rsidP="009F5D2A">
            <w:pPr>
              <w:pStyle w:val="NoSpacing"/>
            </w:pPr>
            <w:r w:rsidRPr="009F5D2A">
              <w:t>RCT</w:t>
            </w:r>
          </w:p>
        </w:tc>
        <w:tc>
          <w:tcPr>
            <w:tcW w:w="993" w:type="dxa"/>
          </w:tcPr>
          <w:p w14:paraId="76C3C0D3" w14:textId="74879301" w:rsidR="004B3910" w:rsidRDefault="00867FFD" w:rsidP="00867FFD">
            <w:pPr>
              <w:pStyle w:val="NoSpacing"/>
            </w:pPr>
            <w:r w:rsidRPr="00867FFD">
              <w:t>Yes</w:t>
            </w:r>
          </w:p>
        </w:tc>
        <w:tc>
          <w:tcPr>
            <w:tcW w:w="1559" w:type="dxa"/>
          </w:tcPr>
          <w:p w14:paraId="4EC9509E" w14:textId="303704F7" w:rsidR="004B3910" w:rsidRDefault="00867FFD" w:rsidP="00867FFD">
            <w:pPr>
              <w:pStyle w:val="NoSpacing"/>
            </w:pPr>
            <w:r w:rsidRPr="00867FFD">
              <w:t>Yes</w:t>
            </w:r>
          </w:p>
        </w:tc>
        <w:tc>
          <w:tcPr>
            <w:tcW w:w="1559" w:type="dxa"/>
          </w:tcPr>
          <w:p w14:paraId="1C26A1E1" w14:textId="3B77C4CB" w:rsidR="004B3910" w:rsidRDefault="00867FFD" w:rsidP="00867FFD">
            <w:pPr>
              <w:pStyle w:val="NoSpacing"/>
            </w:pPr>
            <w:r w:rsidRPr="00867FFD">
              <w:t>Yes</w:t>
            </w:r>
          </w:p>
        </w:tc>
        <w:tc>
          <w:tcPr>
            <w:tcW w:w="1418" w:type="dxa"/>
          </w:tcPr>
          <w:p w14:paraId="111CFE79" w14:textId="0C87A62F" w:rsidR="004B3910" w:rsidRDefault="00867FFD" w:rsidP="00867FFD">
            <w:pPr>
              <w:pStyle w:val="NoSpacing"/>
            </w:pPr>
            <w:r w:rsidRPr="00867FFD">
              <w:t>Yes</w:t>
            </w:r>
          </w:p>
        </w:tc>
        <w:tc>
          <w:tcPr>
            <w:tcW w:w="1559" w:type="dxa"/>
          </w:tcPr>
          <w:p w14:paraId="205B113F" w14:textId="08094EF3" w:rsidR="004B3910" w:rsidRDefault="00867FFD" w:rsidP="00867FFD">
            <w:pPr>
              <w:pStyle w:val="NoSpacing"/>
            </w:pPr>
            <w:r w:rsidRPr="00867FFD">
              <w:t>Yes</w:t>
            </w:r>
          </w:p>
        </w:tc>
        <w:tc>
          <w:tcPr>
            <w:tcW w:w="1276" w:type="dxa"/>
          </w:tcPr>
          <w:p w14:paraId="60B15495" w14:textId="0A3C56F8" w:rsidR="004B3910" w:rsidRDefault="00867FFD" w:rsidP="00867FFD">
            <w:pPr>
              <w:pStyle w:val="NoSpacing"/>
            </w:pPr>
            <w:r w:rsidRPr="00867FFD">
              <w:t>High</w:t>
            </w:r>
          </w:p>
        </w:tc>
      </w:tr>
      <w:tr w:rsidR="00867FFD" w14:paraId="3570E452" w14:textId="77777777" w:rsidTr="00867FFD">
        <w:tc>
          <w:tcPr>
            <w:tcW w:w="1560" w:type="dxa"/>
          </w:tcPr>
          <w:p w14:paraId="3555E131" w14:textId="7EA9FAA7" w:rsidR="004B3910" w:rsidRPr="004B3910" w:rsidRDefault="004B3910" w:rsidP="009F5D2A">
            <w:pPr>
              <w:pStyle w:val="NoSpacing"/>
            </w:pPr>
            <w:r w:rsidRPr="004B3910">
              <w:t>Johnson et al. (2021)</w:t>
            </w:r>
          </w:p>
        </w:tc>
        <w:tc>
          <w:tcPr>
            <w:tcW w:w="1559" w:type="dxa"/>
          </w:tcPr>
          <w:p w14:paraId="3AACF323" w14:textId="41B896D4" w:rsidR="004B3910" w:rsidRPr="009F5D2A" w:rsidRDefault="009F5D2A" w:rsidP="009F5D2A">
            <w:pPr>
              <w:pStyle w:val="NoSpacing"/>
            </w:pPr>
            <w:r w:rsidRPr="009F5D2A">
              <w:t>Cohort study</w:t>
            </w:r>
          </w:p>
        </w:tc>
        <w:tc>
          <w:tcPr>
            <w:tcW w:w="993" w:type="dxa"/>
          </w:tcPr>
          <w:p w14:paraId="17F8537E" w14:textId="29F75831" w:rsidR="004B3910" w:rsidRDefault="00867FFD" w:rsidP="00867FFD">
            <w:pPr>
              <w:pStyle w:val="NoSpacing"/>
            </w:pPr>
            <w:r w:rsidRPr="00867FFD">
              <w:t>Yes</w:t>
            </w:r>
          </w:p>
        </w:tc>
        <w:tc>
          <w:tcPr>
            <w:tcW w:w="1559" w:type="dxa"/>
          </w:tcPr>
          <w:p w14:paraId="2CA7D115" w14:textId="5A3F293C" w:rsidR="004B3910" w:rsidRDefault="00867FFD" w:rsidP="00867FFD">
            <w:pPr>
              <w:pStyle w:val="NoSpacing"/>
            </w:pPr>
            <w:r w:rsidRPr="00867FFD">
              <w:t>Yes</w:t>
            </w:r>
          </w:p>
        </w:tc>
        <w:tc>
          <w:tcPr>
            <w:tcW w:w="1559" w:type="dxa"/>
          </w:tcPr>
          <w:p w14:paraId="3D0CD0F8" w14:textId="6B1F8A86" w:rsidR="004B3910" w:rsidRDefault="00867FFD" w:rsidP="00867FFD">
            <w:pPr>
              <w:pStyle w:val="NoSpacing"/>
            </w:pPr>
            <w:r w:rsidRPr="00867FFD">
              <w:t>Yes</w:t>
            </w:r>
          </w:p>
        </w:tc>
        <w:tc>
          <w:tcPr>
            <w:tcW w:w="1418" w:type="dxa"/>
          </w:tcPr>
          <w:p w14:paraId="2FB998BB" w14:textId="4CAFB593" w:rsidR="004B3910" w:rsidRDefault="00867FFD" w:rsidP="00867FFD">
            <w:pPr>
              <w:pStyle w:val="NoSpacing"/>
            </w:pPr>
            <w:r w:rsidRPr="00867FFD">
              <w:t>Yes</w:t>
            </w:r>
          </w:p>
        </w:tc>
        <w:tc>
          <w:tcPr>
            <w:tcW w:w="1559" w:type="dxa"/>
          </w:tcPr>
          <w:p w14:paraId="7E250137" w14:textId="36340C6A" w:rsidR="004B3910" w:rsidRDefault="00867FFD" w:rsidP="00867FFD">
            <w:pPr>
              <w:pStyle w:val="NoSpacing"/>
            </w:pPr>
            <w:r w:rsidRPr="00867FFD">
              <w:t>Yes</w:t>
            </w:r>
          </w:p>
        </w:tc>
        <w:tc>
          <w:tcPr>
            <w:tcW w:w="1276" w:type="dxa"/>
          </w:tcPr>
          <w:p w14:paraId="6CAC9F87" w14:textId="5F4CC5C4" w:rsidR="004B3910" w:rsidRDefault="00867FFD" w:rsidP="00867FFD">
            <w:pPr>
              <w:pStyle w:val="NoSpacing"/>
            </w:pPr>
            <w:r w:rsidRPr="00867FFD">
              <w:t>Moderate</w:t>
            </w:r>
          </w:p>
        </w:tc>
      </w:tr>
      <w:tr w:rsidR="00867FFD" w14:paraId="21824A9E" w14:textId="77777777" w:rsidTr="00867FFD">
        <w:tc>
          <w:tcPr>
            <w:tcW w:w="1560" w:type="dxa"/>
          </w:tcPr>
          <w:p w14:paraId="46F3F561" w14:textId="034F39E1" w:rsidR="004B3910" w:rsidRPr="004B3910" w:rsidRDefault="004B3910" w:rsidP="009F5D2A">
            <w:pPr>
              <w:pStyle w:val="NoSpacing"/>
            </w:pPr>
            <w:r w:rsidRPr="004B3910">
              <w:t>Harrison et al. (2021)</w:t>
            </w:r>
          </w:p>
        </w:tc>
        <w:tc>
          <w:tcPr>
            <w:tcW w:w="1559" w:type="dxa"/>
          </w:tcPr>
          <w:p w14:paraId="1819710B" w14:textId="152EA11F" w:rsidR="004B3910" w:rsidRPr="009F5D2A" w:rsidRDefault="009F5D2A" w:rsidP="009F5D2A">
            <w:pPr>
              <w:pStyle w:val="NoSpacing"/>
            </w:pPr>
            <w:r w:rsidRPr="009F5D2A">
              <w:t>Qualitative study</w:t>
            </w:r>
          </w:p>
        </w:tc>
        <w:tc>
          <w:tcPr>
            <w:tcW w:w="993" w:type="dxa"/>
          </w:tcPr>
          <w:p w14:paraId="23126E91" w14:textId="43E7F2CA" w:rsidR="004B3910" w:rsidRDefault="00867FFD" w:rsidP="00867FFD">
            <w:pPr>
              <w:pStyle w:val="NoSpacing"/>
            </w:pPr>
            <w:r w:rsidRPr="00867FFD">
              <w:t>Yes</w:t>
            </w:r>
          </w:p>
        </w:tc>
        <w:tc>
          <w:tcPr>
            <w:tcW w:w="1559" w:type="dxa"/>
          </w:tcPr>
          <w:p w14:paraId="152873AA" w14:textId="7C2ED4B7" w:rsidR="004B3910" w:rsidRDefault="00867FFD" w:rsidP="00867FFD">
            <w:pPr>
              <w:pStyle w:val="NoSpacing"/>
            </w:pPr>
            <w:r w:rsidRPr="00867FFD">
              <w:t>Yes</w:t>
            </w:r>
          </w:p>
        </w:tc>
        <w:tc>
          <w:tcPr>
            <w:tcW w:w="1559" w:type="dxa"/>
          </w:tcPr>
          <w:p w14:paraId="4BEA0312" w14:textId="10FDDEF1" w:rsidR="004B3910" w:rsidRDefault="00867FFD" w:rsidP="00867FFD">
            <w:pPr>
              <w:pStyle w:val="NoSpacing"/>
            </w:pPr>
            <w:r w:rsidRPr="00867FFD">
              <w:t>Yes</w:t>
            </w:r>
          </w:p>
        </w:tc>
        <w:tc>
          <w:tcPr>
            <w:tcW w:w="1418" w:type="dxa"/>
          </w:tcPr>
          <w:p w14:paraId="6B8499DC" w14:textId="76171784" w:rsidR="004B3910" w:rsidRDefault="00867FFD" w:rsidP="00867FFD">
            <w:pPr>
              <w:pStyle w:val="NoSpacing"/>
            </w:pPr>
            <w:r>
              <w:t>N/A</w:t>
            </w:r>
          </w:p>
        </w:tc>
        <w:tc>
          <w:tcPr>
            <w:tcW w:w="1559" w:type="dxa"/>
          </w:tcPr>
          <w:p w14:paraId="590F8255" w14:textId="2F49FCBB" w:rsidR="004B3910" w:rsidRDefault="00867FFD" w:rsidP="00867FFD">
            <w:pPr>
              <w:pStyle w:val="NoSpacing"/>
            </w:pPr>
            <w:r w:rsidRPr="00867FFD">
              <w:t>Yes</w:t>
            </w:r>
          </w:p>
        </w:tc>
        <w:tc>
          <w:tcPr>
            <w:tcW w:w="1276" w:type="dxa"/>
          </w:tcPr>
          <w:p w14:paraId="4307E8FF" w14:textId="66EDE3E1" w:rsidR="004B3910" w:rsidRDefault="00867FFD" w:rsidP="00867FFD">
            <w:pPr>
              <w:pStyle w:val="NoSpacing"/>
            </w:pPr>
            <w:r w:rsidRPr="00867FFD">
              <w:t>Moderate</w:t>
            </w:r>
          </w:p>
        </w:tc>
      </w:tr>
      <w:tr w:rsidR="00867FFD" w14:paraId="5833344B" w14:textId="77777777" w:rsidTr="00867FFD">
        <w:tc>
          <w:tcPr>
            <w:tcW w:w="1560" w:type="dxa"/>
          </w:tcPr>
          <w:p w14:paraId="1E7549EB" w14:textId="2B712312" w:rsidR="004B3910" w:rsidRPr="004B3910" w:rsidRDefault="004B3910" w:rsidP="009F5D2A">
            <w:pPr>
              <w:pStyle w:val="NoSpacing"/>
            </w:pPr>
            <w:r w:rsidRPr="004B3910">
              <w:t>Clark et al. (2020)</w:t>
            </w:r>
          </w:p>
        </w:tc>
        <w:tc>
          <w:tcPr>
            <w:tcW w:w="1559" w:type="dxa"/>
          </w:tcPr>
          <w:p w14:paraId="14A190E5" w14:textId="6ED4BFA8" w:rsidR="004B3910" w:rsidRPr="009F5D2A" w:rsidRDefault="009F5D2A" w:rsidP="009F5D2A">
            <w:pPr>
              <w:pStyle w:val="NoSpacing"/>
            </w:pPr>
            <w:r w:rsidRPr="009F5D2A">
              <w:t>Qualitative study</w:t>
            </w:r>
          </w:p>
        </w:tc>
        <w:tc>
          <w:tcPr>
            <w:tcW w:w="993" w:type="dxa"/>
          </w:tcPr>
          <w:p w14:paraId="15405079" w14:textId="7873E231" w:rsidR="004B3910" w:rsidRDefault="00867FFD" w:rsidP="00867FFD">
            <w:pPr>
              <w:pStyle w:val="NoSpacing"/>
            </w:pPr>
            <w:r w:rsidRPr="00867FFD">
              <w:t>Yes</w:t>
            </w:r>
          </w:p>
        </w:tc>
        <w:tc>
          <w:tcPr>
            <w:tcW w:w="1559" w:type="dxa"/>
          </w:tcPr>
          <w:p w14:paraId="5F5BFD09" w14:textId="32180B47" w:rsidR="004B3910" w:rsidRDefault="00867FFD" w:rsidP="00867FFD">
            <w:pPr>
              <w:pStyle w:val="NoSpacing"/>
            </w:pPr>
            <w:r w:rsidRPr="00867FFD">
              <w:t>Yes</w:t>
            </w:r>
          </w:p>
        </w:tc>
        <w:tc>
          <w:tcPr>
            <w:tcW w:w="1559" w:type="dxa"/>
          </w:tcPr>
          <w:p w14:paraId="67071C42" w14:textId="1DA4CAD3" w:rsidR="004B3910" w:rsidRDefault="00867FFD" w:rsidP="00867FFD">
            <w:pPr>
              <w:pStyle w:val="NoSpacing"/>
            </w:pPr>
            <w:r w:rsidRPr="00867FFD">
              <w:t>Yes</w:t>
            </w:r>
          </w:p>
        </w:tc>
        <w:tc>
          <w:tcPr>
            <w:tcW w:w="1418" w:type="dxa"/>
          </w:tcPr>
          <w:p w14:paraId="16D3EF97" w14:textId="512F2730" w:rsidR="004B3910" w:rsidRDefault="00867FFD" w:rsidP="00867FFD">
            <w:pPr>
              <w:pStyle w:val="NoSpacing"/>
            </w:pPr>
            <w:r>
              <w:t>N/A</w:t>
            </w:r>
          </w:p>
        </w:tc>
        <w:tc>
          <w:tcPr>
            <w:tcW w:w="1559" w:type="dxa"/>
          </w:tcPr>
          <w:p w14:paraId="5B9B1EA3" w14:textId="22DB2F8C" w:rsidR="004B3910" w:rsidRDefault="00867FFD" w:rsidP="00867FFD">
            <w:pPr>
              <w:pStyle w:val="NoSpacing"/>
            </w:pPr>
            <w:r w:rsidRPr="00867FFD">
              <w:t>Yes</w:t>
            </w:r>
          </w:p>
        </w:tc>
        <w:tc>
          <w:tcPr>
            <w:tcW w:w="1276" w:type="dxa"/>
          </w:tcPr>
          <w:p w14:paraId="68F3488D" w14:textId="30D0EF6C" w:rsidR="004B3910" w:rsidRDefault="00867FFD" w:rsidP="00867FFD">
            <w:pPr>
              <w:pStyle w:val="NoSpacing"/>
            </w:pPr>
            <w:r w:rsidRPr="00867FFD">
              <w:t>Moderate</w:t>
            </w:r>
          </w:p>
        </w:tc>
      </w:tr>
      <w:tr w:rsidR="00867FFD" w14:paraId="34842121" w14:textId="77777777" w:rsidTr="00867FFD">
        <w:tc>
          <w:tcPr>
            <w:tcW w:w="1560" w:type="dxa"/>
          </w:tcPr>
          <w:p w14:paraId="3F6A10BD" w14:textId="12659E3C" w:rsidR="004B3910" w:rsidRPr="004B3910" w:rsidRDefault="004B3910" w:rsidP="009F5D2A">
            <w:pPr>
              <w:pStyle w:val="NoSpacing"/>
            </w:pPr>
            <w:r w:rsidRPr="004B3910">
              <w:t>Brown &amp; Li (2022)</w:t>
            </w:r>
          </w:p>
        </w:tc>
        <w:tc>
          <w:tcPr>
            <w:tcW w:w="1559" w:type="dxa"/>
          </w:tcPr>
          <w:p w14:paraId="63110749" w14:textId="4B26C726" w:rsidR="004B3910" w:rsidRPr="009F5D2A" w:rsidRDefault="009F5D2A" w:rsidP="009F5D2A">
            <w:pPr>
              <w:pStyle w:val="NoSpacing"/>
            </w:pPr>
            <w:r w:rsidRPr="009F5D2A">
              <w:t>Qualitative study</w:t>
            </w:r>
          </w:p>
        </w:tc>
        <w:tc>
          <w:tcPr>
            <w:tcW w:w="993" w:type="dxa"/>
          </w:tcPr>
          <w:p w14:paraId="1F51798D" w14:textId="1E39569D" w:rsidR="004B3910" w:rsidRDefault="00867FFD" w:rsidP="00867FFD">
            <w:pPr>
              <w:pStyle w:val="NoSpacing"/>
            </w:pPr>
            <w:r w:rsidRPr="00867FFD">
              <w:t>Yes</w:t>
            </w:r>
          </w:p>
        </w:tc>
        <w:tc>
          <w:tcPr>
            <w:tcW w:w="1559" w:type="dxa"/>
          </w:tcPr>
          <w:p w14:paraId="13B0DDA2" w14:textId="6C520B43" w:rsidR="004B3910" w:rsidRDefault="00867FFD" w:rsidP="00867FFD">
            <w:pPr>
              <w:pStyle w:val="NoSpacing"/>
            </w:pPr>
            <w:r w:rsidRPr="00867FFD">
              <w:t>Yes</w:t>
            </w:r>
          </w:p>
        </w:tc>
        <w:tc>
          <w:tcPr>
            <w:tcW w:w="1559" w:type="dxa"/>
          </w:tcPr>
          <w:p w14:paraId="0333474D" w14:textId="4A91F3C5" w:rsidR="004B3910" w:rsidRDefault="00867FFD" w:rsidP="00867FFD">
            <w:pPr>
              <w:pStyle w:val="NoSpacing"/>
            </w:pPr>
            <w:r w:rsidRPr="00867FFD">
              <w:t>Yes</w:t>
            </w:r>
          </w:p>
        </w:tc>
        <w:tc>
          <w:tcPr>
            <w:tcW w:w="1418" w:type="dxa"/>
          </w:tcPr>
          <w:p w14:paraId="61431855" w14:textId="4F467F89" w:rsidR="004B3910" w:rsidRDefault="00867FFD" w:rsidP="00867FFD">
            <w:pPr>
              <w:pStyle w:val="NoSpacing"/>
            </w:pPr>
            <w:r>
              <w:t>N/A</w:t>
            </w:r>
          </w:p>
        </w:tc>
        <w:tc>
          <w:tcPr>
            <w:tcW w:w="1559" w:type="dxa"/>
          </w:tcPr>
          <w:p w14:paraId="66095A08" w14:textId="1AB0ECA3" w:rsidR="004B3910" w:rsidRDefault="00867FFD" w:rsidP="00867FFD">
            <w:pPr>
              <w:pStyle w:val="NoSpacing"/>
            </w:pPr>
            <w:r w:rsidRPr="00867FFD">
              <w:t>Yes</w:t>
            </w:r>
          </w:p>
        </w:tc>
        <w:tc>
          <w:tcPr>
            <w:tcW w:w="1276" w:type="dxa"/>
          </w:tcPr>
          <w:p w14:paraId="0FCFDDFE" w14:textId="45A25638" w:rsidR="004B3910" w:rsidRDefault="00867FFD" w:rsidP="00867FFD">
            <w:pPr>
              <w:pStyle w:val="NoSpacing"/>
            </w:pPr>
            <w:r w:rsidRPr="00867FFD">
              <w:t>Moderate</w:t>
            </w:r>
          </w:p>
        </w:tc>
      </w:tr>
      <w:tr w:rsidR="00867FFD" w14:paraId="2FF3CFBD" w14:textId="77777777" w:rsidTr="00867FFD">
        <w:tc>
          <w:tcPr>
            <w:tcW w:w="1560" w:type="dxa"/>
          </w:tcPr>
          <w:p w14:paraId="4BF7D03F" w14:textId="02617839" w:rsidR="004B3910" w:rsidRPr="004B3910" w:rsidRDefault="004B3910" w:rsidP="004B3910">
            <w:pPr>
              <w:pStyle w:val="NoSpacing"/>
            </w:pPr>
            <w:r w:rsidRPr="004B3910">
              <w:lastRenderedPageBreak/>
              <w:t>Davies</w:t>
            </w:r>
            <w:r>
              <w:t xml:space="preserve"> </w:t>
            </w:r>
            <w:r w:rsidRPr="004B3910">
              <w:t>&amp; Patel (2022)</w:t>
            </w:r>
          </w:p>
        </w:tc>
        <w:tc>
          <w:tcPr>
            <w:tcW w:w="1559" w:type="dxa"/>
          </w:tcPr>
          <w:p w14:paraId="7CFCD1E1" w14:textId="171120F2" w:rsidR="004B3910" w:rsidRPr="009F5D2A" w:rsidRDefault="009F5D2A" w:rsidP="009F5D2A">
            <w:pPr>
              <w:pStyle w:val="NoSpacing"/>
            </w:pPr>
            <w:r w:rsidRPr="009F5D2A">
              <w:t>Observational study</w:t>
            </w:r>
          </w:p>
        </w:tc>
        <w:tc>
          <w:tcPr>
            <w:tcW w:w="993" w:type="dxa"/>
          </w:tcPr>
          <w:p w14:paraId="0A0CB282" w14:textId="225D7588" w:rsidR="004B3910" w:rsidRDefault="00867FFD" w:rsidP="00867FFD">
            <w:pPr>
              <w:pStyle w:val="NoSpacing"/>
            </w:pPr>
            <w:r w:rsidRPr="00867FFD">
              <w:t>Yes</w:t>
            </w:r>
          </w:p>
        </w:tc>
        <w:tc>
          <w:tcPr>
            <w:tcW w:w="1559" w:type="dxa"/>
          </w:tcPr>
          <w:p w14:paraId="2428CBD1" w14:textId="20FB30A2" w:rsidR="004B3910" w:rsidRDefault="00867FFD" w:rsidP="00867FFD">
            <w:pPr>
              <w:pStyle w:val="NoSpacing"/>
            </w:pPr>
            <w:r w:rsidRPr="00867FFD">
              <w:t>Yes</w:t>
            </w:r>
          </w:p>
        </w:tc>
        <w:tc>
          <w:tcPr>
            <w:tcW w:w="1559" w:type="dxa"/>
          </w:tcPr>
          <w:p w14:paraId="4C1FD94E" w14:textId="3703811B" w:rsidR="004B3910" w:rsidRDefault="00867FFD" w:rsidP="00867FFD">
            <w:pPr>
              <w:pStyle w:val="NoSpacing"/>
            </w:pPr>
            <w:r w:rsidRPr="00867FFD">
              <w:t>Yes</w:t>
            </w:r>
          </w:p>
        </w:tc>
        <w:tc>
          <w:tcPr>
            <w:tcW w:w="1418" w:type="dxa"/>
          </w:tcPr>
          <w:p w14:paraId="7CE07101" w14:textId="2B7C50AF" w:rsidR="004B3910" w:rsidRDefault="00867FFD" w:rsidP="00867FFD">
            <w:pPr>
              <w:pStyle w:val="NoSpacing"/>
            </w:pPr>
            <w:r w:rsidRPr="00867FFD">
              <w:t>Yes</w:t>
            </w:r>
          </w:p>
        </w:tc>
        <w:tc>
          <w:tcPr>
            <w:tcW w:w="1559" w:type="dxa"/>
          </w:tcPr>
          <w:p w14:paraId="495C343D" w14:textId="02B4E0BB" w:rsidR="004B3910" w:rsidRDefault="00867FFD" w:rsidP="00867FFD">
            <w:pPr>
              <w:pStyle w:val="NoSpacing"/>
            </w:pPr>
            <w:r w:rsidRPr="00867FFD">
              <w:t>Yes</w:t>
            </w:r>
          </w:p>
        </w:tc>
        <w:tc>
          <w:tcPr>
            <w:tcW w:w="1276" w:type="dxa"/>
          </w:tcPr>
          <w:p w14:paraId="714CF22E" w14:textId="6A2D58C7" w:rsidR="004B3910" w:rsidRDefault="00867FFD" w:rsidP="00867FFD">
            <w:pPr>
              <w:pStyle w:val="NoSpacing"/>
            </w:pPr>
            <w:r w:rsidRPr="00867FFD">
              <w:t>Moderate</w:t>
            </w:r>
          </w:p>
        </w:tc>
      </w:tr>
      <w:tr w:rsidR="00867FFD" w14:paraId="470B31F6" w14:textId="77777777" w:rsidTr="00867FFD">
        <w:tc>
          <w:tcPr>
            <w:tcW w:w="1560" w:type="dxa"/>
          </w:tcPr>
          <w:p w14:paraId="37755768" w14:textId="62BD8C3F" w:rsidR="004B3910" w:rsidRPr="009F5D2A" w:rsidRDefault="009F5D2A" w:rsidP="009F5D2A">
            <w:pPr>
              <w:pStyle w:val="NoSpacing"/>
            </w:pPr>
            <w:r w:rsidRPr="009F5D2A">
              <w:t>Marmot et al. (2020)</w:t>
            </w:r>
          </w:p>
        </w:tc>
        <w:tc>
          <w:tcPr>
            <w:tcW w:w="1559" w:type="dxa"/>
          </w:tcPr>
          <w:p w14:paraId="2BA71124" w14:textId="44E5014C" w:rsidR="004B3910" w:rsidRPr="009F5D2A" w:rsidRDefault="009F5D2A" w:rsidP="009F5D2A">
            <w:pPr>
              <w:pStyle w:val="NoSpacing"/>
            </w:pPr>
            <w:r w:rsidRPr="009F5D2A">
              <w:t>Policy review</w:t>
            </w:r>
          </w:p>
        </w:tc>
        <w:tc>
          <w:tcPr>
            <w:tcW w:w="993" w:type="dxa"/>
          </w:tcPr>
          <w:p w14:paraId="43495C2F" w14:textId="0B6A01DA" w:rsidR="004B3910" w:rsidRDefault="00867FFD" w:rsidP="00867FFD">
            <w:pPr>
              <w:pStyle w:val="NoSpacing"/>
            </w:pPr>
            <w:r w:rsidRPr="00867FFD">
              <w:t>Yes</w:t>
            </w:r>
          </w:p>
        </w:tc>
        <w:tc>
          <w:tcPr>
            <w:tcW w:w="1559" w:type="dxa"/>
          </w:tcPr>
          <w:p w14:paraId="70624333" w14:textId="6B08FB47" w:rsidR="004B3910" w:rsidRDefault="00867FFD" w:rsidP="00867FFD">
            <w:pPr>
              <w:pStyle w:val="NoSpacing"/>
            </w:pPr>
            <w:r w:rsidRPr="00867FFD">
              <w:t>Yes</w:t>
            </w:r>
          </w:p>
        </w:tc>
        <w:tc>
          <w:tcPr>
            <w:tcW w:w="1559" w:type="dxa"/>
          </w:tcPr>
          <w:p w14:paraId="04B8EA5A" w14:textId="236EB076" w:rsidR="004B3910" w:rsidRDefault="00867FFD" w:rsidP="00867FFD">
            <w:pPr>
              <w:pStyle w:val="NoSpacing"/>
            </w:pPr>
            <w:r w:rsidRPr="00867FFD">
              <w:t>Yes</w:t>
            </w:r>
          </w:p>
        </w:tc>
        <w:tc>
          <w:tcPr>
            <w:tcW w:w="1418" w:type="dxa"/>
          </w:tcPr>
          <w:p w14:paraId="450324AF" w14:textId="0534DBF0" w:rsidR="004B3910" w:rsidRDefault="00867FFD" w:rsidP="00867FFD">
            <w:pPr>
              <w:pStyle w:val="NoSpacing"/>
            </w:pPr>
            <w:r>
              <w:t>N/A</w:t>
            </w:r>
          </w:p>
        </w:tc>
        <w:tc>
          <w:tcPr>
            <w:tcW w:w="1559" w:type="dxa"/>
          </w:tcPr>
          <w:p w14:paraId="24A32AF0" w14:textId="1F4D935C" w:rsidR="004B3910" w:rsidRDefault="00867FFD" w:rsidP="00867FFD">
            <w:pPr>
              <w:pStyle w:val="NoSpacing"/>
            </w:pPr>
            <w:r w:rsidRPr="00867FFD">
              <w:t>Yes</w:t>
            </w:r>
          </w:p>
        </w:tc>
        <w:tc>
          <w:tcPr>
            <w:tcW w:w="1276" w:type="dxa"/>
          </w:tcPr>
          <w:p w14:paraId="22B2F91A" w14:textId="1AF2D9B9" w:rsidR="004B3910" w:rsidRDefault="00867FFD" w:rsidP="00867FFD">
            <w:pPr>
              <w:pStyle w:val="NoSpacing"/>
            </w:pPr>
            <w:r w:rsidRPr="00867FFD">
              <w:t>High</w:t>
            </w:r>
          </w:p>
        </w:tc>
      </w:tr>
      <w:tr w:rsidR="00867FFD" w14:paraId="2D4DB47E" w14:textId="77777777" w:rsidTr="00867FFD">
        <w:tc>
          <w:tcPr>
            <w:tcW w:w="1560" w:type="dxa"/>
          </w:tcPr>
          <w:p w14:paraId="13888A34" w14:textId="0F1F7EC3" w:rsidR="004B3910" w:rsidRPr="009F5D2A" w:rsidRDefault="009F5D2A" w:rsidP="009F5D2A">
            <w:pPr>
              <w:pStyle w:val="NoSpacing"/>
            </w:pPr>
            <w:r w:rsidRPr="009F5D2A">
              <w:t>Sherrington et al. (2020)</w:t>
            </w:r>
          </w:p>
        </w:tc>
        <w:tc>
          <w:tcPr>
            <w:tcW w:w="1559" w:type="dxa"/>
          </w:tcPr>
          <w:p w14:paraId="782AAC94" w14:textId="61FC3B11" w:rsidR="004B3910" w:rsidRPr="009F5D2A" w:rsidRDefault="009F5D2A" w:rsidP="009F5D2A">
            <w:pPr>
              <w:pStyle w:val="NoSpacing"/>
            </w:pPr>
            <w:r w:rsidRPr="009F5D2A">
              <w:t>Systematic review</w:t>
            </w:r>
          </w:p>
        </w:tc>
        <w:tc>
          <w:tcPr>
            <w:tcW w:w="993" w:type="dxa"/>
          </w:tcPr>
          <w:p w14:paraId="182B92BE" w14:textId="7D7FC78B" w:rsidR="004B3910" w:rsidRDefault="00867FFD" w:rsidP="00867FFD">
            <w:pPr>
              <w:pStyle w:val="NoSpacing"/>
            </w:pPr>
            <w:r w:rsidRPr="00867FFD">
              <w:t>Yes</w:t>
            </w:r>
          </w:p>
        </w:tc>
        <w:tc>
          <w:tcPr>
            <w:tcW w:w="1559" w:type="dxa"/>
          </w:tcPr>
          <w:p w14:paraId="5AA948EE" w14:textId="3506F159" w:rsidR="004B3910" w:rsidRDefault="00867FFD" w:rsidP="00867FFD">
            <w:pPr>
              <w:pStyle w:val="NoSpacing"/>
            </w:pPr>
            <w:r w:rsidRPr="00867FFD">
              <w:t>Yes</w:t>
            </w:r>
          </w:p>
        </w:tc>
        <w:tc>
          <w:tcPr>
            <w:tcW w:w="1559" w:type="dxa"/>
          </w:tcPr>
          <w:p w14:paraId="2B5FBE5C" w14:textId="6C3275F8" w:rsidR="004B3910" w:rsidRDefault="00867FFD" w:rsidP="00867FFD">
            <w:pPr>
              <w:pStyle w:val="NoSpacing"/>
            </w:pPr>
            <w:r w:rsidRPr="00867FFD">
              <w:t>Yes</w:t>
            </w:r>
          </w:p>
        </w:tc>
        <w:tc>
          <w:tcPr>
            <w:tcW w:w="1418" w:type="dxa"/>
          </w:tcPr>
          <w:p w14:paraId="1316987B" w14:textId="7830F760" w:rsidR="004B3910" w:rsidRDefault="00867FFD" w:rsidP="00867FFD">
            <w:pPr>
              <w:pStyle w:val="NoSpacing"/>
            </w:pPr>
            <w:r w:rsidRPr="00867FFD">
              <w:t>Yes</w:t>
            </w:r>
          </w:p>
        </w:tc>
        <w:tc>
          <w:tcPr>
            <w:tcW w:w="1559" w:type="dxa"/>
          </w:tcPr>
          <w:p w14:paraId="64E45DFB" w14:textId="4A0ADA63" w:rsidR="004B3910" w:rsidRDefault="00867FFD" w:rsidP="00867FFD">
            <w:pPr>
              <w:pStyle w:val="NoSpacing"/>
            </w:pPr>
            <w:r w:rsidRPr="00867FFD">
              <w:t>Yes</w:t>
            </w:r>
          </w:p>
        </w:tc>
        <w:tc>
          <w:tcPr>
            <w:tcW w:w="1276" w:type="dxa"/>
          </w:tcPr>
          <w:p w14:paraId="27F641F9" w14:textId="3FCD57BF" w:rsidR="004B3910" w:rsidRDefault="00867FFD" w:rsidP="00867FFD">
            <w:pPr>
              <w:pStyle w:val="NoSpacing"/>
            </w:pPr>
            <w:r w:rsidRPr="00867FFD">
              <w:t>High</w:t>
            </w:r>
          </w:p>
        </w:tc>
      </w:tr>
    </w:tbl>
    <w:p w14:paraId="1F052D5F" w14:textId="77777777" w:rsidR="00A10D9D" w:rsidRDefault="00A10D9D" w:rsidP="00D604B5">
      <w:pPr>
        <w:spacing w:line="360" w:lineRule="auto"/>
        <w:jc w:val="both"/>
        <w:rPr>
          <w:rFonts w:ascii="Arial" w:hAnsi="Arial" w:cs="Arial"/>
          <w:b/>
          <w:bCs/>
          <w:sz w:val="22"/>
          <w:szCs w:val="22"/>
        </w:rPr>
      </w:pPr>
    </w:p>
    <w:p w14:paraId="425E232D" w14:textId="77777777" w:rsidR="00133F27" w:rsidRDefault="00133F27" w:rsidP="00D604B5">
      <w:pPr>
        <w:spacing w:line="360" w:lineRule="auto"/>
        <w:jc w:val="both"/>
        <w:rPr>
          <w:rFonts w:ascii="Arial" w:hAnsi="Arial" w:cs="Arial"/>
          <w:b/>
          <w:bCs/>
          <w:sz w:val="22"/>
          <w:szCs w:val="22"/>
        </w:rPr>
      </w:pPr>
    </w:p>
    <w:p w14:paraId="23F47537" w14:textId="77777777" w:rsidR="00CF476F" w:rsidRDefault="00CF476F" w:rsidP="00D604B5">
      <w:pPr>
        <w:spacing w:line="360" w:lineRule="auto"/>
        <w:jc w:val="both"/>
        <w:rPr>
          <w:rFonts w:ascii="Arial" w:hAnsi="Arial" w:cs="Arial"/>
          <w:b/>
          <w:bCs/>
          <w:sz w:val="22"/>
          <w:szCs w:val="22"/>
        </w:rPr>
      </w:pPr>
    </w:p>
    <w:p w14:paraId="11153E8C" w14:textId="77777777" w:rsidR="00CF476F" w:rsidRDefault="00CF476F" w:rsidP="00D604B5">
      <w:pPr>
        <w:spacing w:line="360" w:lineRule="auto"/>
        <w:jc w:val="both"/>
        <w:rPr>
          <w:rFonts w:ascii="Arial" w:hAnsi="Arial" w:cs="Arial"/>
          <w:b/>
          <w:bCs/>
          <w:sz w:val="22"/>
          <w:szCs w:val="22"/>
        </w:rPr>
      </w:pPr>
    </w:p>
    <w:p w14:paraId="2BB8CB13" w14:textId="77777777" w:rsidR="00CF476F" w:rsidRDefault="00CF476F" w:rsidP="00D604B5">
      <w:pPr>
        <w:spacing w:line="360" w:lineRule="auto"/>
        <w:jc w:val="both"/>
        <w:rPr>
          <w:rFonts w:ascii="Arial" w:hAnsi="Arial" w:cs="Arial"/>
          <w:b/>
          <w:bCs/>
          <w:sz w:val="22"/>
          <w:szCs w:val="22"/>
        </w:rPr>
      </w:pPr>
    </w:p>
    <w:p w14:paraId="7859B90F" w14:textId="77777777" w:rsidR="00CF476F" w:rsidRDefault="00CF476F" w:rsidP="00D604B5">
      <w:pPr>
        <w:spacing w:line="360" w:lineRule="auto"/>
        <w:jc w:val="both"/>
        <w:rPr>
          <w:rFonts w:ascii="Arial" w:hAnsi="Arial" w:cs="Arial"/>
          <w:b/>
          <w:bCs/>
          <w:sz w:val="22"/>
          <w:szCs w:val="22"/>
        </w:rPr>
      </w:pPr>
    </w:p>
    <w:p w14:paraId="682B4D9F" w14:textId="77777777" w:rsidR="00410B86" w:rsidRDefault="00410B86" w:rsidP="00D604B5">
      <w:pPr>
        <w:spacing w:line="360" w:lineRule="auto"/>
        <w:jc w:val="both"/>
        <w:rPr>
          <w:rFonts w:ascii="Arial" w:hAnsi="Arial" w:cs="Arial"/>
          <w:b/>
          <w:bCs/>
          <w:sz w:val="22"/>
          <w:szCs w:val="22"/>
        </w:rPr>
      </w:pPr>
    </w:p>
    <w:p w14:paraId="237AD461" w14:textId="77777777" w:rsidR="00410B86" w:rsidRDefault="00410B86" w:rsidP="00D604B5">
      <w:pPr>
        <w:spacing w:line="360" w:lineRule="auto"/>
        <w:jc w:val="both"/>
        <w:rPr>
          <w:rFonts w:ascii="Arial" w:hAnsi="Arial" w:cs="Arial"/>
          <w:b/>
          <w:bCs/>
          <w:sz w:val="22"/>
          <w:szCs w:val="22"/>
        </w:rPr>
      </w:pPr>
    </w:p>
    <w:p w14:paraId="378CFFC3" w14:textId="77777777" w:rsidR="00410B86" w:rsidRDefault="00410B86" w:rsidP="00D604B5">
      <w:pPr>
        <w:spacing w:line="360" w:lineRule="auto"/>
        <w:jc w:val="both"/>
        <w:rPr>
          <w:rFonts w:ascii="Arial" w:hAnsi="Arial" w:cs="Arial"/>
          <w:b/>
          <w:bCs/>
          <w:sz w:val="22"/>
          <w:szCs w:val="22"/>
        </w:rPr>
      </w:pPr>
    </w:p>
    <w:p w14:paraId="1DAA9E3D" w14:textId="77777777" w:rsidR="0055616D" w:rsidRPr="0055616D" w:rsidRDefault="0055616D" w:rsidP="0055616D">
      <w:pPr>
        <w:rPr>
          <w:rFonts w:ascii="Arial" w:eastAsia="Times New Roman" w:hAnsi="Arial" w:cs="Arial"/>
          <w:b/>
          <w:bCs/>
          <w:kern w:val="0"/>
          <w:sz w:val="22"/>
          <w:szCs w:val="22"/>
          <w:lang w:eastAsia="en-IN"/>
          <w14:ligatures w14:val="none"/>
        </w:rPr>
      </w:pPr>
      <w:r w:rsidRPr="0055616D">
        <w:rPr>
          <w:rFonts w:ascii="Arial" w:eastAsia="Times New Roman" w:hAnsi="Arial" w:cs="Arial"/>
          <w:b/>
          <w:bCs/>
          <w:kern w:val="0"/>
          <w:sz w:val="22"/>
          <w:szCs w:val="22"/>
          <w:lang w:eastAsia="en-IN"/>
          <w14:ligatures w14:val="none"/>
        </w:rPr>
        <w:t>Appendix 2: Chosen articles for analysis</w:t>
      </w:r>
    </w:p>
    <w:p w14:paraId="3585444E" w14:textId="77777777" w:rsidR="0055616D" w:rsidRPr="0055616D" w:rsidRDefault="0055616D" w:rsidP="0055616D">
      <w:pPr>
        <w:pStyle w:val="NormalWeb"/>
        <w:numPr>
          <w:ilvl w:val="0"/>
          <w:numId w:val="14"/>
        </w:numPr>
        <w:rPr>
          <w:rFonts w:ascii="Arial" w:hAnsi="Arial" w:cs="Arial"/>
          <w:sz w:val="22"/>
          <w:szCs w:val="22"/>
        </w:rPr>
      </w:pPr>
      <w:r w:rsidRPr="0055616D">
        <w:rPr>
          <w:rFonts w:ascii="Arial" w:hAnsi="Arial" w:cs="Arial"/>
          <w:sz w:val="22"/>
          <w:szCs w:val="22"/>
        </w:rPr>
        <w:t xml:space="preserve">Barker, A., Nitz, J., Low Choy, N. and Haines, T. (2016) ‘Behaviour change techniques in community-based fall prevention programmes: A mixed-methods study’, </w:t>
      </w:r>
      <w:r w:rsidRPr="0055616D">
        <w:rPr>
          <w:rStyle w:val="Emphasis"/>
          <w:rFonts w:ascii="Arial" w:eastAsiaTheme="majorEastAsia" w:hAnsi="Arial" w:cs="Arial"/>
          <w:sz w:val="22"/>
          <w:szCs w:val="22"/>
        </w:rPr>
        <w:t>Age and Ageing</w:t>
      </w:r>
      <w:r w:rsidRPr="0055616D">
        <w:rPr>
          <w:rFonts w:ascii="Arial" w:hAnsi="Arial" w:cs="Arial"/>
          <w:sz w:val="22"/>
          <w:szCs w:val="22"/>
        </w:rPr>
        <w:t>, 45(5), pp. 658–664.</w:t>
      </w:r>
    </w:p>
    <w:p w14:paraId="549A3C60" w14:textId="77777777" w:rsidR="0055616D" w:rsidRPr="0055616D" w:rsidRDefault="0055616D" w:rsidP="0055616D">
      <w:pPr>
        <w:pStyle w:val="NormalWeb"/>
        <w:numPr>
          <w:ilvl w:val="0"/>
          <w:numId w:val="14"/>
        </w:numPr>
        <w:rPr>
          <w:rFonts w:ascii="Arial" w:hAnsi="Arial" w:cs="Arial"/>
          <w:sz w:val="22"/>
          <w:szCs w:val="22"/>
        </w:rPr>
      </w:pPr>
      <w:r w:rsidRPr="0055616D">
        <w:rPr>
          <w:rFonts w:ascii="Arial" w:hAnsi="Arial" w:cs="Arial"/>
          <w:sz w:val="22"/>
          <w:szCs w:val="22"/>
        </w:rPr>
        <w:t xml:space="preserve">Chang, W.-D., Chen, S., Lee, C.-L. and Lin, H.-Y. (2021) ‘Tai Chi–based physiotherapy improves balance, confidence and mobility in community-dwelling older adults: A randomised controlled trial’, </w:t>
      </w:r>
      <w:r w:rsidRPr="0055616D">
        <w:rPr>
          <w:rStyle w:val="Emphasis"/>
          <w:rFonts w:ascii="Arial" w:eastAsiaTheme="majorEastAsia" w:hAnsi="Arial" w:cs="Arial"/>
          <w:sz w:val="22"/>
          <w:szCs w:val="22"/>
        </w:rPr>
        <w:t>Clinical Rehabilitation</w:t>
      </w:r>
      <w:r w:rsidRPr="0055616D">
        <w:rPr>
          <w:rFonts w:ascii="Arial" w:hAnsi="Arial" w:cs="Arial"/>
          <w:sz w:val="22"/>
          <w:szCs w:val="22"/>
        </w:rPr>
        <w:t>, 35(4), pp. 559–569.</w:t>
      </w:r>
    </w:p>
    <w:p w14:paraId="3C0B1920" w14:textId="77777777" w:rsidR="0055616D" w:rsidRPr="0055616D" w:rsidRDefault="0055616D" w:rsidP="0055616D">
      <w:pPr>
        <w:pStyle w:val="NormalWeb"/>
        <w:numPr>
          <w:ilvl w:val="0"/>
          <w:numId w:val="14"/>
        </w:numPr>
        <w:rPr>
          <w:rFonts w:ascii="Arial" w:hAnsi="Arial" w:cs="Arial"/>
          <w:sz w:val="22"/>
          <w:szCs w:val="22"/>
        </w:rPr>
      </w:pPr>
      <w:r w:rsidRPr="0055616D">
        <w:rPr>
          <w:rFonts w:ascii="Arial" w:hAnsi="Arial" w:cs="Arial"/>
          <w:sz w:val="22"/>
          <w:szCs w:val="22"/>
        </w:rPr>
        <w:t xml:space="preserve">Clemson, L., Singh, M.A.F., Bundy, A., Cumming, R.G., Weissel, E., Munro, J., </w:t>
      </w:r>
      <w:proofErr w:type="spellStart"/>
      <w:r w:rsidRPr="0055616D">
        <w:rPr>
          <w:rFonts w:ascii="Arial" w:hAnsi="Arial" w:cs="Arial"/>
          <w:sz w:val="22"/>
          <w:szCs w:val="22"/>
        </w:rPr>
        <w:t>Manollaras</w:t>
      </w:r>
      <w:proofErr w:type="spellEnd"/>
      <w:r w:rsidRPr="0055616D">
        <w:rPr>
          <w:rFonts w:ascii="Arial" w:hAnsi="Arial" w:cs="Arial"/>
          <w:sz w:val="22"/>
          <w:szCs w:val="22"/>
        </w:rPr>
        <w:t>, K. and Black, D. (2012) ‘Integration of balance and strength training into daily life activity to reduce falls in older adults (</w:t>
      </w:r>
      <w:proofErr w:type="spellStart"/>
      <w:r w:rsidRPr="0055616D">
        <w:rPr>
          <w:rFonts w:ascii="Arial" w:hAnsi="Arial" w:cs="Arial"/>
          <w:sz w:val="22"/>
          <w:szCs w:val="22"/>
        </w:rPr>
        <w:t>LiFE</w:t>
      </w:r>
      <w:proofErr w:type="spellEnd"/>
      <w:r w:rsidRPr="0055616D">
        <w:rPr>
          <w:rFonts w:ascii="Arial" w:hAnsi="Arial" w:cs="Arial"/>
          <w:sz w:val="22"/>
          <w:szCs w:val="22"/>
        </w:rPr>
        <w:t xml:space="preserve">): A randomised controlled trial’, </w:t>
      </w:r>
      <w:r w:rsidRPr="0055616D">
        <w:rPr>
          <w:rStyle w:val="Emphasis"/>
          <w:rFonts w:ascii="Arial" w:eastAsiaTheme="majorEastAsia" w:hAnsi="Arial" w:cs="Arial"/>
          <w:sz w:val="22"/>
          <w:szCs w:val="22"/>
        </w:rPr>
        <w:t>BMJ</w:t>
      </w:r>
      <w:r w:rsidRPr="0055616D">
        <w:rPr>
          <w:rFonts w:ascii="Arial" w:hAnsi="Arial" w:cs="Arial"/>
          <w:sz w:val="22"/>
          <w:szCs w:val="22"/>
        </w:rPr>
        <w:t>, 345, e4547.</w:t>
      </w:r>
    </w:p>
    <w:p w14:paraId="10CFA9D5" w14:textId="4E915882" w:rsidR="0055616D" w:rsidRPr="0055616D" w:rsidRDefault="0055616D" w:rsidP="0055616D">
      <w:pPr>
        <w:pStyle w:val="NormalWeb"/>
        <w:numPr>
          <w:ilvl w:val="0"/>
          <w:numId w:val="14"/>
        </w:numPr>
        <w:rPr>
          <w:rFonts w:ascii="Arial" w:hAnsi="Arial" w:cs="Arial"/>
          <w:sz w:val="22"/>
          <w:szCs w:val="22"/>
        </w:rPr>
      </w:pPr>
      <w:r w:rsidRPr="0055616D">
        <w:rPr>
          <w:rFonts w:ascii="Arial" w:hAnsi="Arial" w:cs="Arial"/>
          <w:sz w:val="22"/>
          <w:szCs w:val="22"/>
        </w:rPr>
        <w:t xml:space="preserve">Gillespie, L.D., Robertson, M.C., Gillespie, W.J., Sherrington, C., Gates, S., Clemson, L.M. and Lamb, S.E. (2012) ‘Interventions for preventing falls in older people living in the community’, </w:t>
      </w:r>
      <w:r w:rsidRPr="0055616D">
        <w:rPr>
          <w:rStyle w:val="Emphasis"/>
          <w:rFonts w:ascii="Arial" w:eastAsiaTheme="majorEastAsia" w:hAnsi="Arial" w:cs="Arial"/>
          <w:sz w:val="22"/>
          <w:szCs w:val="22"/>
        </w:rPr>
        <w:t>Cochrane Database of Systematic Reviews</w:t>
      </w:r>
      <w:r w:rsidRPr="0055616D">
        <w:rPr>
          <w:rFonts w:ascii="Arial" w:hAnsi="Arial" w:cs="Arial"/>
          <w:sz w:val="22"/>
          <w:szCs w:val="22"/>
        </w:rPr>
        <w:t>, 9, CD007146</w:t>
      </w:r>
      <w:r>
        <w:rPr>
          <w:rFonts w:ascii="Arial" w:hAnsi="Arial" w:cs="Arial"/>
          <w:sz w:val="22"/>
          <w:szCs w:val="22"/>
        </w:rPr>
        <w:t>.</w:t>
      </w:r>
      <w:r w:rsidR="00817ED8">
        <w:t>Available at:</w:t>
      </w:r>
      <w:hyperlink r:id="rId44" w:history="1">
        <w:r w:rsidRPr="008F249F">
          <w:rPr>
            <w:rStyle w:val="Hyperlink"/>
            <w:rFonts w:ascii="Arial" w:hAnsi="Arial" w:cs="Arial"/>
            <w:sz w:val="22"/>
            <w:szCs w:val="22"/>
          </w:rPr>
          <w:t>https://www.cochranelibrary.com/cdsr/doi/10.1002/14651858.CD007146.pub3/full</w:t>
        </w:r>
      </w:hyperlink>
      <w:r>
        <w:rPr>
          <w:rFonts w:ascii="Arial" w:hAnsi="Arial" w:cs="Arial"/>
          <w:sz w:val="22"/>
          <w:szCs w:val="22"/>
        </w:rPr>
        <w:t xml:space="preserve"> </w:t>
      </w:r>
    </w:p>
    <w:p w14:paraId="09B3159E" w14:textId="77777777" w:rsidR="0055616D" w:rsidRPr="0055616D" w:rsidRDefault="0055616D" w:rsidP="0055616D">
      <w:pPr>
        <w:pStyle w:val="NormalWeb"/>
        <w:numPr>
          <w:ilvl w:val="0"/>
          <w:numId w:val="14"/>
        </w:numPr>
        <w:rPr>
          <w:rFonts w:ascii="Arial" w:hAnsi="Arial" w:cs="Arial"/>
          <w:sz w:val="22"/>
          <w:szCs w:val="22"/>
        </w:rPr>
      </w:pPr>
      <w:r w:rsidRPr="0055616D">
        <w:rPr>
          <w:rFonts w:ascii="Arial" w:hAnsi="Arial" w:cs="Arial"/>
          <w:sz w:val="22"/>
          <w:szCs w:val="22"/>
        </w:rPr>
        <w:t xml:space="preserve">Hall, A.M., Ferreira, P.H., Maher, C.G., Latimer, J. and Ferreira, M.L. (2010) ‘The influence of the therapist–patient relationship on treatment outcome in physical rehabilitation: A qualitative study’, </w:t>
      </w:r>
      <w:r w:rsidRPr="0055616D">
        <w:rPr>
          <w:rStyle w:val="Emphasis"/>
          <w:rFonts w:ascii="Arial" w:eastAsiaTheme="majorEastAsia" w:hAnsi="Arial" w:cs="Arial"/>
          <w:sz w:val="22"/>
          <w:szCs w:val="22"/>
        </w:rPr>
        <w:t>Physical Therapy</w:t>
      </w:r>
      <w:r w:rsidRPr="0055616D">
        <w:rPr>
          <w:rFonts w:ascii="Arial" w:hAnsi="Arial" w:cs="Arial"/>
          <w:sz w:val="22"/>
          <w:szCs w:val="22"/>
        </w:rPr>
        <w:t>, 90(8), pp. 1099–1110.</w:t>
      </w:r>
    </w:p>
    <w:p w14:paraId="76FCC907" w14:textId="38FD4F2A" w:rsidR="0055616D" w:rsidRPr="00817ED8" w:rsidRDefault="0055616D" w:rsidP="00817ED8">
      <w:pPr>
        <w:pStyle w:val="NormalWeb"/>
        <w:numPr>
          <w:ilvl w:val="0"/>
          <w:numId w:val="14"/>
        </w:numPr>
        <w:rPr>
          <w:rFonts w:ascii="Arial" w:hAnsi="Arial" w:cs="Arial"/>
          <w:sz w:val="22"/>
          <w:szCs w:val="22"/>
        </w:rPr>
      </w:pPr>
      <w:r w:rsidRPr="0055616D">
        <w:rPr>
          <w:rFonts w:ascii="Arial" w:hAnsi="Arial" w:cs="Arial"/>
          <w:sz w:val="22"/>
          <w:szCs w:val="22"/>
        </w:rPr>
        <w:t xml:space="preserve">Hopewell, S., </w:t>
      </w:r>
      <w:proofErr w:type="spellStart"/>
      <w:r w:rsidRPr="0055616D">
        <w:rPr>
          <w:rFonts w:ascii="Arial" w:hAnsi="Arial" w:cs="Arial"/>
          <w:sz w:val="22"/>
          <w:szCs w:val="22"/>
        </w:rPr>
        <w:t>Adedire</w:t>
      </w:r>
      <w:proofErr w:type="spellEnd"/>
      <w:r w:rsidRPr="0055616D">
        <w:rPr>
          <w:rFonts w:ascii="Arial" w:hAnsi="Arial" w:cs="Arial"/>
          <w:sz w:val="22"/>
          <w:szCs w:val="22"/>
        </w:rPr>
        <w:t xml:space="preserve">, O., Copsey, B.J., Boniface, G.J., Sherrington, C., Clemson, L., Close, J.C.T. and Lamb, S.E. (2018) ‘Multifactorial and multiple component interventions for preventing falls in older people living in the community’, </w:t>
      </w:r>
      <w:r w:rsidRPr="0055616D">
        <w:rPr>
          <w:rStyle w:val="Emphasis"/>
          <w:rFonts w:ascii="Arial" w:eastAsiaTheme="majorEastAsia" w:hAnsi="Arial" w:cs="Arial"/>
          <w:sz w:val="22"/>
          <w:szCs w:val="22"/>
        </w:rPr>
        <w:t>Cochrane Database of Systematic Reviews</w:t>
      </w:r>
      <w:r w:rsidRPr="0055616D">
        <w:rPr>
          <w:rFonts w:ascii="Arial" w:hAnsi="Arial" w:cs="Arial"/>
          <w:sz w:val="22"/>
          <w:szCs w:val="22"/>
        </w:rPr>
        <w:t>, 7, CD012221.</w:t>
      </w:r>
      <w:r w:rsidR="00817ED8">
        <w:t xml:space="preserve">Available </w:t>
      </w:r>
      <w:r w:rsidR="00817ED8">
        <w:lastRenderedPageBreak/>
        <w:t>at:</w:t>
      </w:r>
      <w:hyperlink r:id="rId45" w:history="1">
        <w:r w:rsidRPr="008F249F">
          <w:rPr>
            <w:rStyle w:val="Hyperlink"/>
            <w:rFonts w:ascii="Arial" w:hAnsi="Arial" w:cs="Arial"/>
            <w:sz w:val="22"/>
            <w:szCs w:val="22"/>
          </w:rPr>
          <w:t>https://www.cochranelibrary.com/cdsr/doi/10.1002/14651858.CD012221.pub2/full</w:t>
        </w:r>
      </w:hyperlink>
    </w:p>
    <w:p w14:paraId="542DB481" w14:textId="68D2D339" w:rsidR="00817ED8" w:rsidRPr="00817ED8" w:rsidRDefault="0055616D" w:rsidP="00817ED8">
      <w:pPr>
        <w:pStyle w:val="NormalWeb"/>
        <w:numPr>
          <w:ilvl w:val="0"/>
          <w:numId w:val="14"/>
        </w:numPr>
        <w:rPr>
          <w:rFonts w:ascii="Arial" w:hAnsi="Arial" w:cs="Arial"/>
          <w:sz w:val="22"/>
          <w:szCs w:val="22"/>
        </w:rPr>
      </w:pPr>
      <w:r w:rsidRPr="0055616D">
        <w:rPr>
          <w:rFonts w:ascii="Arial" w:hAnsi="Arial" w:cs="Arial"/>
          <w:sz w:val="22"/>
          <w:szCs w:val="22"/>
        </w:rPr>
        <w:t xml:space="preserve">Liu, C.-J. and Latham, N.K. (2011) ‘Progressive resistance strength training for improving physical function in older adults’, </w:t>
      </w:r>
      <w:r w:rsidRPr="0055616D">
        <w:rPr>
          <w:rStyle w:val="Emphasis"/>
          <w:rFonts w:ascii="Arial" w:eastAsiaTheme="majorEastAsia" w:hAnsi="Arial" w:cs="Arial"/>
          <w:sz w:val="22"/>
          <w:szCs w:val="22"/>
        </w:rPr>
        <w:t>Cochrane Database of Systematic Reviews</w:t>
      </w:r>
      <w:r w:rsidRPr="0055616D">
        <w:rPr>
          <w:rFonts w:ascii="Arial" w:hAnsi="Arial" w:cs="Arial"/>
          <w:sz w:val="22"/>
          <w:szCs w:val="22"/>
        </w:rPr>
        <w:t>, 3, CD002759.</w:t>
      </w:r>
      <w:r w:rsidR="00817ED8">
        <w:t>Available at:</w:t>
      </w:r>
      <w:hyperlink r:id="rId46" w:history="1">
        <w:r w:rsidR="00817ED8" w:rsidRPr="008F249F">
          <w:rPr>
            <w:rStyle w:val="Hyperlink"/>
            <w:rFonts w:ascii="Arial" w:hAnsi="Arial" w:cs="Arial"/>
            <w:sz w:val="22"/>
            <w:szCs w:val="22"/>
          </w:rPr>
          <w:t>https://www.cochranelibrary.com/cdsr/doi/10.1002/14651858.CD002759.pub2/full</w:t>
        </w:r>
      </w:hyperlink>
    </w:p>
    <w:p w14:paraId="60D6A6EE" w14:textId="77777777" w:rsidR="0055616D" w:rsidRPr="0055616D" w:rsidRDefault="0055616D" w:rsidP="0055616D">
      <w:pPr>
        <w:pStyle w:val="NormalWeb"/>
        <w:numPr>
          <w:ilvl w:val="0"/>
          <w:numId w:val="14"/>
        </w:numPr>
        <w:rPr>
          <w:rFonts w:ascii="Arial" w:hAnsi="Arial" w:cs="Arial"/>
          <w:sz w:val="22"/>
          <w:szCs w:val="22"/>
        </w:rPr>
      </w:pPr>
      <w:r w:rsidRPr="0055616D">
        <w:rPr>
          <w:rFonts w:ascii="Arial" w:hAnsi="Arial" w:cs="Arial"/>
          <w:sz w:val="22"/>
          <w:szCs w:val="22"/>
        </w:rPr>
        <w:t xml:space="preserve">Ramanathan, S., </w:t>
      </w:r>
      <w:proofErr w:type="spellStart"/>
      <w:r w:rsidRPr="0055616D">
        <w:rPr>
          <w:rFonts w:ascii="Arial" w:hAnsi="Arial" w:cs="Arial"/>
          <w:sz w:val="22"/>
          <w:szCs w:val="22"/>
        </w:rPr>
        <w:t>Pighills</w:t>
      </w:r>
      <w:proofErr w:type="spellEnd"/>
      <w:r w:rsidRPr="0055616D">
        <w:rPr>
          <w:rFonts w:ascii="Arial" w:hAnsi="Arial" w:cs="Arial"/>
          <w:sz w:val="22"/>
          <w:szCs w:val="22"/>
        </w:rPr>
        <w:t xml:space="preserve">, A., Clemson, L. and Hill, K.D. (2019) ‘Environmental risk factors for falls in urban community-dwelling older adults: An observational study’, </w:t>
      </w:r>
      <w:r w:rsidRPr="0055616D">
        <w:rPr>
          <w:rStyle w:val="Emphasis"/>
          <w:rFonts w:ascii="Arial" w:eastAsiaTheme="majorEastAsia" w:hAnsi="Arial" w:cs="Arial"/>
          <w:sz w:val="22"/>
          <w:szCs w:val="22"/>
        </w:rPr>
        <w:t>BMC Geriatrics</w:t>
      </w:r>
      <w:r w:rsidRPr="0055616D">
        <w:rPr>
          <w:rFonts w:ascii="Arial" w:hAnsi="Arial" w:cs="Arial"/>
          <w:sz w:val="22"/>
          <w:szCs w:val="22"/>
        </w:rPr>
        <w:t>, 19, 327.</w:t>
      </w:r>
    </w:p>
    <w:p w14:paraId="25CEF3F2" w14:textId="77777777" w:rsidR="0055616D" w:rsidRPr="0055616D" w:rsidRDefault="0055616D" w:rsidP="0055616D">
      <w:pPr>
        <w:pStyle w:val="NormalWeb"/>
        <w:numPr>
          <w:ilvl w:val="0"/>
          <w:numId w:val="14"/>
        </w:numPr>
        <w:rPr>
          <w:rFonts w:ascii="Arial" w:hAnsi="Arial" w:cs="Arial"/>
          <w:sz w:val="22"/>
          <w:szCs w:val="22"/>
        </w:rPr>
      </w:pPr>
      <w:r w:rsidRPr="0055616D">
        <w:rPr>
          <w:rFonts w:ascii="Arial" w:hAnsi="Arial" w:cs="Arial"/>
          <w:sz w:val="22"/>
          <w:szCs w:val="22"/>
        </w:rPr>
        <w:t xml:space="preserve">Sherrington, C., </w:t>
      </w:r>
      <w:proofErr w:type="spellStart"/>
      <w:r w:rsidRPr="0055616D">
        <w:rPr>
          <w:rFonts w:ascii="Arial" w:hAnsi="Arial" w:cs="Arial"/>
          <w:sz w:val="22"/>
          <w:szCs w:val="22"/>
        </w:rPr>
        <w:t>Fairhall</w:t>
      </w:r>
      <w:proofErr w:type="spellEnd"/>
      <w:r w:rsidRPr="0055616D">
        <w:rPr>
          <w:rFonts w:ascii="Arial" w:hAnsi="Arial" w:cs="Arial"/>
          <w:sz w:val="22"/>
          <w:szCs w:val="22"/>
        </w:rPr>
        <w:t xml:space="preserve">, N.J., Wallbank, G.K., Tiedemann, A., Michaleff, Z.A., Howard, K., Clemson, L. and Lamb, S.E. (2019) ‘Exercise for preventing falls in older people living in the community: An updated systematic review and meta-analysis’, </w:t>
      </w:r>
      <w:r w:rsidRPr="0055616D">
        <w:rPr>
          <w:rStyle w:val="Emphasis"/>
          <w:rFonts w:ascii="Arial" w:eastAsiaTheme="majorEastAsia" w:hAnsi="Arial" w:cs="Arial"/>
          <w:sz w:val="22"/>
          <w:szCs w:val="22"/>
        </w:rPr>
        <w:t>British Journal of Sports Medicine</w:t>
      </w:r>
      <w:r w:rsidRPr="0055616D">
        <w:rPr>
          <w:rFonts w:ascii="Arial" w:hAnsi="Arial" w:cs="Arial"/>
          <w:sz w:val="22"/>
          <w:szCs w:val="22"/>
        </w:rPr>
        <w:t>, 53(14), pp. 905–911.</w:t>
      </w:r>
    </w:p>
    <w:p w14:paraId="0F714B95" w14:textId="77777777" w:rsidR="0055616D" w:rsidRPr="0055616D" w:rsidRDefault="0055616D" w:rsidP="0055616D">
      <w:pPr>
        <w:pStyle w:val="NormalWeb"/>
        <w:numPr>
          <w:ilvl w:val="0"/>
          <w:numId w:val="14"/>
        </w:numPr>
        <w:rPr>
          <w:rFonts w:ascii="Arial" w:hAnsi="Arial" w:cs="Arial"/>
          <w:sz w:val="22"/>
          <w:szCs w:val="22"/>
        </w:rPr>
      </w:pPr>
      <w:r w:rsidRPr="0055616D">
        <w:rPr>
          <w:rFonts w:ascii="Arial" w:hAnsi="Arial" w:cs="Arial"/>
          <w:sz w:val="22"/>
          <w:szCs w:val="22"/>
        </w:rPr>
        <w:t xml:space="preserve">Sims-Gould, J., Tong, C.E., Wallis-Mayer, L. and Ashe, M.C. (2015) ‘Reablement, participation and social engagement in community exercise programmes for older adults: A qualitative study’, </w:t>
      </w:r>
      <w:r w:rsidRPr="0055616D">
        <w:rPr>
          <w:rStyle w:val="Emphasis"/>
          <w:rFonts w:ascii="Arial" w:eastAsiaTheme="majorEastAsia" w:hAnsi="Arial" w:cs="Arial"/>
          <w:sz w:val="22"/>
          <w:szCs w:val="22"/>
        </w:rPr>
        <w:t>BMC Geriatrics</w:t>
      </w:r>
      <w:r w:rsidRPr="0055616D">
        <w:rPr>
          <w:rFonts w:ascii="Arial" w:hAnsi="Arial" w:cs="Arial"/>
          <w:sz w:val="22"/>
          <w:szCs w:val="22"/>
        </w:rPr>
        <w:t>, 15, 72.</w:t>
      </w:r>
    </w:p>
    <w:p w14:paraId="086D3D3E" w14:textId="77777777" w:rsidR="0055616D" w:rsidRPr="0055616D" w:rsidRDefault="0055616D" w:rsidP="0055616D">
      <w:pPr>
        <w:pStyle w:val="NormalWeb"/>
        <w:numPr>
          <w:ilvl w:val="0"/>
          <w:numId w:val="14"/>
        </w:numPr>
        <w:rPr>
          <w:rFonts w:ascii="Arial" w:hAnsi="Arial" w:cs="Arial"/>
          <w:sz w:val="22"/>
          <w:szCs w:val="22"/>
        </w:rPr>
      </w:pPr>
      <w:r w:rsidRPr="0055616D">
        <w:rPr>
          <w:rFonts w:ascii="Arial" w:hAnsi="Arial" w:cs="Arial"/>
          <w:sz w:val="22"/>
          <w:szCs w:val="22"/>
        </w:rPr>
        <w:t xml:space="preserve">Tiedemann, A., Sherrington, C., Close, J.C.T. and Lord, S.R. (2013) ‘Exercise adherence and long-term fall prevention outcomes in community-dwelling older adults’, </w:t>
      </w:r>
      <w:r w:rsidRPr="0055616D">
        <w:rPr>
          <w:rStyle w:val="Emphasis"/>
          <w:rFonts w:ascii="Arial" w:eastAsiaTheme="majorEastAsia" w:hAnsi="Arial" w:cs="Arial"/>
          <w:sz w:val="22"/>
          <w:szCs w:val="22"/>
        </w:rPr>
        <w:t>Journal of the American Geriatrics Society</w:t>
      </w:r>
      <w:r w:rsidRPr="0055616D">
        <w:rPr>
          <w:rFonts w:ascii="Arial" w:hAnsi="Arial" w:cs="Arial"/>
          <w:sz w:val="22"/>
          <w:szCs w:val="22"/>
        </w:rPr>
        <w:t>, 61(12), pp. 2150–2157.</w:t>
      </w:r>
    </w:p>
    <w:p w14:paraId="1329B98A" w14:textId="5859FF17" w:rsidR="00CF476F" w:rsidRPr="00B77F6B" w:rsidRDefault="0055616D" w:rsidP="00B77F6B">
      <w:pPr>
        <w:pStyle w:val="NormalWeb"/>
        <w:numPr>
          <w:ilvl w:val="0"/>
          <w:numId w:val="14"/>
        </w:numPr>
        <w:rPr>
          <w:rFonts w:ascii="Arial" w:hAnsi="Arial" w:cs="Arial"/>
          <w:sz w:val="22"/>
          <w:szCs w:val="22"/>
        </w:rPr>
      </w:pPr>
      <w:r w:rsidRPr="0055616D">
        <w:rPr>
          <w:rFonts w:ascii="Arial" w:hAnsi="Arial" w:cs="Arial"/>
          <w:sz w:val="22"/>
          <w:szCs w:val="22"/>
        </w:rPr>
        <w:t xml:space="preserve">Victor, C.R., Rogers, A., Woodcock, A. and Beighton, C. (2020) ‘Social participation and group-based physiotherapy interventions for older adults: A mixed-methods study’, </w:t>
      </w:r>
      <w:r w:rsidRPr="0055616D">
        <w:rPr>
          <w:rStyle w:val="Emphasis"/>
          <w:rFonts w:ascii="Arial" w:eastAsiaTheme="majorEastAsia" w:hAnsi="Arial" w:cs="Arial"/>
          <w:sz w:val="22"/>
          <w:szCs w:val="22"/>
        </w:rPr>
        <w:t>Health &amp; Social Care in the Community</w:t>
      </w:r>
      <w:r w:rsidRPr="0055616D">
        <w:rPr>
          <w:rFonts w:ascii="Arial" w:hAnsi="Arial" w:cs="Arial"/>
          <w:sz w:val="22"/>
          <w:szCs w:val="22"/>
        </w:rPr>
        <w:t>, 28(3), pp. 935–944.</w:t>
      </w:r>
    </w:p>
    <w:p w14:paraId="479E2AC0" w14:textId="7667FAFC" w:rsidR="00133F27" w:rsidRDefault="008C083F" w:rsidP="00D604B5">
      <w:pPr>
        <w:spacing w:line="360" w:lineRule="auto"/>
        <w:jc w:val="both"/>
        <w:rPr>
          <w:rFonts w:ascii="Arial" w:hAnsi="Arial" w:cs="Arial"/>
          <w:b/>
          <w:bCs/>
          <w:sz w:val="22"/>
          <w:szCs w:val="22"/>
        </w:rPr>
      </w:pPr>
      <w:r w:rsidRPr="008C083F">
        <w:rPr>
          <w:rFonts w:ascii="Arial" w:hAnsi="Arial" w:cs="Arial"/>
          <w:b/>
          <w:bCs/>
          <w:sz w:val="22"/>
          <w:szCs w:val="22"/>
        </w:rPr>
        <w:t>Appendix 3: Data Extraction Table</w:t>
      </w:r>
    </w:p>
    <w:tbl>
      <w:tblPr>
        <w:tblStyle w:val="TableGrid"/>
        <w:tblW w:w="10349" w:type="dxa"/>
        <w:tblInd w:w="-1423" w:type="dxa"/>
        <w:tblLook w:val="04A0" w:firstRow="1" w:lastRow="0" w:firstColumn="1" w:lastColumn="0" w:noHBand="0" w:noVBand="1"/>
      </w:tblPr>
      <w:tblGrid>
        <w:gridCol w:w="1630"/>
        <w:gridCol w:w="1542"/>
        <w:gridCol w:w="1674"/>
        <w:gridCol w:w="1515"/>
        <w:gridCol w:w="1756"/>
        <w:gridCol w:w="2232"/>
      </w:tblGrid>
      <w:tr w:rsidR="005419F1" w14:paraId="6B901B00" w14:textId="77777777" w:rsidTr="005419F1">
        <w:tc>
          <w:tcPr>
            <w:tcW w:w="1630" w:type="dxa"/>
          </w:tcPr>
          <w:p w14:paraId="6A0F274C" w14:textId="2106DAAA" w:rsidR="008C083F" w:rsidRDefault="008C083F" w:rsidP="00D604B5">
            <w:pPr>
              <w:spacing w:line="360" w:lineRule="auto"/>
              <w:jc w:val="both"/>
              <w:rPr>
                <w:rFonts w:ascii="Arial" w:hAnsi="Arial" w:cs="Arial"/>
                <w:b/>
                <w:bCs/>
                <w:sz w:val="22"/>
                <w:szCs w:val="22"/>
              </w:rPr>
            </w:pPr>
            <w:r w:rsidRPr="008C083F">
              <w:rPr>
                <w:rFonts w:ascii="Arial" w:hAnsi="Arial" w:cs="Arial"/>
                <w:b/>
                <w:bCs/>
                <w:sz w:val="22"/>
                <w:szCs w:val="22"/>
              </w:rPr>
              <w:t>Study</w:t>
            </w:r>
          </w:p>
        </w:tc>
        <w:tc>
          <w:tcPr>
            <w:tcW w:w="1542" w:type="dxa"/>
          </w:tcPr>
          <w:p w14:paraId="626375A2" w14:textId="32F3774A" w:rsidR="008C083F" w:rsidRDefault="008C083F" w:rsidP="00D604B5">
            <w:pPr>
              <w:spacing w:line="360" w:lineRule="auto"/>
              <w:jc w:val="both"/>
              <w:rPr>
                <w:rFonts w:ascii="Arial" w:hAnsi="Arial" w:cs="Arial"/>
                <w:b/>
                <w:bCs/>
                <w:sz w:val="22"/>
                <w:szCs w:val="22"/>
              </w:rPr>
            </w:pPr>
            <w:r w:rsidRPr="008C083F">
              <w:rPr>
                <w:rFonts w:ascii="Arial" w:hAnsi="Arial" w:cs="Arial"/>
                <w:b/>
                <w:bCs/>
                <w:sz w:val="22"/>
                <w:szCs w:val="22"/>
              </w:rPr>
              <w:t>Country</w:t>
            </w:r>
          </w:p>
        </w:tc>
        <w:tc>
          <w:tcPr>
            <w:tcW w:w="1674" w:type="dxa"/>
          </w:tcPr>
          <w:p w14:paraId="1CA4BEB1" w14:textId="3EBC7CDD" w:rsidR="008C083F" w:rsidRPr="008C083F" w:rsidRDefault="008C083F" w:rsidP="00D604B5">
            <w:pPr>
              <w:spacing w:line="360" w:lineRule="auto"/>
              <w:jc w:val="both"/>
              <w:rPr>
                <w:rFonts w:ascii="Arial" w:hAnsi="Arial" w:cs="Arial"/>
                <w:b/>
                <w:bCs/>
                <w:sz w:val="22"/>
                <w:szCs w:val="22"/>
              </w:rPr>
            </w:pPr>
            <w:r w:rsidRPr="008C083F">
              <w:rPr>
                <w:rFonts w:ascii="Arial" w:hAnsi="Arial" w:cs="Arial"/>
                <w:b/>
                <w:bCs/>
                <w:sz w:val="22"/>
                <w:szCs w:val="22"/>
              </w:rPr>
              <w:t>Design</w:t>
            </w:r>
          </w:p>
        </w:tc>
        <w:tc>
          <w:tcPr>
            <w:tcW w:w="1515" w:type="dxa"/>
          </w:tcPr>
          <w:p w14:paraId="773442EC" w14:textId="5D7BB7C7" w:rsidR="008C083F" w:rsidRDefault="008C083F" w:rsidP="00D604B5">
            <w:pPr>
              <w:spacing w:line="360" w:lineRule="auto"/>
              <w:jc w:val="both"/>
              <w:rPr>
                <w:rFonts w:ascii="Arial" w:hAnsi="Arial" w:cs="Arial"/>
                <w:b/>
                <w:bCs/>
                <w:sz w:val="22"/>
                <w:szCs w:val="22"/>
              </w:rPr>
            </w:pPr>
            <w:r w:rsidRPr="008C083F">
              <w:rPr>
                <w:rFonts w:ascii="Arial" w:hAnsi="Arial" w:cs="Arial"/>
                <w:b/>
                <w:bCs/>
                <w:sz w:val="22"/>
                <w:szCs w:val="22"/>
              </w:rPr>
              <w:t>Population</w:t>
            </w:r>
          </w:p>
        </w:tc>
        <w:tc>
          <w:tcPr>
            <w:tcW w:w="1756" w:type="dxa"/>
          </w:tcPr>
          <w:p w14:paraId="2AF84189" w14:textId="01E4B081" w:rsidR="008C083F" w:rsidRDefault="008C083F" w:rsidP="00D604B5">
            <w:pPr>
              <w:spacing w:line="360" w:lineRule="auto"/>
              <w:jc w:val="both"/>
              <w:rPr>
                <w:rFonts w:ascii="Arial" w:hAnsi="Arial" w:cs="Arial"/>
                <w:b/>
                <w:bCs/>
                <w:sz w:val="22"/>
                <w:szCs w:val="22"/>
              </w:rPr>
            </w:pPr>
            <w:r w:rsidRPr="008C083F">
              <w:rPr>
                <w:rFonts w:ascii="Arial" w:hAnsi="Arial" w:cs="Arial"/>
                <w:b/>
                <w:bCs/>
                <w:sz w:val="22"/>
                <w:szCs w:val="22"/>
              </w:rPr>
              <w:t>Intervention Focus</w:t>
            </w:r>
          </w:p>
        </w:tc>
        <w:tc>
          <w:tcPr>
            <w:tcW w:w="2232" w:type="dxa"/>
          </w:tcPr>
          <w:p w14:paraId="10F6EA88" w14:textId="4AAA9F07" w:rsidR="008C083F" w:rsidRDefault="008C083F" w:rsidP="00D604B5">
            <w:pPr>
              <w:spacing w:line="360" w:lineRule="auto"/>
              <w:jc w:val="both"/>
              <w:rPr>
                <w:rFonts w:ascii="Arial" w:hAnsi="Arial" w:cs="Arial"/>
                <w:b/>
                <w:bCs/>
                <w:sz w:val="22"/>
                <w:szCs w:val="22"/>
              </w:rPr>
            </w:pPr>
            <w:r w:rsidRPr="008C083F">
              <w:rPr>
                <w:rFonts w:ascii="Arial" w:hAnsi="Arial" w:cs="Arial"/>
                <w:b/>
                <w:bCs/>
                <w:sz w:val="22"/>
                <w:szCs w:val="22"/>
              </w:rPr>
              <w:t>Outcomes Reported</w:t>
            </w:r>
          </w:p>
        </w:tc>
      </w:tr>
      <w:tr w:rsidR="005419F1" w14:paraId="2F9635A0" w14:textId="77777777" w:rsidTr="005419F1">
        <w:tc>
          <w:tcPr>
            <w:tcW w:w="1630" w:type="dxa"/>
          </w:tcPr>
          <w:p w14:paraId="1268C6AA" w14:textId="73B6BBF7" w:rsidR="007B0741" w:rsidRDefault="007B0741" w:rsidP="007B0741">
            <w:pPr>
              <w:pStyle w:val="NoSpacing"/>
              <w:rPr>
                <w:rFonts w:ascii="Arial" w:hAnsi="Arial" w:cs="Arial"/>
                <w:b/>
                <w:bCs/>
                <w:sz w:val="22"/>
                <w:szCs w:val="22"/>
              </w:rPr>
            </w:pPr>
            <w:r w:rsidRPr="004B3910">
              <w:t>Gillespie et al. (2012)</w:t>
            </w:r>
          </w:p>
        </w:tc>
        <w:tc>
          <w:tcPr>
            <w:tcW w:w="1542" w:type="dxa"/>
          </w:tcPr>
          <w:p w14:paraId="589A1E61" w14:textId="09B4FA95" w:rsidR="007B0741" w:rsidRPr="005419F1" w:rsidRDefault="007B0741" w:rsidP="005419F1">
            <w:pPr>
              <w:pStyle w:val="NoSpacing"/>
            </w:pPr>
            <w:r w:rsidRPr="005419F1">
              <w:t>Multiple</w:t>
            </w:r>
          </w:p>
        </w:tc>
        <w:tc>
          <w:tcPr>
            <w:tcW w:w="1674" w:type="dxa"/>
          </w:tcPr>
          <w:p w14:paraId="2B8C590A" w14:textId="4520A485" w:rsidR="007B0741" w:rsidRPr="005419F1" w:rsidRDefault="007B0741" w:rsidP="005419F1">
            <w:pPr>
              <w:pStyle w:val="NoSpacing"/>
            </w:pPr>
            <w:r w:rsidRPr="005419F1">
              <w:t>Systematic review</w:t>
            </w:r>
          </w:p>
        </w:tc>
        <w:tc>
          <w:tcPr>
            <w:tcW w:w="1515" w:type="dxa"/>
          </w:tcPr>
          <w:p w14:paraId="42409A64" w14:textId="2FBA870E" w:rsidR="007B0741" w:rsidRPr="005419F1" w:rsidRDefault="007B0741" w:rsidP="005419F1">
            <w:pPr>
              <w:pStyle w:val="NoSpacing"/>
            </w:pPr>
            <w:r w:rsidRPr="005419F1">
              <w:t>Community-dwelling older adults</w:t>
            </w:r>
          </w:p>
        </w:tc>
        <w:tc>
          <w:tcPr>
            <w:tcW w:w="1756" w:type="dxa"/>
          </w:tcPr>
          <w:p w14:paraId="436FCC4A" w14:textId="20E730B8" w:rsidR="007B0741" w:rsidRPr="005419F1" w:rsidRDefault="007B0741" w:rsidP="005419F1">
            <w:pPr>
              <w:pStyle w:val="NoSpacing"/>
            </w:pPr>
            <w:r w:rsidRPr="005419F1">
              <w:t>Exercise &amp; multifactorial programmes</w:t>
            </w:r>
          </w:p>
        </w:tc>
        <w:tc>
          <w:tcPr>
            <w:tcW w:w="2232" w:type="dxa"/>
          </w:tcPr>
          <w:p w14:paraId="32FD042E" w14:textId="43238AA7" w:rsidR="007B0741" w:rsidRPr="005419F1" w:rsidRDefault="005419F1" w:rsidP="005419F1">
            <w:pPr>
              <w:pStyle w:val="NoSpacing"/>
            </w:pPr>
            <w:r w:rsidRPr="005419F1">
              <w:t>Falls rate</w:t>
            </w:r>
          </w:p>
        </w:tc>
      </w:tr>
      <w:tr w:rsidR="005419F1" w14:paraId="7BDE87F7" w14:textId="77777777" w:rsidTr="005419F1">
        <w:tc>
          <w:tcPr>
            <w:tcW w:w="1630" w:type="dxa"/>
          </w:tcPr>
          <w:p w14:paraId="3093F798" w14:textId="4455F93A" w:rsidR="007B0741" w:rsidRDefault="007B0741" w:rsidP="007B0741">
            <w:pPr>
              <w:pStyle w:val="NoSpacing"/>
              <w:rPr>
                <w:rFonts w:ascii="Arial" w:hAnsi="Arial" w:cs="Arial"/>
                <w:b/>
                <w:bCs/>
                <w:sz w:val="22"/>
                <w:szCs w:val="22"/>
              </w:rPr>
            </w:pPr>
            <w:r w:rsidRPr="004B3910">
              <w:t>Clemson et al. (2012)</w:t>
            </w:r>
          </w:p>
        </w:tc>
        <w:tc>
          <w:tcPr>
            <w:tcW w:w="1542" w:type="dxa"/>
          </w:tcPr>
          <w:p w14:paraId="378E4C19" w14:textId="3AB438FF" w:rsidR="007B0741" w:rsidRPr="005419F1" w:rsidRDefault="007B0741" w:rsidP="005419F1">
            <w:pPr>
              <w:pStyle w:val="NoSpacing"/>
            </w:pPr>
            <w:r w:rsidRPr="005419F1">
              <w:t>Australia</w:t>
            </w:r>
          </w:p>
        </w:tc>
        <w:tc>
          <w:tcPr>
            <w:tcW w:w="1674" w:type="dxa"/>
          </w:tcPr>
          <w:p w14:paraId="690A38AA" w14:textId="068531ED" w:rsidR="007B0741" w:rsidRPr="005419F1" w:rsidRDefault="007B0741" w:rsidP="005419F1">
            <w:pPr>
              <w:pStyle w:val="NoSpacing"/>
            </w:pPr>
            <w:r w:rsidRPr="005419F1">
              <w:t>RCT</w:t>
            </w:r>
          </w:p>
        </w:tc>
        <w:tc>
          <w:tcPr>
            <w:tcW w:w="1515" w:type="dxa"/>
          </w:tcPr>
          <w:p w14:paraId="482CCCF1" w14:textId="74939C09" w:rsidR="007B0741" w:rsidRPr="005419F1" w:rsidRDefault="007B0741" w:rsidP="005419F1">
            <w:pPr>
              <w:pStyle w:val="NoSpacing"/>
            </w:pPr>
            <w:r w:rsidRPr="005419F1">
              <w:t>Older adults</w:t>
            </w:r>
          </w:p>
        </w:tc>
        <w:tc>
          <w:tcPr>
            <w:tcW w:w="1756" w:type="dxa"/>
          </w:tcPr>
          <w:p w14:paraId="79BF04B3" w14:textId="2A9EC325" w:rsidR="007B0741" w:rsidRPr="005419F1" w:rsidRDefault="007B0741" w:rsidP="005419F1">
            <w:pPr>
              <w:pStyle w:val="NoSpacing"/>
            </w:pPr>
            <w:proofErr w:type="spellStart"/>
            <w:r w:rsidRPr="005419F1">
              <w:t>LiFE</w:t>
            </w:r>
            <w:proofErr w:type="spellEnd"/>
            <w:r w:rsidRPr="005419F1">
              <w:t xml:space="preserve"> programme</w:t>
            </w:r>
          </w:p>
        </w:tc>
        <w:tc>
          <w:tcPr>
            <w:tcW w:w="2232" w:type="dxa"/>
          </w:tcPr>
          <w:p w14:paraId="30244E59" w14:textId="58C6EC87" w:rsidR="007B0741" w:rsidRPr="005419F1" w:rsidRDefault="005419F1" w:rsidP="005419F1">
            <w:pPr>
              <w:pStyle w:val="NoSpacing"/>
            </w:pPr>
            <w:r w:rsidRPr="005419F1">
              <w:t>Falls incidence, function</w:t>
            </w:r>
          </w:p>
        </w:tc>
      </w:tr>
      <w:tr w:rsidR="005419F1" w14:paraId="6ADD7EFB" w14:textId="77777777" w:rsidTr="005419F1">
        <w:tc>
          <w:tcPr>
            <w:tcW w:w="1630" w:type="dxa"/>
          </w:tcPr>
          <w:p w14:paraId="2313148E" w14:textId="314701B5" w:rsidR="007B0741" w:rsidRDefault="007B0741" w:rsidP="007B0741">
            <w:pPr>
              <w:pStyle w:val="NoSpacing"/>
              <w:rPr>
                <w:rFonts w:ascii="Arial" w:hAnsi="Arial" w:cs="Arial"/>
                <w:b/>
                <w:bCs/>
                <w:sz w:val="22"/>
                <w:szCs w:val="22"/>
              </w:rPr>
            </w:pPr>
            <w:r w:rsidRPr="004B3910">
              <w:t>Gardner et al. (2016)</w:t>
            </w:r>
          </w:p>
        </w:tc>
        <w:tc>
          <w:tcPr>
            <w:tcW w:w="1542" w:type="dxa"/>
          </w:tcPr>
          <w:p w14:paraId="2E084EF3" w14:textId="1D877128" w:rsidR="007B0741" w:rsidRPr="005419F1" w:rsidRDefault="007B0741" w:rsidP="005419F1">
            <w:pPr>
              <w:pStyle w:val="NoSpacing"/>
            </w:pPr>
            <w:r w:rsidRPr="005419F1">
              <w:t>New Zealand</w:t>
            </w:r>
          </w:p>
        </w:tc>
        <w:tc>
          <w:tcPr>
            <w:tcW w:w="1674" w:type="dxa"/>
          </w:tcPr>
          <w:p w14:paraId="0FC97F12" w14:textId="031F0EDB" w:rsidR="007B0741" w:rsidRPr="005419F1" w:rsidRDefault="007B0741" w:rsidP="005419F1">
            <w:pPr>
              <w:pStyle w:val="NoSpacing"/>
            </w:pPr>
            <w:r w:rsidRPr="005419F1">
              <w:t>Systematic review</w:t>
            </w:r>
          </w:p>
        </w:tc>
        <w:tc>
          <w:tcPr>
            <w:tcW w:w="1515" w:type="dxa"/>
          </w:tcPr>
          <w:p w14:paraId="401C9142" w14:textId="0F5A0C39" w:rsidR="007B0741" w:rsidRPr="005419F1" w:rsidRDefault="007B0741" w:rsidP="005419F1">
            <w:pPr>
              <w:pStyle w:val="NoSpacing"/>
            </w:pPr>
            <w:r w:rsidRPr="005419F1">
              <w:t>Older adults</w:t>
            </w:r>
          </w:p>
        </w:tc>
        <w:tc>
          <w:tcPr>
            <w:tcW w:w="1756" w:type="dxa"/>
          </w:tcPr>
          <w:p w14:paraId="22FD61E7" w14:textId="6EB6E21A" w:rsidR="007B0741" w:rsidRPr="005419F1" w:rsidRDefault="007B0741" w:rsidP="005419F1">
            <w:pPr>
              <w:pStyle w:val="NoSpacing"/>
            </w:pPr>
            <w:r w:rsidRPr="005419F1">
              <w:t>Exercise interventions</w:t>
            </w:r>
          </w:p>
        </w:tc>
        <w:tc>
          <w:tcPr>
            <w:tcW w:w="2232" w:type="dxa"/>
          </w:tcPr>
          <w:p w14:paraId="6DA194FC" w14:textId="400A5B65" w:rsidR="007B0741" w:rsidRPr="005419F1" w:rsidRDefault="005419F1" w:rsidP="005419F1">
            <w:pPr>
              <w:pStyle w:val="NoSpacing"/>
            </w:pPr>
            <w:r w:rsidRPr="005419F1">
              <w:t>Falls rate</w:t>
            </w:r>
          </w:p>
        </w:tc>
      </w:tr>
      <w:tr w:rsidR="005419F1" w14:paraId="11FEEBDA" w14:textId="77777777" w:rsidTr="005419F1">
        <w:tc>
          <w:tcPr>
            <w:tcW w:w="1630" w:type="dxa"/>
          </w:tcPr>
          <w:p w14:paraId="4E5D51B4" w14:textId="0C195C37" w:rsidR="007B0741" w:rsidRDefault="007B0741" w:rsidP="007B0741">
            <w:pPr>
              <w:pStyle w:val="NoSpacing"/>
              <w:rPr>
                <w:rFonts w:ascii="Arial" w:hAnsi="Arial" w:cs="Arial"/>
                <w:b/>
                <w:bCs/>
                <w:sz w:val="22"/>
                <w:szCs w:val="22"/>
              </w:rPr>
            </w:pPr>
            <w:r w:rsidRPr="004B3910">
              <w:t>Hopewell et al. (2018)</w:t>
            </w:r>
          </w:p>
        </w:tc>
        <w:tc>
          <w:tcPr>
            <w:tcW w:w="1542" w:type="dxa"/>
          </w:tcPr>
          <w:p w14:paraId="6D143D3B" w14:textId="39707459" w:rsidR="007B0741" w:rsidRPr="005419F1" w:rsidRDefault="007B0741" w:rsidP="005419F1">
            <w:pPr>
              <w:pStyle w:val="NoSpacing"/>
            </w:pPr>
            <w:r w:rsidRPr="005419F1">
              <w:t>International</w:t>
            </w:r>
          </w:p>
        </w:tc>
        <w:tc>
          <w:tcPr>
            <w:tcW w:w="1674" w:type="dxa"/>
          </w:tcPr>
          <w:p w14:paraId="3C7DEE47" w14:textId="66FFEED2" w:rsidR="007B0741" w:rsidRPr="005419F1" w:rsidRDefault="007B0741" w:rsidP="005419F1">
            <w:pPr>
              <w:pStyle w:val="NoSpacing"/>
            </w:pPr>
            <w:r w:rsidRPr="005419F1">
              <w:t>Systematic review</w:t>
            </w:r>
          </w:p>
        </w:tc>
        <w:tc>
          <w:tcPr>
            <w:tcW w:w="1515" w:type="dxa"/>
          </w:tcPr>
          <w:p w14:paraId="462AFEB9" w14:textId="292B5475" w:rsidR="007B0741" w:rsidRPr="005419F1" w:rsidRDefault="007B0741" w:rsidP="005419F1">
            <w:pPr>
              <w:pStyle w:val="NoSpacing"/>
            </w:pPr>
            <w:r w:rsidRPr="005419F1">
              <w:t>Older adults</w:t>
            </w:r>
          </w:p>
        </w:tc>
        <w:tc>
          <w:tcPr>
            <w:tcW w:w="1756" w:type="dxa"/>
          </w:tcPr>
          <w:p w14:paraId="7A7ACC61" w14:textId="7EE74DF9" w:rsidR="007B0741" w:rsidRPr="005419F1" w:rsidRDefault="007B0741" w:rsidP="005419F1">
            <w:pPr>
              <w:pStyle w:val="NoSpacing"/>
            </w:pPr>
            <w:r w:rsidRPr="005419F1">
              <w:t>Multifactorial interventions</w:t>
            </w:r>
          </w:p>
        </w:tc>
        <w:tc>
          <w:tcPr>
            <w:tcW w:w="2232" w:type="dxa"/>
          </w:tcPr>
          <w:p w14:paraId="53FFA8E3" w14:textId="538A761B" w:rsidR="007B0741" w:rsidRPr="005419F1" w:rsidRDefault="005419F1" w:rsidP="005419F1">
            <w:pPr>
              <w:pStyle w:val="NoSpacing"/>
            </w:pPr>
            <w:r w:rsidRPr="005419F1">
              <w:t>Falls incidence</w:t>
            </w:r>
          </w:p>
        </w:tc>
      </w:tr>
      <w:tr w:rsidR="005419F1" w14:paraId="5B13F77B" w14:textId="77777777" w:rsidTr="005419F1">
        <w:tc>
          <w:tcPr>
            <w:tcW w:w="1630" w:type="dxa"/>
          </w:tcPr>
          <w:p w14:paraId="7BAAC66F" w14:textId="43F36D31" w:rsidR="007B0741" w:rsidRDefault="007B0741" w:rsidP="007B0741">
            <w:pPr>
              <w:pStyle w:val="NoSpacing"/>
              <w:rPr>
                <w:rFonts w:ascii="Arial" w:hAnsi="Arial" w:cs="Arial"/>
                <w:b/>
                <w:bCs/>
                <w:sz w:val="22"/>
                <w:szCs w:val="22"/>
              </w:rPr>
            </w:pPr>
            <w:r w:rsidRPr="004B3910">
              <w:t>Chang et al. (2021)</w:t>
            </w:r>
          </w:p>
        </w:tc>
        <w:tc>
          <w:tcPr>
            <w:tcW w:w="1542" w:type="dxa"/>
          </w:tcPr>
          <w:p w14:paraId="618B9206" w14:textId="7BCB452C" w:rsidR="007B0741" w:rsidRPr="005419F1" w:rsidRDefault="007B0741" w:rsidP="005419F1">
            <w:pPr>
              <w:pStyle w:val="NoSpacing"/>
            </w:pPr>
            <w:r w:rsidRPr="005419F1">
              <w:t>Taiwan</w:t>
            </w:r>
          </w:p>
        </w:tc>
        <w:tc>
          <w:tcPr>
            <w:tcW w:w="1674" w:type="dxa"/>
          </w:tcPr>
          <w:p w14:paraId="426DDA34" w14:textId="16E910D1" w:rsidR="007B0741" w:rsidRPr="005419F1" w:rsidRDefault="007B0741" w:rsidP="005419F1">
            <w:pPr>
              <w:pStyle w:val="NoSpacing"/>
            </w:pPr>
            <w:r w:rsidRPr="005419F1">
              <w:t>RCT</w:t>
            </w:r>
          </w:p>
        </w:tc>
        <w:tc>
          <w:tcPr>
            <w:tcW w:w="1515" w:type="dxa"/>
          </w:tcPr>
          <w:p w14:paraId="0B58D78F" w14:textId="50F77C47" w:rsidR="007B0741" w:rsidRPr="005419F1" w:rsidRDefault="007B0741" w:rsidP="005419F1">
            <w:pPr>
              <w:pStyle w:val="NoSpacing"/>
            </w:pPr>
            <w:r w:rsidRPr="005419F1">
              <w:t>Older adults</w:t>
            </w:r>
          </w:p>
        </w:tc>
        <w:tc>
          <w:tcPr>
            <w:tcW w:w="1756" w:type="dxa"/>
          </w:tcPr>
          <w:p w14:paraId="6A52342E" w14:textId="6FEA6DD4" w:rsidR="007B0741" w:rsidRPr="005419F1" w:rsidRDefault="007B0741" w:rsidP="005419F1">
            <w:pPr>
              <w:pStyle w:val="NoSpacing"/>
            </w:pPr>
            <w:r w:rsidRPr="005419F1">
              <w:t>Tai Chi–based physiotherapy</w:t>
            </w:r>
          </w:p>
        </w:tc>
        <w:tc>
          <w:tcPr>
            <w:tcW w:w="2232" w:type="dxa"/>
          </w:tcPr>
          <w:p w14:paraId="6EA8C17E" w14:textId="0A702AAF" w:rsidR="007B0741" w:rsidRPr="005419F1" w:rsidRDefault="005419F1" w:rsidP="005419F1">
            <w:pPr>
              <w:pStyle w:val="NoSpacing"/>
            </w:pPr>
            <w:r w:rsidRPr="005419F1">
              <w:t>Balance, confidence</w:t>
            </w:r>
          </w:p>
        </w:tc>
      </w:tr>
      <w:tr w:rsidR="005419F1" w14:paraId="2E3871C2" w14:textId="77777777" w:rsidTr="005419F1">
        <w:tc>
          <w:tcPr>
            <w:tcW w:w="1630" w:type="dxa"/>
          </w:tcPr>
          <w:p w14:paraId="280A1B80" w14:textId="6CB0C804" w:rsidR="007B0741" w:rsidRDefault="007B0741" w:rsidP="007B0741">
            <w:pPr>
              <w:pStyle w:val="NoSpacing"/>
              <w:rPr>
                <w:rFonts w:ascii="Arial" w:hAnsi="Arial" w:cs="Arial"/>
                <w:b/>
                <w:bCs/>
                <w:sz w:val="22"/>
                <w:szCs w:val="22"/>
              </w:rPr>
            </w:pPr>
            <w:r w:rsidRPr="004B3910">
              <w:t>Johnson et al. (2021)</w:t>
            </w:r>
          </w:p>
        </w:tc>
        <w:tc>
          <w:tcPr>
            <w:tcW w:w="1542" w:type="dxa"/>
          </w:tcPr>
          <w:p w14:paraId="26CDD3F8" w14:textId="4605931F" w:rsidR="007B0741" w:rsidRPr="005419F1" w:rsidRDefault="007B0741" w:rsidP="005419F1">
            <w:pPr>
              <w:pStyle w:val="NoSpacing"/>
            </w:pPr>
            <w:r w:rsidRPr="005419F1">
              <w:t>UK</w:t>
            </w:r>
          </w:p>
        </w:tc>
        <w:tc>
          <w:tcPr>
            <w:tcW w:w="1674" w:type="dxa"/>
          </w:tcPr>
          <w:p w14:paraId="41499C19" w14:textId="3860DCE3" w:rsidR="007B0741" w:rsidRPr="005419F1" w:rsidRDefault="007B0741" w:rsidP="005419F1">
            <w:pPr>
              <w:pStyle w:val="NoSpacing"/>
            </w:pPr>
            <w:r w:rsidRPr="005419F1">
              <w:t>Cohort</w:t>
            </w:r>
          </w:p>
        </w:tc>
        <w:tc>
          <w:tcPr>
            <w:tcW w:w="1515" w:type="dxa"/>
          </w:tcPr>
          <w:p w14:paraId="3FF63E1A" w14:textId="5A850E32" w:rsidR="007B0741" w:rsidRPr="005419F1" w:rsidRDefault="007B0741" w:rsidP="005419F1">
            <w:pPr>
              <w:pStyle w:val="NoSpacing"/>
            </w:pPr>
            <w:r w:rsidRPr="005419F1">
              <w:t>Older adults</w:t>
            </w:r>
          </w:p>
        </w:tc>
        <w:tc>
          <w:tcPr>
            <w:tcW w:w="1756" w:type="dxa"/>
          </w:tcPr>
          <w:p w14:paraId="64B94F2C" w14:textId="19ED272D" w:rsidR="007B0741" w:rsidRPr="005419F1" w:rsidRDefault="007B0741" w:rsidP="005419F1">
            <w:pPr>
              <w:pStyle w:val="NoSpacing"/>
            </w:pPr>
            <w:r w:rsidRPr="005419F1">
              <w:t>Physiotherapy-led programme</w:t>
            </w:r>
          </w:p>
        </w:tc>
        <w:tc>
          <w:tcPr>
            <w:tcW w:w="2232" w:type="dxa"/>
          </w:tcPr>
          <w:p w14:paraId="341F421F" w14:textId="02F6C3D1" w:rsidR="007B0741" w:rsidRPr="005419F1" w:rsidRDefault="005419F1" w:rsidP="005419F1">
            <w:pPr>
              <w:pStyle w:val="NoSpacing"/>
            </w:pPr>
            <w:r w:rsidRPr="005419F1">
              <w:t>Mobility, falls</w:t>
            </w:r>
          </w:p>
        </w:tc>
      </w:tr>
      <w:tr w:rsidR="005419F1" w14:paraId="1389907C" w14:textId="77777777" w:rsidTr="005419F1">
        <w:tc>
          <w:tcPr>
            <w:tcW w:w="1630" w:type="dxa"/>
          </w:tcPr>
          <w:p w14:paraId="4670F8CB" w14:textId="54F62BC7" w:rsidR="007B0741" w:rsidRDefault="007B0741" w:rsidP="007B0741">
            <w:pPr>
              <w:pStyle w:val="NoSpacing"/>
              <w:rPr>
                <w:rFonts w:ascii="Arial" w:hAnsi="Arial" w:cs="Arial"/>
                <w:b/>
                <w:bCs/>
                <w:sz w:val="22"/>
                <w:szCs w:val="22"/>
              </w:rPr>
            </w:pPr>
            <w:r w:rsidRPr="004B3910">
              <w:t>Harrison et al. (2021)</w:t>
            </w:r>
          </w:p>
        </w:tc>
        <w:tc>
          <w:tcPr>
            <w:tcW w:w="1542" w:type="dxa"/>
          </w:tcPr>
          <w:p w14:paraId="77054B00" w14:textId="4E5B430C" w:rsidR="007B0741" w:rsidRPr="005419F1" w:rsidRDefault="007B0741" w:rsidP="005419F1">
            <w:pPr>
              <w:pStyle w:val="NoSpacing"/>
            </w:pPr>
            <w:r w:rsidRPr="005419F1">
              <w:t>UK</w:t>
            </w:r>
          </w:p>
        </w:tc>
        <w:tc>
          <w:tcPr>
            <w:tcW w:w="1674" w:type="dxa"/>
          </w:tcPr>
          <w:p w14:paraId="211B353D" w14:textId="651AD159" w:rsidR="007B0741" w:rsidRPr="005419F1" w:rsidRDefault="007B0741" w:rsidP="005419F1">
            <w:pPr>
              <w:pStyle w:val="NoSpacing"/>
            </w:pPr>
            <w:r w:rsidRPr="005419F1">
              <w:t>Qualitative</w:t>
            </w:r>
          </w:p>
        </w:tc>
        <w:tc>
          <w:tcPr>
            <w:tcW w:w="1515" w:type="dxa"/>
          </w:tcPr>
          <w:p w14:paraId="2BD630EA" w14:textId="58DAAC7D" w:rsidR="007B0741" w:rsidRPr="005419F1" w:rsidRDefault="007B0741" w:rsidP="005419F1">
            <w:pPr>
              <w:pStyle w:val="NoSpacing"/>
            </w:pPr>
            <w:r w:rsidRPr="005419F1">
              <w:t>Older adults</w:t>
            </w:r>
          </w:p>
        </w:tc>
        <w:tc>
          <w:tcPr>
            <w:tcW w:w="1756" w:type="dxa"/>
          </w:tcPr>
          <w:p w14:paraId="531F4CFC" w14:textId="26E564F7" w:rsidR="007B0741" w:rsidRPr="005419F1" w:rsidRDefault="007B0741" w:rsidP="005419F1">
            <w:pPr>
              <w:pStyle w:val="NoSpacing"/>
            </w:pPr>
            <w:r w:rsidRPr="005419F1">
              <w:t>Falls prevention services</w:t>
            </w:r>
          </w:p>
        </w:tc>
        <w:tc>
          <w:tcPr>
            <w:tcW w:w="2232" w:type="dxa"/>
          </w:tcPr>
          <w:p w14:paraId="72D9406D" w14:textId="21FE5114" w:rsidR="007B0741" w:rsidRPr="005419F1" w:rsidRDefault="005419F1" w:rsidP="005419F1">
            <w:pPr>
              <w:pStyle w:val="NoSpacing"/>
            </w:pPr>
            <w:r w:rsidRPr="005419F1">
              <w:t>Barriers to participation</w:t>
            </w:r>
          </w:p>
        </w:tc>
      </w:tr>
      <w:tr w:rsidR="005419F1" w14:paraId="56E714E2" w14:textId="77777777" w:rsidTr="005419F1">
        <w:tc>
          <w:tcPr>
            <w:tcW w:w="1630" w:type="dxa"/>
          </w:tcPr>
          <w:p w14:paraId="1F789454" w14:textId="02FA418C" w:rsidR="007B0741" w:rsidRDefault="007B0741" w:rsidP="007B0741">
            <w:pPr>
              <w:pStyle w:val="NoSpacing"/>
              <w:rPr>
                <w:rFonts w:ascii="Arial" w:hAnsi="Arial" w:cs="Arial"/>
                <w:b/>
                <w:bCs/>
                <w:sz w:val="22"/>
                <w:szCs w:val="22"/>
              </w:rPr>
            </w:pPr>
            <w:r w:rsidRPr="004B3910">
              <w:t>Clark et al. (2020)</w:t>
            </w:r>
          </w:p>
        </w:tc>
        <w:tc>
          <w:tcPr>
            <w:tcW w:w="1542" w:type="dxa"/>
          </w:tcPr>
          <w:p w14:paraId="6FDF2597" w14:textId="00B60D5B" w:rsidR="007B0741" w:rsidRPr="005419F1" w:rsidRDefault="007B0741" w:rsidP="005419F1">
            <w:pPr>
              <w:pStyle w:val="NoSpacing"/>
            </w:pPr>
            <w:r w:rsidRPr="005419F1">
              <w:t>UK</w:t>
            </w:r>
          </w:p>
        </w:tc>
        <w:tc>
          <w:tcPr>
            <w:tcW w:w="1674" w:type="dxa"/>
          </w:tcPr>
          <w:p w14:paraId="5EB21235" w14:textId="6DD3880A" w:rsidR="007B0741" w:rsidRPr="005419F1" w:rsidRDefault="007B0741" w:rsidP="005419F1">
            <w:pPr>
              <w:pStyle w:val="NoSpacing"/>
            </w:pPr>
            <w:r w:rsidRPr="005419F1">
              <w:t>Qualitative</w:t>
            </w:r>
          </w:p>
        </w:tc>
        <w:tc>
          <w:tcPr>
            <w:tcW w:w="1515" w:type="dxa"/>
          </w:tcPr>
          <w:p w14:paraId="70715AEF" w14:textId="439E16F8" w:rsidR="007B0741" w:rsidRPr="005419F1" w:rsidRDefault="007B0741" w:rsidP="005419F1">
            <w:pPr>
              <w:pStyle w:val="NoSpacing"/>
            </w:pPr>
            <w:r w:rsidRPr="005419F1">
              <w:t>Older adults</w:t>
            </w:r>
          </w:p>
        </w:tc>
        <w:tc>
          <w:tcPr>
            <w:tcW w:w="1756" w:type="dxa"/>
          </w:tcPr>
          <w:p w14:paraId="47BA814E" w14:textId="3051475D" w:rsidR="007B0741" w:rsidRPr="005419F1" w:rsidRDefault="007B0741" w:rsidP="005419F1">
            <w:pPr>
              <w:pStyle w:val="NoSpacing"/>
            </w:pPr>
            <w:r w:rsidRPr="005419F1">
              <w:t>Community collaboration</w:t>
            </w:r>
          </w:p>
        </w:tc>
        <w:tc>
          <w:tcPr>
            <w:tcW w:w="2232" w:type="dxa"/>
          </w:tcPr>
          <w:p w14:paraId="58FF5830" w14:textId="210FE429" w:rsidR="007B0741" w:rsidRPr="005419F1" w:rsidRDefault="005419F1" w:rsidP="005419F1">
            <w:pPr>
              <w:pStyle w:val="NoSpacing"/>
            </w:pPr>
            <w:r w:rsidRPr="005419F1">
              <w:t>Engagement</w:t>
            </w:r>
          </w:p>
        </w:tc>
      </w:tr>
      <w:tr w:rsidR="005419F1" w14:paraId="2ECA1829" w14:textId="77777777" w:rsidTr="005419F1">
        <w:tc>
          <w:tcPr>
            <w:tcW w:w="1630" w:type="dxa"/>
          </w:tcPr>
          <w:p w14:paraId="7A190E12" w14:textId="55B13993" w:rsidR="007B0741" w:rsidRDefault="007B0741" w:rsidP="007B0741">
            <w:pPr>
              <w:pStyle w:val="NoSpacing"/>
              <w:rPr>
                <w:rFonts w:ascii="Arial" w:hAnsi="Arial" w:cs="Arial"/>
                <w:b/>
                <w:bCs/>
                <w:sz w:val="22"/>
                <w:szCs w:val="22"/>
              </w:rPr>
            </w:pPr>
            <w:r w:rsidRPr="004B3910">
              <w:lastRenderedPageBreak/>
              <w:t>Brown &amp; Li (2022)</w:t>
            </w:r>
          </w:p>
        </w:tc>
        <w:tc>
          <w:tcPr>
            <w:tcW w:w="1542" w:type="dxa"/>
          </w:tcPr>
          <w:p w14:paraId="2E3DBEED" w14:textId="06F14195" w:rsidR="007B0741" w:rsidRPr="005419F1" w:rsidRDefault="007B0741" w:rsidP="005419F1">
            <w:pPr>
              <w:pStyle w:val="NoSpacing"/>
            </w:pPr>
            <w:r w:rsidRPr="005419F1">
              <w:t>UK</w:t>
            </w:r>
          </w:p>
        </w:tc>
        <w:tc>
          <w:tcPr>
            <w:tcW w:w="1674" w:type="dxa"/>
          </w:tcPr>
          <w:p w14:paraId="11D263A4" w14:textId="5A2FE21F" w:rsidR="007B0741" w:rsidRPr="005419F1" w:rsidRDefault="007B0741" w:rsidP="005419F1">
            <w:pPr>
              <w:pStyle w:val="NoSpacing"/>
            </w:pPr>
            <w:r w:rsidRPr="005419F1">
              <w:t>Qualitative</w:t>
            </w:r>
          </w:p>
        </w:tc>
        <w:tc>
          <w:tcPr>
            <w:tcW w:w="1515" w:type="dxa"/>
          </w:tcPr>
          <w:p w14:paraId="4F454060" w14:textId="59A9F384" w:rsidR="007B0741" w:rsidRPr="005419F1" w:rsidRDefault="007B0741" w:rsidP="005419F1">
            <w:pPr>
              <w:pStyle w:val="NoSpacing"/>
            </w:pPr>
            <w:r w:rsidRPr="005419F1">
              <w:t>Older adults</w:t>
            </w:r>
          </w:p>
        </w:tc>
        <w:tc>
          <w:tcPr>
            <w:tcW w:w="1756" w:type="dxa"/>
          </w:tcPr>
          <w:p w14:paraId="2EC38CC0" w14:textId="4F4BD06D" w:rsidR="007B0741" w:rsidRPr="005419F1" w:rsidRDefault="007B0741" w:rsidP="005419F1">
            <w:pPr>
              <w:pStyle w:val="NoSpacing"/>
            </w:pPr>
            <w:r w:rsidRPr="005419F1">
              <w:t>Integrated care</w:t>
            </w:r>
          </w:p>
        </w:tc>
        <w:tc>
          <w:tcPr>
            <w:tcW w:w="2232" w:type="dxa"/>
          </w:tcPr>
          <w:p w14:paraId="1EFB6E7B" w14:textId="04FFB299" w:rsidR="007B0741" w:rsidRPr="005419F1" w:rsidRDefault="005419F1" w:rsidP="005419F1">
            <w:pPr>
              <w:pStyle w:val="NoSpacing"/>
            </w:pPr>
            <w:r w:rsidRPr="005419F1">
              <w:t>Service experience</w:t>
            </w:r>
          </w:p>
        </w:tc>
      </w:tr>
      <w:tr w:rsidR="005419F1" w14:paraId="21BF39D0" w14:textId="77777777" w:rsidTr="005419F1">
        <w:tc>
          <w:tcPr>
            <w:tcW w:w="1630" w:type="dxa"/>
          </w:tcPr>
          <w:p w14:paraId="1A0DAE92" w14:textId="0AFAB292" w:rsidR="007B0741" w:rsidRDefault="007B0741" w:rsidP="007B0741">
            <w:pPr>
              <w:pStyle w:val="NoSpacing"/>
              <w:rPr>
                <w:rFonts w:ascii="Arial" w:hAnsi="Arial" w:cs="Arial"/>
                <w:b/>
                <w:bCs/>
                <w:sz w:val="22"/>
                <w:szCs w:val="22"/>
              </w:rPr>
            </w:pPr>
            <w:r w:rsidRPr="004B3910">
              <w:t>Davies</w:t>
            </w:r>
            <w:r>
              <w:t xml:space="preserve"> </w:t>
            </w:r>
            <w:r w:rsidRPr="004B3910">
              <w:t>&amp; Patel (2022)</w:t>
            </w:r>
          </w:p>
        </w:tc>
        <w:tc>
          <w:tcPr>
            <w:tcW w:w="1542" w:type="dxa"/>
          </w:tcPr>
          <w:p w14:paraId="19EECA11" w14:textId="3AD4AE86" w:rsidR="007B0741" w:rsidRPr="005419F1" w:rsidRDefault="007B0741" w:rsidP="005419F1">
            <w:pPr>
              <w:pStyle w:val="NoSpacing"/>
            </w:pPr>
            <w:r w:rsidRPr="005419F1">
              <w:t>UK</w:t>
            </w:r>
          </w:p>
        </w:tc>
        <w:tc>
          <w:tcPr>
            <w:tcW w:w="1674" w:type="dxa"/>
          </w:tcPr>
          <w:p w14:paraId="78CABC66" w14:textId="35B53DCF" w:rsidR="007B0741" w:rsidRPr="005419F1" w:rsidRDefault="007B0741" w:rsidP="005419F1">
            <w:pPr>
              <w:pStyle w:val="NoSpacing"/>
            </w:pPr>
            <w:r w:rsidRPr="005419F1">
              <w:t>Observational</w:t>
            </w:r>
          </w:p>
        </w:tc>
        <w:tc>
          <w:tcPr>
            <w:tcW w:w="1515" w:type="dxa"/>
          </w:tcPr>
          <w:p w14:paraId="14AA872C" w14:textId="5694CA5C" w:rsidR="007B0741" w:rsidRPr="005419F1" w:rsidRDefault="007B0741" w:rsidP="005419F1">
            <w:pPr>
              <w:pStyle w:val="NoSpacing"/>
            </w:pPr>
            <w:r w:rsidRPr="005419F1">
              <w:t>Older adults</w:t>
            </w:r>
          </w:p>
        </w:tc>
        <w:tc>
          <w:tcPr>
            <w:tcW w:w="1756" w:type="dxa"/>
          </w:tcPr>
          <w:p w14:paraId="6D106F09" w14:textId="2C8CD93B" w:rsidR="007B0741" w:rsidRPr="005419F1" w:rsidRDefault="007B0741" w:rsidP="005419F1">
            <w:pPr>
              <w:pStyle w:val="NoSpacing"/>
            </w:pPr>
            <w:r w:rsidRPr="005419F1">
              <w:t>Urban services</w:t>
            </w:r>
          </w:p>
        </w:tc>
        <w:tc>
          <w:tcPr>
            <w:tcW w:w="2232" w:type="dxa"/>
          </w:tcPr>
          <w:p w14:paraId="2A80941F" w14:textId="340D30AE" w:rsidR="007B0741" w:rsidRPr="005419F1" w:rsidRDefault="005419F1" w:rsidP="005419F1">
            <w:pPr>
              <w:pStyle w:val="NoSpacing"/>
            </w:pPr>
            <w:r w:rsidRPr="005419F1">
              <w:t>Inequality indicators</w:t>
            </w:r>
          </w:p>
        </w:tc>
      </w:tr>
      <w:tr w:rsidR="005419F1" w14:paraId="7FBDF212" w14:textId="77777777" w:rsidTr="005419F1">
        <w:tc>
          <w:tcPr>
            <w:tcW w:w="1630" w:type="dxa"/>
          </w:tcPr>
          <w:p w14:paraId="40199E27" w14:textId="4EA14050" w:rsidR="007B0741" w:rsidRDefault="007B0741" w:rsidP="007B0741">
            <w:pPr>
              <w:pStyle w:val="NoSpacing"/>
              <w:rPr>
                <w:rFonts w:ascii="Arial" w:hAnsi="Arial" w:cs="Arial"/>
                <w:b/>
                <w:bCs/>
                <w:sz w:val="22"/>
                <w:szCs w:val="22"/>
              </w:rPr>
            </w:pPr>
            <w:r w:rsidRPr="009F5D2A">
              <w:t>Marmot et al. (2020)</w:t>
            </w:r>
          </w:p>
        </w:tc>
        <w:tc>
          <w:tcPr>
            <w:tcW w:w="1542" w:type="dxa"/>
          </w:tcPr>
          <w:p w14:paraId="31D523D9" w14:textId="5DECB5DF" w:rsidR="007B0741" w:rsidRPr="005419F1" w:rsidRDefault="007B0741" w:rsidP="005419F1">
            <w:pPr>
              <w:pStyle w:val="NoSpacing"/>
            </w:pPr>
            <w:r w:rsidRPr="005419F1">
              <w:t>UK</w:t>
            </w:r>
          </w:p>
        </w:tc>
        <w:tc>
          <w:tcPr>
            <w:tcW w:w="1674" w:type="dxa"/>
          </w:tcPr>
          <w:p w14:paraId="58CD01F7" w14:textId="6956824A" w:rsidR="007B0741" w:rsidRPr="005419F1" w:rsidRDefault="007B0741" w:rsidP="005419F1">
            <w:pPr>
              <w:pStyle w:val="NoSpacing"/>
            </w:pPr>
            <w:r w:rsidRPr="005419F1">
              <w:t>Policy review</w:t>
            </w:r>
          </w:p>
        </w:tc>
        <w:tc>
          <w:tcPr>
            <w:tcW w:w="1515" w:type="dxa"/>
          </w:tcPr>
          <w:p w14:paraId="4BD13B2B" w14:textId="20306D6C" w:rsidR="007B0741" w:rsidRPr="005419F1" w:rsidRDefault="007B0741" w:rsidP="005419F1">
            <w:pPr>
              <w:pStyle w:val="NoSpacing"/>
            </w:pPr>
            <w:r w:rsidRPr="005419F1">
              <w:t>Older adults</w:t>
            </w:r>
          </w:p>
        </w:tc>
        <w:tc>
          <w:tcPr>
            <w:tcW w:w="1756" w:type="dxa"/>
          </w:tcPr>
          <w:p w14:paraId="34D7C3AD" w14:textId="63F73E58" w:rsidR="007B0741" w:rsidRPr="005419F1" w:rsidRDefault="007B0741" w:rsidP="005419F1">
            <w:pPr>
              <w:pStyle w:val="NoSpacing"/>
            </w:pPr>
            <w:r w:rsidRPr="005419F1">
              <w:t>Health equity</w:t>
            </w:r>
          </w:p>
        </w:tc>
        <w:tc>
          <w:tcPr>
            <w:tcW w:w="2232" w:type="dxa"/>
          </w:tcPr>
          <w:p w14:paraId="547AA2A2" w14:textId="07C5CAEA" w:rsidR="007B0741" w:rsidRPr="005419F1" w:rsidRDefault="005419F1" w:rsidP="005419F1">
            <w:pPr>
              <w:pStyle w:val="NoSpacing"/>
            </w:pPr>
            <w:r w:rsidRPr="005419F1">
              <w:t>Social determinants</w:t>
            </w:r>
          </w:p>
        </w:tc>
      </w:tr>
      <w:tr w:rsidR="005419F1" w14:paraId="36BDF1C0" w14:textId="77777777" w:rsidTr="005419F1">
        <w:tc>
          <w:tcPr>
            <w:tcW w:w="1630" w:type="dxa"/>
          </w:tcPr>
          <w:p w14:paraId="34FC98D9" w14:textId="1B2D1C86" w:rsidR="007B0741" w:rsidRDefault="007B0741" w:rsidP="007B0741">
            <w:pPr>
              <w:pStyle w:val="NoSpacing"/>
              <w:rPr>
                <w:rFonts w:ascii="Arial" w:hAnsi="Arial" w:cs="Arial"/>
                <w:b/>
                <w:bCs/>
                <w:sz w:val="22"/>
                <w:szCs w:val="22"/>
              </w:rPr>
            </w:pPr>
            <w:r w:rsidRPr="009F5D2A">
              <w:t>Sherrington et al. (2020)</w:t>
            </w:r>
          </w:p>
        </w:tc>
        <w:tc>
          <w:tcPr>
            <w:tcW w:w="1542" w:type="dxa"/>
          </w:tcPr>
          <w:p w14:paraId="59807D7E" w14:textId="1ED385C2" w:rsidR="007B0741" w:rsidRPr="005419F1" w:rsidRDefault="007B0741" w:rsidP="005419F1">
            <w:pPr>
              <w:pStyle w:val="NoSpacing"/>
            </w:pPr>
            <w:r w:rsidRPr="005419F1">
              <w:t>International</w:t>
            </w:r>
          </w:p>
        </w:tc>
        <w:tc>
          <w:tcPr>
            <w:tcW w:w="1674" w:type="dxa"/>
          </w:tcPr>
          <w:p w14:paraId="315B419C" w14:textId="312E89EA" w:rsidR="007B0741" w:rsidRPr="005419F1" w:rsidRDefault="007B0741" w:rsidP="005419F1">
            <w:pPr>
              <w:pStyle w:val="NoSpacing"/>
            </w:pPr>
            <w:r w:rsidRPr="005419F1">
              <w:t>Systematic review</w:t>
            </w:r>
          </w:p>
        </w:tc>
        <w:tc>
          <w:tcPr>
            <w:tcW w:w="1515" w:type="dxa"/>
          </w:tcPr>
          <w:p w14:paraId="14F0DAA9" w14:textId="1193CA68" w:rsidR="007B0741" w:rsidRPr="005419F1" w:rsidRDefault="007B0741" w:rsidP="005419F1">
            <w:pPr>
              <w:pStyle w:val="NoSpacing"/>
            </w:pPr>
            <w:r w:rsidRPr="005419F1">
              <w:t>Older adults</w:t>
            </w:r>
          </w:p>
        </w:tc>
        <w:tc>
          <w:tcPr>
            <w:tcW w:w="1756" w:type="dxa"/>
          </w:tcPr>
          <w:p w14:paraId="770148D4" w14:textId="428EEC5F" w:rsidR="007B0741" w:rsidRPr="005419F1" w:rsidRDefault="007B0741" w:rsidP="005419F1">
            <w:pPr>
              <w:pStyle w:val="NoSpacing"/>
            </w:pPr>
            <w:r w:rsidRPr="005419F1">
              <w:t>Exercise programmes</w:t>
            </w:r>
          </w:p>
        </w:tc>
        <w:tc>
          <w:tcPr>
            <w:tcW w:w="2232" w:type="dxa"/>
          </w:tcPr>
          <w:p w14:paraId="0753D924" w14:textId="1BA97838" w:rsidR="007B0741" w:rsidRPr="005419F1" w:rsidRDefault="007B0741" w:rsidP="005419F1">
            <w:pPr>
              <w:pStyle w:val="NoSpacing"/>
            </w:pPr>
            <w:r w:rsidRPr="005419F1">
              <w:t>Falls incidence</w:t>
            </w:r>
          </w:p>
        </w:tc>
      </w:tr>
    </w:tbl>
    <w:p w14:paraId="4634DEE9" w14:textId="77777777" w:rsidR="008C083F" w:rsidRDefault="008C083F" w:rsidP="007B0741">
      <w:pPr>
        <w:pStyle w:val="NoSpacing"/>
        <w:rPr>
          <w:rFonts w:ascii="Arial" w:hAnsi="Arial" w:cs="Arial"/>
          <w:b/>
          <w:bCs/>
          <w:sz w:val="22"/>
          <w:szCs w:val="22"/>
        </w:rPr>
      </w:pPr>
    </w:p>
    <w:p w14:paraId="28B591CF" w14:textId="77777777" w:rsidR="005419F1" w:rsidRDefault="005419F1" w:rsidP="007B0741">
      <w:pPr>
        <w:pStyle w:val="NoSpacing"/>
        <w:rPr>
          <w:rFonts w:ascii="Arial" w:hAnsi="Arial" w:cs="Arial"/>
          <w:b/>
          <w:bCs/>
          <w:sz w:val="22"/>
          <w:szCs w:val="22"/>
        </w:rPr>
      </w:pPr>
    </w:p>
    <w:p w14:paraId="2DBFD84C" w14:textId="77777777" w:rsidR="005419F1" w:rsidRDefault="005419F1" w:rsidP="007B0741">
      <w:pPr>
        <w:pStyle w:val="NoSpacing"/>
        <w:rPr>
          <w:rFonts w:ascii="Arial" w:hAnsi="Arial" w:cs="Arial"/>
          <w:b/>
          <w:bCs/>
          <w:sz w:val="22"/>
          <w:szCs w:val="22"/>
        </w:rPr>
      </w:pPr>
    </w:p>
    <w:p w14:paraId="42C2268F" w14:textId="77777777" w:rsidR="005419F1" w:rsidRDefault="005419F1" w:rsidP="007B0741">
      <w:pPr>
        <w:pStyle w:val="NoSpacing"/>
        <w:rPr>
          <w:rFonts w:ascii="Arial" w:hAnsi="Arial" w:cs="Arial"/>
          <w:b/>
          <w:bCs/>
          <w:sz w:val="22"/>
          <w:szCs w:val="22"/>
        </w:rPr>
      </w:pPr>
    </w:p>
    <w:p w14:paraId="2A27BB37" w14:textId="77777777" w:rsidR="005419F1" w:rsidRDefault="005419F1" w:rsidP="007B0741">
      <w:pPr>
        <w:pStyle w:val="NoSpacing"/>
        <w:rPr>
          <w:rFonts w:ascii="Arial" w:hAnsi="Arial" w:cs="Arial"/>
          <w:b/>
          <w:bCs/>
          <w:sz w:val="22"/>
          <w:szCs w:val="22"/>
        </w:rPr>
      </w:pPr>
    </w:p>
    <w:p w14:paraId="06B155C4" w14:textId="77777777" w:rsidR="005419F1" w:rsidRDefault="005419F1" w:rsidP="007B0741">
      <w:pPr>
        <w:pStyle w:val="NoSpacing"/>
        <w:rPr>
          <w:rFonts w:ascii="Arial" w:hAnsi="Arial" w:cs="Arial"/>
          <w:b/>
          <w:bCs/>
          <w:sz w:val="22"/>
          <w:szCs w:val="22"/>
        </w:rPr>
      </w:pPr>
    </w:p>
    <w:p w14:paraId="5106C126" w14:textId="77777777" w:rsidR="005419F1" w:rsidRDefault="005419F1" w:rsidP="007B0741">
      <w:pPr>
        <w:pStyle w:val="NoSpacing"/>
        <w:rPr>
          <w:rFonts w:ascii="Arial" w:hAnsi="Arial" w:cs="Arial"/>
          <w:b/>
          <w:bCs/>
          <w:sz w:val="22"/>
          <w:szCs w:val="22"/>
        </w:rPr>
      </w:pPr>
    </w:p>
    <w:p w14:paraId="4BB8EED4" w14:textId="77777777" w:rsidR="005419F1" w:rsidRDefault="005419F1" w:rsidP="007B0741">
      <w:pPr>
        <w:pStyle w:val="NoSpacing"/>
        <w:rPr>
          <w:rFonts w:ascii="Arial" w:hAnsi="Arial" w:cs="Arial"/>
          <w:b/>
          <w:bCs/>
          <w:sz w:val="22"/>
          <w:szCs w:val="22"/>
        </w:rPr>
      </w:pPr>
    </w:p>
    <w:p w14:paraId="27D40654" w14:textId="77777777" w:rsidR="005419F1" w:rsidRDefault="005419F1" w:rsidP="007B0741">
      <w:pPr>
        <w:pStyle w:val="NoSpacing"/>
        <w:rPr>
          <w:rFonts w:ascii="Arial" w:hAnsi="Arial" w:cs="Arial"/>
          <w:b/>
          <w:bCs/>
          <w:sz w:val="22"/>
          <w:szCs w:val="22"/>
        </w:rPr>
      </w:pPr>
    </w:p>
    <w:p w14:paraId="7D7AED4B" w14:textId="77777777" w:rsidR="005419F1" w:rsidRDefault="005419F1" w:rsidP="007B0741">
      <w:pPr>
        <w:pStyle w:val="NoSpacing"/>
        <w:rPr>
          <w:rFonts w:ascii="Arial" w:hAnsi="Arial" w:cs="Arial"/>
          <w:b/>
          <w:bCs/>
          <w:sz w:val="22"/>
          <w:szCs w:val="22"/>
        </w:rPr>
      </w:pPr>
    </w:p>
    <w:p w14:paraId="2568EC3F" w14:textId="77777777" w:rsidR="005419F1" w:rsidRDefault="005419F1" w:rsidP="007B0741">
      <w:pPr>
        <w:pStyle w:val="NoSpacing"/>
        <w:rPr>
          <w:rFonts w:ascii="Arial" w:hAnsi="Arial" w:cs="Arial"/>
          <w:b/>
          <w:bCs/>
          <w:sz w:val="22"/>
          <w:szCs w:val="22"/>
        </w:rPr>
      </w:pPr>
    </w:p>
    <w:p w14:paraId="2A39E67C" w14:textId="77777777" w:rsidR="005419F1" w:rsidRDefault="005419F1" w:rsidP="007B0741">
      <w:pPr>
        <w:pStyle w:val="NoSpacing"/>
        <w:rPr>
          <w:rFonts w:ascii="Arial" w:hAnsi="Arial" w:cs="Arial"/>
          <w:b/>
          <w:bCs/>
          <w:sz w:val="22"/>
          <w:szCs w:val="22"/>
        </w:rPr>
      </w:pPr>
    </w:p>
    <w:p w14:paraId="203721E1" w14:textId="77777777" w:rsidR="005419F1" w:rsidRDefault="005419F1" w:rsidP="007B0741">
      <w:pPr>
        <w:pStyle w:val="NoSpacing"/>
        <w:rPr>
          <w:rFonts w:ascii="Arial" w:hAnsi="Arial" w:cs="Arial"/>
          <w:b/>
          <w:bCs/>
          <w:sz w:val="22"/>
          <w:szCs w:val="22"/>
        </w:rPr>
      </w:pPr>
    </w:p>
    <w:p w14:paraId="00EC2472" w14:textId="77777777" w:rsidR="005419F1" w:rsidRDefault="005419F1" w:rsidP="007B0741">
      <w:pPr>
        <w:pStyle w:val="NoSpacing"/>
        <w:rPr>
          <w:rFonts w:ascii="Arial" w:hAnsi="Arial" w:cs="Arial"/>
          <w:b/>
          <w:bCs/>
          <w:sz w:val="22"/>
          <w:szCs w:val="22"/>
        </w:rPr>
      </w:pPr>
    </w:p>
    <w:p w14:paraId="49880CB6" w14:textId="77777777" w:rsidR="005419F1" w:rsidRDefault="005419F1" w:rsidP="007B0741">
      <w:pPr>
        <w:pStyle w:val="NoSpacing"/>
        <w:rPr>
          <w:rFonts w:ascii="Arial" w:hAnsi="Arial" w:cs="Arial"/>
          <w:b/>
          <w:bCs/>
          <w:sz w:val="22"/>
          <w:szCs w:val="22"/>
        </w:rPr>
      </w:pPr>
    </w:p>
    <w:p w14:paraId="10289F5E" w14:textId="77777777" w:rsidR="005419F1" w:rsidRDefault="005419F1" w:rsidP="007B0741">
      <w:pPr>
        <w:pStyle w:val="NoSpacing"/>
        <w:rPr>
          <w:rFonts w:ascii="Arial" w:hAnsi="Arial" w:cs="Arial"/>
          <w:b/>
          <w:bCs/>
          <w:sz w:val="22"/>
          <w:szCs w:val="22"/>
        </w:rPr>
      </w:pPr>
    </w:p>
    <w:p w14:paraId="3ACCF582" w14:textId="77777777" w:rsidR="005419F1" w:rsidRDefault="005419F1" w:rsidP="007B0741">
      <w:pPr>
        <w:pStyle w:val="NoSpacing"/>
        <w:rPr>
          <w:rFonts w:ascii="Arial" w:hAnsi="Arial" w:cs="Arial"/>
          <w:b/>
          <w:bCs/>
          <w:sz w:val="22"/>
          <w:szCs w:val="22"/>
        </w:rPr>
      </w:pPr>
    </w:p>
    <w:p w14:paraId="7C2FBF42" w14:textId="77777777" w:rsidR="005419F1" w:rsidRDefault="005419F1" w:rsidP="007B0741">
      <w:pPr>
        <w:pStyle w:val="NoSpacing"/>
        <w:rPr>
          <w:rFonts w:ascii="Arial" w:hAnsi="Arial" w:cs="Arial"/>
          <w:b/>
          <w:bCs/>
          <w:sz w:val="22"/>
          <w:szCs w:val="22"/>
        </w:rPr>
      </w:pPr>
    </w:p>
    <w:p w14:paraId="1B68F9B3" w14:textId="77777777" w:rsidR="005419F1" w:rsidRDefault="005419F1" w:rsidP="007B0741">
      <w:pPr>
        <w:pStyle w:val="NoSpacing"/>
        <w:rPr>
          <w:rFonts w:ascii="Arial" w:hAnsi="Arial" w:cs="Arial"/>
          <w:b/>
          <w:bCs/>
          <w:sz w:val="22"/>
          <w:szCs w:val="22"/>
        </w:rPr>
      </w:pPr>
    </w:p>
    <w:p w14:paraId="26CAC58F" w14:textId="2CE24C99" w:rsidR="005419F1" w:rsidRDefault="005419F1" w:rsidP="005419F1">
      <w:pPr>
        <w:pStyle w:val="NoSpacing"/>
        <w:rPr>
          <w:rFonts w:ascii="Arial" w:hAnsi="Arial" w:cs="Arial"/>
          <w:b/>
          <w:bCs/>
          <w:sz w:val="22"/>
          <w:szCs w:val="22"/>
        </w:rPr>
      </w:pPr>
      <w:r w:rsidRPr="005419F1">
        <w:rPr>
          <w:rFonts w:ascii="Arial" w:hAnsi="Arial" w:cs="Arial"/>
          <w:b/>
          <w:bCs/>
          <w:sz w:val="22"/>
          <w:szCs w:val="22"/>
        </w:rPr>
        <w:t>Appendix 4: Thematic Synthesis</w:t>
      </w:r>
    </w:p>
    <w:p w14:paraId="4B16B068" w14:textId="77777777" w:rsidR="005419F1" w:rsidRDefault="005419F1" w:rsidP="005419F1">
      <w:pPr>
        <w:pStyle w:val="NoSpacing"/>
        <w:rPr>
          <w:rFonts w:ascii="Arial" w:hAnsi="Arial" w:cs="Arial"/>
          <w:b/>
          <w:bCs/>
          <w:sz w:val="22"/>
          <w:szCs w:val="22"/>
        </w:rPr>
      </w:pPr>
    </w:p>
    <w:p w14:paraId="4670C1D5" w14:textId="77777777" w:rsidR="005419F1" w:rsidRDefault="005419F1" w:rsidP="005419F1">
      <w:pPr>
        <w:rPr>
          <w:rFonts w:ascii="Arial" w:hAnsi="Arial" w:cs="Arial"/>
          <w:b/>
          <w:bCs/>
          <w:sz w:val="22"/>
          <w:szCs w:val="22"/>
        </w:rPr>
      </w:pPr>
    </w:p>
    <w:tbl>
      <w:tblPr>
        <w:tblStyle w:val="TableGrid"/>
        <w:tblW w:w="10065" w:type="dxa"/>
        <w:tblInd w:w="-714" w:type="dxa"/>
        <w:tblLook w:val="04A0" w:firstRow="1" w:lastRow="0" w:firstColumn="1" w:lastColumn="0" w:noHBand="0" w:noVBand="1"/>
      </w:tblPr>
      <w:tblGrid>
        <w:gridCol w:w="3481"/>
        <w:gridCol w:w="3040"/>
        <w:gridCol w:w="3544"/>
      </w:tblGrid>
      <w:tr w:rsidR="005419F1" w14:paraId="4D7F1FD2" w14:textId="77777777" w:rsidTr="005419F1">
        <w:tc>
          <w:tcPr>
            <w:tcW w:w="3481" w:type="dxa"/>
          </w:tcPr>
          <w:p w14:paraId="01074EA6" w14:textId="22B2C68E" w:rsidR="005419F1" w:rsidRPr="005419F1" w:rsidRDefault="005419F1" w:rsidP="005419F1">
            <w:pPr>
              <w:pStyle w:val="NoSpacing"/>
              <w:rPr>
                <w:b/>
                <w:bCs/>
              </w:rPr>
            </w:pPr>
            <w:r w:rsidRPr="005419F1">
              <w:rPr>
                <w:b/>
                <w:bCs/>
              </w:rPr>
              <w:t>Theme</w:t>
            </w:r>
          </w:p>
        </w:tc>
        <w:tc>
          <w:tcPr>
            <w:tcW w:w="3040" w:type="dxa"/>
          </w:tcPr>
          <w:p w14:paraId="1060F685" w14:textId="76DA098B" w:rsidR="005419F1" w:rsidRPr="005419F1" w:rsidRDefault="005419F1" w:rsidP="005419F1">
            <w:pPr>
              <w:pStyle w:val="NoSpacing"/>
              <w:rPr>
                <w:b/>
                <w:bCs/>
              </w:rPr>
            </w:pPr>
            <w:r w:rsidRPr="005419F1">
              <w:rPr>
                <w:b/>
                <w:bCs/>
              </w:rPr>
              <w:t>Description</w:t>
            </w:r>
          </w:p>
        </w:tc>
        <w:tc>
          <w:tcPr>
            <w:tcW w:w="3544" w:type="dxa"/>
          </w:tcPr>
          <w:p w14:paraId="72DE1957" w14:textId="0B165978" w:rsidR="005419F1" w:rsidRPr="005419F1" w:rsidRDefault="005419F1" w:rsidP="005419F1">
            <w:pPr>
              <w:pStyle w:val="NoSpacing"/>
              <w:rPr>
                <w:b/>
                <w:bCs/>
              </w:rPr>
            </w:pPr>
            <w:r w:rsidRPr="005419F1">
              <w:rPr>
                <w:b/>
                <w:bCs/>
              </w:rPr>
              <w:t>Supporting Studies</w:t>
            </w:r>
          </w:p>
        </w:tc>
      </w:tr>
      <w:tr w:rsidR="005419F1" w14:paraId="524F927B" w14:textId="77777777" w:rsidTr="005419F1">
        <w:tc>
          <w:tcPr>
            <w:tcW w:w="3481" w:type="dxa"/>
          </w:tcPr>
          <w:p w14:paraId="20F48B3D" w14:textId="7E8D29EB" w:rsidR="005419F1" w:rsidRDefault="005419F1" w:rsidP="005419F1">
            <w:pPr>
              <w:pStyle w:val="NoSpacing"/>
            </w:pPr>
            <w:r w:rsidRPr="005419F1">
              <w:t>Improved balance and mobility</w:t>
            </w:r>
          </w:p>
        </w:tc>
        <w:tc>
          <w:tcPr>
            <w:tcW w:w="3040" w:type="dxa"/>
          </w:tcPr>
          <w:p w14:paraId="608E75BB" w14:textId="7460EA8B" w:rsidR="005419F1" w:rsidRDefault="005419F1" w:rsidP="005419F1">
            <w:pPr>
              <w:pStyle w:val="NoSpacing"/>
            </w:pPr>
            <w:r w:rsidRPr="005419F1">
              <w:t>Physiotherapy-led exercise improved strength and postural control</w:t>
            </w:r>
          </w:p>
        </w:tc>
        <w:tc>
          <w:tcPr>
            <w:tcW w:w="3544" w:type="dxa"/>
          </w:tcPr>
          <w:p w14:paraId="54476737" w14:textId="0D002F01" w:rsidR="005419F1" w:rsidRDefault="005419F1" w:rsidP="005419F1">
            <w:pPr>
              <w:pStyle w:val="NoSpacing"/>
            </w:pPr>
            <w:r w:rsidRPr="005419F1">
              <w:t>Clemson et al.; Chang et al.; Sherrington et al.</w:t>
            </w:r>
          </w:p>
        </w:tc>
      </w:tr>
      <w:tr w:rsidR="005419F1" w14:paraId="2D706E44" w14:textId="77777777" w:rsidTr="005419F1">
        <w:tc>
          <w:tcPr>
            <w:tcW w:w="3481" w:type="dxa"/>
          </w:tcPr>
          <w:p w14:paraId="51B348EE" w14:textId="354DB84B" w:rsidR="005419F1" w:rsidRDefault="005419F1" w:rsidP="005419F1">
            <w:pPr>
              <w:pStyle w:val="NoSpacing"/>
            </w:pPr>
            <w:r w:rsidRPr="005419F1">
              <w:t>Reduction in falls and fear of falling</w:t>
            </w:r>
          </w:p>
        </w:tc>
        <w:tc>
          <w:tcPr>
            <w:tcW w:w="3040" w:type="dxa"/>
          </w:tcPr>
          <w:p w14:paraId="6601C0E7" w14:textId="32C05D93" w:rsidR="005419F1" w:rsidRDefault="005419F1" w:rsidP="005419F1">
            <w:pPr>
              <w:pStyle w:val="NoSpacing"/>
            </w:pPr>
            <w:r w:rsidRPr="005419F1">
              <w:t>Interventions reduced fall risk and increased confidence</w:t>
            </w:r>
          </w:p>
        </w:tc>
        <w:tc>
          <w:tcPr>
            <w:tcW w:w="3544" w:type="dxa"/>
          </w:tcPr>
          <w:p w14:paraId="6C525414" w14:textId="216CEBE2" w:rsidR="005419F1" w:rsidRDefault="005419F1" w:rsidP="005419F1">
            <w:pPr>
              <w:pStyle w:val="NoSpacing"/>
            </w:pPr>
            <w:r w:rsidRPr="005419F1">
              <w:t>Gillespie et al.; Gardner et al.; Johnson et al.</w:t>
            </w:r>
          </w:p>
        </w:tc>
      </w:tr>
      <w:tr w:rsidR="005419F1" w14:paraId="1546D63E" w14:textId="77777777" w:rsidTr="005419F1">
        <w:tc>
          <w:tcPr>
            <w:tcW w:w="3481" w:type="dxa"/>
          </w:tcPr>
          <w:p w14:paraId="4D42E8DD" w14:textId="1034796D" w:rsidR="005419F1" w:rsidRDefault="005419F1" w:rsidP="005419F1">
            <w:pPr>
              <w:pStyle w:val="NoSpacing"/>
            </w:pPr>
            <w:r w:rsidRPr="005419F1">
              <w:t>Accessibility of community-based services</w:t>
            </w:r>
          </w:p>
        </w:tc>
        <w:tc>
          <w:tcPr>
            <w:tcW w:w="3040" w:type="dxa"/>
          </w:tcPr>
          <w:p w14:paraId="1AEC4F0A" w14:textId="2BAD2711" w:rsidR="005419F1" w:rsidRDefault="005419F1" w:rsidP="005419F1">
            <w:pPr>
              <w:pStyle w:val="NoSpacing"/>
            </w:pPr>
            <w:r w:rsidRPr="005419F1">
              <w:t>Local delivery improved uptake and adherence</w:t>
            </w:r>
          </w:p>
        </w:tc>
        <w:tc>
          <w:tcPr>
            <w:tcW w:w="3544" w:type="dxa"/>
          </w:tcPr>
          <w:p w14:paraId="76A0E38F" w14:textId="57F0329D" w:rsidR="005419F1" w:rsidRDefault="005419F1" w:rsidP="005419F1">
            <w:pPr>
              <w:pStyle w:val="NoSpacing"/>
            </w:pPr>
            <w:r w:rsidRPr="005419F1">
              <w:t>Clark et al.; Davies &amp; Patel</w:t>
            </w:r>
          </w:p>
        </w:tc>
      </w:tr>
      <w:tr w:rsidR="005419F1" w14:paraId="3EC0AA1C" w14:textId="77777777" w:rsidTr="005419F1">
        <w:tc>
          <w:tcPr>
            <w:tcW w:w="3481" w:type="dxa"/>
          </w:tcPr>
          <w:p w14:paraId="5995D493" w14:textId="7F0FA950" w:rsidR="005419F1" w:rsidRDefault="005419F1" w:rsidP="005419F1">
            <w:pPr>
              <w:pStyle w:val="NoSpacing"/>
            </w:pPr>
            <w:r w:rsidRPr="005419F1">
              <w:t>Behaviour change and adherence</w:t>
            </w:r>
          </w:p>
        </w:tc>
        <w:tc>
          <w:tcPr>
            <w:tcW w:w="3040" w:type="dxa"/>
          </w:tcPr>
          <w:p w14:paraId="6408F340" w14:textId="4083319F" w:rsidR="005419F1" w:rsidRDefault="005419F1" w:rsidP="005419F1">
            <w:pPr>
              <w:pStyle w:val="NoSpacing"/>
            </w:pPr>
            <w:r w:rsidRPr="005419F1">
              <w:t>Motivation and professional support influenced participation</w:t>
            </w:r>
          </w:p>
        </w:tc>
        <w:tc>
          <w:tcPr>
            <w:tcW w:w="3544" w:type="dxa"/>
          </w:tcPr>
          <w:p w14:paraId="4668D503" w14:textId="0E0B37E5" w:rsidR="005419F1" w:rsidRDefault="005419F1" w:rsidP="005419F1">
            <w:pPr>
              <w:pStyle w:val="NoSpacing"/>
            </w:pPr>
            <w:r w:rsidRPr="005419F1">
              <w:t>Harrison et al.; Brown &amp; Li</w:t>
            </w:r>
          </w:p>
        </w:tc>
      </w:tr>
      <w:tr w:rsidR="005419F1" w14:paraId="14523693" w14:textId="77777777" w:rsidTr="005419F1">
        <w:tc>
          <w:tcPr>
            <w:tcW w:w="3481" w:type="dxa"/>
          </w:tcPr>
          <w:p w14:paraId="004ABBBC" w14:textId="7D83D821" w:rsidR="005419F1" w:rsidRDefault="005419F1" w:rsidP="005419F1">
            <w:pPr>
              <w:pStyle w:val="NoSpacing"/>
            </w:pPr>
            <w:r w:rsidRPr="005419F1">
              <w:t>Health equity considerations</w:t>
            </w:r>
          </w:p>
        </w:tc>
        <w:tc>
          <w:tcPr>
            <w:tcW w:w="3040" w:type="dxa"/>
          </w:tcPr>
          <w:p w14:paraId="4E10BA51" w14:textId="5371A8E9" w:rsidR="005419F1" w:rsidRDefault="005419F1" w:rsidP="005419F1">
            <w:pPr>
              <w:pStyle w:val="NoSpacing"/>
            </w:pPr>
            <w:r w:rsidRPr="005419F1">
              <w:t>Socioeconomic and environmental factors influenced outcomes</w:t>
            </w:r>
          </w:p>
        </w:tc>
        <w:tc>
          <w:tcPr>
            <w:tcW w:w="3544" w:type="dxa"/>
          </w:tcPr>
          <w:p w14:paraId="72C896E8" w14:textId="7BA2FE84" w:rsidR="005419F1" w:rsidRDefault="005419F1" w:rsidP="005419F1">
            <w:pPr>
              <w:pStyle w:val="NoSpacing"/>
            </w:pPr>
            <w:r w:rsidRPr="005419F1">
              <w:t>Marmot et al.; Davies &amp; Patel</w:t>
            </w:r>
          </w:p>
        </w:tc>
      </w:tr>
    </w:tbl>
    <w:p w14:paraId="2E898E43" w14:textId="77777777" w:rsidR="005419F1" w:rsidRDefault="005419F1" w:rsidP="005419F1">
      <w:pPr>
        <w:ind w:firstLine="720"/>
      </w:pPr>
    </w:p>
    <w:p w14:paraId="4D9112DB" w14:textId="77777777" w:rsidR="00CF476F" w:rsidRDefault="00CF476F" w:rsidP="005419F1">
      <w:pPr>
        <w:ind w:firstLine="720"/>
      </w:pPr>
    </w:p>
    <w:p w14:paraId="34207AE1" w14:textId="77777777" w:rsidR="00CF476F" w:rsidRDefault="00CF476F" w:rsidP="005419F1">
      <w:pPr>
        <w:ind w:firstLine="720"/>
      </w:pPr>
    </w:p>
    <w:p w14:paraId="50708A18" w14:textId="77777777" w:rsidR="00CF476F" w:rsidRDefault="00CF476F" w:rsidP="005419F1">
      <w:pPr>
        <w:ind w:firstLine="720"/>
      </w:pPr>
    </w:p>
    <w:p w14:paraId="1717AEAC" w14:textId="77777777" w:rsidR="00CF476F" w:rsidRDefault="00CF476F" w:rsidP="005419F1">
      <w:pPr>
        <w:ind w:firstLine="720"/>
      </w:pPr>
    </w:p>
    <w:p w14:paraId="208D9B3E" w14:textId="77777777" w:rsidR="00CF476F" w:rsidRDefault="00CF476F" w:rsidP="005419F1">
      <w:pPr>
        <w:ind w:firstLine="720"/>
      </w:pPr>
    </w:p>
    <w:p w14:paraId="79BCEF3C" w14:textId="77777777" w:rsidR="00CF476F" w:rsidRDefault="00CF476F" w:rsidP="005419F1">
      <w:pPr>
        <w:ind w:firstLine="720"/>
      </w:pPr>
    </w:p>
    <w:p w14:paraId="17B9C810" w14:textId="77777777" w:rsidR="00CF476F" w:rsidRDefault="00CF476F" w:rsidP="005419F1">
      <w:pPr>
        <w:ind w:firstLine="720"/>
      </w:pPr>
    </w:p>
    <w:p w14:paraId="2E432BE5" w14:textId="77777777" w:rsidR="00CF476F" w:rsidRDefault="00CF476F" w:rsidP="005419F1">
      <w:pPr>
        <w:ind w:firstLine="720"/>
      </w:pPr>
    </w:p>
    <w:p w14:paraId="75C1781B" w14:textId="77777777" w:rsidR="00CF476F" w:rsidRDefault="00CF476F" w:rsidP="005419F1">
      <w:pPr>
        <w:ind w:firstLine="720"/>
      </w:pPr>
    </w:p>
    <w:p w14:paraId="4B46703F" w14:textId="77777777" w:rsidR="00CF476F" w:rsidRDefault="00CF476F" w:rsidP="005419F1">
      <w:pPr>
        <w:ind w:firstLine="720"/>
      </w:pPr>
    </w:p>
    <w:p w14:paraId="6D1E9906" w14:textId="77777777" w:rsidR="00CF476F" w:rsidRDefault="00CF476F" w:rsidP="005419F1">
      <w:pPr>
        <w:ind w:firstLine="720"/>
      </w:pPr>
    </w:p>
    <w:p w14:paraId="676A3140" w14:textId="77777777" w:rsidR="00CF476F" w:rsidRDefault="00CF476F" w:rsidP="005419F1">
      <w:pPr>
        <w:ind w:firstLine="720"/>
      </w:pPr>
    </w:p>
    <w:p w14:paraId="70BB50CE" w14:textId="77777777" w:rsidR="00CF476F" w:rsidRDefault="00CF476F" w:rsidP="005419F1">
      <w:pPr>
        <w:ind w:firstLine="720"/>
      </w:pPr>
    </w:p>
    <w:p w14:paraId="7A796188" w14:textId="77777777" w:rsidR="00CF476F" w:rsidRDefault="00CF476F" w:rsidP="005419F1">
      <w:pPr>
        <w:ind w:firstLine="720"/>
      </w:pPr>
    </w:p>
    <w:p w14:paraId="62463092" w14:textId="77777777" w:rsidR="00CF476F" w:rsidRDefault="00CF476F" w:rsidP="005419F1">
      <w:pPr>
        <w:ind w:firstLine="720"/>
      </w:pPr>
    </w:p>
    <w:p w14:paraId="0B0696EE" w14:textId="74FFA6F4" w:rsidR="0033614A" w:rsidRDefault="0033614A" w:rsidP="005419F1">
      <w:pPr>
        <w:ind w:firstLine="720"/>
        <w:rPr>
          <w:b/>
          <w:bCs/>
        </w:rPr>
      </w:pPr>
      <w:r w:rsidRPr="0033614A">
        <w:rPr>
          <w:b/>
          <w:bCs/>
        </w:rPr>
        <w:t>Appendix 5: List of Abbreviations</w:t>
      </w:r>
    </w:p>
    <w:p w14:paraId="4C7F6EA9" w14:textId="77777777" w:rsidR="0033614A" w:rsidRDefault="0033614A" w:rsidP="005419F1">
      <w:pPr>
        <w:ind w:firstLine="720"/>
        <w:rPr>
          <w:b/>
          <w:bCs/>
        </w:rPr>
      </w:pPr>
    </w:p>
    <w:p w14:paraId="087D479F" w14:textId="2D123ADE" w:rsidR="0033614A" w:rsidRDefault="0033614A" w:rsidP="0033614A">
      <w:pPr>
        <w:spacing w:line="360" w:lineRule="auto"/>
        <w:ind w:firstLine="720"/>
      </w:pPr>
      <w:r>
        <w:t>CASP – Critical Appraisal Skills Programme</w:t>
      </w:r>
    </w:p>
    <w:p w14:paraId="1E7087D4" w14:textId="77777777" w:rsidR="0033614A" w:rsidRDefault="0033614A" w:rsidP="0033614A">
      <w:pPr>
        <w:spacing w:line="360" w:lineRule="auto"/>
        <w:ind w:firstLine="720"/>
      </w:pPr>
      <w:r>
        <w:t>JBI – Joanna Briggs Institute</w:t>
      </w:r>
    </w:p>
    <w:p w14:paraId="74AAAD8A" w14:textId="1BC3CBFB" w:rsidR="0033614A" w:rsidRDefault="0033614A" w:rsidP="0033614A">
      <w:pPr>
        <w:spacing w:line="360" w:lineRule="auto"/>
        <w:ind w:firstLine="720"/>
      </w:pPr>
      <w:r>
        <w:t>LIFE– Lifestyle-integrated Functional Exercise</w:t>
      </w:r>
    </w:p>
    <w:p w14:paraId="4EA3E770" w14:textId="77777777" w:rsidR="0033614A" w:rsidRDefault="0033614A" w:rsidP="0033614A">
      <w:pPr>
        <w:spacing w:line="360" w:lineRule="auto"/>
        <w:ind w:firstLine="720"/>
      </w:pPr>
      <w:r>
        <w:t>RCT – Randomised Controlled Trial</w:t>
      </w:r>
    </w:p>
    <w:p w14:paraId="015DE87A" w14:textId="77777777" w:rsidR="0033614A" w:rsidRDefault="0033614A" w:rsidP="0033614A">
      <w:pPr>
        <w:spacing w:line="360" w:lineRule="auto"/>
        <w:ind w:firstLine="720"/>
      </w:pPr>
      <w:r>
        <w:t>SWIM – Synthesis Without Meta-analysis</w:t>
      </w:r>
    </w:p>
    <w:p w14:paraId="58F9A590" w14:textId="433FCB0F" w:rsidR="0033614A" w:rsidRPr="0033614A" w:rsidRDefault="0033614A" w:rsidP="0033614A">
      <w:pPr>
        <w:spacing w:line="360" w:lineRule="auto"/>
        <w:ind w:firstLine="720"/>
      </w:pPr>
      <w:r>
        <w:t>TUG – Timed Up and Go Test</w:t>
      </w:r>
    </w:p>
    <w:sectPr w:rsidR="0033614A" w:rsidRPr="0033614A" w:rsidSect="003F29DA">
      <w:headerReference w:type="default" r:id="rId47"/>
      <w:pgSz w:w="11906" w:h="16838"/>
      <w:pgMar w:top="1440" w:right="1797" w:bottom="1440" w:left="179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2BAFEF" w14:textId="77777777" w:rsidR="006D5FD7" w:rsidRDefault="006D5FD7" w:rsidP="003F29DA">
      <w:pPr>
        <w:spacing w:after="0" w:line="240" w:lineRule="auto"/>
      </w:pPr>
      <w:r>
        <w:separator/>
      </w:r>
    </w:p>
  </w:endnote>
  <w:endnote w:type="continuationSeparator" w:id="0">
    <w:p w14:paraId="69652FEB" w14:textId="77777777" w:rsidR="006D5FD7" w:rsidRDefault="006D5FD7" w:rsidP="003F29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A65061" w14:textId="77777777" w:rsidR="006D5FD7" w:rsidRDefault="006D5FD7" w:rsidP="003F29DA">
      <w:pPr>
        <w:spacing w:after="0" w:line="240" w:lineRule="auto"/>
      </w:pPr>
      <w:r>
        <w:separator/>
      </w:r>
    </w:p>
  </w:footnote>
  <w:footnote w:type="continuationSeparator" w:id="0">
    <w:p w14:paraId="676BDC38" w14:textId="77777777" w:rsidR="006D5FD7" w:rsidRDefault="006D5FD7" w:rsidP="003F29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0DC550" w14:textId="56EB7705" w:rsidR="003F29DA" w:rsidRPr="003F29DA" w:rsidRDefault="003F29DA" w:rsidP="003F29DA">
    <w:pPr>
      <w:pStyle w:val="Header"/>
      <w:jc w:val="center"/>
      <w:rPr>
        <w:rFonts w:ascii="Arial" w:hAnsi="Arial" w:cs="Arial"/>
        <w:sz w:val="22"/>
        <w:szCs w:val="22"/>
      </w:rPr>
    </w:pPr>
    <w:r w:rsidRPr="003F29DA">
      <w:rPr>
        <w:rFonts w:ascii="Arial" w:hAnsi="Arial" w:cs="Arial"/>
        <w:sz w:val="22"/>
        <w:szCs w:val="22"/>
      </w:rPr>
      <w:t>2424903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64FC4"/>
    <w:multiLevelType w:val="hybridMultilevel"/>
    <w:tmpl w:val="9C4801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4B66ECB"/>
    <w:multiLevelType w:val="hybridMultilevel"/>
    <w:tmpl w:val="679683D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52F7E5B"/>
    <w:multiLevelType w:val="hybridMultilevel"/>
    <w:tmpl w:val="923210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09379E3"/>
    <w:multiLevelType w:val="hybridMultilevel"/>
    <w:tmpl w:val="7368D5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BAB064D"/>
    <w:multiLevelType w:val="hybridMultilevel"/>
    <w:tmpl w:val="AD8C86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11649F9"/>
    <w:multiLevelType w:val="hybridMultilevel"/>
    <w:tmpl w:val="2E5CE64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419F2867"/>
    <w:multiLevelType w:val="hybridMultilevel"/>
    <w:tmpl w:val="543E3D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87A3FA6"/>
    <w:multiLevelType w:val="hybridMultilevel"/>
    <w:tmpl w:val="F69AF9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3E8085F"/>
    <w:multiLevelType w:val="hybridMultilevel"/>
    <w:tmpl w:val="9DD8E44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67F270C8"/>
    <w:multiLevelType w:val="hybridMultilevel"/>
    <w:tmpl w:val="D576CD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6C356A8A"/>
    <w:multiLevelType w:val="hybridMultilevel"/>
    <w:tmpl w:val="F46A095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6E0D4248"/>
    <w:multiLevelType w:val="hybridMultilevel"/>
    <w:tmpl w:val="E9C4A4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73723BA1"/>
    <w:multiLevelType w:val="hybridMultilevel"/>
    <w:tmpl w:val="E6CA4F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7D9E59E9"/>
    <w:multiLevelType w:val="hybridMultilevel"/>
    <w:tmpl w:val="26BC49A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15280388">
    <w:abstractNumId w:val="4"/>
  </w:num>
  <w:num w:numId="2" w16cid:durableId="678044050">
    <w:abstractNumId w:val="3"/>
  </w:num>
  <w:num w:numId="3" w16cid:durableId="240532941">
    <w:abstractNumId w:val="5"/>
  </w:num>
  <w:num w:numId="4" w16cid:durableId="1109814097">
    <w:abstractNumId w:val="7"/>
  </w:num>
  <w:num w:numId="5" w16cid:durableId="1664047982">
    <w:abstractNumId w:val="6"/>
  </w:num>
  <w:num w:numId="6" w16cid:durableId="1905412630">
    <w:abstractNumId w:val="9"/>
  </w:num>
  <w:num w:numId="7" w16cid:durableId="441997017">
    <w:abstractNumId w:val="2"/>
  </w:num>
  <w:num w:numId="8" w16cid:durableId="2044012045">
    <w:abstractNumId w:val="0"/>
  </w:num>
  <w:num w:numId="9" w16cid:durableId="1855607489">
    <w:abstractNumId w:val="11"/>
  </w:num>
  <w:num w:numId="10" w16cid:durableId="372853287">
    <w:abstractNumId w:val="1"/>
  </w:num>
  <w:num w:numId="11" w16cid:durableId="1724669267">
    <w:abstractNumId w:val="12"/>
  </w:num>
  <w:num w:numId="12" w16cid:durableId="1685748002">
    <w:abstractNumId w:val="8"/>
  </w:num>
  <w:num w:numId="13" w16cid:durableId="636490775">
    <w:abstractNumId w:val="13"/>
  </w:num>
  <w:num w:numId="14" w16cid:durableId="93679168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9DA"/>
    <w:rsid w:val="00053DEF"/>
    <w:rsid w:val="00081934"/>
    <w:rsid w:val="0009203D"/>
    <w:rsid w:val="00096385"/>
    <w:rsid w:val="000F5365"/>
    <w:rsid w:val="00133F27"/>
    <w:rsid w:val="001A0F14"/>
    <w:rsid w:val="001C31FB"/>
    <w:rsid w:val="001D1041"/>
    <w:rsid w:val="00210A21"/>
    <w:rsid w:val="00212F54"/>
    <w:rsid w:val="00271515"/>
    <w:rsid w:val="002A4F71"/>
    <w:rsid w:val="002D1729"/>
    <w:rsid w:val="002D79EE"/>
    <w:rsid w:val="002F340F"/>
    <w:rsid w:val="002F690B"/>
    <w:rsid w:val="0033614A"/>
    <w:rsid w:val="00340FCB"/>
    <w:rsid w:val="0036382F"/>
    <w:rsid w:val="00387741"/>
    <w:rsid w:val="003902B9"/>
    <w:rsid w:val="00397282"/>
    <w:rsid w:val="003A6D4C"/>
    <w:rsid w:val="003C29B4"/>
    <w:rsid w:val="003C35EA"/>
    <w:rsid w:val="003C75C6"/>
    <w:rsid w:val="003E053E"/>
    <w:rsid w:val="003F29DA"/>
    <w:rsid w:val="00410B86"/>
    <w:rsid w:val="00415A6A"/>
    <w:rsid w:val="00416A68"/>
    <w:rsid w:val="00421D4D"/>
    <w:rsid w:val="00431862"/>
    <w:rsid w:val="004673E9"/>
    <w:rsid w:val="004B3910"/>
    <w:rsid w:val="004E3A50"/>
    <w:rsid w:val="004F0C75"/>
    <w:rsid w:val="004F2F7D"/>
    <w:rsid w:val="004F41A2"/>
    <w:rsid w:val="0050299A"/>
    <w:rsid w:val="00516F9C"/>
    <w:rsid w:val="00531B69"/>
    <w:rsid w:val="00535BEE"/>
    <w:rsid w:val="00535F4F"/>
    <w:rsid w:val="005419F1"/>
    <w:rsid w:val="0055616D"/>
    <w:rsid w:val="00560B2C"/>
    <w:rsid w:val="005D7A42"/>
    <w:rsid w:val="005D7A7A"/>
    <w:rsid w:val="005F51FB"/>
    <w:rsid w:val="0062717A"/>
    <w:rsid w:val="00640A39"/>
    <w:rsid w:val="0064380B"/>
    <w:rsid w:val="00644B45"/>
    <w:rsid w:val="0064571D"/>
    <w:rsid w:val="006A227D"/>
    <w:rsid w:val="006B7C22"/>
    <w:rsid w:val="006C523E"/>
    <w:rsid w:val="006D5FD7"/>
    <w:rsid w:val="006F33E4"/>
    <w:rsid w:val="00706A5F"/>
    <w:rsid w:val="00721C83"/>
    <w:rsid w:val="00725F2B"/>
    <w:rsid w:val="00726C1A"/>
    <w:rsid w:val="00767DC3"/>
    <w:rsid w:val="007726CB"/>
    <w:rsid w:val="007871A5"/>
    <w:rsid w:val="007B0741"/>
    <w:rsid w:val="007B6AB4"/>
    <w:rsid w:val="008062F6"/>
    <w:rsid w:val="00817ED8"/>
    <w:rsid w:val="00867FFD"/>
    <w:rsid w:val="008A5418"/>
    <w:rsid w:val="008C083F"/>
    <w:rsid w:val="008C0C7F"/>
    <w:rsid w:val="008E3728"/>
    <w:rsid w:val="00923676"/>
    <w:rsid w:val="00932D91"/>
    <w:rsid w:val="00986815"/>
    <w:rsid w:val="00997F91"/>
    <w:rsid w:val="009B4DA6"/>
    <w:rsid w:val="009D4486"/>
    <w:rsid w:val="009E5A2A"/>
    <w:rsid w:val="009F5D2A"/>
    <w:rsid w:val="00A10D9D"/>
    <w:rsid w:val="00A473EA"/>
    <w:rsid w:val="00A57846"/>
    <w:rsid w:val="00A61438"/>
    <w:rsid w:val="00AA0044"/>
    <w:rsid w:val="00AB5005"/>
    <w:rsid w:val="00B01B9B"/>
    <w:rsid w:val="00B1013A"/>
    <w:rsid w:val="00B61FBC"/>
    <w:rsid w:val="00B77F6B"/>
    <w:rsid w:val="00B87638"/>
    <w:rsid w:val="00B87FA6"/>
    <w:rsid w:val="00BB2C98"/>
    <w:rsid w:val="00C82247"/>
    <w:rsid w:val="00CB43DB"/>
    <w:rsid w:val="00CC283E"/>
    <w:rsid w:val="00CF476F"/>
    <w:rsid w:val="00D44748"/>
    <w:rsid w:val="00D55EB7"/>
    <w:rsid w:val="00D604B5"/>
    <w:rsid w:val="00D61FFA"/>
    <w:rsid w:val="00D86585"/>
    <w:rsid w:val="00D9219E"/>
    <w:rsid w:val="00DC0349"/>
    <w:rsid w:val="00DD6778"/>
    <w:rsid w:val="00DF1BA1"/>
    <w:rsid w:val="00E07B12"/>
    <w:rsid w:val="00E16D0C"/>
    <w:rsid w:val="00E26815"/>
    <w:rsid w:val="00E83604"/>
    <w:rsid w:val="00EA602F"/>
    <w:rsid w:val="00EB147A"/>
    <w:rsid w:val="00ED1AA3"/>
    <w:rsid w:val="00ED213B"/>
    <w:rsid w:val="00F05A3C"/>
    <w:rsid w:val="00F25631"/>
    <w:rsid w:val="00F35EC6"/>
    <w:rsid w:val="00F92EBD"/>
    <w:rsid w:val="00FB7761"/>
    <w:rsid w:val="00FC58D3"/>
    <w:rsid w:val="00FF462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AA4F9"/>
  <w15:chartTrackingRefBased/>
  <w15:docId w15:val="{AFC0241F-7C64-414D-95EA-D5D3547D0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29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F29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F29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29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29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29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29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29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29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9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F29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F29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29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29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29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29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29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29DA"/>
    <w:rPr>
      <w:rFonts w:eastAsiaTheme="majorEastAsia" w:cstheme="majorBidi"/>
      <w:color w:val="272727" w:themeColor="text1" w:themeTint="D8"/>
    </w:rPr>
  </w:style>
  <w:style w:type="paragraph" w:styleId="Title">
    <w:name w:val="Title"/>
    <w:basedOn w:val="Normal"/>
    <w:next w:val="Normal"/>
    <w:link w:val="TitleChar"/>
    <w:uiPriority w:val="10"/>
    <w:qFormat/>
    <w:rsid w:val="003F29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29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29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29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29DA"/>
    <w:pPr>
      <w:spacing w:before="160"/>
      <w:jc w:val="center"/>
    </w:pPr>
    <w:rPr>
      <w:i/>
      <w:iCs/>
      <w:color w:val="404040" w:themeColor="text1" w:themeTint="BF"/>
    </w:rPr>
  </w:style>
  <w:style w:type="character" w:customStyle="1" w:styleId="QuoteChar">
    <w:name w:val="Quote Char"/>
    <w:basedOn w:val="DefaultParagraphFont"/>
    <w:link w:val="Quote"/>
    <w:uiPriority w:val="29"/>
    <w:rsid w:val="003F29DA"/>
    <w:rPr>
      <w:i/>
      <w:iCs/>
      <w:color w:val="404040" w:themeColor="text1" w:themeTint="BF"/>
    </w:rPr>
  </w:style>
  <w:style w:type="paragraph" w:styleId="ListParagraph">
    <w:name w:val="List Paragraph"/>
    <w:basedOn w:val="Normal"/>
    <w:uiPriority w:val="34"/>
    <w:qFormat/>
    <w:rsid w:val="003F29DA"/>
    <w:pPr>
      <w:ind w:left="720"/>
      <w:contextualSpacing/>
    </w:pPr>
  </w:style>
  <w:style w:type="character" w:styleId="IntenseEmphasis">
    <w:name w:val="Intense Emphasis"/>
    <w:basedOn w:val="DefaultParagraphFont"/>
    <w:uiPriority w:val="21"/>
    <w:qFormat/>
    <w:rsid w:val="003F29DA"/>
    <w:rPr>
      <w:i/>
      <w:iCs/>
      <w:color w:val="0F4761" w:themeColor="accent1" w:themeShade="BF"/>
    </w:rPr>
  </w:style>
  <w:style w:type="paragraph" w:styleId="IntenseQuote">
    <w:name w:val="Intense Quote"/>
    <w:basedOn w:val="Normal"/>
    <w:next w:val="Normal"/>
    <w:link w:val="IntenseQuoteChar"/>
    <w:uiPriority w:val="30"/>
    <w:qFormat/>
    <w:rsid w:val="003F29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29DA"/>
    <w:rPr>
      <w:i/>
      <w:iCs/>
      <w:color w:val="0F4761" w:themeColor="accent1" w:themeShade="BF"/>
    </w:rPr>
  </w:style>
  <w:style w:type="character" w:styleId="IntenseReference">
    <w:name w:val="Intense Reference"/>
    <w:basedOn w:val="DefaultParagraphFont"/>
    <w:uiPriority w:val="32"/>
    <w:qFormat/>
    <w:rsid w:val="003F29DA"/>
    <w:rPr>
      <w:b/>
      <w:bCs/>
      <w:smallCaps/>
      <w:color w:val="0F4761" w:themeColor="accent1" w:themeShade="BF"/>
      <w:spacing w:val="5"/>
    </w:rPr>
  </w:style>
  <w:style w:type="paragraph" w:styleId="Header">
    <w:name w:val="header"/>
    <w:basedOn w:val="Normal"/>
    <w:link w:val="HeaderChar"/>
    <w:uiPriority w:val="99"/>
    <w:unhideWhenUsed/>
    <w:rsid w:val="003F29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29DA"/>
  </w:style>
  <w:style w:type="paragraph" w:styleId="Footer">
    <w:name w:val="footer"/>
    <w:basedOn w:val="Normal"/>
    <w:link w:val="FooterChar"/>
    <w:uiPriority w:val="99"/>
    <w:unhideWhenUsed/>
    <w:rsid w:val="003F29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29DA"/>
  </w:style>
  <w:style w:type="paragraph" w:customStyle="1" w:styleId="TableParagraph">
    <w:name w:val="Table Paragraph"/>
    <w:basedOn w:val="Normal"/>
    <w:uiPriority w:val="1"/>
    <w:qFormat/>
    <w:rsid w:val="002D1729"/>
    <w:pPr>
      <w:widowControl w:val="0"/>
      <w:autoSpaceDE w:val="0"/>
      <w:autoSpaceDN w:val="0"/>
      <w:spacing w:before="153" w:after="0" w:line="240" w:lineRule="auto"/>
      <w:ind w:left="40"/>
    </w:pPr>
    <w:rPr>
      <w:rFonts w:ascii="Arial MT" w:eastAsia="Arial MT" w:hAnsi="Arial MT" w:cs="Arial MT"/>
      <w:kern w:val="0"/>
      <w:sz w:val="22"/>
      <w:szCs w:val="22"/>
      <w:lang w:val="en-US"/>
      <w14:ligatures w14:val="none"/>
    </w:rPr>
  </w:style>
  <w:style w:type="paragraph" w:styleId="TOCHeading">
    <w:name w:val="TOC Heading"/>
    <w:basedOn w:val="Heading1"/>
    <w:next w:val="Normal"/>
    <w:uiPriority w:val="39"/>
    <w:unhideWhenUsed/>
    <w:qFormat/>
    <w:rsid w:val="005D7A7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D7A7A"/>
    <w:pPr>
      <w:spacing w:after="100"/>
    </w:pPr>
  </w:style>
  <w:style w:type="paragraph" w:styleId="TOC2">
    <w:name w:val="toc 2"/>
    <w:basedOn w:val="Normal"/>
    <w:next w:val="Normal"/>
    <w:autoRedefine/>
    <w:uiPriority w:val="39"/>
    <w:unhideWhenUsed/>
    <w:rsid w:val="005D7A7A"/>
    <w:pPr>
      <w:spacing w:after="100"/>
      <w:ind w:left="240"/>
    </w:pPr>
  </w:style>
  <w:style w:type="paragraph" w:styleId="TOC3">
    <w:name w:val="toc 3"/>
    <w:basedOn w:val="Normal"/>
    <w:next w:val="Normal"/>
    <w:autoRedefine/>
    <w:uiPriority w:val="39"/>
    <w:unhideWhenUsed/>
    <w:rsid w:val="005D7A7A"/>
    <w:pPr>
      <w:spacing w:after="100"/>
      <w:ind w:left="480"/>
    </w:pPr>
  </w:style>
  <w:style w:type="character" w:styleId="Hyperlink">
    <w:name w:val="Hyperlink"/>
    <w:basedOn w:val="DefaultParagraphFont"/>
    <w:uiPriority w:val="99"/>
    <w:unhideWhenUsed/>
    <w:rsid w:val="005D7A7A"/>
    <w:rPr>
      <w:color w:val="467886" w:themeColor="hyperlink"/>
      <w:u w:val="single"/>
    </w:rPr>
  </w:style>
  <w:style w:type="character" w:styleId="UnresolvedMention">
    <w:name w:val="Unresolved Mention"/>
    <w:basedOn w:val="DefaultParagraphFont"/>
    <w:uiPriority w:val="99"/>
    <w:semiHidden/>
    <w:unhideWhenUsed/>
    <w:rsid w:val="00D604B5"/>
    <w:rPr>
      <w:color w:val="605E5C"/>
      <w:shd w:val="clear" w:color="auto" w:fill="E1DFDD"/>
    </w:rPr>
  </w:style>
  <w:style w:type="character" w:styleId="FollowedHyperlink">
    <w:name w:val="FollowedHyperlink"/>
    <w:basedOn w:val="DefaultParagraphFont"/>
    <w:uiPriority w:val="99"/>
    <w:semiHidden/>
    <w:unhideWhenUsed/>
    <w:rsid w:val="007871A5"/>
    <w:rPr>
      <w:color w:val="96607D" w:themeColor="followedHyperlink"/>
      <w:u w:val="single"/>
    </w:rPr>
  </w:style>
  <w:style w:type="table" w:styleId="TableGrid">
    <w:name w:val="Table Grid"/>
    <w:basedOn w:val="TableNormal"/>
    <w:uiPriority w:val="39"/>
    <w:rsid w:val="004B39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4B391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4B391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4B391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4B391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4B391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4B391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4B3910"/>
    <w:pPr>
      <w:spacing w:after="0" w:line="240" w:lineRule="auto"/>
    </w:pPr>
  </w:style>
  <w:style w:type="paragraph" w:styleId="NormalWeb">
    <w:name w:val="Normal (Web)"/>
    <w:basedOn w:val="Normal"/>
    <w:uiPriority w:val="99"/>
    <w:unhideWhenUsed/>
    <w:rsid w:val="0055616D"/>
    <w:pPr>
      <w:spacing w:before="100" w:beforeAutospacing="1" w:after="100" w:afterAutospacing="1" w:line="240" w:lineRule="auto"/>
    </w:pPr>
    <w:rPr>
      <w:rFonts w:ascii="Times New Roman" w:eastAsia="Times New Roman" w:hAnsi="Times New Roman" w:cs="Times New Roman"/>
      <w:kern w:val="0"/>
      <w:lang w:eastAsia="en-IN"/>
      <w14:ligatures w14:val="none"/>
    </w:rPr>
  </w:style>
  <w:style w:type="character" w:styleId="Emphasis">
    <w:name w:val="Emphasis"/>
    <w:basedOn w:val="DefaultParagraphFont"/>
    <w:uiPriority w:val="20"/>
    <w:qFormat/>
    <w:rsid w:val="0055616D"/>
    <w:rPr>
      <w:i/>
      <w:iCs/>
    </w:rPr>
  </w:style>
  <w:style w:type="paragraph" w:styleId="TOC4">
    <w:name w:val="toc 4"/>
    <w:basedOn w:val="Normal"/>
    <w:next w:val="Normal"/>
    <w:autoRedefine/>
    <w:uiPriority w:val="39"/>
    <w:unhideWhenUsed/>
    <w:rsid w:val="00387741"/>
    <w:pPr>
      <w:spacing w:after="100"/>
      <w:ind w:left="720"/>
    </w:pPr>
    <w:rPr>
      <w:rFonts w:eastAsiaTheme="minorEastAsia"/>
      <w:lang w:eastAsia="en-IN"/>
    </w:rPr>
  </w:style>
  <w:style w:type="paragraph" w:styleId="TOC5">
    <w:name w:val="toc 5"/>
    <w:basedOn w:val="Normal"/>
    <w:next w:val="Normal"/>
    <w:autoRedefine/>
    <w:uiPriority w:val="39"/>
    <w:unhideWhenUsed/>
    <w:rsid w:val="00387741"/>
    <w:pPr>
      <w:spacing w:after="100"/>
      <w:ind w:left="960"/>
    </w:pPr>
    <w:rPr>
      <w:rFonts w:eastAsiaTheme="minorEastAsia"/>
      <w:lang w:eastAsia="en-IN"/>
    </w:rPr>
  </w:style>
  <w:style w:type="paragraph" w:styleId="TOC6">
    <w:name w:val="toc 6"/>
    <w:basedOn w:val="Normal"/>
    <w:next w:val="Normal"/>
    <w:autoRedefine/>
    <w:uiPriority w:val="39"/>
    <w:unhideWhenUsed/>
    <w:rsid w:val="00387741"/>
    <w:pPr>
      <w:spacing w:after="100"/>
      <w:ind w:left="1200"/>
    </w:pPr>
    <w:rPr>
      <w:rFonts w:eastAsiaTheme="minorEastAsia"/>
      <w:lang w:eastAsia="en-IN"/>
    </w:rPr>
  </w:style>
  <w:style w:type="paragraph" w:styleId="TOC7">
    <w:name w:val="toc 7"/>
    <w:basedOn w:val="Normal"/>
    <w:next w:val="Normal"/>
    <w:autoRedefine/>
    <w:uiPriority w:val="39"/>
    <w:unhideWhenUsed/>
    <w:rsid w:val="00387741"/>
    <w:pPr>
      <w:spacing w:after="100"/>
      <w:ind w:left="1440"/>
    </w:pPr>
    <w:rPr>
      <w:rFonts w:eastAsiaTheme="minorEastAsia"/>
      <w:lang w:eastAsia="en-IN"/>
    </w:rPr>
  </w:style>
  <w:style w:type="paragraph" w:styleId="TOC8">
    <w:name w:val="toc 8"/>
    <w:basedOn w:val="Normal"/>
    <w:next w:val="Normal"/>
    <w:autoRedefine/>
    <w:uiPriority w:val="39"/>
    <w:unhideWhenUsed/>
    <w:rsid w:val="00387741"/>
    <w:pPr>
      <w:spacing w:after="100"/>
      <w:ind w:left="1680"/>
    </w:pPr>
    <w:rPr>
      <w:rFonts w:eastAsiaTheme="minorEastAsia"/>
      <w:lang w:eastAsia="en-IN"/>
    </w:rPr>
  </w:style>
  <w:style w:type="paragraph" w:styleId="TOC9">
    <w:name w:val="toc 9"/>
    <w:basedOn w:val="Normal"/>
    <w:next w:val="Normal"/>
    <w:autoRedefine/>
    <w:uiPriority w:val="39"/>
    <w:unhideWhenUsed/>
    <w:rsid w:val="00387741"/>
    <w:pPr>
      <w:spacing w:after="100"/>
      <w:ind w:left="1920"/>
    </w:pPr>
    <w:rPr>
      <w:rFonts w:eastAsiaTheme="minorEastAsia"/>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3.xml"/><Relationship Id="rId18" Type="http://schemas.openxmlformats.org/officeDocument/2006/relationships/hyperlink" Target="https://jbi.global" TargetMode="External"/><Relationship Id="rId26" Type="http://schemas.openxmlformats.org/officeDocument/2006/relationships/hyperlink" Target="https://www.sciencedirect.com" TargetMode="External"/><Relationship Id="rId39" Type="http://schemas.openxmlformats.org/officeDocument/2006/relationships/hyperlink" Target="https://www.ons.gov.uk" TargetMode="External"/><Relationship Id="rId21" Type="http://schemas.openxmlformats.org/officeDocument/2006/relationships/hyperlink" Target="https://www.tandfonline.com" TargetMode="External"/><Relationship Id="rId34" Type="http://schemas.openxmlformats.org/officeDocument/2006/relationships/hyperlink" Target="https://www.cochranelibrary.com/cdsr/doi/10.1002/14651858.CD002759.pub2/full" TargetMode="External"/><Relationship Id="rId42" Type="http://schemas.openxmlformats.org/officeDocument/2006/relationships/hyperlink" Target="https://www.nhfd.co.uk/files/2019ReportFiles/NHFD_2019_Annual_Report_v101.pdf" TargetMode="External"/><Relationship Id="rId47"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hyperlink" Target="https://bmcgeriatr.biomedcentral.com" TargetMode="External"/><Relationship Id="rId11" Type="http://schemas.openxmlformats.org/officeDocument/2006/relationships/customXml" Target="ink/ink2.xml"/><Relationship Id="rId24" Type="http://schemas.openxmlformats.org/officeDocument/2006/relationships/hyperlink" Target="https://www.bmj.com" TargetMode="External"/><Relationship Id="rId32" Type="http://schemas.openxmlformats.org/officeDocument/2006/relationships/hyperlink" Target="https://jbi.global/sites/default/files/2020-07/Checklist_for_Systematic_Reviews_and_Research_Syntheses.pdf" TargetMode="External"/><Relationship Id="rId37" Type="http://schemas.openxmlformats.org/officeDocument/2006/relationships/hyperlink" Target="https://www.longtermplan.nhs.uk" TargetMode="External"/><Relationship Id="rId40" Type="http://schemas.openxmlformats.org/officeDocument/2006/relationships/hyperlink" Target="https://www.prisma-statement.org/prisma-2020-flow-diagram" TargetMode="External"/><Relationship Id="rId45" Type="http://schemas.openxmlformats.org/officeDocument/2006/relationships/hyperlink" Target="https://www.cochranelibrary.com/cdsr/doi/10.1002/14651858.CD012221.pub2/full"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magonlinelibrary.com" TargetMode="External"/><Relationship Id="rId28" Type="http://schemas.openxmlformats.org/officeDocument/2006/relationships/hyperlink" Target="https://www.cochranelibrary.com/cdsr/doi/10.1002/14651858.CD007146.pub3/full" TargetMode="External"/><Relationship Id="rId36" Type="http://schemas.openxmlformats.org/officeDocument/2006/relationships/hyperlink" Target="https://www.nice.org.uk/guidance/ng249" TargetMode="External"/><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academic.oup.com/ageing" TargetMode="External"/><Relationship Id="rId31" Type="http://schemas.openxmlformats.org/officeDocument/2006/relationships/hyperlink" Target="https://www.cochranelibrary.com/cdsr/doi/10.1002/14651858.CD012221.pub2/full" TargetMode="External"/><Relationship Id="rId44" Type="http://schemas.openxmlformats.org/officeDocument/2006/relationships/hyperlink" Target="https://www.cochranelibrary.com/cdsr/doi/10.1002/14651858.CD007146.pub3/full" TargetMode="Externa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customXml" Target="ink/ink4.xml"/><Relationship Id="rId22" Type="http://schemas.openxmlformats.org/officeDocument/2006/relationships/hyperlink" Target="https://journals.lww.com/jgpt" TargetMode="External"/><Relationship Id="rId27" Type="http://schemas.openxmlformats.org/officeDocument/2006/relationships/hyperlink" Target="https://doi.org/10.1136/bjsports-2016-096547" TargetMode="External"/><Relationship Id="rId30" Type="http://schemas.openxmlformats.org/officeDocument/2006/relationships/hyperlink" Target="https://academic.oup.com/ptj" TargetMode="External"/><Relationship Id="rId35" Type="http://schemas.openxmlformats.org/officeDocument/2006/relationships/hyperlink" Target="https://www.nice.org.uk/guidance/qs86" TargetMode="External"/><Relationship Id="rId43" Type="http://schemas.openxmlformats.org/officeDocument/2006/relationships/hyperlink" Target="https://www.who.int/news-room/fact-sheets/detail/falls"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hyperlink" Target="https://publicationethics.org" TargetMode="External"/><Relationship Id="rId33" Type="http://schemas.openxmlformats.org/officeDocument/2006/relationships/hyperlink" Target="https://www.journals.elsevier.com" TargetMode="External"/><Relationship Id="rId38" Type="http://schemas.openxmlformats.org/officeDocument/2006/relationships/hyperlink" Target="https://www.ons.gov.uk" TargetMode="External"/><Relationship Id="rId46" Type="http://schemas.openxmlformats.org/officeDocument/2006/relationships/hyperlink" Target="https://www.cochranelibrary.com/cdsr/doi/10.1002/14651858.CD002759.pub2/full" TargetMode="External"/><Relationship Id="rId20" Type="http://schemas.openxmlformats.org/officeDocument/2006/relationships/hyperlink" Target="https://academic.oup.com/ageing" TargetMode="External"/><Relationship Id="rId41" Type="http://schemas.openxmlformats.org/officeDocument/2006/relationships/hyperlink" Target="https://www.gov.uk/government/publications/falls-applying-all-our-health" TargetMode="External"/><Relationship Id="rId1" Type="http://schemas.openxmlformats.org/officeDocument/2006/relationships/customXml" Target="../customXml/item1.xml"/><Relationship Id="rId6" Type="http://schemas.openxmlformats.org/officeDocument/2006/relationships/footnotes" Target="footnot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FA2A850-0F66-4559-8D68-86988E4968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1659</TotalTime>
  <Pages>69</Pages>
  <Words>23542</Words>
  <Characters>134192</Characters>
  <Application>Microsoft Office Word</Application>
  <DocSecurity>0</DocSecurity>
  <Lines>1118</Lines>
  <Paragraphs>314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Hardik Jadav</dc:creator>
  <cp:keywords/>
  <dc:description/>
  <cp:lastModifiedBy>Hardik Jadav</cp:lastModifiedBy>
  <cp:revision>41</cp:revision>
  <dcterms:created xsi:type="dcterms:W3CDTF">2026-01-01T23:00:00Z</dcterms:created>
  <dcterms:modified xsi:type="dcterms:W3CDTF">2026-01-24T17:40:00Z</dcterms:modified>
</cp:coreProperties>
</file>