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5AD7CE"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 xml:space="preserve">Carlton Parks Limited firstly needs to be identified as the occupier of the land the incidents occurred on. The definition of an occupier is not specifically defined in The Occupiers Liability Act, 1957 but in common law (s1(1)). This is seen in Wheat v </w:t>
      </w:r>
      <w:proofErr w:type="spellStart"/>
      <w:r w:rsidRPr="008B2CA8">
        <w:rPr>
          <w:rFonts w:asciiTheme="minorHAnsi" w:hAnsiTheme="minorHAnsi"/>
          <w:lang w:val="en-US"/>
        </w:rPr>
        <w:t>Lacon</w:t>
      </w:r>
      <w:proofErr w:type="spellEnd"/>
      <w:r w:rsidRPr="008B2CA8">
        <w:rPr>
          <w:rFonts w:asciiTheme="minorHAnsi" w:hAnsiTheme="minorHAnsi"/>
          <w:lang w:val="en-US"/>
        </w:rPr>
        <w:t xml:space="preserve"> (1966) which establishes that an occupier is a person or persons who have control over an area. The facts show that Carlton Parks Limited run a theme park which would present that they have control over the area and would be considered the occupier.</w:t>
      </w:r>
    </w:p>
    <w:p w14:paraId="2515D7A6" w14:textId="77777777" w:rsidR="00E24081" w:rsidRPr="008B2CA8" w:rsidRDefault="00E24081" w:rsidP="00E24081">
      <w:pPr>
        <w:pBdr>
          <w:bottom w:val="single" w:sz="12" w:space="1" w:color="auto"/>
        </w:pBdr>
        <w:rPr>
          <w:rFonts w:asciiTheme="minorHAnsi" w:hAnsiTheme="minorHAnsi"/>
          <w:lang w:val="en-US"/>
        </w:rPr>
      </w:pPr>
    </w:p>
    <w:p w14:paraId="51FEBEAA"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As Leo has entered the theme park as a paying guest he will be considered a visitor. This is due to there being an express agreement between him and Carlton Parks Limited (Mullis and Oliphant, 2001, p. 179). This means that his case will be dealt with under s1 (1) of The Occupiers Liability Act 1957. Carlton Parks Limited owes a common duty of care to Leo (s2 (1) The Occupiers Liability Act 1957). This means that they have a duty to ensure that Leo is ‘reasonably safe’ ‘in all circumstances’ while using the park for the purpose it is intended for (The Occupiers Liability Act, 1957. S2(2)). It is reasonable to think that an individual would lean against a fence while queuing for a ride. It is also reasonable to assume that a fence should withhold the weight of a child leaning against it as the sole purpose is to prevent anyone falling from the steps to the floor below.  It is also reasonable to see that a child would not notice that the fence has come into disrepair. Carlton Parks Limited are expected to anticipate that children will be less careful than adults (The Occupiers Liability Act, 1957. S2 (3)(a)). Meaning a higher standard of care is expected (Jones, 2019). This higher standard of care does not automatically lay liability with Carlton Parks Limited as it is seen that children would be accompanied by a guardian and they should share the burden of responsibility (</w:t>
      </w:r>
      <w:proofErr w:type="spellStart"/>
      <w:r w:rsidRPr="008B2CA8">
        <w:rPr>
          <w:rFonts w:asciiTheme="minorHAnsi" w:hAnsiTheme="minorHAnsi"/>
          <w:lang w:val="en-US"/>
        </w:rPr>
        <w:t>Bourne</w:t>
      </w:r>
      <w:proofErr w:type="spellEnd"/>
      <w:r w:rsidRPr="008B2CA8">
        <w:rPr>
          <w:rFonts w:asciiTheme="minorHAnsi" w:hAnsiTheme="minorHAnsi"/>
          <w:lang w:val="en-US"/>
        </w:rPr>
        <w:t xml:space="preserve"> Leisure LTD v Marsden 2009). However, it is not unreasonable for an 8-year-old to lean on a fence and a guardian to expect it to be safe as that essentially the only purpose of the fence is to prevent falling from the stairs to the floor. </w:t>
      </w:r>
    </w:p>
    <w:p w14:paraId="34E564E9" w14:textId="77777777" w:rsidR="00E24081" w:rsidRPr="008B2CA8" w:rsidRDefault="00E24081" w:rsidP="00E24081">
      <w:pPr>
        <w:pBdr>
          <w:bottom w:val="single" w:sz="12" w:space="1" w:color="auto"/>
        </w:pBdr>
        <w:rPr>
          <w:rFonts w:asciiTheme="minorHAnsi" w:hAnsiTheme="minorHAnsi"/>
          <w:lang w:val="en-US"/>
        </w:rPr>
      </w:pPr>
    </w:p>
    <w:p w14:paraId="5F5D20B9"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 xml:space="preserve">It would be seen to be reasonable to expect Carlton Parks Limited to have conducted regular maintenance on rooftops and safety equipment such as fences. The chance of serious injury from falling 3 meters onto the concrete floor is high if the safety feature is faulty. This combined with the reality that correcting the issue would not have been financially straining would increase Carlton Parks </w:t>
      </w:r>
      <w:proofErr w:type="spellStart"/>
      <w:r w:rsidRPr="008B2CA8">
        <w:rPr>
          <w:rFonts w:asciiTheme="minorHAnsi" w:hAnsiTheme="minorHAnsi"/>
          <w:lang w:val="en-US"/>
        </w:rPr>
        <w:t>Limiteds</w:t>
      </w:r>
      <w:proofErr w:type="spellEnd"/>
      <w:r w:rsidRPr="008B2CA8">
        <w:rPr>
          <w:rFonts w:asciiTheme="minorHAnsi" w:hAnsiTheme="minorHAnsi"/>
          <w:lang w:val="en-US"/>
        </w:rPr>
        <w:t xml:space="preserve"> Liability (Tomlinson v </w:t>
      </w:r>
      <w:proofErr w:type="spellStart"/>
      <w:r w:rsidRPr="008B2CA8">
        <w:rPr>
          <w:rFonts w:asciiTheme="minorHAnsi" w:hAnsiTheme="minorHAnsi"/>
          <w:lang w:val="en-US"/>
        </w:rPr>
        <w:t>Congleton</w:t>
      </w:r>
      <w:proofErr w:type="spellEnd"/>
      <w:r w:rsidRPr="008B2CA8">
        <w:rPr>
          <w:rFonts w:asciiTheme="minorHAnsi" w:hAnsiTheme="minorHAnsi"/>
          <w:lang w:val="en-US"/>
        </w:rPr>
        <w:t xml:space="preserve"> BC 2003). Carlton Parks Limited could’ve avoided there being a danger by having a sign advising that the fence was in disrepair and to use an alternate route to que or to have had staff preventing customers from queuing on the steps and eliminating the risk completely (Cooke, 2007). Unless Carlton Parks Limited can prove that they hired a reputable company to maintain the roof of their funhouse or to secure the fence they will likely be found liable for negligence in the case of Leo (The Occupiers Liability Act, 1957. S2 (4)(b)).</w:t>
      </w:r>
    </w:p>
    <w:p w14:paraId="12BD507F" w14:textId="77777777" w:rsidR="00E24081" w:rsidRPr="008B2CA8" w:rsidRDefault="00E24081" w:rsidP="00E24081">
      <w:pPr>
        <w:pBdr>
          <w:bottom w:val="single" w:sz="12" w:space="1" w:color="auto"/>
        </w:pBdr>
        <w:rPr>
          <w:rFonts w:asciiTheme="minorHAnsi" w:hAnsiTheme="minorHAnsi"/>
          <w:lang w:val="en-US"/>
        </w:rPr>
      </w:pPr>
    </w:p>
    <w:p w14:paraId="03C5D236"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 xml:space="preserve">For the next clients it is important to note that under s1 (3) (a) The Occupiers Liability Act 1957 and s1 (2) The Occupiers Liability Act 1984 The Waltzers would qualify as a premises as a ‘fixed, or movable structure’. </w:t>
      </w:r>
    </w:p>
    <w:p w14:paraId="571E0C53" w14:textId="77777777" w:rsidR="00E24081" w:rsidRPr="008B2CA8" w:rsidRDefault="00E24081" w:rsidP="00E24081">
      <w:pPr>
        <w:pBdr>
          <w:bottom w:val="single" w:sz="12" w:space="1" w:color="auto"/>
        </w:pBdr>
        <w:rPr>
          <w:rFonts w:asciiTheme="minorHAnsi" w:hAnsiTheme="minorHAnsi"/>
          <w:lang w:val="en-US"/>
        </w:rPr>
      </w:pPr>
    </w:p>
    <w:p w14:paraId="36CBBA86"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 xml:space="preserve">As there was not an express or implied agreement for Millie to enter the park she is not considered a visitor so any liability of Carlton Parks Limited will be decided under The Occupiers Liability Act, 1984 (S1 (1)(a)). Carlton Parks Limited’s duty to Millie needs to be </w:t>
      </w:r>
      <w:proofErr w:type="spellStart"/>
      <w:r w:rsidRPr="008B2CA8">
        <w:rPr>
          <w:rFonts w:asciiTheme="minorHAnsi" w:hAnsiTheme="minorHAnsi"/>
          <w:lang w:val="en-US"/>
        </w:rPr>
        <w:t>analysed</w:t>
      </w:r>
      <w:proofErr w:type="spellEnd"/>
      <w:r w:rsidRPr="008B2CA8">
        <w:rPr>
          <w:rFonts w:asciiTheme="minorHAnsi" w:hAnsiTheme="minorHAnsi"/>
          <w:lang w:val="en-US"/>
        </w:rPr>
        <w:t xml:space="preserve"> against the three-stage test raised under s1 (3) The Occupiers Act 1984. S1, 3, A of the Act stipulates that Carlton Parks Limited would have a duty if they were ‘aware of the </w:t>
      </w:r>
      <w:r w:rsidRPr="008B2CA8">
        <w:rPr>
          <w:rFonts w:asciiTheme="minorHAnsi" w:hAnsiTheme="minorHAnsi"/>
          <w:lang w:val="en-US"/>
        </w:rPr>
        <w:lastRenderedPageBreak/>
        <w:t>danger or had reasonable grounds to believe it exists'. This means it needs to be established if Carlton Parks Limited had reasonable grounds to believe the Waltzers to be dangerous. It would need to be identified here what maintenance and inspection regime the park had. This information would affect the liability greatly as it can establish if the ride had been given the ‘all clear’ by trained professionals as if so there would have been no grounds for Carlton Parks Limited to believe there was a danger and would therefore prevent a duty of care to be owed.  If there was no inspection regime in place Carlton Parks Limited could also argue that due to this they had no way to be aware of the danger which exists so they could not meet the negligence requirement in this section (Strong, 2011, pg186).</w:t>
      </w:r>
    </w:p>
    <w:p w14:paraId="40BF6F83"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 xml:space="preserve"> </w:t>
      </w:r>
    </w:p>
    <w:p w14:paraId="0B25BD59" w14:textId="72EE21A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 xml:space="preserve">S1, 3, B of the act stipulates that Carlton Parks Limited would have a duty to Millie if there were ‘reasonable grounds’ that she would have come into the ‘vicinity of danger’.  As Millie gained entry to the park it would be justified in assuming she had the intent to use the rides therefore any acknowledgment to dangers for visitors would be acknowledgements that Millie, a non-visitor, would also come into the vicinity of danger. A further example of where the maintenance regime would come into play to dispute that the park had knowledge that Millie would come into danger and that they had done everything reasonable to create a safe ride. However, Carlton Parks Limited could argue here that as they built a high perimeter fence they were not aware of the </w:t>
      </w:r>
      <w:r w:rsidR="008B2CA8" w:rsidRPr="008B2CA8">
        <w:rPr>
          <w:rFonts w:asciiTheme="minorHAnsi" w:hAnsiTheme="minorHAnsi"/>
          <w:lang w:val="en-US"/>
        </w:rPr>
        <w:t>unathorised</w:t>
      </w:r>
      <w:r w:rsidRPr="008B2CA8">
        <w:rPr>
          <w:rFonts w:asciiTheme="minorHAnsi" w:hAnsiTheme="minorHAnsi"/>
          <w:lang w:val="en-US"/>
        </w:rPr>
        <w:t xml:space="preserve"> access so it is not reasonable to consider that Millie may have come into the vicinity of danger as they did not know she had gained access.  </w:t>
      </w:r>
    </w:p>
    <w:p w14:paraId="41DDC11F" w14:textId="77777777" w:rsidR="00E24081" w:rsidRPr="008B2CA8" w:rsidRDefault="00E24081" w:rsidP="00E24081">
      <w:pPr>
        <w:pBdr>
          <w:bottom w:val="single" w:sz="12" w:space="1" w:color="auto"/>
        </w:pBdr>
        <w:rPr>
          <w:rFonts w:asciiTheme="minorHAnsi" w:hAnsiTheme="minorHAnsi"/>
          <w:lang w:val="en-US"/>
        </w:rPr>
      </w:pPr>
    </w:p>
    <w:p w14:paraId="7346882B"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 xml:space="preserve">S1, 3, C of the act states that Carlton Parks Limited would owe a duty if it is reasonable in all circumstances of the case to provide ‘some protection’. Here Carlton Parks Limited could argue that as they erected a large perimeter fence they did this to deter and protect non-visitors by making it harder to scale. Carlton Parks Limited could argue that under s1 (6) of the Occupiers Liability Act 1984 they do not have liability for the damage caused. It is more than reasonable to expect that an individually scaling a high perimeter fence ‘willingly’ accepts a risk. It is also reasonable to deduce that a person who has jumped onto the top of a moving theme park ride has established that there is no safe dismount, that the environment would be unpredictable to a non-skilled person and ‘willingly’ accepts that risk. </w:t>
      </w:r>
    </w:p>
    <w:p w14:paraId="73E2C584" w14:textId="77777777" w:rsidR="00E24081" w:rsidRPr="008B2CA8" w:rsidRDefault="00E24081" w:rsidP="00E24081">
      <w:pPr>
        <w:pBdr>
          <w:bottom w:val="single" w:sz="12" w:space="1" w:color="auto"/>
        </w:pBdr>
        <w:rPr>
          <w:rFonts w:asciiTheme="minorHAnsi" w:hAnsiTheme="minorHAnsi"/>
          <w:lang w:val="en-US"/>
        </w:rPr>
      </w:pPr>
    </w:p>
    <w:p w14:paraId="5DC0485F"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 xml:space="preserve">All the damages caused in Millie's case resulted from her being on the Waltzers. As Millie obtained entry to the park by scaling a high perimeter fence and not paying it is clear that there is no permission for her to be on one of the theme parks rides and Carlton Parks Limited could argue to have any liability squashed due to that (Driver v Dover Roman Painted House, 2014). Carlton Parks Limited could also move to have any Liability owed to Millie squashed under s2 of The Occupiers Liability Act 1984 as there was no access granted to Millie due to her scaling the high perimeter fence and not obtaining entry by paying the admission fee. </w:t>
      </w:r>
    </w:p>
    <w:p w14:paraId="34A5423F" w14:textId="77777777" w:rsidR="00E24081" w:rsidRPr="008B2CA8" w:rsidRDefault="00E24081" w:rsidP="00E24081">
      <w:pPr>
        <w:pBdr>
          <w:bottom w:val="single" w:sz="12" w:space="1" w:color="auto"/>
        </w:pBdr>
        <w:rPr>
          <w:rFonts w:asciiTheme="minorHAnsi" w:hAnsiTheme="minorHAnsi"/>
          <w:lang w:val="en-US"/>
        </w:rPr>
      </w:pPr>
    </w:p>
    <w:p w14:paraId="42EB4DA4"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 xml:space="preserve">As any liability owed to Millie is being assessed under The Occupiers Liability Act 1984 Carlton Parks Limited have no duty to correct the damage of her broken sunglasses. The 1984 act is in the respect of personal injury only and a non-visitor is not protected for ‘loss of or damage’ to their personal property (s1 (8) The Occupiers Liability Act, 1984). </w:t>
      </w:r>
    </w:p>
    <w:p w14:paraId="580E75DA" w14:textId="77777777" w:rsidR="00E24081" w:rsidRPr="008B2CA8" w:rsidRDefault="00E24081" w:rsidP="00E24081">
      <w:pPr>
        <w:pBdr>
          <w:bottom w:val="single" w:sz="12" w:space="1" w:color="auto"/>
        </w:pBdr>
        <w:rPr>
          <w:rFonts w:asciiTheme="minorHAnsi" w:hAnsiTheme="minorHAnsi"/>
          <w:lang w:val="en-US"/>
        </w:rPr>
      </w:pPr>
    </w:p>
    <w:p w14:paraId="3DCC0DE7"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lastRenderedPageBreak/>
        <w:t xml:space="preserve">Based on the facts provided there is not enough information to assess the true liability of Carlton Parks Limited. Although Carlton Parks Limited could argue here that Millie was not just a non-visitor but actually in the process of committing burglary (s9 (1)(b) The Theft Act 1968). As per The Crown Prosecution Service (2019) in B v </w:t>
      </w:r>
      <w:proofErr w:type="spellStart"/>
      <w:r w:rsidRPr="008B2CA8">
        <w:rPr>
          <w:rFonts w:asciiTheme="minorHAnsi" w:hAnsiTheme="minorHAnsi"/>
          <w:lang w:val="en-US"/>
        </w:rPr>
        <w:t>Leathley</w:t>
      </w:r>
      <w:proofErr w:type="spellEnd"/>
      <w:r w:rsidRPr="008B2CA8">
        <w:rPr>
          <w:rFonts w:asciiTheme="minorHAnsi" w:hAnsiTheme="minorHAnsi"/>
          <w:lang w:val="en-US"/>
        </w:rPr>
        <w:t xml:space="preserve"> (1979) the Waltzers would qualify as a building due to ‘its considerable size’ and the ‘intend to be permanent’. The fee payable to enter the park is in exchange for access to the rides. That fee covers the costs of electricity, staff wages, insurance and so on. Not paying that fee but using the ride is stealing intangible products from the owner. Which results in them being at a financial loss. These two criteria mean that Burglary can be an applicable criminal offence to </w:t>
      </w:r>
      <w:proofErr w:type="spellStart"/>
      <w:r w:rsidRPr="008B2CA8">
        <w:rPr>
          <w:rFonts w:asciiTheme="minorHAnsi" w:hAnsiTheme="minorHAnsi"/>
          <w:lang w:val="en-US"/>
        </w:rPr>
        <w:t>Millies</w:t>
      </w:r>
      <w:proofErr w:type="spellEnd"/>
      <w:r w:rsidRPr="008B2CA8">
        <w:rPr>
          <w:rFonts w:asciiTheme="minorHAnsi" w:hAnsiTheme="minorHAnsi"/>
          <w:lang w:val="en-US"/>
        </w:rPr>
        <w:t xml:space="preserve"> actions.</w:t>
      </w:r>
    </w:p>
    <w:p w14:paraId="583E2B5C"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 xml:space="preserve">As per public policy, a defendant is not liable if the claimants’ damages were a result of a crime (Ashton v Turner 1981). Millie could however dispute this and press for liability to be accepted as under s1 (1)(a) of The Occupiers Liability Act 1984 it is recognized that a duty is owed to a non-visitor if damages are caused due to the ‘state of the premises’. </w:t>
      </w:r>
    </w:p>
    <w:p w14:paraId="64125D75" w14:textId="77777777" w:rsidR="00E24081" w:rsidRPr="008B2CA8" w:rsidRDefault="00E24081" w:rsidP="00E24081">
      <w:pPr>
        <w:pBdr>
          <w:bottom w:val="single" w:sz="12" w:space="1" w:color="auto"/>
        </w:pBdr>
        <w:rPr>
          <w:rFonts w:asciiTheme="minorHAnsi" w:hAnsiTheme="minorHAnsi"/>
          <w:lang w:val="en-US"/>
        </w:rPr>
      </w:pPr>
    </w:p>
    <w:p w14:paraId="2F984711"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 xml:space="preserve">As it is not mentioned otherwise it is assumed Nia has entered the theme park by paying. Due to this she is classed as a visitor and Carlton Parks </w:t>
      </w:r>
      <w:proofErr w:type="spellStart"/>
      <w:r w:rsidRPr="008B2CA8">
        <w:rPr>
          <w:rFonts w:asciiTheme="minorHAnsi" w:hAnsiTheme="minorHAnsi"/>
          <w:lang w:val="en-US"/>
        </w:rPr>
        <w:t>Limiteds</w:t>
      </w:r>
      <w:proofErr w:type="spellEnd"/>
      <w:r w:rsidRPr="008B2CA8">
        <w:rPr>
          <w:rFonts w:asciiTheme="minorHAnsi" w:hAnsiTheme="minorHAnsi"/>
          <w:lang w:val="en-US"/>
        </w:rPr>
        <w:t xml:space="preserve"> liability will be assessed under The Occupiers Liability Act 1957 as per s1 (1). To establish the liability owed to </w:t>
      </w:r>
      <w:proofErr w:type="spellStart"/>
      <w:r w:rsidRPr="008B2CA8">
        <w:rPr>
          <w:rFonts w:asciiTheme="minorHAnsi" w:hAnsiTheme="minorHAnsi"/>
          <w:lang w:val="en-US"/>
        </w:rPr>
        <w:t>Niait</w:t>
      </w:r>
      <w:proofErr w:type="spellEnd"/>
      <w:r w:rsidRPr="008B2CA8">
        <w:rPr>
          <w:rFonts w:asciiTheme="minorHAnsi" w:hAnsiTheme="minorHAnsi"/>
          <w:lang w:val="en-US"/>
        </w:rPr>
        <w:t xml:space="preserve"> needs to be decided if she is a primary or secondary victim. As Nia was on the ride when the accident occurred and the fire started resulting in other victims ‘perishing’ she would be classed as within the danger zone. This is due to it being foreseeable that a person on the ride that caught fire would suffer some damage (Page v Smith 1996). As per Young v Charles Church (1997) it was pure chance that Nia was able to escape from the Waltzers physically unharmed with other users perishing. Further establishing her in the danger zone. However, Carlton Parks </w:t>
      </w:r>
      <w:proofErr w:type="spellStart"/>
      <w:r w:rsidRPr="008B2CA8">
        <w:rPr>
          <w:rFonts w:asciiTheme="minorHAnsi" w:hAnsiTheme="minorHAnsi"/>
          <w:lang w:val="en-US"/>
        </w:rPr>
        <w:t>Limiteds</w:t>
      </w:r>
      <w:proofErr w:type="spellEnd"/>
      <w:r w:rsidRPr="008B2CA8">
        <w:rPr>
          <w:rFonts w:asciiTheme="minorHAnsi" w:hAnsiTheme="minorHAnsi"/>
          <w:lang w:val="en-US"/>
        </w:rPr>
        <w:t xml:space="preserve"> liability to Nia would be dependent on whether they had properly maintained the Waltzers, if they had then they would’ve acted reasonably to maintain safety (S2 (4) (B) The Occupiers Liability Act 1957). Although Nia may rely on the doctrine of es </w:t>
      </w:r>
      <w:proofErr w:type="spellStart"/>
      <w:r w:rsidRPr="008B2CA8">
        <w:rPr>
          <w:rFonts w:asciiTheme="minorHAnsi" w:hAnsiTheme="minorHAnsi"/>
          <w:lang w:val="en-US"/>
        </w:rPr>
        <w:t>ipsa</w:t>
      </w:r>
      <w:proofErr w:type="spellEnd"/>
      <w:r w:rsidRPr="008B2CA8">
        <w:rPr>
          <w:rFonts w:asciiTheme="minorHAnsi" w:hAnsiTheme="minorHAnsi"/>
          <w:lang w:val="en-US"/>
        </w:rPr>
        <w:t xml:space="preserve"> loquitur to lay liability on Carlton Parks Limited. Although the lights falling may have been an issue that arose from subpar maintenance workers the fallout of the accident that occurred after could indicate damages that wouldn’t have occurred without negligence (Scott v London and St Katherine Docks Co 1865).  Carlton Parks Limited could dispute this doctrine however if they can prove they acted in a way to prevent the event and had fail-safes in place, without which the damage would have been worse (s2 (2) The Occupiers Liability Act 1957).</w:t>
      </w:r>
    </w:p>
    <w:p w14:paraId="7FEB30C9" w14:textId="77777777" w:rsidR="00E24081" w:rsidRPr="008B2CA8" w:rsidRDefault="00E24081" w:rsidP="00E24081">
      <w:pPr>
        <w:pBdr>
          <w:bottom w:val="single" w:sz="12" w:space="1" w:color="auto"/>
        </w:pBdr>
        <w:rPr>
          <w:rFonts w:asciiTheme="minorHAnsi" w:hAnsiTheme="minorHAnsi"/>
          <w:lang w:val="en-US"/>
        </w:rPr>
      </w:pPr>
    </w:p>
    <w:p w14:paraId="7CBB9882"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As stated in the Law Commissions report (1995) Nia diagnosis of post-traumatic stress disorder would qualify her as a primary victim as she experienced the event which ‘involved actual death’ and Nia would have experiences ‘intense fear’. Regardless that Nia suffered no physical injury the fact she suffers from post-traumatic stress disorder, a recognized psychiatric illness, as a result of her fear makes her a primary victim in relation to psychiatric harm (Cooke, 2019). As the psychiatric damage was caused due to real fear for her safety Nia would be eligible to receive damages if Carlton Parks Limited were found to be negligent (</w:t>
      </w:r>
      <w:proofErr w:type="spellStart"/>
      <w:r w:rsidRPr="008B2CA8">
        <w:rPr>
          <w:rFonts w:asciiTheme="minorHAnsi" w:hAnsiTheme="minorHAnsi"/>
          <w:lang w:val="en-US"/>
        </w:rPr>
        <w:t>Dulieu</w:t>
      </w:r>
      <w:proofErr w:type="spellEnd"/>
      <w:r w:rsidRPr="008B2CA8">
        <w:rPr>
          <w:rFonts w:asciiTheme="minorHAnsi" w:hAnsiTheme="minorHAnsi"/>
          <w:lang w:val="en-US"/>
        </w:rPr>
        <w:t xml:space="preserve"> v White 1901). </w:t>
      </w:r>
    </w:p>
    <w:p w14:paraId="43D6BF6B" w14:textId="77777777" w:rsidR="00E24081" w:rsidRPr="008B2CA8" w:rsidRDefault="00E24081" w:rsidP="00E24081">
      <w:pPr>
        <w:pBdr>
          <w:bottom w:val="single" w:sz="12" w:space="1" w:color="auto"/>
        </w:pBdr>
        <w:rPr>
          <w:rFonts w:asciiTheme="minorHAnsi" w:hAnsiTheme="minorHAnsi"/>
          <w:lang w:val="en-US"/>
        </w:rPr>
      </w:pPr>
    </w:p>
    <w:p w14:paraId="207A4005"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 xml:space="preserve">As again it is not mentioned otherwise it is assumed that Owen also entered the park as a paying customer, he would therefore be considered a visitor and Carlton Parks Limited’s liability would again be assessed under The Occupiers Liability Act 1957 (s1(1). On the initial </w:t>
      </w:r>
      <w:r w:rsidRPr="008B2CA8">
        <w:rPr>
          <w:rFonts w:asciiTheme="minorHAnsi" w:hAnsiTheme="minorHAnsi"/>
          <w:lang w:val="en-US"/>
        </w:rPr>
        <w:lastRenderedPageBreak/>
        <w:t>information given Owen satisfies the criteria to be classed as a secondary victim of the events as he ‘unwillingly’ witnessed the event with his own senses (Rix et al., 2018). Owen satisfies the criteria that a victim must suffer from a recognized psychiatric illness as he suffers from depression (Law Commission 1995). However, Owen would need to establish in the court of law that there was a close ‘tie of love and affection’ in the relationship between himself and his sister to successfully claim as a secondary victim (McCarthy v Chief Constable of South Yorkshire Police 1992). On the facts initially given Owen would not satisfy the criteria to be considered a primary victim as he was not within the ‘danger zone’ as he was on the other side of the park (</w:t>
      </w:r>
      <w:proofErr w:type="spellStart"/>
      <w:r w:rsidRPr="008B2CA8">
        <w:rPr>
          <w:rFonts w:asciiTheme="minorHAnsi" w:hAnsiTheme="minorHAnsi"/>
          <w:lang w:val="en-US"/>
        </w:rPr>
        <w:t>Alcock</w:t>
      </w:r>
      <w:proofErr w:type="spellEnd"/>
      <w:r w:rsidRPr="008B2CA8">
        <w:rPr>
          <w:rFonts w:asciiTheme="minorHAnsi" w:hAnsiTheme="minorHAnsi"/>
          <w:lang w:val="en-US"/>
        </w:rPr>
        <w:t xml:space="preserve"> &amp; </w:t>
      </w:r>
      <w:proofErr w:type="spellStart"/>
      <w:r w:rsidRPr="008B2CA8">
        <w:rPr>
          <w:rFonts w:asciiTheme="minorHAnsi" w:hAnsiTheme="minorHAnsi"/>
          <w:lang w:val="en-US"/>
        </w:rPr>
        <w:t>Ors</w:t>
      </w:r>
      <w:proofErr w:type="spellEnd"/>
      <w:r w:rsidRPr="008B2CA8">
        <w:rPr>
          <w:rFonts w:asciiTheme="minorHAnsi" w:hAnsiTheme="minorHAnsi"/>
          <w:lang w:val="en-US"/>
        </w:rPr>
        <w:t xml:space="preserve"> v Chief Constable of South Yorkshire 1992). However further information could move him into a primary category such as how quickly he got to the scene, potentially this could turn him into a primary victim if he became a rescuer who would have been exposed to danger. This would be likely as the fire would still be in place, other victims perishing and not knowing if his sister was inside (</w:t>
      </w:r>
      <w:proofErr w:type="spellStart"/>
      <w:r w:rsidRPr="008B2CA8">
        <w:rPr>
          <w:rFonts w:asciiTheme="minorHAnsi" w:hAnsiTheme="minorHAnsi"/>
          <w:lang w:val="en-US"/>
        </w:rPr>
        <w:t>Alcock</w:t>
      </w:r>
      <w:proofErr w:type="spellEnd"/>
      <w:r w:rsidRPr="008B2CA8">
        <w:rPr>
          <w:rFonts w:asciiTheme="minorHAnsi" w:hAnsiTheme="minorHAnsi"/>
          <w:lang w:val="en-US"/>
        </w:rPr>
        <w:t xml:space="preserve"> and White and others v CC South Yorkshire Police, 1999).</w:t>
      </w:r>
    </w:p>
    <w:p w14:paraId="0CF6B29F" w14:textId="77777777" w:rsidR="00E24081" w:rsidRPr="008B2CA8" w:rsidRDefault="00E24081" w:rsidP="00E24081">
      <w:pPr>
        <w:pBdr>
          <w:bottom w:val="single" w:sz="12" w:space="1" w:color="auto"/>
        </w:pBdr>
        <w:rPr>
          <w:rFonts w:asciiTheme="minorHAnsi" w:hAnsiTheme="minorHAnsi"/>
          <w:lang w:val="en-US"/>
        </w:rPr>
      </w:pPr>
    </w:p>
    <w:p w14:paraId="6F2F3714" w14:textId="77777777" w:rsidR="00E24081"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To claim damages as a secondary victim Owen must satisfy four factors, 3 of proximity and 1 of foreseeability. Owen would need to prove a close relationship with Nia. This is due to a sibling relationship not automatically being qualified as a close relationship. Owen meets the next proximity requirement as sees the events unfold with his own senses, as he was riding the cable car he saw first-hand what happened. As per McLoughlin v O’Brian (1983) Owen would also satisfy the criteria of proximity as he would have been involved in the immediate aftermath of the event. Seeing these events and knowing his sister was on the Waltzers shocked him into a concern for his sister's safety which caused his depression (</w:t>
      </w:r>
      <w:proofErr w:type="spellStart"/>
      <w:r w:rsidRPr="008B2CA8">
        <w:rPr>
          <w:rFonts w:asciiTheme="minorHAnsi" w:hAnsiTheme="minorHAnsi"/>
          <w:lang w:val="en-US"/>
        </w:rPr>
        <w:t>Alcock</w:t>
      </w:r>
      <w:proofErr w:type="spellEnd"/>
      <w:r w:rsidRPr="008B2CA8">
        <w:rPr>
          <w:rFonts w:asciiTheme="minorHAnsi" w:hAnsiTheme="minorHAnsi"/>
          <w:lang w:val="en-US"/>
        </w:rPr>
        <w:t xml:space="preserve"> &amp; </w:t>
      </w:r>
      <w:proofErr w:type="spellStart"/>
      <w:r w:rsidRPr="008B2CA8">
        <w:rPr>
          <w:rFonts w:asciiTheme="minorHAnsi" w:hAnsiTheme="minorHAnsi"/>
          <w:lang w:val="en-US"/>
        </w:rPr>
        <w:t>Ors</w:t>
      </w:r>
      <w:proofErr w:type="spellEnd"/>
      <w:r w:rsidRPr="008B2CA8">
        <w:rPr>
          <w:rFonts w:asciiTheme="minorHAnsi" w:hAnsiTheme="minorHAnsi"/>
          <w:lang w:val="en-US"/>
        </w:rPr>
        <w:t xml:space="preserve"> v Chief Constable of South Yorkshire 1992). Owen would also meet the criteria of foreseeability as his psychiatric illness is based around his sister's safety it is a reasonable concern to have and reasonably foreseeable to conclude that his sister would have come to harm considering the information he had and the events he saw unfold. Due to these facts if it can be proven that Carlton Parks Limited are to blame for the initial incident or that there was the ability to rely on the doctrine of es </w:t>
      </w:r>
      <w:proofErr w:type="spellStart"/>
      <w:r w:rsidRPr="008B2CA8">
        <w:rPr>
          <w:rFonts w:asciiTheme="minorHAnsi" w:hAnsiTheme="minorHAnsi"/>
          <w:lang w:val="en-US"/>
        </w:rPr>
        <w:t>ipsa</w:t>
      </w:r>
      <w:proofErr w:type="spellEnd"/>
      <w:r w:rsidRPr="008B2CA8">
        <w:rPr>
          <w:rFonts w:asciiTheme="minorHAnsi" w:hAnsiTheme="minorHAnsi"/>
          <w:lang w:val="en-US"/>
        </w:rPr>
        <w:t xml:space="preserve"> loquitur Owen would be entitled to claim damages from the park.</w:t>
      </w:r>
    </w:p>
    <w:p w14:paraId="0160F8C0" w14:textId="77777777" w:rsidR="00E24081" w:rsidRPr="008B2CA8" w:rsidRDefault="00E24081" w:rsidP="00E24081">
      <w:pPr>
        <w:pBdr>
          <w:bottom w:val="single" w:sz="12" w:space="1" w:color="auto"/>
        </w:pBdr>
        <w:rPr>
          <w:rFonts w:asciiTheme="minorHAnsi" w:hAnsiTheme="minorHAnsi"/>
          <w:lang w:val="en-US"/>
        </w:rPr>
      </w:pPr>
    </w:p>
    <w:p w14:paraId="4CA71FAC" w14:textId="0033823F" w:rsidR="00AB6205" w:rsidRPr="008B2CA8" w:rsidRDefault="00E24081" w:rsidP="00E24081">
      <w:pPr>
        <w:pBdr>
          <w:bottom w:val="single" w:sz="12" w:space="1" w:color="auto"/>
        </w:pBdr>
        <w:rPr>
          <w:rFonts w:asciiTheme="minorHAnsi" w:hAnsiTheme="minorHAnsi"/>
          <w:lang w:val="en-US"/>
        </w:rPr>
      </w:pPr>
      <w:r w:rsidRPr="008B2CA8">
        <w:rPr>
          <w:rFonts w:asciiTheme="minorHAnsi" w:hAnsiTheme="minorHAnsi"/>
          <w:lang w:val="en-US"/>
        </w:rPr>
        <w:t>If Carlton Parks Limited can prove that they maintained the Waltzers appropriately and it was a ‘freak accident’ that caused the breakage of lights they could argue no liability in line with Blair-Ford v CRS Adventures Ltd (2021). They could also argue no liability under s2 (4) (b) of The Occupiers Liability Act 1957 if they can prove they used an independent contractor to maintain the Waltzers their liability would be discharged as they would have acted reasonably to ensure a safe environment.</w:t>
      </w:r>
    </w:p>
    <w:p w14:paraId="2BD0F7DC" w14:textId="77777777" w:rsidR="006D3D38" w:rsidRPr="008B2CA8" w:rsidRDefault="006D3D38" w:rsidP="00EA774D">
      <w:pPr>
        <w:rPr>
          <w:rFonts w:asciiTheme="minorHAnsi" w:hAnsiTheme="minorHAnsi"/>
        </w:rPr>
      </w:pPr>
    </w:p>
    <w:p w14:paraId="6DBA37B2" w14:textId="77777777" w:rsidR="008B2CA8" w:rsidRPr="008B2CA8" w:rsidRDefault="008B2CA8" w:rsidP="00EA774D">
      <w:pPr>
        <w:rPr>
          <w:rFonts w:asciiTheme="minorHAnsi" w:hAnsiTheme="minorHAnsi"/>
          <w:i/>
          <w:iCs/>
        </w:rPr>
      </w:pPr>
      <w:proofErr w:type="spellStart"/>
      <w:r w:rsidRPr="008B2CA8">
        <w:rPr>
          <w:rStyle w:val="Emphasis"/>
          <w:rFonts w:asciiTheme="minorHAnsi" w:hAnsiTheme="minorHAnsi"/>
          <w:i w:val="0"/>
          <w:iCs w:val="0"/>
          <w:color w:val="000000"/>
        </w:rPr>
        <w:t>Alcock</w:t>
      </w:r>
      <w:proofErr w:type="spellEnd"/>
      <w:r w:rsidRPr="008B2CA8">
        <w:rPr>
          <w:rStyle w:val="Emphasis"/>
          <w:rFonts w:asciiTheme="minorHAnsi" w:hAnsiTheme="minorHAnsi"/>
          <w:i w:val="0"/>
          <w:iCs w:val="0"/>
          <w:color w:val="000000"/>
        </w:rPr>
        <w:t xml:space="preserve"> &amp; </w:t>
      </w:r>
      <w:proofErr w:type="spellStart"/>
      <w:r w:rsidRPr="008B2CA8">
        <w:rPr>
          <w:rStyle w:val="Emphasis"/>
          <w:rFonts w:asciiTheme="minorHAnsi" w:hAnsiTheme="minorHAnsi"/>
          <w:i w:val="0"/>
          <w:iCs w:val="0"/>
          <w:color w:val="000000"/>
        </w:rPr>
        <w:t>ors</w:t>
      </w:r>
      <w:proofErr w:type="spellEnd"/>
      <w:r w:rsidRPr="008B2CA8">
        <w:rPr>
          <w:rStyle w:val="Emphasis"/>
          <w:rFonts w:asciiTheme="minorHAnsi" w:hAnsiTheme="minorHAnsi"/>
          <w:i w:val="0"/>
          <w:iCs w:val="0"/>
          <w:color w:val="000000"/>
        </w:rPr>
        <w:t xml:space="preserve"> v Chief Constable of South Yorkshire</w:t>
      </w:r>
      <w:r w:rsidRPr="008B2CA8">
        <w:rPr>
          <w:rStyle w:val="apple-converted-space"/>
          <w:rFonts w:asciiTheme="minorHAnsi" w:hAnsiTheme="minorHAnsi"/>
          <w:i/>
          <w:iCs/>
          <w:color w:val="000000"/>
          <w:shd w:val="clear" w:color="auto" w:fill="FFFFFF"/>
        </w:rPr>
        <w:t> </w:t>
      </w:r>
      <w:r w:rsidRPr="008B2CA8">
        <w:rPr>
          <w:rFonts w:asciiTheme="minorHAnsi" w:hAnsiTheme="minorHAnsi"/>
          <w:i/>
          <w:iCs/>
          <w:color w:val="000000"/>
          <w:shd w:val="clear" w:color="auto" w:fill="FFFFFF"/>
        </w:rPr>
        <w:t>(1992) AC 310</w:t>
      </w:r>
    </w:p>
    <w:p w14:paraId="1BF7943D" w14:textId="77777777" w:rsidR="008B2CA8" w:rsidRPr="008B2CA8" w:rsidRDefault="008B2CA8" w:rsidP="00EA774D">
      <w:pPr>
        <w:rPr>
          <w:rFonts w:asciiTheme="minorHAnsi" w:hAnsiTheme="minorHAnsi"/>
          <w:lang w:val="en-US"/>
        </w:rPr>
      </w:pPr>
      <w:r w:rsidRPr="008B2CA8">
        <w:rPr>
          <w:rFonts w:asciiTheme="minorHAnsi" w:hAnsiTheme="minorHAnsi"/>
          <w:lang w:val="en-US"/>
        </w:rPr>
        <w:t>Ashton v Turner (1981) QB 137</w:t>
      </w:r>
    </w:p>
    <w:p w14:paraId="03FEA348" w14:textId="77777777" w:rsidR="008B2CA8" w:rsidRPr="008B2CA8" w:rsidRDefault="008B2CA8" w:rsidP="00EA774D">
      <w:pPr>
        <w:rPr>
          <w:rFonts w:asciiTheme="minorHAnsi" w:hAnsiTheme="minorHAnsi"/>
          <w:lang w:val="en-US"/>
        </w:rPr>
      </w:pPr>
      <w:r w:rsidRPr="008B2CA8">
        <w:rPr>
          <w:rFonts w:asciiTheme="minorHAnsi" w:hAnsiTheme="minorHAnsi"/>
          <w:lang w:val="en-US"/>
        </w:rPr>
        <w:t xml:space="preserve">B v </w:t>
      </w:r>
      <w:proofErr w:type="spellStart"/>
      <w:r w:rsidRPr="008B2CA8">
        <w:rPr>
          <w:rFonts w:asciiTheme="minorHAnsi" w:hAnsiTheme="minorHAnsi"/>
          <w:lang w:val="en-US"/>
        </w:rPr>
        <w:t>Leathley</w:t>
      </w:r>
      <w:proofErr w:type="spellEnd"/>
      <w:r w:rsidRPr="008B2CA8">
        <w:rPr>
          <w:rFonts w:asciiTheme="minorHAnsi" w:hAnsiTheme="minorHAnsi"/>
          <w:lang w:val="en-US"/>
        </w:rPr>
        <w:t xml:space="preserve"> (1979) Crim LR 314</w:t>
      </w:r>
    </w:p>
    <w:p w14:paraId="5ACAC0B2" w14:textId="77777777" w:rsidR="008B2CA8" w:rsidRPr="008B2CA8" w:rsidRDefault="008B2CA8" w:rsidP="00EA774D">
      <w:pPr>
        <w:rPr>
          <w:rFonts w:asciiTheme="minorHAnsi" w:hAnsiTheme="minorHAnsi"/>
          <w:lang w:val="en-US"/>
        </w:rPr>
      </w:pPr>
      <w:r w:rsidRPr="008B2CA8">
        <w:rPr>
          <w:rFonts w:asciiTheme="minorHAnsi" w:hAnsiTheme="minorHAnsi"/>
          <w:lang w:val="en-US"/>
        </w:rPr>
        <w:t>Blair-Ford v CRS Adventures Ltd (2012) EWHC 2360</w:t>
      </w:r>
    </w:p>
    <w:p w14:paraId="2F4F47B4" w14:textId="77777777" w:rsidR="008B2CA8" w:rsidRPr="008B2CA8" w:rsidRDefault="008B2CA8" w:rsidP="00EA774D">
      <w:pPr>
        <w:rPr>
          <w:rFonts w:asciiTheme="minorHAnsi" w:hAnsiTheme="minorHAnsi"/>
          <w:lang w:val="en-US"/>
        </w:rPr>
      </w:pPr>
      <w:proofErr w:type="spellStart"/>
      <w:r w:rsidRPr="008B2CA8">
        <w:rPr>
          <w:rFonts w:asciiTheme="minorHAnsi" w:hAnsiTheme="minorHAnsi"/>
          <w:lang w:val="en-US"/>
        </w:rPr>
        <w:t>Bourne</w:t>
      </w:r>
      <w:proofErr w:type="spellEnd"/>
      <w:r w:rsidRPr="008B2CA8">
        <w:rPr>
          <w:rFonts w:asciiTheme="minorHAnsi" w:hAnsiTheme="minorHAnsi"/>
          <w:lang w:val="en-US"/>
        </w:rPr>
        <w:t xml:space="preserve"> Leisure LTD v Marsden (2009) EWCA CIV 671</w:t>
      </w:r>
    </w:p>
    <w:p w14:paraId="0F7E9278" w14:textId="77777777" w:rsidR="008B2CA8" w:rsidRPr="008B2CA8" w:rsidRDefault="008B2CA8" w:rsidP="00EA774D">
      <w:pPr>
        <w:rPr>
          <w:rFonts w:asciiTheme="minorHAnsi" w:hAnsiTheme="minorHAnsi"/>
          <w:lang w:val="en-US"/>
        </w:rPr>
      </w:pPr>
      <w:r w:rsidRPr="008B2CA8">
        <w:rPr>
          <w:rFonts w:asciiTheme="minorHAnsi" w:hAnsiTheme="minorHAnsi"/>
          <w:lang w:val="en-US"/>
        </w:rPr>
        <w:t>Driver v Dover Roman Painted House (2014) QBD</w:t>
      </w:r>
    </w:p>
    <w:p w14:paraId="05C5C36A" w14:textId="77777777" w:rsidR="008B2CA8" w:rsidRPr="008B2CA8" w:rsidRDefault="008B2CA8" w:rsidP="00EA774D">
      <w:pPr>
        <w:rPr>
          <w:rFonts w:asciiTheme="minorHAnsi" w:hAnsiTheme="minorHAnsi"/>
          <w:lang w:val="en-US"/>
        </w:rPr>
      </w:pPr>
      <w:proofErr w:type="spellStart"/>
      <w:r w:rsidRPr="008B2CA8">
        <w:rPr>
          <w:rFonts w:asciiTheme="minorHAnsi" w:hAnsiTheme="minorHAnsi"/>
          <w:lang w:val="en-US"/>
        </w:rPr>
        <w:t>Dulieu</w:t>
      </w:r>
      <w:proofErr w:type="spellEnd"/>
      <w:r w:rsidRPr="008B2CA8">
        <w:rPr>
          <w:rFonts w:asciiTheme="minorHAnsi" w:hAnsiTheme="minorHAnsi"/>
          <w:lang w:val="en-US"/>
        </w:rPr>
        <w:t xml:space="preserve"> v White (1901) 2 KB 669</w:t>
      </w:r>
    </w:p>
    <w:p w14:paraId="0EE6675E" w14:textId="77777777" w:rsidR="008B2CA8" w:rsidRPr="008B2CA8" w:rsidRDefault="008B2CA8" w:rsidP="00EA774D">
      <w:pPr>
        <w:rPr>
          <w:rFonts w:asciiTheme="minorHAnsi" w:hAnsiTheme="minorHAnsi"/>
          <w:lang w:val="en-US"/>
        </w:rPr>
      </w:pPr>
      <w:r w:rsidRPr="008B2CA8">
        <w:rPr>
          <w:rFonts w:asciiTheme="minorHAnsi" w:hAnsiTheme="minorHAnsi"/>
          <w:lang w:val="en-US"/>
        </w:rPr>
        <w:t>McCarthy v Chief Constable of South Yorkshire Police (1992) 1 AC 310</w:t>
      </w:r>
    </w:p>
    <w:p w14:paraId="38183AEB" w14:textId="77777777" w:rsidR="008B2CA8" w:rsidRPr="008B2CA8" w:rsidRDefault="008B2CA8" w:rsidP="00EA774D">
      <w:pPr>
        <w:rPr>
          <w:rFonts w:asciiTheme="minorHAnsi" w:hAnsiTheme="minorHAnsi"/>
          <w:lang w:val="en-US"/>
        </w:rPr>
      </w:pPr>
      <w:r w:rsidRPr="008B2CA8">
        <w:rPr>
          <w:rFonts w:asciiTheme="minorHAnsi" w:hAnsiTheme="minorHAnsi"/>
          <w:lang w:val="en-US"/>
        </w:rPr>
        <w:t>McLoughlin v O'Brian (1983) 1 AC</w:t>
      </w:r>
    </w:p>
    <w:p w14:paraId="149924F0" w14:textId="77777777" w:rsidR="008B2CA8" w:rsidRPr="008B2CA8" w:rsidRDefault="008B2CA8" w:rsidP="00EA774D">
      <w:pPr>
        <w:rPr>
          <w:rFonts w:asciiTheme="minorHAnsi" w:hAnsiTheme="minorHAnsi"/>
          <w:lang w:val="en-US"/>
        </w:rPr>
      </w:pPr>
      <w:r w:rsidRPr="008B2CA8">
        <w:rPr>
          <w:rFonts w:asciiTheme="minorHAnsi" w:hAnsiTheme="minorHAnsi"/>
          <w:lang w:val="en-US"/>
        </w:rPr>
        <w:lastRenderedPageBreak/>
        <w:t>Page v Smith (1996) AC 155</w:t>
      </w:r>
    </w:p>
    <w:p w14:paraId="522ABD50" w14:textId="77777777" w:rsidR="008B2CA8" w:rsidRPr="008B2CA8" w:rsidRDefault="008B2CA8" w:rsidP="00EA774D">
      <w:pPr>
        <w:rPr>
          <w:rFonts w:asciiTheme="minorHAnsi" w:hAnsiTheme="minorHAnsi"/>
          <w:lang w:val="en-US"/>
        </w:rPr>
      </w:pPr>
      <w:r w:rsidRPr="008B2CA8">
        <w:rPr>
          <w:rFonts w:asciiTheme="minorHAnsi" w:hAnsiTheme="minorHAnsi"/>
          <w:lang w:val="en-US"/>
        </w:rPr>
        <w:t>Ratcliff v McConnell and Harper Adams College (1997) EWCA Civ 2679</w:t>
      </w:r>
    </w:p>
    <w:p w14:paraId="4CAD93C2" w14:textId="77777777" w:rsidR="008B2CA8" w:rsidRPr="008B2CA8" w:rsidRDefault="008B2CA8" w:rsidP="00EA774D">
      <w:pPr>
        <w:rPr>
          <w:rFonts w:asciiTheme="minorHAnsi" w:hAnsiTheme="minorHAnsi"/>
          <w:lang w:val="en-US"/>
        </w:rPr>
      </w:pPr>
      <w:r w:rsidRPr="008B2CA8">
        <w:rPr>
          <w:rFonts w:asciiTheme="minorHAnsi" w:hAnsiTheme="minorHAnsi"/>
          <w:lang w:val="en-US"/>
        </w:rPr>
        <w:t>Scott v London and St Katherine Docks Co (1865) 3 H &amp; C 596, 601</w:t>
      </w:r>
    </w:p>
    <w:p w14:paraId="3A0A5052" w14:textId="77777777" w:rsidR="008B2CA8" w:rsidRPr="008B2CA8" w:rsidRDefault="008B2CA8" w:rsidP="00EA774D">
      <w:pPr>
        <w:rPr>
          <w:rFonts w:asciiTheme="minorHAnsi" w:hAnsiTheme="minorHAnsi"/>
          <w:lang w:val="en-US"/>
        </w:rPr>
      </w:pPr>
      <w:r w:rsidRPr="008B2CA8">
        <w:rPr>
          <w:rFonts w:asciiTheme="minorHAnsi" w:hAnsiTheme="minorHAnsi"/>
          <w:lang w:val="en-US"/>
        </w:rPr>
        <w:t>The Occupiers Liability Act 1957</w:t>
      </w:r>
    </w:p>
    <w:p w14:paraId="38B82145" w14:textId="77777777" w:rsidR="008B2CA8" w:rsidRPr="008B2CA8" w:rsidRDefault="008B2CA8" w:rsidP="00EA774D">
      <w:pPr>
        <w:rPr>
          <w:rFonts w:asciiTheme="minorHAnsi" w:hAnsiTheme="minorHAnsi"/>
          <w:lang w:val="en-US"/>
        </w:rPr>
      </w:pPr>
      <w:r w:rsidRPr="008B2CA8">
        <w:rPr>
          <w:rFonts w:asciiTheme="minorHAnsi" w:hAnsiTheme="minorHAnsi"/>
          <w:lang w:val="en-US"/>
        </w:rPr>
        <w:t>The Occupiers Liability Act 1957</w:t>
      </w:r>
      <w:r w:rsidRPr="008B2CA8">
        <w:rPr>
          <w:rFonts w:asciiTheme="minorHAnsi" w:hAnsiTheme="minorHAnsi"/>
          <w:lang w:val="en-US"/>
        </w:rPr>
        <w:t xml:space="preserve"> s1 (3)(a)</w:t>
      </w:r>
    </w:p>
    <w:p w14:paraId="0AE138D9" w14:textId="77777777" w:rsidR="008B2CA8" w:rsidRPr="008B2CA8" w:rsidRDefault="008B2CA8" w:rsidP="00EA774D">
      <w:pPr>
        <w:rPr>
          <w:rFonts w:asciiTheme="minorHAnsi" w:hAnsiTheme="minorHAnsi"/>
          <w:lang w:val="en-US"/>
        </w:rPr>
      </w:pPr>
      <w:r w:rsidRPr="008B2CA8">
        <w:rPr>
          <w:rFonts w:asciiTheme="minorHAnsi" w:hAnsiTheme="minorHAnsi"/>
          <w:lang w:val="en-US"/>
        </w:rPr>
        <w:t>The Occupiers Liability Act, 1957. S1(1)</w:t>
      </w:r>
    </w:p>
    <w:p w14:paraId="7D4E9C11" w14:textId="77777777" w:rsidR="008B2CA8" w:rsidRPr="008B2CA8" w:rsidRDefault="008B2CA8" w:rsidP="00EA774D">
      <w:pPr>
        <w:rPr>
          <w:rFonts w:asciiTheme="minorHAnsi" w:hAnsiTheme="minorHAnsi"/>
          <w:lang w:val="en-US"/>
        </w:rPr>
      </w:pPr>
      <w:r w:rsidRPr="008B2CA8">
        <w:rPr>
          <w:rFonts w:asciiTheme="minorHAnsi" w:hAnsiTheme="minorHAnsi"/>
          <w:lang w:val="en-US"/>
        </w:rPr>
        <w:t>The Occupiers Liability Act, 1957. S2 (3)(a)</w:t>
      </w:r>
    </w:p>
    <w:p w14:paraId="4BC64411" w14:textId="77777777" w:rsidR="008B2CA8" w:rsidRPr="008B2CA8" w:rsidRDefault="008B2CA8" w:rsidP="00EA774D">
      <w:pPr>
        <w:rPr>
          <w:rFonts w:asciiTheme="minorHAnsi" w:hAnsiTheme="minorHAnsi"/>
          <w:lang w:val="en-US"/>
        </w:rPr>
      </w:pPr>
      <w:r w:rsidRPr="008B2CA8">
        <w:rPr>
          <w:rFonts w:asciiTheme="minorHAnsi" w:hAnsiTheme="minorHAnsi"/>
          <w:lang w:val="en-US"/>
        </w:rPr>
        <w:t>The Occupiers Liability Act, 1957. S2 (4)(b)</w:t>
      </w:r>
    </w:p>
    <w:p w14:paraId="102E1ED0" w14:textId="77777777" w:rsidR="008B2CA8" w:rsidRPr="008B2CA8" w:rsidRDefault="008B2CA8" w:rsidP="00766445">
      <w:pPr>
        <w:rPr>
          <w:rFonts w:asciiTheme="minorHAnsi" w:hAnsiTheme="minorHAnsi"/>
          <w:lang w:val="en-US"/>
        </w:rPr>
      </w:pPr>
      <w:r w:rsidRPr="008B2CA8">
        <w:rPr>
          <w:rFonts w:asciiTheme="minorHAnsi" w:hAnsiTheme="minorHAnsi"/>
          <w:lang w:val="en-US"/>
        </w:rPr>
        <w:t>The Occupiers Liability Act, 1957. S2(</w:t>
      </w:r>
      <w:r w:rsidRPr="008B2CA8">
        <w:rPr>
          <w:rFonts w:asciiTheme="minorHAnsi" w:hAnsiTheme="minorHAnsi"/>
          <w:lang w:val="en-US"/>
        </w:rPr>
        <w:t>1</w:t>
      </w:r>
      <w:r w:rsidRPr="008B2CA8">
        <w:rPr>
          <w:rFonts w:asciiTheme="minorHAnsi" w:hAnsiTheme="minorHAnsi"/>
          <w:lang w:val="en-US"/>
        </w:rPr>
        <w:t>)</w:t>
      </w:r>
    </w:p>
    <w:p w14:paraId="5460D4D9" w14:textId="77777777" w:rsidR="008B2CA8" w:rsidRPr="008B2CA8" w:rsidRDefault="008B2CA8" w:rsidP="00EA774D">
      <w:pPr>
        <w:rPr>
          <w:rFonts w:asciiTheme="minorHAnsi" w:hAnsiTheme="minorHAnsi"/>
          <w:lang w:val="en-US"/>
        </w:rPr>
      </w:pPr>
      <w:r w:rsidRPr="008B2CA8">
        <w:rPr>
          <w:rFonts w:asciiTheme="minorHAnsi" w:hAnsiTheme="minorHAnsi"/>
          <w:lang w:val="en-US"/>
        </w:rPr>
        <w:t>The Occupiers Liability Act, 1957. S2(2)</w:t>
      </w:r>
    </w:p>
    <w:p w14:paraId="21D26705" w14:textId="77777777" w:rsidR="008B2CA8" w:rsidRPr="008B2CA8" w:rsidRDefault="008B2CA8" w:rsidP="00EA774D">
      <w:pPr>
        <w:rPr>
          <w:rFonts w:asciiTheme="minorHAnsi" w:hAnsiTheme="minorHAnsi"/>
          <w:lang w:val="en-US"/>
        </w:rPr>
      </w:pPr>
      <w:r w:rsidRPr="008B2CA8">
        <w:rPr>
          <w:rFonts w:asciiTheme="minorHAnsi" w:hAnsiTheme="minorHAnsi"/>
          <w:lang w:val="en-US"/>
        </w:rPr>
        <w:t>The Occupiers Liability Act, 1984 s1 (8)</w:t>
      </w:r>
    </w:p>
    <w:p w14:paraId="1FC6EAA8" w14:textId="77777777" w:rsidR="008B2CA8" w:rsidRPr="008B2CA8" w:rsidRDefault="008B2CA8" w:rsidP="00EA774D">
      <w:pPr>
        <w:rPr>
          <w:rFonts w:asciiTheme="minorHAnsi" w:hAnsiTheme="minorHAnsi"/>
          <w:lang w:val="en-US"/>
        </w:rPr>
      </w:pPr>
      <w:r w:rsidRPr="008B2CA8">
        <w:rPr>
          <w:rFonts w:asciiTheme="minorHAnsi" w:hAnsiTheme="minorHAnsi"/>
          <w:lang w:val="en-US"/>
        </w:rPr>
        <w:t>The Occupiers Liability Act, 1984 s</w:t>
      </w:r>
      <w:r w:rsidRPr="008B2CA8">
        <w:rPr>
          <w:rFonts w:asciiTheme="minorHAnsi" w:hAnsiTheme="minorHAnsi"/>
          <w:lang w:val="en-US"/>
        </w:rPr>
        <w:t>2</w:t>
      </w:r>
    </w:p>
    <w:p w14:paraId="2D24FF95" w14:textId="77777777" w:rsidR="008B2CA8" w:rsidRPr="008B2CA8" w:rsidRDefault="008B2CA8" w:rsidP="00EA774D">
      <w:pPr>
        <w:rPr>
          <w:rFonts w:asciiTheme="minorHAnsi" w:hAnsiTheme="minorHAnsi"/>
          <w:lang w:val="en-US"/>
        </w:rPr>
      </w:pPr>
      <w:r w:rsidRPr="008B2CA8">
        <w:rPr>
          <w:rFonts w:asciiTheme="minorHAnsi" w:hAnsiTheme="minorHAnsi"/>
          <w:lang w:val="en-US"/>
        </w:rPr>
        <w:t>The Occupiers Liability Act, 1984. S1 (1)(a)</w:t>
      </w:r>
    </w:p>
    <w:p w14:paraId="7F6DB4B7" w14:textId="77777777" w:rsidR="008B2CA8" w:rsidRPr="008B2CA8" w:rsidRDefault="008B2CA8" w:rsidP="00763458">
      <w:pPr>
        <w:rPr>
          <w:rFonts w:asciiTheme="minorHAnsi" w:hAnsiTheme="minorHAnsi"/>
          <w:lang w:val="en-US"/>
        </w:rPr>
      </w:pPr>
      <w:r w:rsidRPr="008B2CA8">
        <w:rPr>
          <w:rFonts w:asciiTheme="minorHAnsi" w:hAnsiTheme="minorHAnsi"/>
          <w:lang w:val="en-US"/>
        </w:rPr>
        <w:t>The Occupiers Liability Act, 1984. S1 (</w:t>
      </w:r>
      <w:r w:rsidRPr="008B2CA8">
        <w:rPr>
          <w:rFonts w:asciiTheme="minorHAnsi" w:hAnsiTheme="minorHAnsi"/>
          <w:lang w:val="en-US"/>
        </w:rPr>
        <w:t>2)</w:t>
      </w:r>
    </w:p>
    <w:p w14:paraId="2EBADC86" w14:textId="77777777" w:rsidR="008B2CA8" w:rsidRPr="008B2CA8" w:rsidRDefault="008B2CA8" w:rsidP="00EA774D">
      <w:pPr>
        <w:rPr>
          <w:rFonts w:asciiTheme="minorHAnsi" w:hAnsiTheme="minorHAnsi"/>
          <w:lang w:val="en-US"/>
        </w:rPr>
      </w:pPr>
      <w:r w:rsidRPr="008B2CA8">
        <w:rPr>
          <w:rFonts w:asciiTheme="minorHAnsi" w:hAnsiTheme="minorHAnsi"/>
          <w:lang w:val="en-US"/>
        </w:rPr>
        <w:t>The Occupiers Liability Act, 1984. S1 (3)(a)</w:t>
      </w:r>
    </w:p>
    <w:p w14:paraId="51AAC6E3" w14:textId="77777777" w:rsidR="008B2CA8" w:rsidRPr="008B2CA8" w:rsidRDefault="008B2CA8" w:rsidP="00EA774D">
      <w:pPr>
        <w:rPr>
          <w:rFonts w:asciiTheme="minorHAnsi" w:hAnsiTheme="minorHAnsi"/>
          <w:lang w:val="en-US"/>
        </w:rPr>
      </w:pPr>
      <w:r w:rsidRPr="008B2CA8">
        <w:rPr>
          <w:rFonts w:asciiTheme="minorHAnsi" w:hAnsiTheme="minorHAnsi"/>
          <w:lang w:val="en-US"/>
        </w:rPr>
        <w:t>The Occupiers Liability Act, 1984. S1 (3)(b)</w:t>
      </w:r>
    </w:p>
    <w:p w14:paraId="1F9CD3E0" w14:textId="77777777" w:rsidR="008B2CA8" w:rsidRPr="008B2CA8" w:rsidRDefault="008B2CA8" w:rsidP="00EA774D">
      <w:pPr>
        <w:rPr>
          <w:rFonts w:asciiTheme="minorHAnsi" w:hAnsiTheme="minorHAnsi"/>
          <w:lang w:val="en-US"/>
        </w:rPr>
      </w:pPr>
      <w:r w:rsidRPr="008B2CA8">
        <w:rPr>
          <w:rFonts w:asciiTheme="minorHAnsi" w:hAnsiTheme="minorHAnsi"/>
          <w:lang w:val="en-US"/>
        </w:rPr>
        <w:t>The Occupiers Liability Act, 1984. S1 (3)(c)</w:t>
      </w:r>
    </w:p>
    <w:p w14:paraId="5E78F0F2" w14:textId="77777777" w:rsidR="008B2CA8" w:rsidRPr="008B2CA8" w:rsidRDefault="008B2CA8" w:rsidP="00EA774D">
      <w:pPr>
        <w:rPr>
          <w:rFonts w:asciiTheme="minorHAnsi" w:hAnsiTheme="minorHAnsi"/>
          <w:lang w:val="en-US"/>
        </w:rPr>
      </w:pPr>
      <w:r w:rsidRPr="008B2CA8">
        <w:rPr>
          <w:rFonts w:asciiTheme="minorHAnsi" w:hAnsiTheme="minorHAnsi"/>
          <w:lang w:val="en-US"/>
        </w:rPr>
        <w:t>The Occupiers Liability Act, 1984. S6</w:t>
      </w:r>
    </w:p>
    <w:p w14:paraId="60C05312" w14:textId="77777777" w:rsidR="008B2CA8" w:rsidRPr="008B2CA8" w:rsidRDefault="008B2CA8" w:rsidP="00EA774D">
      <w:pPr>
        <w:rPr>
          <w:rFonts w:asciiTheme="minorHAnsi" w:hAnsiTheme="minorHAnsi"/>
          <w:lang w:val="en-US"/>
        </w:rPr>
      </w:pPr>
      <w:r w:rsidRPr="008B2CA8">
        <w:rPr>
          <w:rFonts w:asciiTheme="minorHAnsi" w:hAnsiTheme="minorHAnsi"/>
          <w:lang w:val="en-US"/>
        </w:rPr>
        <w:t xml:space="preserve">The Theft Act 1968 </w:t>
      </w:r>
      <w:r w:rsidRPr="008B2CA8">
        <w:rPr>
          <w:rFonts w:asciiTheme="minorHAnsi" w:hAnsiTheme="minorHAnsi"/>
          <w:lang w:val="en-US"/>
        </w:rPr>
        <w:t>9 (1)(b)</w:t>
      </w:r>
    </w:p>
    <w:p w14:paraId="4D3FCD9A" w14:textId="77777777" w:rsidR="008B2CA8" w:rsidRPr="008B2CA8" w:rsidRDefault="008B2CA8" w:rsidP="00EA774D">
      <w:pPr>
        <w:rPr>
          <w:rFonts w:asciiTheme="minorHAnsi" w:hAnsiTheme="minorHAnsi"/>
          <w:lang w:val="en-US"/>
        </w:rPr>
      </w:pPr>
      <w:r w:rsidRPr="008B2CA8">
        <w:rPr>
          <w:rFonts w:asciiTheme="minorHAnsi" w:hAnsiTheme="minorHAnsi"/>
          <w:lang w:val="en-US"/>
        </w:rPr>
        <w:t xml:space="preserve">Tomlinson v </w:t>
      </w:r>
      <w:proofErr w:type="spellStart"/>
      <w:r w:rsidRPr="008B2CA8">
        <w:rPr>
          <w:rFonts w:asciiTheme="minorHAnsi" w:hAnsiTheme="minorHAnsi"/>
          <w:lang w:val="en-US"/>
        </w:rPr>
        <w:t>Congleton</w:t>
      </w:r>
      <w:proofErr w:type="spellEnd"/>
      <w:r w:rsidRPr="008B2CA8">
        <w:rPr>
          <w:rFonts w:asciiTheme="minorHAnsi" w:hAnsiTheme="minorHAnsi"/>
          <w:lang w:val="en-US"/>
        </w:rPr>
        <w:t xml:space="preserve"> BC </w:t>
      </w:r>
      <w:r w:rsidRPr="008B2CA8">
        <w:rPr>
          <w:rFonts w:asciiTheme="minorHAnsi" w:hAnsiTheme="minorHAnsi"/>
          <w:lang w:val="en-US"/>
        </w:rPr>
        <w:t>(</w:t>
      </w:r>
      <w:r w:rsidRPr="008B2CA8">
        <w:rPr>
          <w:rFonts w:asciiTheme="minorHAnsi" w:hAnsiTheme="minorHAnsi"/>
          <w:lang w:val="en-US"/>
        </w:rPr>
        <w:t>2003</w:t>
      </w:r>
      <w:r w:rsidRPr="008B2CA8">
        <w:rPr>
          <w:rFonts w:asciiTheme="minorHAnsi" w:hAnsiTheme="minorHAnsi"/>
          <w:lang w:val="en-US"/>
        </w:rPr>
        <w:t>) 3 WLR 705</w:t>
      </w:r>
    </w:p>
    <w:p w14:paraId="23BF74A6" w14:textId="77777777" w:rsidR="008B2CA8" w:rsidRPr="008B2CA8" w:rsidRDefault="008B2CA8" w:rsidP="00EA774D">
      <w:pPr>
        <w:rPr>
          <w:rFonts w:asciiTheme="minorHAnsi" w:hAnsiTheme="minorHAnsi"/>
          <w:lang w:val="en-US"/>
        </w:rPr>
      </w:pPr>
      <w:r w:rsidRPr="008B2CA8">
        <w:rPr>
          <w:rFonts w:asciiTheme="minorHAnsi" w:hAnsiTheme="minorHAnsi"/>
          <w:lang w:val="en-US"/>
        </w:rPr>
        <w:t xml:space="preserve">Wheat v </w:t>
      </w:r>
      <w:proofErr w:type="spellStart"/>
      <w:r w:rsidRPr="008B2CA8">
        <w:rPr>
          <w:rFonts w:asciiTheme="minorHAnsi" w:hAnsiTheme="minorHAnsi"/>
          <w:lang w:val="en-US"/>
        </w:rPr>
        <w:t>Lacon</w:t>
      </w:r>
      <w:proofErr w:type="spellEnd"/>
      <w:r w:rsidRPr="008B2CA8">
        <w:rPr>
          <w:rFonts w:asciiTheme="minorHAnsi" w:hAnsiTheme="minorHAnsi"/>
          <w:lang w:val="en-US"/>
        </w:rPr>
        <w:t xml:space="preserve"> (1966) AC 552</w:t>
      </w:r>
    </w:p>
    <w:p w14:paraId="02EAC6C5" w14:textId="77777777" w:rsidR="008B2CA8" w:rsidRPr="008B2CA8" w:rsidRDefault="008B2CA8" w:rsidP="00EA774D">
      <w:pPr>
        <w:rPr>
          <w:rFonts w:asciiTheme="minorHAnsi" w:hAnsiTheme="minorHAnsi"/>
          <w:lang w:val="en-US"/>
        </w:rPr>
      </w:pPr>
      <w:r w:rsidRPr="008B2CA8">
        <w:rPr>
          <w:rFonts w:asciiTheme="minorHAnsi" w:hAnsiTheme="minorHAnsi"/>
          <w:color w:val="000000"/>
        </w:rPr>
        <w:t>Young v Charles Church (Southern) Limited (1997) EWCA CIV 1523</w:t>
      </w:r>
    </w:p>
    <w:p w14:paraId="379505D0" w14:textId="77777777" w:rsidR="00210436" w:rsidRPr="008B2CA8" w:rsidRDefault="00210436">
      <w:pPr>
        <w:rPr>
          <w:rFonts w:asciiTheme="minorHAnsi" w:hAnsiTheme="minorHAnsi"/>
          <w:lang w:val="en-US"/>
        </w:rPr>
      </w:pPr>
    </w:p>
    <w:p w14:paraId="3324292C" w14:textId="0D4C3B1A" w:rsidR="00AB6205" w:rsidRPr="008B2CA8" w:rsidRDefault="00AB6205">
      <w:pPr>
        <w:rPr>
          <w:rFonts w:asciiTheme="minorHAnsi" w:hAnsiTheme="minorHAnsi"/>
          <w:lang w:val="en-US"/>
        </w:rPr>
      </w:pPr>
    </w:p>
    <w:p w14:paraId="6B622A07" w14:textId="77777777" w:rsidR="008B2CA8" w:rsidRPr="008B2CA8" w:rsidRDefault="008B2CA8" w:rsidP="00EA774D">
      <w:pPr>
        <w:rPr>
          <w:rFonts w:asciiTheme="minorHAnsi" w:hAnsiTheme="minorHAnsi"/>
          <w:lang w:val="en-US"/>
        </w:rPr>
      </w:pPr>
      <w:r w:rsidRPr="008B2CA8">
        <w:rPr>
          <w:rFonts w:asciiTheme="minorHAnsi" w:hAnsiTheme="minorHAnsi"/>
          <w:lang w:val="en-US"/>
        </w:rPr>
        <w:t xml:space="preserve">Cooke, J. (2007) </w:t>
      </w:r>
      <w:r w:rsidRPr="008B2CA8">
        <w:rPr>
          <w:rFonts w:asciiTheme="minorHAnsi" w:hAnsiTheme="minorHAnsi"/>
          <w:i/>
          <w:iCs/>
          <w:lang w:val="en-US"/>
        </w:rPr>
        <w:t xml:space="preserve">Law of Tort </w:t>
      </w:r>
      <w:r w:rsidRPr="008B2CA8">
        <w:rPr>
          <w:rFonts w:asciiTheme="minorHAnsi" w:hAnsiTheme="minorHAnsi"/>
          <w:lang w:val="en-US"/>
        </w:rPr>
        <w:t>Harlow: Pearson Education Limited</w:t>
      </w:r>
    </w:p>
    <w:p w14:paraId="2FF34036" w14:textId="77777777" w:rsidR="008B2CA8" w:rsidRPr="008B2CA8" w:rsidRDefault="008B2CA8" w:rsidP="00EA774D">
      <w:pPr>
        <w:rPr>
          <w:rFonts w:asciiTheme="minorHAnsi" w:hAnsiTheme="minorHAnsi"/>
          <w:lang w:val="en-US"/>
        </w:rPr>
      </w:pPr>
      <w:r w:rsidRPr="008B2CA8">
        <w:rPr>
          <w:rFonts w:asciiTheme="minorHAnsi" w:hAnsiTheme="minorHAnsi"/>
          <w:lang w:val="en-US"/>
        </w:rPr>
        <w:t xml:space="preserve">Cooke, J. (2019) </w:t>
      </w:r>
      <w:r w:rsidRPr="008B2CA8">
        <w:rPr>
          <w:rFonts w:asciiTheme="minorHAnsi" w:hAnsiTheme="minorHAnsi"/>
          <w:i/>
          <w:iCs/>
          <w:lang w:val="en-US"/>
        </w:rPr>
        <w:t xml:space="preserve">Law of Tort </w:t>
      </w:r>
      <w:r w:rsidRPr="008B2CA8">
        <w:rPr>
          <w:rFonts w:asciiTheme="minorHAnsi" w:hAnsiTheme="minorHAnsi"/>
          <w:lang w:val="en-US"/>
        </w:rPr>
        <w:t>Harlow: Pearson Education Limited</w:t>
      </w:r>
    </w:p>
    <w:p w14:paraId="21F3203A" w14:textId="77777777" w:rsidR="008B2CA8" w:rsidRPr="008B2CA8" w:rsidRDefault="008B2CA8" w:rsidP="00EA774D">
      <w:pPr>
        <w:rPr>
          <w:rFonts w:asciiTheme="minorHAnsi" w:hAnsiTheme="minorHAnsi"/>
        </w:rPr>
      </w:pPr>
      <w:r w:rsidRPr="008B2CA8">
        <w:rPr>
          <w:rFonts w:asciiTheme="minorHAnsi" w:hAnsiTheme="minorHAnsi"/>
        </w:rPr>
        <w:t xml:space="preserve">Crown Prosecution Service (2021) </w:t>
      </w:r>
      <w:r w:rsidRPr="008B2CA8">
        <w:rPr>
          <w:rFonts w:asciiTheme="minorHAnsi" w:hAnsiTheme="minorHAnsi"/>
          <w:i/>
          <w:iCs/>
        </w:rPr>
        <w:t xml:space="preserve">Theft Act Offences </w:t>
      </w:r>
      <w:r w:rsidRPr="008B2CA8">
        <w:rPr>
          <w:rFonts w:asciiTheme="minorHAnsi" w:hAnsiTheme="minorHAnsi"/>
        </w:rPr>
        <w:t xml:space="preserve">Available at: </w:t>
      </w:r>
      <w:hyperlink r:id="rId6" w:history="1">
        <w:r w:rsidRPr="008B2CA8">
          <w:rPr>
            <w:rStyle w:val="Hyperlink"/>
            <w:rFonts w:asciiTheme="minorHAnsi" w:hAnsiTheme="minorHAnsi"/>
          </w:rPr>
          <w:t>https://www.cps.gov.uk/legal-guidance/theft-act-offences</w:t>
        </w:r>
      </w:hyperlink>
      <w:r w:rsidRPr="008B2CA8">
        <w:rPr>
          <w:rFonts w:asciiTheme="minorHAnsi" w:hAnsiTheme="minorHAnsi"/>
        </w:rPr>
        <w:t xml:space="preserve"> (Accessed on: 5</w:t>
      </w:r>
      <w:r w:rsidRPr="008B2CA8">
        <w:rPr>
          <w:rFonts w:asciiTheme="minorHAnsi" w:hAnsiTheme="minorHAnsi"/>
          <w:vertAlign w:val="superscript"/>
        </w:rPr>
        <w:t>th</w:t>
      </w:r>
      <w:r w:rsidRPr="008B2CA8">
        <w:rPr>
          <w:rFonts w:asciiTheme="minorHAnsi" w:hAnsiTheme="minorHAnsi"/>
        </w:rPr>
        <w:t xml:space="preserve"> December 2021)</w:t>
      </w:r>
    </w:p>
    <w:p w14:paraId="072804ED" w14:textId="77777777" w:rsidR="008B2CA8" w:rsidRPr="008B2CA8" w:rsidRDefault="008B2CA8" w:rsidP="00EA774D">
      <w:pPr>
        <w:rPr>
          <w:rFonts w:asciiTheme="minorHAnsi" w:hAnsiTheme="minorHAnsi"/>
          <w:lang w:val="en-US"/>
        </w:rPr>
      </w:pPr>
      <w:proofErr w:type="spellStart"/>
      <w:r w:rsidRPr="008B2CA8">
        <w:rPr>
          <w:rFonts w:asciiTheme="minorHAnsi" w:hAnsiTheme="minorHAnsi"/>
          <w:lang w:val="en-US"/>
        </w:rPr>
        <w:t>Giliker</w:t>
      </w:r>
      <w:proofErr w:type="spellEnd"/>
      <w:r w:rsidRPr="008B2CA8">
        <w:rPr>
          <w:rFonts w:asciiTheme="minorHAnsi" w:hAnsiTheme="minorHAnsi"/>
          <w:lang w:val="en-US"/>
        </w:rPr>
        <w:t xml:space="preserve">, P. (2014) </w:t>
      </w:r>
      <w:r w:rsidRPr="008B2CA8">
        <w:rPr>
          <w:rFonts w:asciiTheme="minorHAnsi" w:hAnsiTheme="minorHAnsi"/>
          <w:i/>
          <w:iCs/>
          <w:lang w:val="en-US"/>
        </w:rPr>
        <w:t xml:space="preserve">Tort </w:t>
      </w:r>
      <w:r w:rsidRPr="008B2CA8">
        <w:rPr>
          <w:rFonts w:asciiTheme="minorHAnsi" w:hAnsiTheme="minorHAnsi"/>
          <w:lang w:val="en-US"/>
        </w:rPr>
        <w:t>London: Thomson Reuters</w:t>
      </w:r>
    </w:p>
    <w:p w14:paraId="25519FE3" w14:textId="77777777" w:rsidR="008B2CA8" w:rsidRPr="008B2CA8" w:rsidRDefault="008B2CA8" w:rsidP="00EA774D">
      <w:pPr>
        <w:rPr>
          <w:rFonts w:asciiTheme="minorHAnsi" w:hAnsiTheme="minorHAnsi"/>
          <w:lang w:val="en-US"/>
        </w:rPr>
      </w:pPr>
      <w:r w:rsidRPr="008B2CA8">
        <w:rPr>
          <w:rFonts w:asciiTheme="minorHAnsi" w:hAnsiTheme="minorHAnsi"/>
          <w:lang w:val="en-US"/>
        </w:rPr>
        <w:t xml:space="preserve">Jones, L (2019). Introduction to </w:t>
      </w:r>
      <w:r w:rsidRPr="008B2CA8">
        <w:rPr>
          <w:rFonts w:asciiTheme="minorHAnsi" w:hAnsiTheme="minorHAnsi"/>
          <w:i/>
          <w:iCs/>
          <w:lang w:val="en-US"/>
        </w:rPr>
        <w:t xml:space="preserve">Business Law. </w:t>
      </w:r>
      <w:r w:rsidRPr="008B2CA8">
        <w:rPr>
          <w:rFonts w:asciiTheme="minorHAnsi" w:hAnsiTheme="minorHAnsi"/>
          <w:lang w:val="en-US"/>
        </w:rPr>
        <w:t>Oxford: Oxford University Press</w:t>
      </w:r>
    </w:p>
    <w:p w14:paraId="476F8C40" w14:textId="77777777" w:rsidR="008B2CA8" w:rsidRPr="008B2CA8" w:rsidRDefault="008B2CA8" w:rsidP="00EA774D">
      <w:pPr>
        <w:rPr>
          <w:rFonts w:asciiTheme="minorHAnsi" w:hAnsiTheme="minorHAnsi"/>
          <w:lang w:val="en-US"/>
        </w:rPr>
      </w:pPr>
      <w:r w:rsidRPr="008B2CA8">
        <w:rPr>
          <w:rFonts w:asciiTheme="minorHAnsi" w:hAnsiTheme="minorHAnsi"/>
          <w:lang w:val="en-US"/>
        </w:rPr>
        <w:t xml:space="preserve">Law Commission (1995) </w:t>
      </w:r>
      <w:r w:rsidRPr="008B2CA8">
        <w:rPr>
          <w:rFonts w:asciiTheme="minorHAnsi" w:hAnsiTheme="minorHAnsi"/>
          <w:i/>
          <w:iCs/>
          <w:lang w:val="en-US"/>
        </w:rPr>
        <w:t xml:space="preserve">Liability for psychiatric illness </w:t>
      </w:r>
      <w:r w:rsidRPr="008B2CA8">
        <w:rPr>
          <w:rFonts w:asciiTheme="minorHAnsi" w:hAnsiTheme="minorHAnsi"/>
          <w:lang w:val="en-US"/>
        </w:rPr>
        <w:t xml:space="preserve">(Law COM No 137) Available on: </w:t>
      </w:r>
      <w:hyperlink r:id="rId7" w:history="1">
        <w:r w:rsidRPr="008B2CA8">
          <w:rPr>
            <w:rStyle w:val="Hyperlink"/>
            <w:rFonts w:asciiTheme="minorHAnsi" w:hAnsiTheme="minorHAnsi"/>
            <w:lang w:val="en-US"/>
          </w:rPr>
          <w:t>https://www.lawcom.gov.uk/app/uploads/2015/04/cp137.pdf</w:t>
        </w:r>
      </w:hyperlink>
      <w:r w:rsidRPr="008B2CA8">
        <w:rPr>
          <w:rFonts w:asciiTheme="minorHAnsi" w:hAnsiTheme="minorHAnsi"/>
          <w:lang w:val="en-US"/>
        </w:rPr>
        <w:t xml:space="preserve"> (Accessed on 25th November 2021).</w:t>
      </w:r>
    </w:p>
    <w:p w14:paraId="1D64435A" w14:textId="77777777" w:rsidR="008B2CA8" w:rsidRPr="008B2CA8" w:rsidRDefault="008B2CA8" w:rsidP="00EA774D">
      <w:pPr>
        <w:rPr>
          <w:rFonts w:asciiTheme="minorHAnsi" w:hAnsiTheme="minorHAnsi"/>
          <w:lang w:val="en-US"/>
        </w:rPr>
      </w:pPr>
      <w:r w:rsidRPr="008B2CA8">
        <w:rPr>
          <w:rFonts w:asciiTheme="minorHAnsi" w:hAnsiTheme="minorHAnsi"/>
          <w:lang w:val="en-US"/>
        </w:rPr>
        <w:t xml:space="preserve">Mullis, A and Oliphant, K (2011) </w:t>
      </w:r>
      <w:r w:rsidRPr="008B2CA8">
        <w:rPr>
          <w:rFonts w:asciiTheme="minorHAnsi" w:hAnsiTheme="minorHAnsi"/>
          <w:i/>
          <w:iCs/>
          <w:lang w:val="en-US"/>
        </w:rPr>
        <w:t xml:space="preserve">Torts </w:t>
      </w:r>
      <w:r w:rsidRPr="008B2CA8">
        <w:rPr>
          <w:rFonts w:asciiTheme="minorHAnsi" w:hAnsiTheme="minorHAnsi"/>
          <w:lang w:val="en-US"/>
        </w:rPr>
        <w:t>Basingstoke: Palgrave MacMillan.</w:t>
      </w:r>
    </w:p>
    <w:p w14:paraId="2A788DD7" w14:textId="77777777" w:rsidR="008B2CA8" w:rsidRPr="008B2CA8" w:rsidRDefault="008B2CA8" w:rsidP="00EA774D">
      <w:pPr>
        <w:rPr>
          <w:rFonts w:asciiTheme="minorHAnsi" w:hAnsiTheme="minorHAnsi"/>
          <w:lang w:val="en-US"/>
        </w:rPr>
      </w:pPr>
      <w:r w:rsidRPr="008B2CA8">
        <w:rPr>
          <w:rFonts w:asciiTheme="minorHAnsi" w:hAnsiTheme="minorHAnsi"/>
          <w:lang w:val="en-US"/>
        </w:rPr>
        <w:t xml:space="preserve">Rix, K et al. (2018) ‘How shocking: compensating secondary victims for psychiatric injury’ </w:t>
      </w:r>
      <w:proofErr w:type="spellStart"/>
      <w:r w:rsidRPr="008B2CA8">
        <w:rPr>
          <w:rFonts w:asciiTheme="minorHAnsi" w:hAnsiTheme="minorHAnsi"/>
          <w:i/>
          <w:iCs/>
          <w:lang w:val="en-US"/>
        </w:rPr>
        <w:t>BJPsych</w:t>
      </w:r>
      <w:proofErr w:type="spellEnd"/>
      <w:r w:rsidRPr="008B2CA8">
        <w:rPr>
          <w:rFonts w:asciiTheme="minorHAnsi" w:hAnsiTheme="minorHAnsi"/>
          <w:i/>
          <w:iCs/>
          <w:lang w:val="en-US"/>
        </w:rPr>
        <w:t xml:space="preserve"> Advances’</w:t>
      </w:r>
      <w:r w:rsidRPr="008B2CA8">
        <w:rPr>
          <w:rFonts w:asciiTheme="minorHAnsi" w:hAnsiTheme="minorHAnsi"/>
          <w:lang w:val="en-US"/>
        </w:rPr>
        <w:t xml:space="preserve">, Vol. 24, (110 – 122) Available at: </w:t>
      </w:r>
      <w:hyperlink r:id="rId8" w:history="1">
        <w:r w:rsidRPr="008B2CA8">
          <w:rPr>
            <w:rStyle w:val="Hyperlink"/>
            <w:rFonts w:asciiTheme="minorHAnsi" w:hAnsiTheme="minorHAnsi"/>
            <w:lang w:val="en-US"/>
          </w:rPr>
          <w:t>https://www.cambridge.org/core/services/aop-cambridge-core/content/view/011C3B24436700D39F4F8501EB7DBD2D/S2056467817000160a.pdf/how-shocking-compensating-secondary-victims-for-psychiatric-injury.pdf</w:t>
        </w:r>
      </w:hyperlink>
      <w:r w:rsidRPr="008B2CA8">
        <w:rPr>
          <w:rFonts w:asciiTheme="minorHAnsi" w:hAnsiTheme="minorHAnsi"/>
          <w:lang w:val="en-US"/>
        </w:rPr>
        <w:t xml:space="preserve"> (Accessed on: 24</w:t>
      </w:r>
      <w:r w:rsidRPr="008B2CA8">
        <w:rPr>
          <w:rFonts w:asciiTheme="minorHAnsi" w:hAnsiTheme="minorHAnsi"/>
          <w:vertAlign w:val="superscript"/>
          <w:lang w:val="en-US"/>
        </w:rPr>
        <w:t>th</w:t>
      </w:r>
      <w:r w:rsidRPr="008B2CA8">
        <w:rPr>
          <w:rFonts w:asciiTheme="minorHAnsi" w:hAnsiTheme="minorHAnsi"/>
          <w:lang w:val="en-US"/>
        </w:rPr>
        <w:t xml:space="preserve"> November 2021). </w:t>
      </w:r>
    </w:p>
    <w:p w14:paraId="6DE64925" w14:textId="77777777" w:rsidR="008B2CA8" w:rsidRPr="008B2CA8" w:rsidRDefault="008B2CA8" w:rsidP="00EA774D">
      <w:pPr>
        <w:rPr>
          <w:rFonts w:asciiTheme="minorHAnsi" w:hAnsiTheme="minorHAnsi"/>
          <w:lang w:val="en-US"/>
        </w:rPr>
      </w:pPr>
      <w:r w:rsidRPr="008B2CA8">
        <w:rPr>
          <w:rFonts w:asciiTheme="minorHAnsi" w:hAnsiTheme="minorHAnsi"/>
          <w:lang w:val="en-US"/>
        </w:rPr>
        <w:t xml:space="preserve">Strong, S and Williams L. (2011) </w:t>
      </w:r>
      <w:r w:rsidRPr="008B2CA8">
        <w:rPr>
          <w:rFonts w:asciiTheme="minorHAnsi" w:hAnsiTheme="minorHAnsi"/>
          <w:i/>
          <w:iCs/>
          <w:lang w:val="en-US"/>
        </w:rPr>
        <w:t xml:space="preserve">Complete Tort Law: Texts, Cases and Materials. </w:t>
      </w:r>
      <w:r w:rsidRPr="008B2CA8">
        <w:rPr>
          <w:rFonts w:asciiTheme="minorHAnsi" w:hAnsiTheme="minorHAnsi"/>
          <w:lang w:val="en-US"/>
        </w:rPr>
        <w:t>Oxford: Oxford University Press</w:t>
      </w:r>
    </w:p>
    <w:sectPr w:rsidR="008B2CA8" w:rsidRPr="008B2C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0D198B"/>
    <w:multiLevelType w:val="hybridMultilevel"/>
    <w:tmpl w:val="21F2BD6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B002B5"/>
    <w:multiLevelType w:val="hybridMultilevel"/>
    <w:tmpl w:val="1F3803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3D6B78"/>
    <w:multiLevelType w:val="hybridMultilevel"/>
    <w:tmpl w:val="39722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205"/>
    <w:rsid w:val="0000659F"/>
    <w:rsid w:val="00055B5D"/>
    <w:rsid w:val="000C5942"/>
    <w:rsid w:val="000D096D"/>
    <w:rsid w:val="000D28A4"/>
    <w:rsid w:val="00134701"/>
    <w:rsid w:val="00163895"/>
    <w:rsid w:val="00210436"/>
    <w:rsid w:val="00252308"/>
    <w:rsid w:val="002857A9"/>
    <w:rsid w:val="002A0072"/>
    <w:rsid w:val="002F5E4C"/>
    <w:rsid w:val="00335EEF"/>
    <w:rsid w:val="00372B9F"/>
    <w:rsid w:val="00375F82"/>
    <w:rsid w:val="003C0519"/>
    <w:rsid w:val="003F3EA5"/>
    <w:rsid w:val="004676FB"/>
    <w:rsid w:val="004E7C59"/>
    <w:rsid w:val="00504E4D"/>
    <w:rsid w:val="005539B2"/>
    <w:rsid w:val="00630137"/>
    <w:rsid w:val="006D3D38"/>
    <w:rsid w:val="006D6F9A"/>
    <w:rsid w:val="00712363"/>
    <w:rsid w:val="0074539A"/>
    <w:rsid w:val="00763458"/>
    <w:rsid w:val="00766445"/>
    <w:rsid w:val="007960B6"/>
    <w:rsid w:val="007B2C49"/>
    <w:rsid w:val="007B5401"/>
    <w:rsid w:val="007D74E7"/>
    <w:rsid w:val="007E7BB3"/>
    <w:rsid w:val="008446D7"/>
    <w:rsid w:val="008B2CA8"/>
    <w:rsid w:val="008D19D1"/>
    <w:rsid w:val="008D6C67"/>
    <w:rsid w:val="008D767A"/>
    <w:rsid w:val="00911161"/>
    <w:rsid w:val="00946F94"/>
    <w:rsid w:val="00950631"/>
    <w:rsid w:val="00980036"/>
    <w:rsid w:val="009B75DB"/>
    <w:rsid w:val="009E3F52"/>
    <w:rsid w:val="009E4C3F"/>
    <w:rsid w:val="00A208E8"/>
    <w:rsid w:val="00AB6205"/>
    <w:rsid w:val="00AC273B"/>
    <w:rsid w:val="00B11053"/>
    <w:rsid w:val="00B31231"/>
    <w:rsid w:val="00B96D2B"/>
    <w:rsid w:val="00C3073F"/>
    <w:rsid w:val="00C6172F"/>
    <w:rsid w:val="00C72E81"/>
    <w:rsid w:val="00C74BF0"/>
    <w:rsid w:val="00CA6AE4"/>
    <w:rsid w:val="00CD5275"/>
    <w:rsid w:val="00CE6A36"/>
    <w:rsid w:val="00D71BF5"/>
    <w:rsid w:val="00D84ABB"/>
    <w:rsid w:val="00E24081"/>
    <w:rsid w:val="00E50F94"/>
    <w:rsid w:val="00EA4BE0"/>
    <w:rsid w:val="00EA774D"/>
    <w:rsid w:val="00EB4F03"/>
    <w:rsid w:val="00EE22B7"/>
    <w:rsid w:val="00F20528"/>
    <w:rsid w:val="00F633F2"/>
    <w:rsid w:val="00F9587C"/>
    <w:rsid w:val="00FC7821"/>
    <w:rsid w:val="00FD24EA"/>
    <w:rsid w:val="00FF6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C60DB"/>
  <w15:chartTrackingRefBased/>
  <w15:docId w15:val="{DCCCD1AA-650F-D34B-ACF0-4C8667579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59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4BF0"/>
    <w:pPr>
      <w:ind w:left="720"/>
      <w:contextualSpacing/>
    </w:pPr>
  </w:style>
  <w:style w:type="character" w:styleId="Hyperlink">
    <w:name w:val="Hyperlink"/>
    <w:basedOn w:val="DefaultParagraphFont"/>
    <w:uiPriority w:val="99"/>
    <w:unhideWhenUsed/>
    <w:rsid w:val="00504E4D"/>
    <w:rPr>
      <w:color w:val="0563C1" w:themeColor="hyperlink"/>
      <w:u w:val="single"/>
    </w:rPr>
  </w:style>
  <w:style w:type="character" w:styleId="UnresolvedMention">
    <w:name w:val="Unresolved Mention"/>
    <w:basedOn w:val="DefaultParagraphFont"/>
    <w:uiPriority w:val="99"/>
    <w:semiHidden/>
    <w:unhideWhenUsed/>
    <w:rsid w:val="00504E4D"/>
    <w:rPr>
      <w:color w:val="605E5C"/>
      <w:shd w:val="clear" w:color="auto" w:fill="E1DFDD"/>
    </w:rPr>
  </w:style>
  <w:style w:type="character" w:styleId="Emphasis">
    <w:name w:val="Emphasis"/>
    <w:basedOn w:val="DefaultParagraphFont"/>
    <w:uiPriority w:val="20"/>
    <w:qFormat/>
    <w:rsid w:val="0000659F"/>
    <w:rPr>
      <w:i/>
      <w:iCs/>
    </w:rPr>
  </w:style>
  <w:style w:type="character" w:customStyle="1" w:styleId="apple-converted-space">
    <w:name w:val="apple-converted-space"/>
    <w:basedOn w:val="DefaultParagraphFont"/>
    <w:rsid w:val="0000659F"/>
  </w:style>
  <w:style w:type="paragraph" w:styleId="Revision">
    <w:name w:val="Revision"/>
    <w:hidden/>
    <w:uiPriority w:val="99"/>
    <w:semiHidden/>
    <w:rsid w:val="00EA774D"/>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335E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8393756">
      <w:bodyDiv w:val="1"/>
      <w:marLeft w:val="0"/>
      <w:marRight w:val="0"/>
      <w:marTop w:val="0"/>
      <w:marBottom w:val="0"/>
      <w:divBdr>
        <w:top w:val="none" w:sz="0" w:space="0" w:color="auto"/>
        <w:left w:val="none" w:sz="0" w:space="0" w:color="auto"/>
        <w:bottom w:val="none" w:sz="0" w:space="0" w:color="auto"/>
        <w:right w:val="none" w:sz="0" w:space="0" w:color="auto"/>
      </w:divBdr>
    </w:div>
    <w:div w:id="548346210">
      <w:bodyDiv w:val="1"/>
      <w:marLeft w:val="0"/>
      <w:marRight w:val="0"/>
      <w:marTop w:val="0"/>
      <w:marBottom w:val="0"/>
      <w:divBdr>
        <w:top w:val="none" w:sz="0" w:space="0" w:color="auto"/>
        <w:left w:val="none" w:sz="0" w:space="0" w:color="auto"/>
        <w:bottom w:val="none" w:sz="0" w:space="0" w:color="auto"/>
        <w:right w:val="none" w:sz="0" w:space="0" w:color="auto"/>
      </w:divBdr>
    </w:div>
    <w:div w:id="552816958">
      <w:bodyDiv w:val="1"/>
      <w:marLeft w:val="0"/>
      <w:marRight w:val="0"/>
      <w:marTop w:val="0"/>
      <w:marBottom w:val="0"/>
      <w:divBdr>
        <w:top w:val="none" w:sz="0" w:space="0" w:color="auto"/>
        <w:left w:val="none" w:sz="0" w:space="0" w:color="auto"/>
        <w:bottom w:val="none" w:sz="0" w:space="0" w:color="auto"/>
        <w:right w:val="none" w:sz="0" w:space="0" w:color="auto"/>
      </w:divBdr>
    </w:div>
    <w:div w:id="763527133">
      <w:bodyDiv w:val="1"/>
      <w:marLeft w:val="0"/>
      <w:marRight w:val="0"/>
      <w:marTop w:val="0"/>
      <w:marBottom w:val="0"/>
      <w:divBdr>
        <w:top w:val="none" w:sz="0" w:space="0" w:color="auto"/>
        <w:left w:val="none" w:sz="0" w:space="0" w:color="auto"/>
        <w:bottom w:val="none" w:sz="0" w:space="0" w:color="auto"/>
        <w:right w:val="none" w:sz="0" w:space="0" w:color="auto"/>
      </w:divBdr>
    </w:div>
    <w:div w:id="1086417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services/aop-cambridge-core/content/view/011C3B24436700D39F4F8501EB7DBD2D/S2056467817000160a.pdf/how-shocking-compensating-secondary-victims-for-psychiatric-injury.pdf" TargetMode="External"/><Relationship Id="rId3" Type="http://schemas.openxmlformats.org/officeDocument/2006/relationships/styles" Target="styles.xml"/><Relationship Id="rId7" Type="http://schemas.openxmlformats.org/officeDocument/2006/relationships/hyperlink" Target="https://www.lawcom.gov.uk/app/uploads/2015/04/cp137.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ps.gov.uk/legal-guidance/theft-act-offences"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21F8D8-3D8F-F748-81AF-9B64FAA09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454</TotalTime>
  <Pages>5</Pages>
  <Words>2547</Words>
  <Characters>14522</Characters>
  <Application>Microsoft Office Word</Application>
  <DocSecurity>0</DocSecurity>
  <Lines>121</Lines>
  <Paragraphs>34</Paragraphs>
  <ScaleCrop>false</ScaleCrop>
  <Company/>
  <LinksUpToDate>false</LinksUpToDate>
  <CharactersWithSpaces>17035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 (2018298)</dc:creator>
  <cp:keywords/>
  <dc:description/>
  <cp:lastModifiedBy>Marie Morgan (2018298)</cp:lastModifiedBy>
  <cp:revision>70</cp:revision>
  <dcterms:created xsi:type="dcterms:W3CDTF">2021-11-25T20:24:00Z</dcterms:created>
  <dcterms:modified xsi:type="dcterms:W3CDTF">2021-12-09T14:40:00Z</dcterms:modified>
</cp:coreProperties>
</file>