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B26096" w14:textId="77777777" w:rsidR="0019056E" w:rsidRPr="00C03A91" w:rsidRDefault="0019056E" w:rsidP="0019056E">
      <w:pPr>
        <w:rPr>
          <w:rFonts w:cs="Arial"/>
          <w:szCs w:val="24"/>
        </w:rPr>
      </w:pPr>
      <w:r w:rsidRPr="00C03A91">
        <w:rPr>
          <w:rFonts w:cs="Arial"/>
          <w:noProof/>
          <w:szCs w:val="24"/>
        </w:rPr>
        <w:drawing>
          <wp:anchor distT="0" distB="0" distL="114300" distR="114300" simplePos="0" relativeHeight="251659264" behindDoc="0" locked="0" layoutInCell="1" allowOverlap="1" wp14:anchorId="476F60C9" wp14:editId="16E0CB00">
            <wp:simplePos x="0" y="0"/>
            <wp:positionH relativeFrom="margin">
              <wp:align>left</wp:align>
            </wp:positionH>
            <wp:positionV relativeFrom="paragraph">
              <wp:posOffset>45720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6304950" w14:textId="77777777" w:rsidR="0019056E" w:rsidRPr="00C03A91" w:rsidRDefault="0019056E" w:rsidP="0019056E">
      <w:pPr>
        <w:rPr>
          <w:rFonts w:cs="Arial"/>
          <w:szCs w:val="24"/>
        </w:rPr>
      </w:pPr>
    </w:p>
    <w:p w14:paraId="75794E56" w14:textId="77777777" w:rsidR="0019056E" w:rsidRPr="00C03A91" w:rsidRDefault="0019056E" w:rsidP="0019056E">
      <w:pPr>
        <w:tabs>
          <w:tab w:val="left" w:pos="6540"/>
        </w:tabs>
        <w:rPr>
          <w:rFonts w:cs="Arial"/>
          <w:sz w:val="28"/>
          <w:szCs w:val="28"/>
        </w:rPr>
      </w:pPr>
    </w:p>
    <w:p w14:paraId="49BF35FF" w14:textId="2E7837B5" w:rsidR="0019056E" w:rsidRPr="00076AC0" w:rsidRDefault="0019056E" w:rsidP="0019056E">
      <w:pPr>
        <w:tabs>
          <w:tab w:val="left" w:pos="6540"/>
        </w:tabs>
        <w:rPr>
          <w:rFonts w:cs="Arial"/>
          <w:sz w:val="28"/>
          <w:szCs w:val="28"/>
          <w:lang w:val="nl-NL"/>
        </w:rPr>
      </w:pPr>
      <w:r w:rsidRPr="00076AC0">
        <w:rPr>
          <w:rFonts w:cs="Arial"/>
          <w:b/>
          <w:bCs/>
          <w:sz w:val="28"/>
          <w:szCs w:val="28"/>
          <w:lang w:val="nl-NL"/>
        </w:rPr>
        <w:t>Student name</w:t>
      </w:r>
      <w:r w:rsidRPr="00076AC0">
        <w:rPr>
          <w:rFonts w:cs="Arial"/>
          <w:sz w:val="28"/>
          <w:szCs w:val="28"/>
          <w:lang w:val="nl-NL"/>
        </w:rPr>
        <w:t>:</w:t>
      </w:r>
      <w:r>
        <w:rPr>
          <w:rFonts w:cs="Arial"/>
          <w:sz w:val="28"/>
          <w:szCs w:val="28"/>
          <w:lang w:val="nl-NL"/>
        </w:rPr>
        <w:t xml:space="preserve"> Francis </w:t>
      </w:r>
      <w:r w:rsidR="009E37C2">
        <w:rPr>
          <w:rFonts w:cs="Arial"/>
          <w:sz w:val="28"/>
          <w:szCs w:val="28"/>
          <w:lang w:val="nl-NL"/>
        </w:rPr>
        <w:t>Egbeonu</w:t>
      </w:r>
    </w:p>
    <w:p w14:paraId="4787621C" w14:textId="77777777" w:rsidR="0019056E" w:rsidRPr="00076AC0" w:rsidRDefault="0019056E" w:rsidP="0019056E">
      <w:pPr>
        <w:tabs>
          <w:tab w:val="left" w:pos="6540"/>
        </w:tabs>
        <w:rPr>
          <w:rFonts w:cs="Arial"/>
          <w:sz w:val="28"/>
          <w:szCs w:val="28"/>
          <w:lang w:val="nl-NL"/>
        </w:rPr>
      </w:pPr>
      <w:r w:rsidRPr="00076AC0">
        <w:rPr>
          <w:rFonts w:cs="Arial"/>
          <w:b/>
          <w:bCs/>
          <w:sz w:val="28"/>
          <w:szCs w:val="28"/>
          <w:lang w:val="nl-NL"/>
        </w:rPr>
        <w:t>Student ID</w:t>
      </w:r>
      <w:r w:rsidRPr="00076AC0">
        <w:rPr>
          <w:rFonts w:cs="Arial"/>
          <w:sz w:val="28"/>
          <w:szCs w:val="28"/>
          <w:lang w:val="nl-NL"/>
        </w:rPr>
        <w:t>:</w:t>
      </w:r>
      <w:r>
        <w:rPr>
          <w:rFonts w:cs="Arial"/>
          <w:sz w:val="28"/>
          <w:szCs w:val="28"/>
          <w:lang w:val="nl-NL"/>
        </w:rPr>
        <w:t xml:space="preserve"> 2438118</w:t>
      </w:r>
    </w:p>
    <w:p w14:paraId="2FCBAA48" w14:textId="77777777" w:rsidR="0019056E" w:rsidRPr="00076AC0" w:rsidRDefault="0019056E" w:rsidP="0019056E">
      <w:pPr>
        <w:tabs>
          <w:tab w:val="left" w:pos="6540"/>
        </w:tabs>
        <w:rPr>
          <w:rFonts w:cs="Arial"/>
          <w:sz w:val="28"/>
          <w:szCs w:val="28"/>
          <w:lang w:val="nl-NL"/>
        </w:rPr>
      </w:pPr>
      <w:r w:rsidRPr="00076AC0">
        <w:rPr>
          <w:rFonts w:cs="Arial"/>
          <w:b/>
          <w:bCs/>
          <w:sz w:val="28"/>
          <w:szCs w:val="28"/>
          <w:lang w:val="nl-NL"/>
        </w:rPr>
        <w:t>Module name</w:t>
      </w:r>
      <w:r w:rsidRPr="00076AC0">
        <w:rPr>
          <w:rFonts w:cs="Arial"/>
          <w:sz w:val="28"/>
          <w:szCs w:val="28"/>
          <w:lang w:val="nl-NL"/>
        </w:rPr>
        <w:t xml:space="preserve">: </w:t>
      </w:r>
      <w:r w:rsidRPr="006A1237">
        <w:rPr>
          <w:rFonts w:cs="Arial"/>
          <w:sz w:val="28"/>
          <w:szCs w:val="28"/>
          <w:lang w:val="nl-NL"/>
        </w:rPr>
        <w:t xml:space="preserve">Principles of Health and Social Care Practice </w:t>
      </w:r>
    </w:p>
    <w:p w14:paraId="33506B64" w14:textId="77777777" w:rsidR="0019056E" w:rsidRPr="00C03A91" w:rsidRDefault="0019056E" w:rsidP="0019056E">
      <w:pPr>
        <w:tabs>
          <w:tab w:val="left" w:pos="6540"/>
        </w:tabs>
        <w:rPr>
          <w:rFonts w:cs="Arial"/>
          <w:sz w:val="28"/>
          <w:szCs w:val="28"/>
        </w:rPr>
      </w:pPr>
      <w:r w:rsidRPr="00C03A91">
        <w:rPr>
          <w:rFonts w:cs="Arial"/>
          <w:b/>
          <w:bCs/>
          <w:sz w:val="28"/>
          <w:szCs w:val="28"/>
        </w:rPr>
        <w:t>Module code</w:t>
      </w:r>
      <w:r w:rsidRPr="00C03A91">
        <w:rPr>
          <w:rFonts w:cs="Arial"/>
          <w:sz w:val="28"/>
          <w:szCs w:val="28"/>
        </w:rPr>
        <w:t>:</w:t>
      </w:r>
      <w:r>
        <w:rPr>
          <w:rFonts w:cs="Arial"/>
          <w:sz w:val="28"/>
          <w:szCs w:val="28"/>
        </w:rPr>
        <w:t xml:space="preserve"> </w:t>
      </w:r>
      <w:r w:rsidRPr="00536A48">
        <w:rPr>
          <w:rFonts w:cs="Arial"/>
          <w:sz w:val="28"/>
          <w:szCs w:val="28"/>
        </w:rPr>
        <w:t xml:space="preserve">BMHP5016 </w:t>
      </w:r>
    </w:p>
    <w:p w14:paraId="2F34B000" w14:textId="77777777" w:rsidR="0019056E" w:rsidRPr="00954FA3" w:rsidRDefault="0019056E" w:rsidP="0019056E">
      <w:pPr>
        <w:tabs>
          <w:tab w:val="left" w:pos="6540"/>
        </w:tabs>
        <w:rPr>
          <w:rFonts w:cs="Arial"/>
          <w:sz w:val="28"/>
          <w:szCs w:val="28"/>
        </w:rPr>
      </w:pPr>
      <w:r w:rsidRPr="00C03A91">
        <w:rPr>
          <w:rFonts w:cs="Arial"/>
          <w:b/>
          <w:bCs/>
          <w:sz w:val="28"/>
          <w:szCs w:val="28"/>
        </w:rPr>
        <w:t>Lecturer name</w:t>
      </w:r>
      <w:r w:rsidRPr="00C03A91">
        <w:rPr>
          <w:rFonts w:cs="Arial"/>
          <w:sz w:val="28"/>
          <w:szCs w:val="28"/>
        </w:rPr>
        <w:t>:</w:t>
      </w:r>
      <w:r>
        <w:rPr>
          <w:rFonts w:cs="Arial"/>
          <w:sz w:val="28"/>
          <w:szCs w:val="28"/>
        </w:rPr>
        <w:t xml:space="preserve"> </w:t>
      </w:r>
      <w:r w:rsidRPr="00674501">
        <w:rPr>
          <w:rFonts w:cs="Arial"/>
          <w:sz w:val="28"/>
          <w:szCs w:val="28"/>
        </w:rPr>
        <w:t xml:space="preserve">Dr </w:t>
      </w:r>
      <w:proofErr w:type="spellStart"/>
      <w:r w:rsidRPr="00674501">
        <w:rPr>
          <w:rFonts w:cs="Arial"/>
          <w:sz w:val="28"/>
          <w:szCs w:val="28"/>
        </w:rPr>
        <w:t>Itse</w:t>
      </w:r>
      <w:proofErr w:type="spellEnd"/>
      <w:r w:rsidRPr="00674501">
        <w:rPr>
          <w:rFonts w:cs="Arial"/>
          <w:sz w:val="28"/>
          <w:szCs w:val="28"/>
        </w:rPr>
        <w:t xml:space="preserve"> Olaoye</w:t>
      </w:r>
    </w:p>
    <w:p w14:paraId="1350AD38" w14:textId="46BF64F6" w:rsidR="0019056E" w:rsidRDefault="0019056E" w:rsidP="0019056E">
      <w:pPr>
        <w:tabs>
          <w:tab w:val="left" w:pos="6540"/>
        </w:tabs>
        <w:rPr>
          <w:rFonts w:cs="Arial"/>
          <w:b/>
          <w:bCs/>
          <w:sz w:val="28"/>
          <w:szCs w:val="28"/>
        </w:rPr>
      </w:pPr>
      <w:r w:rsidRPr="00C03A91">
        <w:rPr>
          <w:rFonts w:cs="Arial"/>
          <w:b/>
          <w:bCs/>
          <w:sz w:val="28"/>
          <w:szCs w:val="28"/>
        </w:rPr>
        <w:t>Assessment:</w:t>
      </w:r>
      <w:r w:rsidRPr="00536A48">
        <w:rPr>
          <w:rFonts w:cs="Arial"/>
          <w:sz w:val="28"/>
          <w:szCs w:val="28"/>
        </w:rPr>
        <w:t xml:space="preserve"> 2</w:t>
      </w:r>
    </w:p>
    <w:p w14:paraId="1912002F" w14:textId="77777777" w:rsidR="0019056E" w:rsidRDefault="0019056E" w:rsidP="0019056E">
      <w:pPr>
        <w:tabs>
          <w:tab w:val="left" w:pos="6540"/>
        </w:tabs>
        <w:rPr>
          <w:rFonts w:cs="Arial"/>
          <w:sz w:val="28"/>
          <w:szCs w:val="28"/>
        </w:rPr>
      </w:pPr>
    </w:p>
    <w:p w14:paraId="629DBF73" w14:textId="77777777" w:rsidR="0019056E" w:rsidRDefault="0019056E" w:rsidP="0019056E">
      <w:pPr>
        <w:spacing w:before="0" w:beforeAutospacing="0" w:after="160" w:afterAutospacing="0" w:line="259" w:lineRule="auto"/>
        <w:rPr>
          <w:rFonts w:cs="Arial"/>
          <w:sz w:val="28"/>
          <w:szCs w:val="28"/>
        </w:rPr>
      </w:pPr>
      <w:r>
        <w:rPr>
          <w:rFonts w:cs="Arial"/>
          <w:sz w:val="28"/>
          <w:szCs w:val="28"/>
        </w:rPr>
        <w:br w:type="page"/>
      </w:r>
    </w:p>
    <w:bookmarkStart w:id="0" w:name="_Toc235117225" w:displacedByCustomXml="next"/>
    <w:sdt>
      <w:sdtPr>
        <w:rPr>
          <w:rFonts w:ascii="Arial" w:eastAsiaTheme="minorHAnsi" w:hAnsi="Arial" w:cstheme="minorBidi"/>
          <w:b/>
          <w:color w:val="auto"/>
          <w:kern w:val="0"/>
          <w:sz w:val="22"/>
          <w:szCs w:val="22"/>
          <w14:ligatures w14:val="none"/>
        </w:rPr>
        <w:id w:val="-2093849602"/>
        <w:docPartObj>
          <w:docPartGallery w:val="Table of Contents"/>
          <w:docPartUnique/>
        </w:docPartObj>
      </w:sdtPr>
      <w:sdtEndPr>
        <w:rPr>
          <w:b w:val="0"/>
          <w:bCs/>
          <w:noProof/>
        </w:rPr>
      </w:sdtEndPr>
      <w:sdtContent>
        <w:p w14:paraId="58C67757" w14:textId="77777777" w:rsidR="0019056E" w:rsidRDefault="0019056E" w:rsidP="0019056E">
          <w:pPr>
            <w:pStyle w:val="Heading1"/>
          </w:pPr>
          <w:r>
            <w:t>Table of Contents</w:t>
          </w:r>
          <w:bookmarkEnd w:id="0"/>
        </w:p>
        <w:p w14:paraId="50DD3945" w14:textId="77777777" w:rsidR="0019056E" w:rsidRDefault="0019056E" w:rsidP="0019056E">
          <w:pPr>
            <w:pStyle w:val="TOC1"/>
            <w:tabs>
              <w:tab w:val="right" w:leader="dot" w:pos="9016"/>
            </w:tabs>
            <w:rPr>
              <w:rFonts w:asciiTheme="minorHAnsi" w:eastAsiaTheme="minorEastAsia" w:hAnsiTheme="minorHAnsi"/>
              <w:noProof/>
              <w:kern w:val="2"/>
              <w:sz w:val="24"/>
              <w:szCs w:val="24"/>
              <w:lang w:val="en-US"/>
              <w14:ligatures w14:val="standardContextual"/>
            </w:rPr>
          </w:pPr>
          <w:r>
            <w:fldChar w:fldCharType="begin"/>
          </w:r>
          <w:r>
            <w:instrText xml:space="preserve"> TOC \o "1-3" \h \z \u </w:instrText>
          </w:r>
          <w:r>
            <w:fldChar w:fldCharType="separate"/>
          </w:r>
          <w:hyperlink w:anchor="_Toc235117225" w:history="1">
            <w:r w:rsidRPr="000B635A">
              <w:rPr>
                <w:rStyle w:val="Hyperlink"/>
                <w:noProof/>
              </w:rPr>
              <w:t>Table of Contents</w:t>
            </w:r>
            <w:r>
              <w:rPr>
                <w:noProof/>
                <w:webHidden/>
              </w:rPr>
              <w:tab/>
            </w:r>
            <w:r>
              <w:rPr>
                <w:noProof/>
                <w:webHidden/>
              </w:rPr>
              <w:fldChar w:fldCharType="begin"/>
            </w:r>
            <w:r>
              <w:rPr>
                <w:noProof/>
                <w:webHidden/>
              </w:rPr>
              <w:instrText xml:space="preserve"> PAGEREF _Toc235117225 \h </w:instrText>
            </w:r>
            <w:r>
              <w:rPr>
                <w:noProof/>
                <w:webHidden/>
              </w:rPr>
            </w:r>
            <w:r>
              <w:rPr>
                <w:noProof/>
                <w:webHidden/>
              </w:rPr>
              <w:fldChar w:fldCharType="separate"/>
            </w:r>
            <w:r>
              <w:rPr>
                <w:noProof/>
                <w:webHidden/>
              </w:rPr>
              <w:t>2</w:t>
            </w:r>
            <w:r>
              <w:rPr>
                <w:noProof/>
                <w:webHidden/>
              </w:rPr>
              <w:fldChar w:fldCharType="end"/>
            </w:r>
          </w:hyperlink>
        </w:p>
        <w:p w14:paraId="51EADEC9" w14:textId="77777777" w:rsidR="0019056E" w:rsidRDefault="0019056E" w:rsidP="0019056E">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5117226" w:history="1">
            <w:r w:rsidRPr="000B635A">
              <w:rPr>
                <w:rStyle w:val="Hyperlink"/>
                <w:noProof/>
              </w:rPr>
              <w:t>Introduction</w:t>
            </w:r>
            <w:r>
              <w:rPr>
                <w:noProof/>
                <w:webHidden/>
              </w:rPr>
              <w:tab/>
            </w:r>
            <w:r>
              <w:rPr>
                <w:noProof/>
                <w:webHidden/>
              </w:rPr>
              <w:fldChar w:fldCharType="begin"/>
            </w:r>
            <w:r>
              <w:rPr>
                <w:noProof/>
                <w:webHidden/>
              </w:rPr>
              <w:instrText xml:space="preserve"> PAGEREF _Toc235117226 \h </w:instrText>
            </w:r>
            <w:r>
              <w:rPr>
                <w:noProof/>
                <w:webHidden/>
              </w:rPr>
            </w:r>
            <w:r>
              <w:rPr>
                <w:noProof/>
                <w:webHidden/>
              </w:rPr>
              <w:fldChar w:fldCharType="separate"/>
            </w:r>
            <w:r>
              <w:rPr>
                <w:noProof/>
                <w:webHidden/>
              </w:rPr>
              <w:t>3</w:t>
            </w:r>
            <w:r>
              <w:rPr>
                <w:noProof/>
                <w:webHidden/>
              </w:rPr>
              <w:fldChar w:fldCharType="end"/>
            </w:r>
          </w:hyperlink>
        </w:p>
        <w:p w14:paraId="3A71B33D" w14:textId="77777777" w:rsidR="0019056E" w:rsidRDefault="0019056E" w:rsidP="0019056E">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5117227" w:history="1">
            <w:r w:rsidRPr="000B635A">
              <w:rPr>
                <w:rStyle w:val="Hyperlink"/>
                <w:noProof/>
              </w:rPr>
              <w:t>Emergence and Development of the Social Model of Disability</w:t>
            </w:r>
            <w:r>
              <w:rPr>
                <w:noProof/>
                <w:webHidden/>
              </w:rPr>
              <w:tab/>
            </w:r>
            <w:r>
              <w:rPr>
                <w:noProof/>
                <w:webHidden/>
              </w:rPr>
              <w:fldChar w:fldCharType="begin"/>
            </w:r>
            <w:r>
              <w:rPr>
                <w:noProof/>
                <w:webHidden/>
              </w:rPr>
              <w:instrText xml:space="preserve"> PAGEREF _Toc235117227 \h </w:instrText>
            </w:r>
            <w:r>
              <w:rPr>
                <w:noProof/>
                <w:webHidden/>
              </w:rPr>
            </w:r>
            <w:r>
              <w:rPr>
                <w:noProof/>
                <w:webHidden/>
              </w:rPr>
              <w:fldChar w:fldCharType="separate"/>
            </w:r>
            <w:r>
              <w:rPr>
                <w:noProof/>
                <w:webHidden/>
              </w:rPr>
              <w:t>3</w:t>
            </w:r>
            <w:r>
              <w:rPr>
                <w:noProof/>
                <w:webHidden/>
              </w:rPr>
              <w:fldChar w:fldCharType="end"/>
            </w:r>
          </w:hyperlink>
        </w:p>
        <w:p w14:paraId="36F60C6B" w14:textId="77777777" w:rsidR="0019056E" w:rsidRDefault="0019056E" w:rsidP="0019056E">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5117228" w:history="1">
            <w:r w:rsidRPr="000B635A">
              <w:rPr>
                <w:rStyle w:val="Hyperlink"/>
                <w:noProof/>
              </w:rPr>
              <w:t>Major Critiques</w:t>
            </w:r>
            <w:r>
              <w:rPr>
                <w:noProof/>
                <w:webHidden/>
              </w:rPr>
              <w:tab/>
            </w:r>
            <w:r>
              <w:rPr>
                <w:noProof/>
                <w:webHidden/>
              </w:rPr>
              <w:fldChar w:fldCharType="begin"/>
            </w:r>
            <w:r>
              <w:rPr>
                <w:noProof/>
                <w:webHidden/>
              </w:rPr>
              <w:instrText xml:space="preserve"> PAGEREF _Toc235117228 \h </w:instrText>
            </w:r>
            <w:r>
              <w:rPr>
                <w:noProof/>
                <w:webHidden/>
              </w:rPr>
            </w:r>
            <w:r>
              <w:rPr>
                <w:noProof/>
                <w:webHidden/>
              </w:rPr>
              <w:fldChar w:fldCharType="separate"/>
            </w:r>
            <w:r>
              <w:rPr>
                <w:noProof/>
                <w:webHidden/>
              </w:rPr>
              <w:t>4</w:t>
            </w:r>
            <w:r>
              <w:rPr>
                <w:noProof/>
                <w:webHidden/>
              </w:rPr>
              <w:fldChar w:fldCharType="end"/>
            </w:r>
          </w:hyperlink>
        </w:p>
        <w:p w14:paraId="184735DF" w14:textId="77777777" w:rsidR="0019056E" w:rsidRDefault="0019056E" w:rsidP="0019056E">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5117229" w:history="1">
            <w:r w:rsidRPr="000B635A">
              <w:rPr>
                <w:rStyle w:val="Hyperlink"/>
                <w:noProof/>
              </w:rPr>
              <w:t>Application to Health and Social Care Policy</w:t>
            </w:r>
            <w:r>
              <w:rPr>
                <w:noProof/>
                <w:webHidden/>
              </w:rPr>
              <w:tab/>
            </w:r>
            <w:r>
              <w:rPr>
                <w:noProof/>
                <w:webHidden/>
              </w:rPr>
              <w:fldChar w:fldCharType="begin"/>
            </w:r>
            <w:r>
              <w:rPr>
                <w:noProof/>
                <w:webHidden/>
              </w:rPr>
              <w:instrText xml:space="preserve"> PAGEREF _Toc235117229 \h </w:instrText>
            </w:r>
            <w:r>
              <w:rPr>
                <w:noProof/>
                <w:webHidden/>
              </w:rPr>
            </w:r>
            <w:r>
              <w:rPr>
                <w:noProof/>
                <w:webHidden/>
              </w:rPr>
              <w:fldChar w:fldCharType="separate"/>
            </w:r>
            <w:r>
              <w:rPr>
                <w:noProof/>
                <w:webHidden/>
              </w:rPr>
              <w:t>5</w:t>
            </w:r>
            <w:r>
              <w:rPr>
                <w:noProof/>
                <w:webHidden/>
              </w:rPr>
              <w:fldChar w:fldCharType="end"/>
            </w:r>
          </w:hyperlink>
        </w:p>
        <w:p w14:paraId="7EEA6D0C" w14:textId="77777777" w:rsidR="0019056E" w:rsidRDefault="0019056E" w:rsidP="0019056E">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5117230" w:history="1">
            <w:r w:rsidRPr="000B635A">
              <w:rPr>
                <w:rStyle w:val="Hyperlink"/>
                <w:noProof/>
              </w:rPr>
              <w:t>Application to Practice Settings</w:t>
            </w:r>
            <w:r>
              <w:rPr>
                <w:noProof/>
                <w:webHidden/>
              </w:rPr>
              <w:tab/>
            </w:r>
            <w:r>
              <w:rPr>
                <w:noProof/>
                <w:webHidden/>
              </w:rPr>
              <w:fldChar w:fldCharType="begin"/>
            </w:r>
            <w:r>
              <w:rPr>
                <w:noProof/>
                <w:webHidden/>
              </w:rPr>
              <w:instrText xml:space="preserve"> PAGEREF _Toc235117230 \h </w:instrText>
            </w:r>
            <w:r>
              <w:rPr>
                <w:noProof/>
                <w:webHidden/>
              </w:rPr>
            </w:r>
            <w:r>
              <w:rPr>
                <w:noProof/>
                <w:webHidden/>
              </w:rPr>
              <w:fldChar w:fldCharType="separate"/>
            </w:r>
            <w:r>
              <w:rPr>
                <w:noProof/>
                <w:webHidden/>
              </w:rPr>
              <w:t>7</w:t>
            </w:r>
            <w:r>
              <w:rPr>
                <w:noProof/>
                <w:webHidden/>
              </w:rPr>
              <w:fldChar w:fldCharType="end"/>
            </w:r>
          </w:hyperlink>
        </w:p>
        <w:p w14:paraId="026658AE" w14:textId="77777777" w:rsidR="0019056E" w:rsidRDefault="0019056E" w:rsidP="0019056E">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5117231" w:history="1">
            <w:r w:rsidRPr="000B635A">
              <w:rPr>
                <w:rStyle w:val="Hyperlink"/>
                <w:noProof/>
              </w:rPr>
              <w:t>Recommendation for Policy and Practice</w:t>
            </w:r>
            <w:r>
              <w:rPr>
                <w:noProof/>
                <w:webHidden/>
              </w:rPr>
              <w:tab/>
            </w:r>
            <w:r>
              <w:rPr>
                <w:noProof/>
                <w:webHidden/>
              </w:rPr>
              <w:fldChar w:fldCharType="begin"/>
            </w:r>
            <w:r>
              <w:rPr>
                <w:noProof/>
                <w:webHidden/>
              </w:rPr>
              <w:instrText xml:space="preserve"> PAGEREF _Toc235117231 \h </w:instrText>
            </w:r>
            <w:r>
              <w:rPr>
                <w:noProof/>
                <w:webHidden/>
              </w:rPr>
            </w:r>
            <w:r>
              <w:rPr>
                <w:noProof/>
                <w:webHidden/>
              </w:rPr>
              <w:fldChar w:fldCharType="separate"/>
            </w:r>
            <w:r>
              <w:rPr>
                <w:noProof/>
                <w:webHidden/>
              </w:rPr>
              <w:t>8</w:t>
            </w:r>
            <w:r>
              <w:rPr>
                <w:noProof/>
                <w:webHidden/>
              </w:rPr>
              <w:fldChar w:fldCharType="end"/>
            </w:r>
          </w:hyperlink>
        </w:p>
        <w:p w14:paraId="2B64AD4E" w14:textId="77777777" w:rsidR="0019056E" w:rsidRDefault="0019056E" w:rsidP="0019056E">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5117232" w:history="1">
            <w:r w:rsidRPr="000B635A">
              <w:rPr>
                <w:rStyle w:val="Hyperlink"/>
                <w:noProof/>
              </w:rPr>
              <w:t>Conclusion</w:t>
            </w:r>
            <w:r>
              <w:rPr>
                <w:noProof/>
                <w:webHidden/>
              </w:rPr>
              <w:tab/>
            </w:r>
            <w:r>
              <w:rPr>
                <w:noProof/>
                <w:webHidden/>
              </w:rPr>
              <w:fldChar w:fldCharType="begin"/>
            </w:r>
            <w:r>
              <w:rPr>
                <w:noProof/>
                <w:webHidden/>
              </w:rPr>
              <w:instrText xml:space="preserve"> PAGEREF _Toc235117232 \h </w:instrText>
            </w:r>
            <w:r>
              <w:rPr>
                <w:noProof/>
                <w:webHidden/>
              </w:rPr>
            </w:r>
            <w:r>
              <w:rPr>
                <w:noProof/>
                <w:webHidden/>
              </w:rPr>
              <w:fldChar w:fldCharType="separate"/>
            </w:r>
            <w:r>
              <w:rPr>
                <w:noProof/>
                <w:webHidden/>
              </w:rPr>
              <w:t>8</w:t>
            </w:r>
            <w:r>
              <w:rPr>
                <w:noProof/>
                <w:webHidden/>
              </w:rPr>
              <w:fldChar w:fldCharType="end"/>
            </w:r>
          </w:hyperlink>
        </w:p>
        <w:p w14:paraId="5059559D" w14:textId="77777777" w:rsidR="0019056E" w:rsidRDefault="0019056E" w:rsidP="0019056E">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5117233" w:history="1">
            <w:r w:rsidRPr="000B635A">
              <w:rPr>
                <w:rStyle w:val="Hyperlink"/>
                <w:noProof/>
              </w:rPr>
              <w:t>Reference List</w:t>
            </w:r>
            <w:r>
              <w:rPr>
                <w:noProof/>
                <w:webHidden/>
              </w:rPr>
              <w:tab/>
            </w:r>
            <w:r>
              <w:rPr>
                <w:noProof/>
                <w:webHidden/>
              </w:rPr>
              <w:fldChar w:fldCharType="begin"/>
            </w:r>
            <w:r>
              <w:rPr>
                <w:noProof/>
                <w:webHidden/>
              </w:rPr>
              <w:instrText xml:space="preserve"> PAGEREF _Toc235117233 \h </w:instrText>
            </w:r>
            <w:r>
              <w:rPr>
                <w:noProof/>
                <w:webHidden/>
              </w:rPr>
            </w:r>
            <w:r>
              <w:rPr>
                <w:noProof/>
                <w:webHidden/>
              </w:rPr>
              <w:fldChar w:fldCharType="separate"/>
            </w:r>
            <w:r>
              <w:rPr>
                <w:noProof/>
                <w:webHidden/>
              </w:rPr>
              <w:t>9</w:t>
            </w:r>
            <w:r>
              <w:rPr>
                <w:noProof/>
                <w:webHidden/>
              </w:rPr>
              <w:fldChar w:fldCharType="end"/>
            </w:r>
          </w:hyperlink>
        </w:p>
        <w:p w14:paraId="0E36556F" w14:textId="77777777" w:rsidR="0019056E" w:rsidRDefault="0019056E" w:rsidP="0019056E">
          <w:r>
            <w:rPr>
              <w:b/>
              <w:bCs/>
              <w:noProof/>
            </w:rPr>
            <w:fldChar w:fldCharType="end"/>
          </w:r>
        </w:p>
      </w:sdtContent>
    </w:sdt>
    <w:p w14:paraId="55783E4B" w14:textId="77777777" w:rsidR="0019056E" w:rsidRDefault="0019056E" w:rsidP="0019056E">
      <w:pPr>
        <w:tabs>
          <w:tab w:val="left" w:pos="6540"/>
        </w:tabs>
        <w:rPr>
          <w:rFonts w:cs="Arial"/>
          <w:b/>
          <w:bCs/>
          <w:sz w:val="28"/>
          <w:szCs w:val="28"/>
        </w:rPr>
      </w:pPr>
    </w:p>
    <w:p w14:paraId="00FA9B37" w14:textId="77777777" w:rsidR="0019056E" w:rsidRPr="00C03A91" w:rsidRDefault="0019056E" w:rsidP="0019056E">
      <w:pPr>
        <w:tabs>
          <w:tab w:val="left" w:pos="6540"/>
        </w:tabs>
        <w:rPr>
          <w:rFonts w:cs="Arial"/>
          <w:b/>
          <w:bCs/>
          <w:sz w:val="28"/>
          <w:szCs w:val="28"/>
        </w:rPr>
      </w:pPr>
    </w:p>
    <w:p w14:paraId="292149E6" w14:textId="77777777" w:rsidR="0019056E" w:rsidRDefault="0019056E" w:rsidP="0019056E">
      <w:pPr>
        <w:pStyle w:val="Heading1"/>
      </w:pPr>
      <w:r w:rsidRPr="00C03A91">
        <w:rPr>
          <w:szCs w:val="28"/>
        </w:rPr>
        <w:br w:type="page"/>
      </w:r>
      <w:bookmarkStart w:id="1" w:name="_Toc235117226"/>
      <w:r w:rsidRPr="00995C46">
        <w:lastRenderedPageBreak/>
        <w:t>Introduction</w:t>
      </w:r>
      <w:bookmarkEnd w:id="1"/>
    </w:p>
    <w:p w14:paraId="7D1CC9E1" w14:textId="77777777" w:rsidR="0019056E" w:rsidRDefault="0019056E" w:rsidP="0019056E">
      <w:r>
        <w:t>Person-centred care is a fundamental principle in current health and social care, and it involves people being active participants in decisions about their care and support (Coulter and Oldham, 2016). McCormack and McCance (2017) also underline how this approach is based on the principles of autonomy, dignity, and collaborative relationships between practitioners and service users. The Health Foundation (2021) also discusses person-centred care as providing people the opportunity to make meaningful choices and to have control over how their care is arranged, in line with what matters most to them. This is supported by the Care Act (2014), which establishes a statutory duty on local authorities to promote well-being and to enable people to participate in decision-making. These frameworks all describe person-centred care as a rights-based model, emphasising empowerment and inclusion.</w:t>
      </w:r>
    </w:p>
    <w:p w14:paraId="5479B376" w14:textId="77777777" w:rsidR="0019056E" w:rsidRDefault="0019056E" w:rsidP="0019056E">
      <w:r>
        <w:t>The social model of disability has been established via disability activism and provides a vital underpinning to understanding person-centred practice (Oliver, 1990). It defines impairment as a physical or mental condition, and disability as the social and environmental barriers that hinder participation. UPIAS (1976) claimed that exclusion is a consequence of society’s failure to cater for a range of needs, but Barnes and Mercer (2010) emphasise that the model highlights structural inequities that affect the experiences of people with disabilities. The model’s compatibility with anti-discriminatory practice and its influence on legislation such as the Equality Act (2010) and the Care Act (2014) demonstrate its relevance to current care.</w:t>
      </w:r>
    </w:p>
    <w:p w14:paraId="5BE69BB1" w14:textId="77777777" w:rsidR="0019056E" w:rsidRDefault="0019056E" w:rsidP="0019056E">
      <w:r>
        <w:t>This essay will critically explore the emergence and development of the social model of disability, assess key critiques and academic debates, analyse its application in policy and practice, and offer recommendations to enhance person-centred care through more effective implementation of social model principles.</w:t>
      </w:r>
    </w:p>
    <w:p w14:paraId="38EFCFBC" w14:textId="77777777" w:rsidR="0019056E" w:rsidRDefault="0019056E" w:rsidP="0019056E">
      <w:pPr>
        <w:pStyle w:val="Heading1"/>
      </w:pPr>
      <w:bookmarkStart w:id="2" w:name="_Toc235117227"/>
      <w:r w:rsidRPr="00F16643">
        <w:t>Emergence and Development of the Social Model</w:t>
      </w:r>
      <w:r>
        <w:t xml:space="preserve"> of Disability</w:t>
      </w:r>
      <w:bookmarkEnd w:id="2"/>
    </w:p>
    <w:p w14:paraId="6301317E" w14:textId="77777777" w:rsidR="0019056E" w:rsidRDefault="0019056E" w:rsidP="0019056E">
      <w:r>
        <w:t xml:space="preserve">The social model of disability was developed in the 1970s, during a period of significant disability activism in the UK (Griffiths, 2022). Disabled people’s organisations challenged conventional understandings of disability as an individual medical problem, saying that </w:t>
      </w:r>
      <w:r>
        <w:lastRenderedPageBreak/>
        <w:t>exclusion was produced by societal structures and institutional practices. A crucial landmark in this campaign was the publication of the Union of the Physically Impaired Against Segregation (UPIAS) declaration in 1976, which stated that disability was the result of societal barriers, not impairment itself. This was a direct rejection of the medical or individual paradigm, which located incapacity within the body and promoted treatment, cure, and professional control (</w:t>
      </w:r>
      <w:r w:rsidRPr="001E179D">
        <w:t>Hampton</w:t>
      </w:r>
      <w:r>
        <w:t>, 2020). The early social model was purposefully simple and politically militant, intended to activate communal action and to recast disability as a form of oppression. Its activist roots underscore that the model was not originally conceived as an academic theory but as a purposeful intervention to change public attitudes and policies.</w:t>
      </w:r>
    </w:p>
    <w:p w14:paraId="3FD49294" w14:textId="77777777" w:rsidR="0019056E" w:rsidRDefault="0019056E" w:rsidP="0019056E">
      <w:r>
        <w:t>The first explicit academic statement of the social model of disability was put forward by Mike Oliver. Oliver separated impairment, the physical or mental condition, from disability, the social constraints of an unaccommodating environment (Oliver, 1990). This conceptual division was highly significant in disability studies and helped shift academic discourse away from medicalised interpretations. Oliver’s binary distinction was powerful in its clarity and strong political statement, but scholars such as Shakespeare (2006) contend that it oversimplifies lived experience by disregarding the connection between handicap and social environment. The model’s strength lies in its ability to shed light on structural impediments, but its lack of nuance has been criticised for failing to capture discomfort, weariness, or shifting circumstances. Later academics, such as Barnes and Mercer (2010), elaborated on the social model to address its inadequacies and to include more complex understandings of disability. In its development, the model has evolved from its initial simplicity to a broader foundation for analysing disability across a range of social circumstances.</w:t>
      </w:r>
    </w:p>
    <w:p w14:paraId="59080F81" w14:textId="77777777" w:rsidR="0019056E" w:rsidRDefault="0019056E" w:rsidP="0019056E">
      <w:pPr>
        <w:pStyle w:val="Heading1"/>
      </w:pPr>
      <w:bookmarkStart w:id="3" w:name="_Toc235117228"/>
      <w:r>
        <w:t>Major Critiques</w:t>
      </w:r>
      <w:bookmarkEnd w:id="3"/>
    </w:p>
    <w:p w14:paraId="2547BC9A" w14:textId="77777777" w:rsidR="0019056E" w:rsidRDefault="0019056E" w:rsidP="0019056E">
      <w:r>
        <w:t>The social model of disability has been influential but has garnered major controversy for simplifying the complicated realities of disabled people’s lives. One of the major complaints is that the model fails to account for the embodied experience of disability, pain, exhaustion, and changing medical demands (Shakespeare and Watson, 2002; Thorneycroft, 2024). The paradigm's concentration on social barriers almost exclusively risks downplaying the physical and psychological challenges that many disabled persons confront. Some researchers contend that the model is an imperfect account of disability. The binary difference between impairment and disability has also been critiqued for being excessively tight. As Shakespeare (2006) argues, it is not possible to isolate disability into social and biological components, as the lived experience is determined by their interplay.</w:t>
      </w:r>
    </w:p>
    <w:p w14:paraId="4C1B39A2" w14:textId="77777777" w:rsidR="0019056E" w:rsidRDefault="0019056E" w:rsidP="0019056E">
      <w:r>
        <w:lastRenderedPageBreak/>
        <w:t>The paradigm is also criticised for its narrow application in mental health and learning impairments. Owens (2015) points out that conditions such as severe depression, psychosis, or cognitive impairments are not easily accommodated within the impairment/disability split, leading to doubts about whether the paradigm appropriately captures the experiences of all impaired people. Goering (2015) also highlighted that cultural critics argue the social model is largely rooted in Western political engagement and may not be readily transferable to contexts where disability is interpreted differently. In societies with poor infrastructure, poverty, or differing cultural values, social obstacles may not be the primary source of disadvantage, thereby limiting the paradigm's universality. These critiques show that the social model is powerful but not without conceptual and practical constraints.</w:t>
      </w:r>
    </w:p>
    <w:p w14:paraId="4B7EE5F3" w14:textId="77777777" w:rsidR="0019056E" w:rsidRDefault="0019056E" w:rsidP="0019056E">
      <w:r>
        <w:t>In response to such criticisms, scholars have developed expanded and alternative models that retain the virtues of the social model while addressing its weaknesses. The Swain and French (2000) affirmative paradigm highlights positive disability identities and experiences, and challenges the concept that disability is necessarily a bad state. The biopsychosocial approach, as recognised by the World Health Organisation in the International Classification of Functioning (ICF), incorporates medical, psychological, and social aspects of disability (Wade and Halligan, 2017). This paradigm emphasises the reality of disabilities and the significance of social barriers, therefore bridging the gap between the medical and social perspectives.</w:t>
      </w:r>
    </w:p>
    <w:p w14:paraId="5E487CE8" w14:textId="77777777" w:rsidR="0019056E" w:rsidRDefault="0019056E" w:rsidP="0019056E">
      <w:r>
        <w:t xml:space="preserve">Furthermore, expanded social models also acknowledge the importance of lived experience, recognising that the voices of people with disabilities are vital to the development of meaningful theory and practice (Chapman </w:t>
      </w:r>
      <w:r w:rsidRPr="007F05E5">
        <w:rPr>
          <w:i/>
          <w:iCs/>
        </w:rPr>
        <w:t>et al.,</w:t>
      </w:r>
      <w:r>
        <w:t xml:space="preserve"> 2023). Intersectional approaches are concerned with the intersections of disability with gender, racism, class, and other social categories, and help to fill gaps in the original framework (Thorneycroft, 2024). These replies illustrate the social model's flexibility and adaptability, its ability to accommodate nuance without losing its political and ethical foundations.</w:t>
      </w:r>
    </w:p>
    <w:p w14:paraId="1DECC41F" w14:textId="77777777" w:rsidR="0019056E" w:rsidRDefault="0019056E" w:rsidP="0019056E">
      <w:pPr>
        <w:pStyle w:val="Heading1"/>
      </w:pPr>
      <w:bookmarkStart w:id="4" w:name="_Toc235117229"/>
      <w:r w:rsidRPr="00AA142F">
        <w:t>Application to Health and Social Care Policy</w:t>
      </w:r>
      <w:bookmarkEnd w:id="4"/>
    </w:p>
    <w:p w14:paraId="1F2CAC0F" w14:textId="77777777" w:rsidR="0019056E" w:rsidRDefault="0019056E" w:rsidP="0019056E">
      <w:r>
        <w:t xml:space="preserve">The social model of disability has been hugely influential in shaping today’s health and social care policy in the United Kingdom and has provided the foundation for legislation and organisational structures that are rooted in the principles of rights, participation, and barrier removal (Lawson and Beckett, 2021). Critics have argued that one of the clearest statements of the government's social model is the Equality Act 2010. This means public </w:t>
      </w:r>
      <w:r>
        <w:lastRenderedPageBreak/>
        <w:t>bodies and service providers must make reasonable changes to ensure people with disabilities can access services on an equitable basis (Public Health England, 2020). This legal obligation echoes the social model’s argument that disability is a consequence of environmental and attitudinal impediments, rather than impairment alone (Public Health England, 2020; Thorneycroft, 2024). However, whereas the Act is strongly rights-based, implementation across sectors is inconsistent, sometimes hindered by limited resources, varying levels of organisational commitment, and differing perceptions of what constitutes a ‘reasonable’ adjustment.</w:t>
      </w:r>
    </w:p>
    <w:p w14:paraId="0FD18A47" w14:textId="77777777" w:rsidR="0019056E" w:rsidRDefault="0019056E" w:rsidP="0019056E">
      <w:r>
        <w:t>Social</w:t>
      </w:r>
      <w:r>
        <w:rPr>
          <w:rFonts w:ascii="Cambria Math" w:hAnsi="Cambria Math" w:cs="Cambria Math"/>
        </w:rPr>
        <w:t>‑</w:t>
      </w:r>
      <w:r>
        <w:t>model thinking is further embedded in the Care Act (2014), which puts welfare, choice, and control at the heart of adult social care (Barnes, 2017; Lawson and Beckett, 2021). Its emphasis on personalisation, prevention, and involvement aligns well with the social model's concern for autonomy and inclusion. The Act encourages local authorities to involve people in evaluations and care planning, promoting the idea that disabled people should be active partners rather than passive beneficiaries of care (Office for Equality and Opportunity, 2026). Despite the positives and progress recorded, the policy often lags practice concerns, such as budget challenges, workforce shortages, and bureaucratic processes, which threaten the Act’s person-centred ambitions, highlighting the gap between legislative aspiration and day-to-day service delivery.</w:t>
      </w:r>
    </w:p>
    <w:p w14:paraId="74B27C90" w14:textId="77777777" w:rsidR="0019056E" w:rsidRDefault="0019056E" w:rsidP="0019056E">
      <w:r>
        <w:t xml:space="preserve">Internationally, the United Nations Convention on the Rights of Persons with Disabilities (UNCRPD) establishes a global framework consistent with social-model concepts (United Nations, 2006). The Convention encourages equality, accessibility, and full participation, and requires signatory states, including the UK, to remove societal barriers and defend the rights of persons with disabilities (McCusker </w:t>
      </w:r>
      <w:r w:rsidRPr="0054212A">
        <w:rPr>
          <w:i/>
          <w:iCs/>
        </w:rPr>
        <w:t>et al.,</w:t>
      </w:r>
      <w:r>
        <w:t xml:space="preserve"> 2023). The UNCRPD has enhanced the social model’s legitimacy, but its effect on domestic practice has been inconsistent, partly due to insufficient enforcement mechanisms and the political diversity of commitments to disability rights (Durham </w:t>
      </w:r>
      <w:r w:rsidRPr="0054212A">
        <w:rPr>
          <w:i/>
          <w:iCs/>
        </w:rPr>
        <w:t>et al.,</w:t>
      </w:r>
      <w:r>
        <w:t xml:space="preserve"> 2014).</w:t>
      </w:r>
    </w:p>
    <w:p w14:paraId="7E61980B" w14:textId="77777777" w:rsidR="0019056E" w:rsidRDefault="0019056E" w:rsidP="0019056E">
      <w:r>
        <w:t>The NHS’s personalised care frameworks also reflect social-model values through their emphasis on shared decision-making, supported self-management, and person-centred care (NHS England, 2018). These efforts are designed to empower service users and break down institutional barriers. However, the NHS faces severe operational issues, including high demand, staffing pressures, and structural constraints, which could limit the extent to which customised treatment is delivered in practice. Overall, UK policy is strongly informed by social-model ideas, but the success of these frameworks depends on ongoing organisational commitment, proper budget, and cultural change within services.</w:t>
      </w:r>
    </w:p>
    <w:p w14:paraId="0112E865" w14:textId="77777777" w:rsidR="0019056E" w:rsidRDefault="0019056E" w:rsidP="0019056E">
      <w:pPr>
        <w:pStyle w:val="Heading1"/>
      </w:pPr>
      <w:bookmarkStart w:id="5" w:name="_Toc235117230"/>
      <w:r w:rsidRPr="008B2F09">
        <w:lastRenderedPageBreak/>
        <w:t>Application to Practice Settings</w:t>
      </w:r>
      <w:bookmarkEnd w:id="5"/>
    </w:p>
    <w:p w14:paraId="4D6A0AAF" w14:textId="77777777" w:rsidR="0019056E" w:rsidRDefault="0019056E" w:rsidP="0019056E">
      <w:r>
        <w:t>The social model of disability in practice within adult social care shows how theory can inform day-to-day interactions, evaluations, and support planning. In this setting, the practitioner is expected to identify and remove environmental, organisational, and attitudinal barriers to participation, reflecting the model’s central claim that disability is socially generated (Oliver, 1990). This approach is closely aligned with strengths-based practice, focusing on individuals’ capacities rather than deficits (Department of Health and Social Care, 2017). This view enables practitioners to involve service users in decision-making and increase autonomy, a core aspect of person-centred care (McCormack and McCance, 2017).</w:t>
      </w:r>
    </w:p>
    <w:p w14:paraId="7828CAEA" w14:textId="77777777" w:rsidR="0019056E" w:rsidRDefault="0019056E" w:rsidP="0019056E">
      <w:r>
        <w:t>One of the big benefits of using the social model in practice is the emphasis on empowerment. Practitioners who understand that barriers to access are external rather than internal are more likely to change how they communicate, adapt their surroundings, and work with service users to develop individual support plans (</w:t>
      </w:r>
      <w:proofErr w:type="spellStart"/>
      <w:r>
        <w:t>Gréaux</w:t>
      </w:r>
      <w:proofErr w:type="spellEnd"/>
      <w:r>
        <w:t xml:space="preserve"> </w:t>
      </w:r>
      <w:r w:rsidRPr="00F84497">
        <w:rPr>
          <w:i/>
          <w:iCs/>
        </w:rPr>
        <w:t>et al.,</w:t>
      </w:r>
      <w:r>
        <w:t xml:space="preserve"> 2023). Co-production is a best-practice method that is increasingly being recognised in adult social care, ensuring that services reflect the preferences and lived experiences of handicapped people with disabilities (Needham and Carr, 2009). This can lead to increased satisfaction with the service, more independence, and increased trust between practitioners and service consumers. The model also promotes anti-discriminatory practice by questioning the premise that disability is an individual shortcoming and enabling staff to critically reflect on institutional norms and biases (Barnes and Mercer, 2010).</w:t>
      </w:r>
    </w:p>
    <w:p w14:paraId="4FFD7B87" w14:textId="77777777" w:rsidR="0019056E" w:rsidRDefault="0019056E" w:rsidP="0019056E">
      <w:r>
        <w:t>However, the application of the social model in practice is hampered by several constraints. Resource pressures in adult social care, such as labour shortages, high caseloads, and restricted funding, may affect practitioners’ ability to consistently deliver person</w:t>
      </w:r>
      <w:r>
        <w:rPr>
          <w:rFonts w:ascii="Cambria Math" w:hAnsi="Cambria Math" w:cs="Cambria Math"/>
        </w:rPr>
        <w:t>‑</w:t>
      </w:r>
      <w:r>
        <w:t>centred approaches (Glasby and Dickinson, 2014). Removing barriers may involve time, training, and organisational flexibility, which may be difficult to achieve in overstretched services. Furthermore, focusing on external constraints can lead the model to lose sight of the complicated reality of impairment. This is especially relevant for people with chronic pain, exhaustion, or cognitive impairment for whom a solely social interpretation of assistance may not adequately reflect their support needs. This echoes critiques that the model minimises embodied experience (Shakespeare, 2006). In this context, practitioners must combine person-centred values with clinical and safeguarding duties.</w:t>
      </w:r>
    </w:p>
    <w:p w14:paraId="4A78C215" w14:textId="77777777" w:rsidR="0019056E" w:rsidRDefault="0019056E" w:rsidP="0019056E">
      <w:pPr>
        <w:pStyle w:val="Heading1"/>
      </w:pPr>
      <w:bookmarkStart w:id="6" w:name="_Toc235117231"/>
      <w:r>
        <w:lastRenderedPageBreak/>
        <w:t xml:space="preserve">Recommendation </w:t>
      </w:r>
      <w:r w:rsidRPr="00B82E1C">
        <w:t>for Policy and Practice</w:t>
      </w:r>
      <w:bookmarkEnd w:id="6"/>
    </w:p>
    <w:p w14:paraId="15BA89E1" w14:textId="77777777" w:rsidR="0019056E" w:rsidRDefault="0019056E" w:rsidP="0019056E">
      <w:r>
        <w:t>The social model of disability must be embedded throughout health and social care through a targeted policy and practice change that tackles the ongoing structural and organisational impediments. Policy-level enforcement of the Equality Act (2010) is required to guarantee that appropriate adjustments are consistently made across services. This involves more money for accessible environments, increased monitoring of compliance, and national advice to limit variation in interpretation. Co-production in policy creation would better align services with social model principles by ensuring that the voices of people with disabilities are heard in decision-making at all levels (Needham and Carr, 2009).</w:t>
      </w:r>
    </w:p>
    <w:p w14:paraId="304845F2" w14:textId="77777777" w:rsidR="0019056E" w:rsidRDefault="0019056E" w:rsidP="0019056E">
      <w:r>
        <w:t>In practice settings, continued investment in workforce development is crucial. Mandatory disability awareness training and anti-oppressive practice would equip practitioners with the tools to identify and remove barriers, challenge discriminatory beliefs, and provide genuinely person-centred care (Barnes and Mercer, 2010). Universal design principles in service environments would improve accessibility and decrease the need for specific accommodations. Further strengthening of advocate provision and assisted decision</w:t>
      </w:r>
      <w:r>
        <w:rPr>
          <w:rFonts w:ascii="Cambria Math" w:hAnsi="Cambria Math" w:cs="Cambria Math"/>
        </w:rPr>
        <w:t>‑</w:t>
      </w:r>
      <w:r>
        <w:t>making procedures would encourage autonomy and involvement, especially for individuals with complex needs. These guidelines recognise existing resource constraints but stress that genuine implementation of the social model requires cultural change, organisational commitment, and ongoing investment.</w:t>
      </w:r>
    </w:p>
    <w:p w14:paraId="5FB01A25" w14:textId="77777777" w:rsidR="0019056E" w:rsidRDefault="0019056E" w:rsidP="0019056E">
      <w:pPr>
        <w:pStyle w:val="Heading1"/>
      </w:pPr>
      <w:bookmarkStart w:id="7" w:name="_Toc235117232"/>
      <w:r>
        <w:t>Conclusion</w:t>
      </w:r>
      <w:bookmarkEnd w:id="7"/>
    </w:p>
    <w:p w14:paraId="01E7F75B" w14:textId="77777777" w:rsidR="0019056E" w:rsidRDefault="0019056E" w:rsidP="0019056E">
      <w:r w:rsidRPr="00E548DF">
        <w:t xml:space="preserve">In conclusion, the social model of disability helps health and social care practitioners understand how rules and attitudes shape the experiences of disabled people in these settings. This model continues to shape laws, policies, and person-centred practices, even though some critics say we need more detailed and practical approaches. While it is not always applied consistently, using more ideas from the social model and </w:t>
      </w:r>
      <w:r>
        <w:t>demonstrating stronger organisational commitment could help service users gain greater autonomy, feel included, and participate</w:t>
      </w:r>
      <w:r w:rsidRPr="00E548DF">
        <w:t xml:space="preserve"> more fully. Bringing these ideas into policy and practice can lead to care that is fairer, more responsive, and truly focused on each person.</w:t>
      </w:r>
    </w:p>
    <w:p w14:paraId="3B08FF7A" w14:textId="77777777" w:rsidR="0019056E" w:rsidRPr="00E548DF" w:rsidRDefault="0019056E" w:rsidP="0019056E"/>
    <w:p w14:paraId="633DC59C" w14:textId="77777777" w:rsidR="0019056E" w:rsidRDefault="0019056E" w:rsidP="0019056E">
      <w:pPr>
        <w:spacing w:before="0" w:beforeAutospacing="0" w:after="160" w:afterAutospacing="0" w:line="259" w:lineRule="auto"/>
        <w:rPr>
          <w:rFonts w:eastAsiaTheme="majorEastAsia" w:cstheme="majorBidi"/>
          <w:b/>
          <w:sz w:val="28"/>
          <w:szCs w:val="32"/>
        </w:rPr>
      </w:pPr>
      <w:r>
        <w:br w:type="page"/>
      </w:r>
    </w:p>
    <w:p w14:paraId="53D2DDCB" w14:textId="77777777" w:rsidR="0019056E" w:rsidRPr="00692BCE" w:rsidRDefault="0019056E" w:rsidP="0019056E">
      <w:pPr>
        <w:pStyle w:val="Heading1"/>
      </w:pPr>
      <w:bookmarkStart w:id="8" w:name="_Toc235117233"/>
      <w:r>
        <w:lastRenderedPageBreak/>
        <w:t>Reference List</w:t>
      </w:r>
      <w:bookmarkEnd w:id="8"/>
    </w:p>
    <w:p w14:paraId="5B9392B4" w14:textId="77777777" w:rsidR="0019056E" w:rsidRPr="00DD7F57" w:rsidRDefault="0019056E" w:rsidP="0019056E">
      <w:pPr>
        <w:spacing w:line="240" w:lineRule="auto"/>
        <w:rPr>
          <w:lang w:val="en-US"/>
        </w:rPr>
      </w:pPr>
      <w:r w:rsidRPr="00DD7F57">
        <w:rPr>
          <w:lang w:val="en-US"/>
        </w:rPr>
        <w:t xml:space="preserve">Barnes, C. </w:t>
      </w:r>
      <w:r>
        <w:rPr>
          <w:lang w:val="en-US"/>
        </w:rPr>
        <w:t>and</w:t>
      </w:r>
      <w:r w:rsidRPr="00DD7F57">
        <w:rPr>
          <w:lang w:val="en-US"/>
        </w:rPr>
        <w:t xml:space="preserve"> Mercer, G. (2010) </w:t>
      </w:r>
      <w:r w:rsidRPr="00DD7F57">
        <w:rPr>
          <w:i/>
          <w:iCs/>
          <w:lang w:val="en-US"/>
        </w:rPr>
        <w:t>Exploring Disability</w:t>
      </w:r>
      <w:r w:rsidRPr="00DD7F57">
        <w:rPr>
          <w:lang w:val="en-US"/>
        </w:rPr>
        <w:t>. 2nd ed. Cambridge: Polity Press.</w:t>
      </w:r>
    </w:p>
    <w:p w14:paraId="476FFB0D" w14:textId="77777777" w:rsidR="0019056E" w:rsidRPr="00D0729B" w:rsidRDefault="0019056E" w:rsidP="0019056E">
      <w:pPr>
        <w:spacing w:line="240" w:lineRule="auto"/>
        <w:rPr>
          <w:lang w:val="en-US"/>
        </w:rPr>
      </w:pPr>
      <w:r w:rsidRPr="00D0729B">
        <w:rPr>
          <w:lang w:val="en-US"/>
        </w:rPr>
        <w:t>Barnes, D.</w:t>
      </w:r>
      <w:r>
        <w:rPr>
          <w:lang w:val="en-US"/>
        </w:rPr>
        <w:t xml:space="preserve"> </w:t>
      </w:r>
      <w:r w:rsidRPr="00D0729B">
        <w:rPr>
          <w:i/>
          <w:iCs/>
          <w:lang w:val="en-US"/>
        </w:rPr>
        <w:t>et al.</w:t>
      </w:r>
      <w:r w:rsidRPr="00D0729B">
        <w:rPr>
          <w:lang w:val="en-US"/>
        </w:rPr>
        <w:t xml:space="preserve"> (2017)</w:t>
      </w:r>
      <w:r>
        <w:rPr>
          <w:lang w:val="en-US"/>
        </w:rPr>
        <w:t xml:space="preserve"> ‘</w:t>
      </w:r>
      <w:proofErr w:type="spellStart"/>
      <w:r w:rsidRPr="00D0729B">
        <w:rPr>
          <w:lang w:val="en-US"/>
        </w:rPr>
        <w:t>Personalisation</w:t>
      </w:r>
      <w:proofErr w:type="spellEnd"/>
      <w:r w:rsidRPr="00D0729B">
        <w:rPr>
          <w:lang w:val="en-US"/>
        </w:rPr>
        <w:t xml:space="preserve"> and social care assessment – the Care Act 2014</w:t>
      </w:r>
      <w:r>
        <w:rPr>
          <w:lang w:val="en-US"/>
        </w:rPr>
        <w:t>’,</w:t>
      </w:r>
      <w:r w:rsidRPr="00D0729B">
        <w:rPr>
          <w:lang w:val="en-US"/>
        </w:rPr>
        <w:t xml:space="preserve"> </w:t>
      </w:r>
      <w:proofErr w:type="spellStart"/>
      <w:r w:rsidRPr="00D0729B">
        <w:rPr>
          <w:i/>
          <w:iCs/>
          <w:lang w:val="en-US"/>
        </w:rPr>
        <w:t>BJPsych</w:t>
      </w:r>
      <w:proofErr w:type="spellEnd"/>
      <w:r w:rsidRPr="00D0729B">
        <w:rPr>
          <w:i/>
          <w:iCs/>
          <w:lang w:val="en-US"/>
        </w:rPr>
        <w:t xml:space="preserve"> Bulletin</w:t>
      </w:r>
      <w:r w:rsidRPr="00D0729B">
        <w:rPr>
          <w:lang w:val="en-US"/>
        </w:rPr>
        <w:t xml:space="preserve">, </w:t>
      </w:r>
      <w:r w:rsidRPr="00D0729B">
        <w:rPr>
          <w:i/>
          <w:iCs/>
          <w:lang w:val="en-US"/>
        </w:rPr>
        <w:t>41</w:t>
      </w:r>
      <w:r w:rsidRPr="00D0729B">
        <w:rPr>
          <w:lang w:val="en-US"/>
        </w:rPr>
        <w:t xml:space="preserve">(3), 176. </w:t>
      </w:r>
      <w:hyperlink r:id="rId8" w:history="1">
        <w:r w:rsidRPr="008A3B83">
          <w:rPr>
            <w:rStyle w:val="Hyperlink"/>
            <w:lang w:val="en-US"/>
          </w:rPr>
          <w:t>https://doi.org/10.1192/pb.bp.116.053660</w:t>
        </w:r>
      </w:hyperlink>
      <w:r>
        <w:rPr>
          <w:lang w:val="en-US"/>
        </w:rPr>
        <w:t xml:space="preserve"> </w:t>
      </w:r>
    </w:p>
    <w:p w14:paraId="2DFEFEA3" w14:textId="77777777" w:rsidR="0019056E" w:rsidRPr="008D6ABC" w:rsidRDefault="0019056E" w:rsidP="0019056E">
      <w:pPr>
        <w:spacing w:line="240" w:lineRule="auto"/>
        <w:rPr>
          <w:lang w:val="en-US"/>
        </w:rPr>
      </w:pPr>
      <w:r w:rsidRPr="00424A8C">
        <w:rPr>
          <w:lang w:val="en-US"/>
        </w:rPr>
        <w:t xml:space="preserve">Care Act </w:t>
      </w:r>
      <w:r>
        <w:rPr>
          <w:lang w:val="en-US"/>
        </w:rPr>
        <w:t>(</w:t>
      </w:r>
      <w:r w:rsidRPr="00424A8C">
        <w:rPr>
          <w:lang w:val="en-US"/>
        </w:rPr>
        <w:t>2014</w:t>
      </w:r>
      <w:r>
        <w:rPr>
          <w:lang w:val="en-US"/>
        </w:rPr>
        <w:t>)</w:t>
      </w:r>
      <w:r w:rsidRPr="00424A8C">
        <w:rPr>
          <w:lang w:val="en-US"/>
        </w:rPr>
        <w:t>. London: The Stationery Office.</w:t>
      </w:r>
    </w:p>
    <w:p w14:paraId="2A7B6FAF" w14:textId="77777777" w:rsidR="0019056E" w:rsidRDefault="0019056E" w:rsidP="0019056E">
      <w:pPr>
        <w:spacing w:line="240" w:lineRule="auto"/>
        <w:rPr>
          <w:lang w:val="en-US"/>
        </w:rPr>
      </w:pPr>
      <w:r w:rsidRPr="006F02E5">
        <w:rPr>
          <w:lang w:val="en-US"/>
        </w:rPr>
        <w:t>Chapman, K.</w:t>
      </w:r>
      <w:r>
        <w:rPr>
          <w:lang w:val="en-US"/>
        </w:rPr>
        <w:t xml:space="preserve"> </w:t>
      </w:r>
      <w:r w:rsidRPr="006F02E5">
        <w:rPr>
          <w:i/>
          <w:iCs/>
          <w:lang w:val="en-US"/>
        </w:rPr>
        <w:t>et al.</w:t>
      </w:r>
      <w:r w:rsidRPr="006F02E5">
        <w:rPr>
          <w:lang w:val="en-US"/>
        </w:rPr>
        <w:t xml:space="preserve"> (</w:t>
      </w:r>
      <w:proofErr w:type="gramStart"/>
      <w:r w:rsidRPr="006F02E5">
        <w:rPr>
          <w:lang w:val="en-US"/>
        </w:rPr>
        <w:t>2023)</w:t>
      </w:r>
      <w:r>
        <w:rPr>
          <w:lang w:val="en-US"/>
        </w:rPr>
        <w:t xml:space="preserve"> ‘</w:t>
      </w:r>
      <w:proofErr w:type="gramEnd"/>
      <w:r w:rsidRPr="006F02E5">
        <w:rPr>
          <w:lang w:val="en-US"/>
        </w:rPr>
        <w:t xml:space="preserve">Dignity and the Importance of Acknowledgement of Personhood for People </w:t>
      </w:r>
      <w:proofErr w:type="gramStart"/>
      <w:r w:rsidRPr="006F02E5">
        <w:rPr>
          <w:lang w:val="en-US"/>
        </w:rPr>
        <w:t>With</w:t>
      </w:r>
      <w:proofErr w:type="gramEnd"/>
      <w:r w:rsidRPr="006F02E5">
        <w:rPr>
          <w:lang w:val="en-US"/>
        </w:rPr>
        <w:t xml:space="preserve"> Disability</w:t>
      </w:r>
      <w:r>
        <w:rPr>
          <w:lang w:val="en-US"/>
        </w:rPr>
        <w:t xml:space="preserve">’, </w:t>
      </w:r>
      <w:r w:rsidRPr="006F02E5">
        <w:rPr>
          <w:i/>
          <w:iCs/>
          <w:lang w:val="en-US"/>
        </w:rPr>
        <w:t>Qualitative Health Research</w:t>
      </w:r>
      <w:r w:rsidRPr="006F02E5">
        <w:rPr>
          <w:lang w:val="en-US"/>
        </w:rPr>
        <w:t xml:space="preserve">, </w:t>
      </w:r>
      <w:r w:rsidRPr="006F02E5">
        <w:rPr>
          <w:i/>
          <w:iCs/>
          <w:lang w:val="en-US"/>
        </w:rPr>
        <w:t>34</w:t>
      </w:r>
      <w:r w:rsidRPr="006F02E5">
        <w:rPr>
          <w:lang w:val="en-US"/>
        </w:rPr>
        <w:t xml:space="preserve">(1-2), 141. </w:t>
      </w:r>
      <w:hyperlink r:id="rId9" w:history="1">
        <w:r w:rsidRPr="008A3B83">
          <w:rPr>
            <w:rStyle w:val="Hyperlink"/>
            <w:lang w:val="en-US"/>
          </w:rPr>
          <w:t>https://doi.org/10.1177/10497323231204562</w:t>
        </w:r>
      </w:hyperlink>
    </w:p>
    <w:p w14:paraId="5C785674" w14:textId="77777777" w:rsidR="0019056E" w:rsidRDefault="0019056E" w:rsidP="0019056E">
      <w:pPr>
        <w:spacing w:line="240" w:lineRule="auto"/>
        <w:rPr>
          <w:lang w:val="en-US"/>
        </w:rPr>
      </w:pPr>
      <w:r w:rsidRPr="008D6ABC">
        <w:rPr>
          <w:lang w:val="en-US"/>
        </w:rPr>
        <w:t>Coulter, A.</w:t>
      </w:r>
      <w:r>
        <w:rPr>
          <w:lang w:val="en-US"/>
        </w:rPr>
        <w:t xml:space="preserve"> and</w:t>
      </w:r>
      <w:r w:rsidRPr="008D6ABC">
        <w:rPr>
          <w:lang w:val="en-US"/>
        </w:rPr>
        <w:t xml:space="preserve"> Oldham, J. (</w:t>
      </w:r>
      <w:proofErr w:type="gramStart"/>
      <w:r w:rsidRPr="008D6ABC">
        <w:rPr>
          <w:lang w:val="en-US"/>
        </w:rPr>
        <w:t>2016)</w:t>
      </w:r>
      <w:r>
        <w:rPr>
          <w:lang w:val="en-US"/>
        </w:rPr>
        <w:t xml:space="preserve"> ‘</w:t>
      </w:r>
      <w:proofErr w:type="gramEnd"/>
      <w:r w:rsidRPr="008D6ABC">
        <w:rPr>
          <w:lang w:val="en-US"/>
        </w:rPr>
        <w:t>Person-</w:t>
      </w:r>
      <w:proofErr w:type="spellStart"/>
      <w:r w:rsidRPr="008D6ABC">
        <w:rPr>
          <w:lang w:val="en-US"/>
        </w:rPr>
        <w:t>centred</w:t>
      </w:r>
      <w:proofErr w:type="spellEnd"/>
      <w:r w:rsidRPr="008D6ABC">
        <w:rPr>
          <w:lang w:val="en-US"/>
        </w:rPr>
        <w:t xml:space="preserve"> care: What is it and how do we get there?</w:t>
      </w:r>
      <w:r>
        <w:rPr>
          <w:lang w:val="en-US"/>
        </w:rPr>
        <w:t>’,</w:t>
      </w:r>
      <w:r w:rsidRPr="008D6ABC">
        <w:rPr>
          <w:lang w:val="en-US"/>
        </w:rPr>
        <w:t xml:space="preserve"> </w:t>
      </w:r>
      <w:r w:rsidRPr="008D6ABC">
        <w:rPr>
          <w:i/>
          <w:iCs/>
          <w:lang w:val="en-US"/>
        </w:rPr>
        <w:t>Future Hospital Journal</w:t>
      </w:r>
      <w:r w:rsidRPr="008D6ABC">
        <w:rPr>
          <w:lang w:val="en-US"/>
        </w:rPr>
        <w:t xml:space="preserve">, </w:t>
      </w:r>
      <w:r w:rsidRPr="008D6ABC">
        <w:rPr>
          <w:i/>
          <w:iCs/>
          <w:lang w:val="en-US"/>
        </w:rPr>
        <w:t>3</w:t>
      </w:r>
      <w:r w:rsidRPr="008D6ABC">
        <w:rPr>
          <w:lang w:val="en-US"/>
        </w:rPr>
        <w:t xml:space="preserve">(2), 114. </w:t>
      </w:r>
      <w:hyperlink r:id="rId10" w:history="1">
        <w:r w:rsidRPr="008A3B83">
          <w:rPr>
            <w:rStyle w:val="Hyperlink"/>
            <w:lang w:val="en-US"/>
          </w:rPr>
          <w:t>https://doi.org/10.7861/futurehosp.3-2-114</w:t>
        </w:r>
      </w:hyperlink>
    </w:p>
    <w:p w14:paraId="0F997DBB" w14:textId="77777777" w:rsidR="0019056E" w:rsidRDefault="0019056E" w:rsidP="0019056E">
      <w:pPr>
        <w:spacing w:line="240" w:lineRule="auto"/>
        <w:rPr>
          <w:lang w:val="en-US"/>
        </w:rPr>
      </w:pPr>
      <w:r w:rsidRPr="00066B41">
        <w:rPr>
          <w:lang w:val="en-US"/>
        </w:rPr>
        <w:t>Durham, J., Brolan, C. E.</w:t>
      </w:r>
      <w:r>
        <w:rPr>
          <w:lang w:val="en-US"/>
        </w:rPr>
        <w:t xml:space="preserve"> and </w:t>
      </w:r>
      <w:proofErr w:type="spellStart"/>
      <w:r w:rsidRPr="00066B41">
        <w:rPr>
          <w:lang w:val="en-US"/>
        </w:rPr>
        <w:t>Mukandi</w:t>
      </w:r>
      <w:proofErr w:type="spellEnd"/>
      <w:r w:rsidRPr="00066B41">
        <w:rPr>
          <w:lang w:val="en-US"/>
        </w:rPr>
        <w:t>, B. (2014)</w:t>
      </w:r>
      <w:r>
        <w:rPr>
          <w:lang w:val="en-US"/>
        </w:rPr>
        <w:t xml:space="preserve"> ‘</w:t>
      </w:r>
      <w:r w:rsidRPr="00066B41">
        <w:rPr>
          <w:lang w:val="en-US"/>
        </w:rPr>
        <w:t xml:space="preserve">The Convention on the Rights of Persons </w:t>
      </w:r>
      <w:proofErr w:type="gramStart"/>
      <w:r w:rsidRPr="00066B41">
        <w:rPr>
          <w:lang w:val="en-US"/>
        </w:rPr>
        <w:t>With</w:t>
      </w:r>
      <w:proofErr w:type="gramEnd"/>
      <w:r w:rsidRPr="00066B41">
        <w:rPr>
          <w:lang w:val="en-US"/>
        </w:rPr>
        <w:t xml:space="preserve"> Disabilities: A Foundation for Ethical Disability and Health Research in Developing Countries</w:t>
      </w:r>
      <w:r>
        <w:rPr>
          <w:lang w:val="en-US"/>
        </w:rPr>
        <w:t>’,</w:t>
      </w:r>
      <w:r w:rsidRPr="00066B41">
        <w:rPr>
          <w:lang w:val="en-US"/>
        </w:rPr>
        <w:t xml:space="preserve"> </w:t>
      </w:r>
      <w:r w:rsidRPr="00066B41">
        <w:rPr>
          <w:i/>
          <w:iCs/>
          <w:lang w:val="en-US"/>
        </w:rPr>
        <w:t>American Journal of Public Health</w:t>
      </w:r>
      <w:r w:rsidRPr="00066B41">
        <w:rPr>
          <w:lang w:val="en-US"/>
        </w:rPr>
        <w:t xml:space="preserve">, </w:t>
      </w:r>
      <w:r w:rsidRPr="00066B41">
        <w:rPr>
          <w:i/>
          <w:iCs/>
          <w:lang w:val="en-US"/>
        </w:rPr>
        <w:t>104</w:t>
      </w:r>
      <w:r w:rsidRPr="00066B41">
        <w:rPr>
          <w:lang w:val="en-US"/>
        </w:rPr>
        <w:t xml:space="preserve">(11), 2037. </w:t>
      </w:r>
      <w:hyperlink r:id="rId11" w:history="1">
        <w:r w:rsidRPr="008A3B83">
          <w:rPr>
            <w:rStyle w:val="Hyperlink"/>
            <w:lang w:val="en-US"/>
          </w:rPr>
          <w:t>https://doi.org/10.2105/AJPH.2014.302006</w:t>
        </w:r>
      </w:hyperlink>
    </w:p>
    <w:p w14:paraId="0E791D64" w14:textId="77777777" w:rsidR="0019056E" w:rsidRPr="00424A8C" w:rsidRDefault="0019056E" w:rsidP="0019056E">
      <w:pPr>
        <w:spacing w:line="240" w:lineRule="auto"/>
        <w:rPr>
          <w:lang w:val="en-US"/>
        </w:rPr>
      </w:pPr>
      <w:r w:rsidRPr="00424A8C">
        <w:rPr>
          <w:lang w:val="en-US"/>
        </w:rPr>
        <w:t xml:space="preserve">Equality Act </w:t>
      </w:r>
      <w:r>
        <w:rPr>
          <w:lang w:val="en-US"/>
        </w:rPr>
        <w:t>(</w:t>
      </w:r>
      <w:r w:rsidRPr="00424A8C">
        <w:rPr>
          <w:lang w:val="en-US"/>
        </w:rPr>
        <w:t>2010</w:t>
      </w:r>
      <w:r>
        <w:rPr>
          <w:lang w:val="en-US"/>
        </w:rPr>
        <w:t>)</w:t>
      </w:r>
      <w:r w:rsidRPr="00424A8C">
        <w:rPr>
          <w:lang w:val="en-US"/>
        </w:rPr>
        <w:t>. London: The Stationery Office.</w:t>
      </w:r>
    </w:p>
    <w:p w14:paraId="5769507B" w14:textId="77777777" w:rsidR="0019056E" w:rsidRPr="000F4E96" w:rsidRDefault="0019056E" w:rsidP="0019056E">
      <w:pPr>
        <w:spacing w:line="240" w:lineRule="auto"/>
        <w:rPr>
          <w:lang w:val="en-US"/>
        </w:rPr>
      </w:pPr>
      <w:r w:rsidRPr="000F4E96">
        <w:rPr>
          <w:lang w:val="en-US"/>
        </w:rPr>
        <w:t xml:space="preserve">Glasby, J. </w:t>
      </w:r>
      <w:r>
        <w:rPr>
          <w:lang w:val="en-US"/>
        </w:rPr>
        <w:t>and</w:t>
      </w:r>
      <w:r w:rsidRPr="000F4E96">
        <w:rPr>
          <w:lang w:val="en-US"/>
        </w:rPr>
        <w:t xml:space="preserve"> Dickinson, H. (2014) </w:t>
      </w:r>
      <w:r w:rsidRPr="000F4E96">
        <w:rPr>
          <w:i/>
          <w:iCs/>
          <w:lang w:val="en-US"/>
        </w:rPr>
        <w:t>Partnership Working in Health and Social Care: What Is Integrated Care and How Can We Deliver It?</w:t>
      </w:r>
      <w:r w:rsidRPr="000F4E96">
        <w:rPr>
          <w:lang w:val="en-US"/>
        </w:rPr>
        <w:t xml:space="preserve"> 2nd ed. Bristol: Policy Press.</w:t>
      </w:r>
    </w:p>
    <w:p w14:paraId="7E415FA3" w14:textId="77777777" w:rsidR="0019056E" w:rsidRDefault="0019056E" w:rsidP="0019056E">
      <w:pPr>
        <w:spacing w:line="240" w:lineRule="auto"/>
        <w:rPr>
          <w:lang w:val="en-US"/>
        </w:rPr>
      </w:pPr>
      <w:r w:rsidRPr="000E415D">
        <w:rPr>
          <w:lang w:val="en-US"/>
        </w:rPr>
        <w:t>Goering, S. (</w:t>
      </w:r>
      <w:proofErr w:type="gramStart"/>
      <w:r w:rsidRPr="000E415D">
        <w:rPr>
          <w:lang w:val="en-US"/>
        </w:rPr>
        <w:t>2015)</w:t>
      </w:r>
      <w:r>
        <w:rPr>
          <w:lang w:val="en-US"/>
        </w:rPr>
        <w:t xml:space="preserve"> ‘</w:t>
      </w:r>
      <w:proofErr w:type="gramEnd"/>
      <w:r w:rsidRPr="000E415D">
        <w:rPr>
          <w:lang w:val="en-US"/>
        </w:rPr>
        <w:t>Rethinking disability: The social model of disability and chronic disease</w:t>
      </w:r>
      <w:r>
        <w:rPr>
          <w:lang w:val="en-US"/>
        </w:rPr>
        <w:t>’,</w:t>
      </w:r>
      <w:r w:rsidRPr="000E415D">
        <w:rPr>
          <w:lang w:val="en-US"/>
        </w:rPr>
        <w:t xml:space="preserve"> </w:t>
      </w:r>
      <w:r w:rsidRPr="000E415D">
        <w:rPr>
          <w:i/>
          <w:iCs/>
          <w:lang w:val="en-US"/>
        </w:rPr>
        <w:t>Current Reviews in Musculoskeletal Medicine</w:t>
      </w:r>
      <w:r w:rsidRPr="000E415D">
        <w:rPr>
          <w:lang w:val="en-US"/>
        </w:rPr>
        <w:t xml:space="preserve">, </w:t>
      </w:r>
      <w:r w:rsidRPr="000E415D">
        <w:rPr>
          <w:i/>
          <w:iCs/>
          <w:lang w:val="en-US"/>
        </w:rPr>
        <w:t>8</w:t>
      </w:r>
      <w:r w:rsidRPr="000E415D">
        <w:rPr>
          <w:lang w:val="en-US"/>
        </w:rPr>
        <w:t xml:space="preserve">(2), 134. </w:t>
      </w:r>
      <w:hyperlink r:id="rId12" w:history="1">
        <w:r w:rsidRPr="008A3B83">
          <w:rPr>
            <w:rStyle w:val="Hyperlink"/>
            <w:lang w:val="en-US"/>
          </w:rPr>
          <w:t>https://doi.org/10.1007/s12178-015-9273-z</w:t>
        </w:r>
      </w:hyperlink>
    </w:p>
    <w:p w14:paraId="2CFEF211" w14:textId="77777777" w:rsidR="0019056E" w:rsidRDefault="0019056E" w:rsidP="0019056E">
      <w:pPr>
        <w:spacing w:line="240" w:lineRule="auto"/>
        <w:rPr>
          <w:lang w:val="en-US"/>
        </w:rPr>
      </w:pPr>
      <w:r w:rsidRPr="000F4E96">
        <w:rPr>
          <w:lang w:val="en-US"/>
        </w:rPr>
        <w:t xml:space="preserve">Goodley, D. (2014) </w:t>
      </w:r>
      <w:r w:rsidRPr="000F4E96">
        <w:rPr>
          <w:i/>
          <w:iCs/>
          <w:lang w:val="en-US"/>
        </w:rPr>
        <w:t xml:space="preserve">Dis/ability Studies: </w:t>
      </w:r>
      <w:proofErr w:type="spellStart"/>
      <w:r w:rsidRPr="000F4E96">
        <w:rPr>
          <w:i/>
          <w:iCs/>
          <w:lang w:val="en-US"/>
        </w:rPr>
        <w:t>Theorising</w:t>
      </w:r>
      <w:proofErr w:type="spellEnd"/>
      <w:r w:rsidRPr="000F4E96">
        <w:rPr>
          <w:i/>
          <w:iCs/>
          <w:lang w:val="en-US"/>
        </w:rPr>
        <w:t xml:space="preserve"> Disability and Ableism</w:t>
      </w:r>
      <w:r w:rsidRPr="000F4E96">
        <w:rPr>
          <w:lang w:val="en-US"/>
        </w:rPr>
        <w:t>. London: Routledge.</w:t>
      </w:r>
    </w:p>
    <w:p w14:paraId="4B9947C6" w14:textId="77777777" w:rsidR="0019056E" w:rsidRDefault="0019056E" w:rsidP="0019056E">
      <w:pPr>
        <w:spacing w:line="240" w:lineRule="auto"/>
      </w:pPr>
      <w:r w:rsidRPr="00271FB0">
        <w:t>Gréaux, M. </w:t>
      </w:r>
      <w:r w:rsidRPr="00271FB0">
        <w:rPr>
          <w:i/>
          <w:iCs/>
        </w:rPr>
        <w:t>et al.</w:t>
      </w:r>
      <w:r w:rsidRPr="00271FB0">
        <w:t> </w:t>
      </w:r>
      <w:r>
        <w:t>(2023) ‘</w:t>
      </w:r>
      <w:r w:rsidRPr="00271FB0">
        <w:t>Health equity for persons with disabilities: a global scoping review on barriers and interventions in healthcare services</w:t>
      </w:r>
      <w:r>
        <w:t>’,</w:t>
      </w:r>
      <w:r w:rsidRPr="00271FB0">
        <w:t> </w:t>
      </w:r>
      <w:r w:rsidRPr="00271FB0">
        <w:rPr>
          <w:i/>
          <w:iCs/>
        </w:rPr>
        <w:t>Int</w:t>
      </w:r>
      <w:r>
        <w:rPr>
          <w:i/>
          <w:iCs/>
        </w:rPr>
        <w:t>ernational</w:t>
      </w:r>
      <w:r w:rsidRPr="00271FB0">
        <w:rPr>
          <w:i/>
          <w:iCs/>
        </w:rPr>
        <w:t xml:space="preserve"> J</w:t>
      </w:r>
      <w:r>
        <w:rPr>
          <w:i/>
          <w:iCs/>
        </w:rPr>
        <w:t>ournal of</w:t>
      </w:r>
      <w:r w:rsidRPr="00271FB0">
        <w:rPr>
          <w:i/>
          <w:iCs/>
        </w:rPr>
        <w:t xml:space="preserve"> Equity Health</w:t>
      </w:r>
      <w:r>
        <w:rPr>
          <w:i/>
          <w:iCs/>
        </w:rPr>
        <w:t>,</w:t>
      </w:r>
      <w:r w:rsidRPr="00271FB0">
        <w:t xml:space="preserve"> 22, 236. </w:t>
      </w:r>
      <w:hyperlink r:id="rId13" w:history="1">
        <w:r w:rsidRPr="008A3B83">
          <w:rPr>
            <w:rStyle w:val="Hyperlink"/>
          </w:rPr>
          <w:t>https://doi.org/10.1186/s12939-023-02035-w</w:t>
        </w:r>
      </w:hyperlink>
    </w:p>
    <w:p w14:paraId="5263495A" w14:textId="77777777" w:rsidR="0019056E" w:rsidRDefault="0019056E" w:rsidP="0019056E">
      <w:pPr>
        <w:spacing w:line="240" w:lineRule="auto"/>
      </w:pPr>
      <w:r w:rsidRPr="00D82F3E">
        <w:t>Griffiths, M. (2022)</w:t>
      </w:r>
      <w:r>
        <w:t xml:space="preserve"> </w:t>
      </w:r>
      <w:r w:rsidRPr="00D82F3E">
        <w:t xml:space="preserve">UK Social Model of Disability and the Quest for Emancipation. In: Rioux, M.H., Viera, J., </w:t>
      </w:r>
      <w:proofErr w:type="spellStart"/>
      <w:r w:rsidRPr="00D82F3E">
        <w:t>Buettgen</w:t>
      </w:r>
      <w:proofErr w:type="spellEnd"/>
      <w:r w:rsidRPr="00D82F3E">
        <w:t xml:space="preserve">, A., </w:t>
      </w:r>
      <w:proofErr w:type="spellStart"/>
      <w:r w:rsidRPr="00D82F3E">
        <w:t>Zubrow</w:t>
      </w:r>
      <w:proofErr w:type="spellEnd"/>
      <w:r w:rsidRPr="00D82F3E">
        <w:t xml:space="preserve">, E. (eds) </w:t>
      </w:r>
      <w:r w:rsidRPr="00D82F3E">
        <w:rPr>
          <w:i/>
          <w:iCs/>
        </w:rPr>
        <w:t>Handbook of Disability</w:t>
      </w:r>
      <w:r w:rsidRPr="00D82F3E">
        <w:t xml:space="preserve">. Springer, Singapore. </w:t>
      </w:r>
      <w:hyperlink r:id="rId14" w:history="1">
        <w:r w:rsidRPr="008A3B83">
          <w:rPr>
            <w:rStyle w:val="Hyperlink"/>
          </w:rPr>
          <w:t>https://doi.org/10.1007/978-981-16-1278-7_54-1</w:t>
        </w:r>
      </w:hyperlink>
    </w:p>
    <w:p w14:paraId="4601D40B" w14:textId="77777777" w:rsidR="0019056E" w:rsidRDefault="0019056E" w:rsidP="0019056E">
      <w:pPr>
        <w:spacing w:line="240" w:lineRule="auto"/>
        <w:rPr>
          <w:lang w:val="en-US"/>
        </w:rPr>
      </w:pPr>
      <w:r w:rsidRPr="006D467E">
        <w:rPr>
          <w:lang w:val="en-US"/>
        </w:rPr>
        <w:t>Hampton, J. (</w:t>
      </w:r>
      <w:proofErr w:type="gramStart"/>
      <w:r w:rsidRPr="006D467E">
        <w:rPr>
          <w:lang w:val="en-US"/>
        </w:rPr>
        <w:t xml:space="preserve">2020) </w:t>
      </w:r>
      <w:r>
        <w:rPr>
          <w:lang w:val="en-US"/>
        </w:rPr>
        <w:t>‘</w:t>
      </w:r>
      <w:proofErr w:type="gramEnd"/>
      <w:r w:rsidRPr="006D467E">
        <w:rPr>
          <w:lang w:val="en-US"/>
        </w:rPr>
        <w:t>Peace News and Radical Disability Writing in 1970s Britain: Perceptions of Welfare and the Welfare State</w:t>
      </w:r>
      <w:r>
        <w:rPr>
          <w:lang w:val="en-US"/>
        </w:rPr>
        <w:t>’</w:t>
      </w:r>
      <w:r w:rsidRPr="006D467E">
        <w:rPr>
          <w:lang w:val="en-US"/>
        </w:rPr>
        <w:t xml:space="preserve">, Disability Studies Quarterly 40(2). </w:t>
      </w:r>
      <w:proofErr w:type="spellStart"/>
      <w:r w:rsidRPr="006D467E">
        <w:rPr>
          <w:lang w:val="en-US"/>
        </w:rPr>
        <w:t>doi</w:t>
      </w:r>
      <w:proofErr w:type="spellEnd"/>
      <w:r w:rsidRPr="006D467E">
        <w:rPr>
          <w:lang w:val="en-US"/>
        </w:rPr>
        <w:t xml:space="preserve">: </w:t>
      </w:r>
      <w:hyperlink r:id="rId15" w:history="1">
        <w:r w:rsidRPr="008A3B83">
          <w:rPr>
            <w:rStyle w:val="Hyperlink"/>
            <w:lang w:val="en-US"/>
          </w:rPr>
          <w:t>https://doi.org/10.18061/dsq.v40i2.7079</w:t>
        </w:r>
      </w:hyperlink>
    </w:p>
    <w:p w14:paraId="4F307560" w14:textId="77777777" w:rsidR="0019056E" w:rsidRDefault="0019056E" w:rsidP="0019056E">
      <w:pPr>
        <w:spacing w:line="240" w:lineRule="auto"/>
      </w:pPr>
      <w:r w:rsidRPr="007779D6">
        <w:t>Lawson, A. and Beckett, A. E. (2021) ‘The social and human rights models of disability: towards a complementarity thesis’, </w:t>
      </w:r>
      <w:r w:rsidRPr="007779D6">
        <w:rPr>
          <w:i/>
          <w:iCs/>
        </w:rPr>
        <w:t>The International Journal of Human Rights</w:t>
      </w:r>
      <w:r w:rsidRPr="007779D6">
        <w:t xml:space="preserve">, 25(2), pp. 348–379. </w:t>
      </w:r>
      <w:hyperlink r:id="rId16" w:history="1">
        <w:r w:rsidRPr="008A3B83">
          <w:rPr>
            <w:rStyle w:val="Hyperlink"/>
          </w:rPr>
          <w:t>https://doi.org/10.1080/13642987.2020.1783533</w:t>
        </w:r>
      </w:hyperlink>
      <w:r w:rsidRPr="007779D6">
        <w:t>.</w:t>
      </w:r>
    </w:p>
    <w:p w14:paraId="1113B361" w14:textId="77777777" w:rsidR="0019056E" w:rsidRDefault="0019056E" w:rsidP="0019056E">
      <w:pPr>
        <w:spacing w:line="240" w:lineRule="auto"/>
        <w:rPr>
          <w:lang w:val="en-US"/>
        </w:rPr>
      </w:pPr>
      <w:r w:rsidRPr="00814FC7">
        <w:rPr>
          <w:lang w:val="en-US"/>
        </w:rPr>
        <w:lastRenderedPageBreak/>
        <w:t>McCusker, P</w:t>
      </w:r>
      <w:r>
        <w:rPr>
          <w:lang w:val="en-US"/>
        </w:rPr>
        <w:t xml:space="preserve">. </w:t>
      </w:r>
      <w:r w:rsidRPr="00814FC7">
        <w:rPr>
          <w:i/>
          <w:iCs/>
          <w:lang w:val="en-US"/>
        </w:rPr>
        <w:t>et al.</w:t>
      </w:r>
      <w:r w:rsidRPr="00814FC7">
        <w:rPr>
          <w:lang w:val="en-US"/>
        </w:rPr>
        <w:t xml:space="preserve"> (</w:t>
      </w:r>
      <w:proofErr w:type="gramStart"/>
      <w:r w:rsidRPr="00814FC7">
        <w:rPr>
          <w:lang w:val="en-US"/>
        </w:rPr>
        <w:t>2023)</w:t>
      </w:r>
      <w:r>
        <w:rPr>
          <w:lang w:val="en-US"/>
        </w:rPr>
        <w:t xml:space="preserve"> ‘</w:t>
      </w:r>
      <w:proofErr w:type="gramEnd"/>
      <w:r w:rsidRPr="00814FC7">
        <w:rPr>
          <w:lang w:val="en-US"/>
        </w:rPr>
        <w:t>The United Nations Convention on the Rights of Persons with Disabilities and Social Work: Evidence for Impact?</w:t>
      </w:r>
      <w:r>
        <w:rPr>
          <w:lang w:val="en-US"/>
        </w:rPr>
        <w:t>’,</w:t>
      </w:r>
      <w:r w:rsidRPr="00814FC7">
        <w:rPr>
          <w:lang w:val="en-US"/>
        </w:rPr>
        <w:t xml:space="preserve"> </w:t>
      </w:r>
      <w:r w:rsidRPr="00814FC7">
        <w:rPr>
          <w:i/>
          <w:iCs/>
          <w:lang w:val="en-US"/>
        </w:rPr>
        <w:t>International Journal of Environmental Research and Public Health</w:t>
      </w:r>
      <w:r w:rsidRPr="00814FC7">
        <w:rPr>
          <w:lang w:val="en-US"/>
        </w:rPr>
        <w:t xml:space="preserve">, </w:t>
      </w:r>
      <w:r w:rsidRPr="00814FC7">
        <w:rPr>
          <w:i/>
          <w:iCs/>
          <w:lang w:val="en-US"/>
        </w:rPr>
        <w:t>20</w:t>
      </w:r>
      <w:r w:rsidRPr="00814FC7">
        <w:rPr>
          <w:lang w:val="en-US"/>
        </w:rPr>
        <w:t xml:space="preserve">(20), 6927. </w:t>
      </w:r>
      <w:hyperlink r:id="rId17" w:history="1">
        <w:r w:rsidRPr="008A3B83">
          <w:rPr>
            <w:rStyle w:val="Hyperlink"/>
            <w:lang w:val="en-US"/>
          </w:rPr>
          <w:t>https://doi.org/10.3390/ijerph20206927</w:t>
        </w:r>
      </w:hyperlink>
    </w:p>
    <w:p w14:paraId="3BD53900" w14:textId="77777777" w:rsidR="0019056E" w:rsidRPr="000F4E96" w:rsidRDefault="0019056E" w:rsidP="0019056E">
      <w:pPr>
        <w:spacing w:line="240" w:lineRule="auto"/>
        <w:rPr>
          <w:lang w:val="en-US"/>
        </w:rPr>
      </w:pPr>
      <w:r w:rsidRPr="000F4E96">
        <w:rPr>
          <w:lang w:val="en-US"/>
        </w:rPr>
        <w:t xml:space="preserve">Needham, C. </w:t>
      </w:r>
      <w:r>
        <w:rPr>
          <w:lang w:val="en-US"/>
        </w:rPr>
        <w:t>and</w:t>
      </w:r>
      <w:r w:rsidRPr="000F4E96">
        <w:rPr>
          <w:lang w:val="en-US"/>
        </w:rPr>
        <w:t xml:space="preserve"> Carr, S. (2009) </w:t>
      </w:r>
      <w:r w:rsidRPr="000F4E96">
        <w:rPr>
          <w:i/>
          <w:iCs/>
          <w:lang w:val="en-US"/>
        </w:rPr>
        <w:t>Co</w:t>
      </w:r>
      <w:r w:rsidRPr="000F4E96">
        <w:rPr>
          <w:i/>
          <w:iCs/>
          <w:lang w:val="en-US"/>
        </w:rPr>
        <w:noBreakHyphen/>
        <w:t>production: An Emerging Evidence Base for Adult Social Care Transformation</w:t>
      </w:r>
      <w:r w:rsidRPr="000F4E96">
        <w:rPr>
          <w:lang w:val="en-US"/>
        </w:rPr>
        <w:t>. London: SCIE.</w:t>
      </w:r>
    </w:p>
    <w:p w14:paraId="7DF887A4" w14:textId="77777777" w:rsidR="0019056E" w:rsidRDefault="0019056E" w:rsidP="0019056E">
      <w:pPr>
        <w:spacing w:line="240" w:lineRule="auto"/>
        <w:rPr>
          <w:lang w:val="en-US"/>
        </w:rPr>
      </w:pPr>
      <w:r>
        <w:rPr>
          <w:lang w:val="en-US"/>
        </w:rPr>
        <w:t xml:space="preserve">NHS England (2018) </w:t>
      </w:r>
      <w:r w:rsidRPr="00D80108">
        <w:rPr>
          <w:i/>
          <w:iCs/>
          <w:lang w:val="en-US"/>
        </w:rPr>
        <w:t xml:space="preserve">Comprehensive model of </w:t>
      </w:r>
      <w:proofErr w:type="spellStart"/>
      <w:r w:rsidRPr="00D80108">
        <w:rPr>
          <w:i/>
          <w:iCs/>
          <w:lang w:val="en-US"/>
        </w:rPr>
        <w:t>Personalised</w:t>
      </w:r>
      <w:proofErr w:type="spellEnd"/>
      <w:r w:rsidRPr="00D80108">
        <w:rPr>
          <w:i/>
          <w:iCs/>
          <w:lang w:val="en-US"/>
        </w:rPr>
        <w:t xml:space="preserve"> Care</w:t>
      </w:r>
      <w:r>
        <w:rPr>
          <w:lang w:val="en-US"/>
        </w:rPr>
        <w:t xml:space="preserve">. Available at: </w:t>
      </w:r>
      <w:hyperlink r:id="rId18" w:history="1">
        <w:r w:rsidRPr="008A3B83">
          <w:rPr>
            <w:rStyle w:val="Hyperlink"/>
            <w:lang w:val="en-US"/>
          </w:rPr>
          <w:t>https://www.england.nhs.uk/publication/comprehensive-model-of-personalised-care/</w:t>
        </w:r>
      </w:hyperlink>
      <w:r>
        <w:rPr>
          <w:lang w:val="en-US"/>
        </w:rPr>
        <w:t xml:space="preserve"> (Accessed: 7 July 2026).</w:t>
      </w:r>
    </w:p>
    <w:p w14:paraId="4278AC31" w14:textId="77777777" w:rsidR="0019056E" w:rsidRDefault="0019056E" w:rsidP="0019056E">
      <w:pPr>
        <w:spacing w:line="240" w:lineRule="auto"/>
        <w:rPr>
          <w:lang w:val="en-US"/>
        </w:rPr>
      </w:pPr>
      <w:r>
        <w:rPr>
          <w:lang w:val="en-US"/>
        </w:rPr>
        <w:t xml:space="preserve">Office for Equality and Opportunity [OEO] (2026) </w:t>
      </w:r>
      <w:r w:rsidRPr="00613384">
        <w:rPr>
          <w:i/>
          <w:iCs/>
          <w:lang w:val="en-US"/>
        </w:rPr>
        <w:t>“Not as simple as right or wrong” – a themed report on social care and support for disabled people in the UK</w:t>
      </w:r>
      <w:r>
        <w:rPr>
          <w:lang w:val="en-US"/>
        </w:rPr>
        <w:t xml:space="preserve">. London: Gov.uk. Available at: </w:t>
      </w:r>
      <w:hyperlink r:id="rId19" w:history="1">
        <w:r w:rsidRPr="008A3B83">
          <w:rPr>
            <w:rStyle w:val="Hyperlink"/>
            <w:lang w:val="en-US"/>
          </w:rPr>
          <w:t>https://www.gov.uk/government/publications/social-care-and-support-for-disabled-people-in-the-uk/not-as-simple-as-right-or-wrong-a-themed-report-on-social-care-and-support-for-disabled-people-in-the-uk</w:t>
        </w:r>
      </w:hyperlink>
      <w:r>
        <w:rPr>
          <w:lang w:val="en-US"/>
        </w:rPr>
        <w:t xml:space="preserve"> (Accessed: 7 July 2026).</w:t>
      </w:r>
    </w:p>
    <w:p w14:paraId="2A72B955" w14:textId="77777777" w:rsidR="0019056E" w:rsidRPr="00DD7F57" w:rsidRDefault="0019056E" w:rsidP="0019056E">
      <w:pPr>
        <w:spacing w:line="240" w:lineRule="auto"/>
        <w:rPr>
          <w:lang w:val="en-US"/>
        </w:rPr>
      </w:pPr>
      <w:r w:rsidRPr="00DD7F57">
        <w:rPr>
          <w:lang w:val="en-US"/>
        </w:rPr>
        <w:t xml:space="preserve">Oliver, M. (1990) </w:t>
      </w:r>
      <w:r w:rsidRPr="00DD7F57">
        <w:rPr>
          <w:i/>
          <w:iCs/>
          <w:lang w:val="en-US"/>
        </w:rPr>
        <w:t>The Politics of Disablement</w:t>
      </w:r>
      <w:r w:rsidRPr="00DD7F57">
        <w:rPr>
          <w:lang w:val="en-US"/>
        </w:rPr>
        <w:t>. Basingstoke: Macmillan.</w:t>
      </w:r>
    </w:p>
    <w:p w14:paraId="0E3CAA14" w14:textId="77777777" w:rsidR="0019056E" w:rsidRDefault="0019056E" w:rsidP="0019056E">
      <w:pPr>
        <w:spacing w:line="240" w:lineRule="auto"/>
        <w:rPr>
          <w:lang w:val="en-US"/>
        </w:rPr>
      </w:pPr>
      <w:r>
        <w:rPr>
          <w:lang w:val="en-US"/>
        </w:rPr>
        <w:t xml:space="preserve">Oliver, M. (1990) </w:t>
      </w:r>
      <w:r w:rsidRPr="004908E1">
        <w:rPr>
          <w:i/>
          <w:iCs/>
        </w:rPr>
        <w:t>The Politics of Disablement</w:t>
      </w:r>
      <w:r w:rsidRPr="004908E1">
        <w:t>. Macmillan</w:t>
      </w:r>
      <w:r>
        <w:t>.</w:t>
      </w:r>
      <w:r w:rsidRPr="004908E1">
        <w:t> </w:t>
      </w:r>
      <w:hyperlink r:id="rId20" w:history="1">
        <w:r w:rsidRPr="004908E1">
          <w:rPr>
            <w:rStyle w:val="Hyperlink"/>
          </w:rPr>
          <w:t>https://doi.org/10.1007/978-1-349-20895-1</w:t>
        </w:r>
      </w:hyperlink>
    </w:p>
    <w:p w14:paraId="48557D95" w14:textId="77777777" w:rsidR="0019056E" w:rsidRDefault="0019056E" w:rsidP="0019056E">
      <w:pPr>
        <w:spacing w:line="240" w:lineRule="auto"/>
      </w:pPr>
      <w:r w:rsidRPr="000D0A4D">
        <w:t xml:space="preserve">Owens, J. (2015) </w:t>
      </w:r>
      <w:r>
        <w:t>‘</w:t>
      </w:r>
      <w:r w:rsidRPr="000D0A4D">
        <w:t>Exploring the critiques of the social model of disability: The transformative possibility of Arendt's notion of power</w:t>
      </w:r>
      <w:r>
        <w:t xml:space="preserve">’, </w:t>
      </w:r>
      <w:r w:rsidRPr="00E33064">
        <w:rPr>
          <w:i/>
          <w:iCs/>
        </w:rPr>
        <w:t>Sociology of Health and Illness</w:t>
      </w:r>
      <w:r w:rsidRPr="000D0A4D">
        <w:t xml:space="preserve">, 37 (3). 385 - 403. </w:t>
      </w:r>
      <w:hyperlink r:id="rId21" w:history="1">
        <w:r w:rsidRPr="008A3B83">
          <w:rPr>
            <w:rStyle w:val="Hyperlink"/>
          </w:rPr>
          <w:t>https://doi.org/10.1111/1467-9566.12199</w:t>
        </w:r>
      </w:hyperlink>
    </w:p>
    <w:p w14:paraId="12BF9F70" w14:textId="77777777" w:rsidR="0019056E" w:rsidRDefault="0019056E" w:rsidP="0019056E">
      <w:pPr>
        <w:spacing w:line="240" w:lineRule="auto"/>
        <w:rPr>
          <w:lang w:val="en-US"/>
        </w:rPr>
      </w:pPr>
      <w:r>
        <w:rPr>
          <w:lang w:val="en-US"/>
        </w:rPr>
        <w:t xml:space="preserve">Public Health England (2020) </w:t>
      </w:r>
      <w:r w:rsidRPr="0036654A">
        <w:rPr>
          <w:i/>
          <w:iCs/>
          <w:lang w:val="en-US"/>
        </w:rPr>
        <w:t>Reasonable adjustments: a legal duty.</w:t>
      </w:r>
      <w:r>
        <w:rPr>
          <w:lang w:val="en-US"/>
        </w:rPr>
        <w:t xml:space="preserve"> London: PHE. Available at: </w:t>
      </w:r>
      <w:hyperlink r:id="rId22" w:history="1">
        <w:r w:rsidRPr="008A3B83">
          <w:rPr>
            <w:rStyle w:val="Hyperlink"/>
            <w:lang w:val="en-US"/>
          </w:rPr>
          <w:t>https://www.gov.uk/government/publications/reasonable-adjustments-a-legal-duty/reasonable-adjustments-a-legal-duty</w:t>
        </w:r>
      </w:hyperlink>
      <w:r>
        <w:rPr>
          <w:lang w:val="en-US"/>
        </w:rPr>
        <w:t xml:space="preserve"> (Accessed: 2 July 2026).</w:t>
      </w:r>
    </w:p>
    <w:p w14:paraId="5C544B26" w14:textId="77777777" w:rsidR="0019056E" w:rsidRDefault="0019056E" w:rsidP="0019056E">
      <w:pPr>
        <w:spacing w:line="240" w:lineRule="auto"/>
        <w:rPr>
          <w:lang w:val="en-US"/>
        </w:rPr>
      </w:pPr>
      <w:r w:rsidRPr="006D467E">
        <w:rPr>
          <w:lang w:val="en-US"/>
        </w:rPr>
        <w:t xml:space="preserve">Shakespeare, T. (2006) </w:t>
      </w:r>
      <w:r w:rsidRPr="00DD7F57">
        <w:rPr>
          <w:i/>
          <w:iCs/>
          <w:lang w:val="en-US"/>
        </w:rPr>
        <w:t>Disability Rights and Wrongs</w:t>
      </w:r>
      <w:r>
        <w:rPr>
          <w:lang w:val="en-US"/>
        </w:rPr>
        <w:t xml:space="preserve">. London: </w:t>
      </w:r>
      <w:r w:rsidRPr="006D467E">
        <w:rPr>
          <w:lang w:val="en-US"/>
        </w:rPr>
        <w:t>Routledge</w:t>
      </w:r>
      <w:r>
        <w:rPr>
          <w:lang w:val="en-US"/>
        </w:rPr>
        <w:t>.</w:t>
      </w:r>
    </w:p>
    <w:p w14:paraId="28D3EB3D" w14:textId="77777777" w:rsidR="0019056E" w:rsidRDefault="0019056E" w:rsidP="0019056E">
      <w:pPr>
        <w:spacing w:line="240" w:lineRule="auto"/>
      </w:pPr>
      <w:r w:rsidRPr="00C60949">
        <w:t>Shakespeare</w:t>
      </w:r>
      <w:r>
        <w:t xml:space="preserve">, T. and </w:t>
      </w:r>
      <w:r w:rsidRPr="00C60949">
        <w:t>Watson</w:t>
      </w:r>
      <w:r>
        <w:t>, N. (2002) ‘</w:t>
      </w:r>
      <w:r w:rsidRPr="00C60949">
        <w:t>The social model of disability: an outdated ideology?</w:t>
      </w:r>
      <w:r>
        <w:t xml:space="preserve">’, </w:t>
      </w:r>
      <w:r w:rsidRPr="00F44B26">
        <w:rPr>
          <w:i/>
          <w:iCs/>
        </w:rPr>
        <w:t>Research in Social Science and Disability</w:t>
      </w:r>
      <w:r>
        <w:t xml:space="preserve">, </w:t>
      </w:r>
      <w:r w:rsidRPr="00C60949">
        <w:t>2, pp. 9-28</w:t>
      </w:r>
      <w:r>
        <w:t>.</w:t>
      </w:r>
    </w:p>
    <w:p w14:paraId="64F4555B" w14:textId="77777777" w:rsidR="0019056E" w:rsidRDefault="0019056E" w:rsidP="0019056E">
      <w:pPr>
        <w:spacing w:line="240" w:lineRule="auto"/>
      </w:pPr>
      <w:r w:rsidRPr="00FB3B55">
        <w:t>Swain, J. and French, S. (2000) ‘Towards an Affirmation Model of Disability’, </w:t>
      </w:r>
      <w:r w:rsidRPr="00FB3B55">
        <w:rPr>
          <w:i/>
          <w:iCs/>
        </w:rPr>
        <w:t>Disability &amp; Society</w:t>
      </w:r>
      <w:r w:rsidRPr="00FB3B55">
        <w:t xml:space="preserve">, 15(4), pp. 569–582. </w:t>
      </w:r>
      <w:hyperlink r:id="rId23" w:history="1">
        <w:r w:rsidRPr="008A3B83">
          <w:rPr>
            <w:rStyle w:val="Hyperlink"/>
          </w:rPr>
          <w:t>https://doi.org/10.1080/09687590050058189</w:t>
        </w:r>
      </w:hyperlink>
      <w:r w:rsidRPr="00FB3B55">
        <w:t>.</w:t>
      </w:r>
    </w:p>
    <w:p w14:paraId="0C7B67DE" w14:textId="77777777" w:rsidR="0019056E" w:rsidRDefault="0019056E" w:rsidP="0019056E">
      <w:pPr>
        <w:spacing w:line="240" w:lineRule="auto"/>
        <w:rPr>
          <w:lang w:val="en-US"/>
        </w:rPr>
      </w:pPr>
      <w:r>
        <w:rPr>
          <w:lang w:val="en-US"/>
        </w:rPr>
        <w:t xml:space="preserve">Thomas, C. (2004) </w:t>
      </w:r>
      <w:r w:rsidRPr="00B8655C">
        <w:rPr>
          <w:lang w:val="en-US"/>
        </w:rPr>
        <w:t>Developing the Social Relational in the</w:t>
      </w:r>
      <w:r>
        <w:rPr>
          <w:lang w:val="en-US"/>
        </w:rPr>
        <w:t xml:space="preserve"> </w:t>
      </w:r>
      <w:r w:rsidRPr="00B8655C">
        <w:rPr>
          <w:lang w:val="en-US"/>
        </w:rPr>
        <w:t>Social Model of Disability:</w:t>
      </w:r>
      <w:r>
        <w:rPr>
          <w:lang w:val="en-US"/>
        </w:rPr>
        <w:t xml:space="preserve"> </w:t>
      </w:r>
      <w:r w:rsidRPr="00B8655C">
        <w:rPr>
          <w:lang w:val="en-US"/>
        </w:rPr>
        <w:t>a theoretical agenda</w:t>
      </w:r>
      <w:r>
        <w:rPr>
          <w:lang w:val="en-US"/>
        </w:rPr>
        <w:t xml:space="preserve"> (</w:t>
      </w:r>
      <w:r w:rsidRPr="00B8655C">
        <w:rPr>
          <w:lang w:val="en-US"/>
        </w:rPr>
        <w:t>Chapter 3</w:t>
      </w:r>
      <w:r>
        <w:rPr>
          <w:lang w:val="en-US"/>
        </w:rPr>
        <w:t>).</w:t>
      </w:r>
      <w:r w:rsidRPr="00B8655C">
        <w:rPr>
          <w:lang w:val="en-US"/>
        </w:rPr>
        <w:t xml:space="preserve"> In</w:t>
      </w:r>
      <w:r>
        <w:rPr>
          <w:lang w:val="en-US"/>
        </w:rPr>
        <w:t>: C. Barnes, and G. Mercer (eds</w:t>
      </w:r>
      <w:r w:rsidRPr="00B8655C">
        <w:rPr>
          <w:i/>
          <w:iCs/>
          <w:lang w:val="en-US"/>
        </w:rPr>
        <w:t>.). Implementing the Social Model of Disability:</w:t>
      </w:r>
      <w:r>
        <w:rPr>
          <w:i/>
          <w:iCs/>
          <w:lang w:val="en-US"/>
        </w:rPr>
        <w:t xml:space="preserve"> </w:t>
      </w:r>
      <w:r w:rsidRPr="00B8655C">
        <w:rPr>
          <w:i/>
          <w:iCs/>
          <w:lang w:val="en-US"/>
        </w:rPr>
        <w:t>Theory and Research</w:t>
      </w:r>
      <w:r>
        <w:rPr>
          <w:lang w:val="en-US"/>
        </w:rPr>
        <w:t xml:space="preserve">, </w:t>
      </w:r>
      <w:r w:rsidRPr="00B8655C">
        <w:rPr>
          <w:lang w:val="en-US"/>
        </w:rPr>
        <w:t>Leeds: The Disability Press</w:t>
      </w:r>
      <w:r>
        <w:rPr>
          <w:lang w:val="en-US"/>
        </w:rPr>
        <w:t xml:space="preserve"> (</w:t>
      </w:r>
      <w:r w:rsidRPr="00B8655C">
        <w:rPr>
          <w:lang w:val="en-US"/>
        </w:rPr>
        <w:t xml:space="preserve">pp. 32-47). </w:t>
      </w:r>
    </w:p>
    <w:p w14:paraId="754C6106" w14:textId="77777777" w:rsidR="0019056E" w:rsidRPr="000F4E96" w:rsidRDefault="0019056E" w:rsidP="0019056E">
      <w:pPr>
        <w:spacing w:line="240" w:lineRule="auto"/>
        <w:rPr>
          <w:lang w:val="en-US"/>
        </w:rPr>
      </w:pPr>
      <w:r w:rsidRPr="000F4E96">
        <w:rPr>
          <w:lang w:val="en-US"/>
        </w:rPr>
        <w:t xml:space="preserve">Thomas, C. (2007) </w:t>
      </w:r>
      <w:r w:rsidRPr="000F4E96">
        <w:rPr>
          <w:i/>
          <w:iCs/>
          <w:lang w:val="en-US"/>
        </w:rPr>
        <w:t>Sociologies of Disability and Illness: Contested Ideas in Disability Studies and Medical Sociology</w:t>
      </w:r>
      <w:r w:rsidRPr="000F4E96">
        <w:rPr>
          <w:lang w:val="en-US"/>
        </w:rPr>
        <w:t>. Basingstoke: Palgrave Macmillan.</w:t>
      </w:r>
    </w:p>
    <w:p w14:paraId="0E3317EC" w14:textId="77777777" w:rsidR="0019056E" w:rsidRDefault="0019056E" w:rsidP="0019056E">
      <w:pPr>
        <w:spacing w:line="240" w:lineRule="auto"/>
        <w:rPr>
          <w:lang w:val="en-US"/>
        </w:rPr>
      </w:pPr>
      <w:r w:rsidRPr="00B07603">
        <w:rPr>
          <w:lang w:val="en-US"/>
        </w:rPr>
        <w:t xml:space="preserve">Thorneycroft, R. (2024) ‘Screwing the Social Model of Disability’, </w:t>
      </w:r>
      <w:r w:rsidRPr="00B07603">
        <w:rPr>
          <w:i/>
          <w:iCs/>
          <w:lang w:val="en-US"/>
        </w:rPr>
        <w:t>Scandinavian Journal of Disability Research</w:t>
      </w:r>
      <w:r w:rsidRPr="00B07603">
        <w:rPr>
          <w:lang w:val="en-US"/>
        </w:rPr>
        <w:t>, 26(1), p. 286–299.</w:t>
      </w:r>
    </w:p>
    <w:p w14:paraId="59296C35" w14:textId="77777777" w:rsidR="0019056E" w:rsidRPr="00DD7F57" w:rsidRDefault="0019056E" w:rsidP="0019056E">
      <w:pPr>
        <w:spacing w:line="240" w:lineRule="auto"/>
        <w:rPr>
          <w:lang w:val="en-US"/>
        </w:rPr>
      </w:pPr>
      <w:r w:rsidRPr="00DD7F57">
        <w:rPr>
          <w:lang w:val="en-US"/>
        </w:rPr>
        <w:t xml:space="preserve">Union of the Physically Impaired Against Segregation (UPIAS) (1976) </w:t>
      </w:r>
      <w:r w:rsidRPr="00DD7F57">
        <w:rPr>
          <w:i/>
          <w:iCs/>
          <w:lang w:val="en-US"/>
        </w:rPr>
        <w:t>Fundamental Principles of Disability</w:t>
      </w:r>
      <w:r w:rsidRPr="00DD7F57">
        <w:rPr>
          <w:lang w:val="en-US"/>
        </w:rPr>
        <w:t>. London: UPIAS.</w:t>
      </w:r>
    </w:p>
    <w:p w14:paraId="2529254A" w14:textId="77777777" w:rsidR="0019056E" w:rsidRDefault="0019056E" w:rsidP="0019056E">
      <w:pPr>
        <w:spacing w:line="240" w:lineRule="auto"/>
        <w:rPr>
          <w:lang w:val="en-US"/>
        </w:rPr>
      </w:pPr>
      <w:r>
        <w:rPr>
          <w:lang w:val="en-US"/>
        </w:rPr>
        <w:lastRenderedPageBreak/>
        <w:t xml:space="preserve">United Nations (2006) </w:t>
      </w:r>
      <w:r w:rsidRPr="00BC67B3">
        <w:rPr>
          <w:i/>
          <w:iCs/>
          <w:lang w:val="en-US"/>
        </w:rPr>
        <w:t>Introducing the United Nations Convention on The Rights of Persons with Disabilities</w:t>
      </w:r>
      <w:r>
        <w:rPr>
          <w:lang w:val="en-US"/>
        </w:rPr>
        <w:t xml:space="preserve">. Available at: </w:t>
      </w:r>
      <w:hyperlink r:id="rId24" w:history="1">
        <w:r w:rsidRPr="008A3B83">
          <w:rPr>
            <w:rStyle w:val="Hyperlink"/>
            <w:lang w:val="en-US"/>
          </w:rPr>
          <w:t>https://www.un.org/development/desa/dspd/wp-content/uploads/sites/22/2022/01/Introducing-CRPD-English-.pdf</w:t>
        </w:r>
      </w:hyperlink>
      <w:r>
        <w:rPr>
          <w:lang w:val="en-US"/>
        </w:rPr>
        <w:t xml:space="preserve"> (Accessed: 7 July 2026).</w:t>
      </w:r>
    </w:p>
    <w:p w14:paraId="36886146" w14:textId="77777777" w:rsidR="0019056E" w:rsidRDefault="0019056E" w:rsidP="0019056E">
      <w:pPr>
        <w:spacing w:line="240" w:lineRule="auto"/>
        <w:rPr>
          <w:lang w:val="en-US"/>
        </w:rPr>
      </w:pPr>
      <w:r w:rsidRPr="008F751A">
        <w:rPr>
          <w:lang w:val="en-US"/>
        </w:rPr>
        <w:t>Wade</w:t>
      </w:r>
      <w:r>
        <w:rPr>
          <w:lang w:val="en-US"/>
        </w:rPr>
        <w:t xml:space="preserve">, </w:t>
      </w:r>
      <w:r w:rsidRPr="008F751A">
        <w:rPr>
          <w:lang w:val="en-US"/>
        </w:rPr>
        <w:t>D</w:t>
      </w:r>
      <w:r>
        <w:rPr>
          <w:lang w:val="en-US"/>
        </w:rPr>
        <w:t>.</w:t>
      </w:r>
      <w:r w:rsidRPr="008F751A">
        <w:rPr>
          <w:lang w:val="en-US"/>
        </w:rPr>
        <w:t>T</w:t>
      </w:r>
      <w:r>
        <w:rPr>
          <w:lang w:val="en-US"/>
        </w:rPr>
        <w:t>. and</w:t>
      </w:r>
      <w:r w:rsidRPr="008F751A">
        <w:rPr>
          <w:lang w:val="en-US"/>
        </w:rPr>
        <w:t xml:space="preserve"> Halligan</w:t>
      </w:r>
      <w:r>
        <w:rPr>
          <w:lang w:val="en-US"/>
        </w:rPr>
        <w:t>,</w:t>
      </w:r>
      <w:r w:rsidRPr="008F751A">
        <w:rPr>
          <w:lang w:val="en-US"/>
        </w:rPr>
        <w:t xml:space="preserve"> P</w:t>
      </w:r>
      <w:r>
        <w:rPr>
          <w:lang w:val="en-US"/>
        </w:rPr>
        <w:t>.</w:t>
      </w:r>
      <w:r w:rsidRPr="008F751A">
        <w:rPr>
          <w:lang w:val="en-US"/>
        </w:rPr>
        <w:t xml:space="preserve">W. </w:t>
      </w:r>
      <w:r>
        <w:rPr>
          <w:lang w:val="en-US"/>
        </w:rPr>
        <w:t>(</w:t>
      </w:r>
      <w:proofErr w:type="gramStart"/>
      <w:r>
        <w:rPr>
          <w:lang w:val="en-US"/>
        </w:rPr>
        <w:t>2017) ‘</w:t>
      </w:r>
      <w:proofErr w:type="gramEnd"/>
      <w:r w:rsidRPr="008F751A">
        <w:rPr>
          <w:lang w:val="en-US"/>
        </w:rPr>
        <w:t>The biopsychosocial model of illness: a model whose time has come</w:t>
      </w:r>
      <w:r>
        <w:rPr>
          <w:lang w:val="en-US"/>
        </w:rPr>
        <w:t xml:space="preserve">’, </w:t>
      </w:r>
      <w:r w:rsidRPr="008F751A">
        <w:rPr>
          <w:i/>
          <w:iCs/>
          <w:lang w:val="en-US"/>
        </w:rPr>
        <w:t>Clinical Rehabilitation</w:t>
      </w:r>
      <w:r>
        <w:rPr>
          <w:lang w:val="en-US"/>
        </w:rPr>
        <w:t xml:space="preserve">, </w:t>
      </w:r>
      <w:r w:rsidRPr="008F751A">
        <w:rPr>
          <w:lang w:val="en-US"/>
        </w:rPr>
        <w:t>31(8)</w:t>
      </w:r>
      <w:r>
        <w:rPr>
          <w:lang w:val="en-US"/>
        </w:rPr>
        <w:t xml:space="preserve">, </w:t>
      </w:r>
      <w:r w:rsidRPr="008F751A">
        <w:rPr>
          <w:lang w:val="en-US"/>
        </w:rPr>
        <w:t xml:space="preserve">995-1004. </w:t>
      </w:r>
      <w:hyperlink r:id="rId25" w:history="1">
        <w:r w:rsidRPr="008A3B83">
          <w:rPr>
            <w:rStyle w:val="Hyperlink"/>
            <w:lang w:val="en-US"/>
          </w:rPr>
          <w:t>https://doi.org/10.1177/0269215517709890</w:t>
        </w:r>
      </w:hyperlink>
    </w:p>
    <w:p w14:paraId="290888A8" w14:textId="77777777" w:rsidR="0019056E" w:rsidRDefault="0019056E" w:rsidP="0019056E"/>
    <w:p w14:paraId="59B2A0FA" w14:textId="77777777" w:rsidR="005D095C" w:rsidRDefault="005D095C"/>
    <w:sectPr w:rsidR="005D095C" w:rsidSect="0019056E">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57C5ED" w14:textId="77777777" w:rsidR="004C691F" w:rsidRDefault="004C691F">
      <w:pPr>
        <w:spacing w:before="0" w:after="0" w:line="240" w:lineRule="auto"/>
      </w:pPr>
      <w:r>
        <w:separator/>
      </w:r>
    </w:p>
  </w:endnote>
  <w:endnote w:type="continuationSeparator" w:id="0">
    <w:p w14:paraId="1DE34D4A" w14:textId="77777777" w:rsidR="004C691F" w:rsidRDefault="004C691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cs="Arial"/>
        <w:noProof/>
      </w:rPr>
    </w:sdtEndPr>
    <w:sdtContent>
      <w:p w14:paraId="48D87985" w14:textId="77777777" w:rsidR="0019056E" w:rsidRPr="00C03A91" w:rsidRDefault="0019056E">
        <w:pPr>
          <w:pStyle w:val="Footer"/>
          <w:jc w:val="center"/>
          <w:rPr>
            <w:rFonts w:cs="Arial"/>
          </w:rPr>
        </w:pPr>
        <w:r w:rsidRPr="00C03A91">
          <w:rPr>
            <w:rFonts w:cs="Arial"/>
          </w:rPr>
          <w:fldChar w:fldCharType="begin"/>
        </w:r>
        <w:r w:rsidRPr="00C03A91">
          <w:rPr>
            <w:rFonts w:cs="Arial"/>
          </w:rPr>
          <w:instrText xml:space="preserve"> PAGE   \* MERGEFORMAT </w:instrText>
        </w:r>
        <w:r w:rsidRPr="00C03A91">
          <w:rPr>
            <w:rFonts w:cs="Arial"/>
          </w:rPr>
          <w:fldChar w:fldCharType="separate"/>
        </w:r>
        <w:r w:rsidRPr="00C03A91">
          <w:rPr>
            <w:rFonts w:cs="Arial"/>
            <w:noProof/>
          </w:rPr>
          <w:t>2</w:t>
        </w:r>
        <w:r w:rsidRPr="00C03A91">
          <w:rPr>
            <w:rFonts w:cs="Arial"/>
            <w:noProof/>
          </w:rPr>
          <w:fldChar w:fldCharType="end"/>
        </w:r>
      </w:p>
    </w:sdtContent>
  </w:sdt>
  <w:p w14:paraId="33BAB7D6" w14:textId="77777777" w:rsidR="0019056E" w:rsidRDefault="00190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B90B83" w14:textId="77777777" w:rsidR="004C691F" w:rsidRDefault="004C691F">
      <w:pPr>
        <w:spacing w:before="0" w:after="0" w:line="240" w:lineRule="auto"/>
      </w:pPr>
      <w:r>
        <w:separator/>
      </w:r>
    </w:p>
  </w:footnote>
  <w:footnote w:type="continuationSeparator" w:id="0">
    <w:p w14:paraId="339B38ED" w14:textId="77777777" w:rsidR="004C691F" w:rsidRDefault="004C691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56E"/>
    <w:rsid w:val="0019056E"/>
    <w:rsid w:val="004C691F"/>
    <w:rsid w:val="005D095C"/>
    <w:rsid w:val="0069340B"/>
    <w:rsid w:val="009E37C2"/>
    <w:rsid w:val="00A57B46"/>
    <w:rsid w:val="00AA51E5"/>
    <w:rsid w:val="00CC486F"/>
    <w:rsid w:val="00CD4ED9"/>
    <w:rsid w:val="00D02749"/>
    <w:rsid w:val="00F76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BF474"/>
  <w15:chartTrackingRefBased/>
  <w15:docId w15:val="{368FF950-8820-4E0F-90DE-7FB096B33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56E"/>
    <w:pPr>
      <w:spacing w:before="100" w:beforeAutospacing="1" w:after="100" w:afterAutospacing="1" w:line="360" w:lineRule="auto"/>
    </w:pPr>
    <w:rPr>
      <w:rFonts w:ascii="Arial" w:hAnsi="Arial"/>
      <w:kern w:val="0"/>
      <w:sz w:val="22"/>
      <w:szCs w:val="22"/>
      <w14:ligatures w14:val="none"/>
    </w:rPr>
  </w:style>
  <w:style w:type="paragraph" w:styleId="Heading1">
    <w:name w:val="heading 1"/>
    <w:basedOn w:val="Normal"/>
    <w:next w:val="Normal"/>
    <w:link w:val="Heading1Char"/>
    <w:uiPriority w:val="9"/>
    <w:qFormat/>
    <w:rsid w:val="0019056E"/>
    <w:pPr>
      <w:keepNext/>
      <w:keepLines/>
      <w:spacing w:before="360" w:beforeAutospacing="0" w:after="80" w:afterAutospacing="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19056E"/>
    <w:pPr>
      <w:keepNext/>
      <w:keepLines/>
      <w:spacing w:before="160" w:beforeAutospacing="0" w:after="80" w:afterAutospacing="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19056E"/>
    <w:pPr>
      <w:keepNext/>
      <w:keepLines/>
      <w:spacing w:before="160" w:beforeAutospacing="0" w:after="80" w:afterAutospacing="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19056E"/>
    <w:pPr>
      <w:keepNext/>
      <w:keepLines/>
      <w:spacing w:before="80" w:beforeAutospacing="0" w:after="40" w:afterAutospacing="0" w:line="278" w:lineRule="auto"/>
      <w:outlineLvl w:val="3"/>
    </w:pPr>
    <w:rPr>
      <w:rFonts w:asciiTheme="minorHAnsi" w:eastAsiaTheme="majorEastAsia" w:hAnsiTheme="minorHAnsi"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19056E"/>
    <w:pPr>
      <w:keepNext/>
      <w:keepLines/>
      <w:spacing w:before="80" w:beforeAutospacing="0" w:after="40" w:afterAutospacing="0" w:line="278" w:lineRule="auto"/>
      <w:outlineLvl w:val="4"/>
    </w:pPr>
    <w:rPr>
      <w:rFonts w:asciiTheme="minorHAnsi" w:eastAsiaTheme="majorEastAsia" w:hAnsiTheme="minorHAnsi"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19056E"/>
    <w:pPr>
      <w:keepNext/>
      <w:keepLines/>
      <w:spacing w:before="40" w:beforeAutospacing="0" w:after="0" w:afterAutospacing="0" w:line="278" w:lineRule="auto"/>
      <w:outlineLvl w:val="5"/>
    </w:pPr>
    <w:rPr>
      <w:rFonts w:asciiTheme="minorHAnsi" w:eastAsiaTheme="majorEastAsia" w:hAnsiTheme="minorHAnsi"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19056E"/>
    <w:pPr>
      <w:keepNext/>
      <w:keepLines/>
      <w:spacing w:before="40" w:beforeAutospacing="0" w:after="0" w:afterAutospacing="0" w:line="278" w:lineRule="auto"/>
      <w:outlineLvl w:val="6"/>
    </w:pPr>
    <w:rPr>
      <w:rFonts w:asciiTheme="minorHAnsi" w:eastAsiaTheme="majorEastAsia" w:hAnsiTheme="minorHAnsi"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19056E"/>
    <w:pPr>
      <w:keepNext/>
      <w:keepLines/>
      <w:spacing w:before="0" w:beforeAutospacing="0" w:after="0" w:afterAutospacing="0" w:line="278" w:lineRule="auto"/>
      <w:outlineLvl w:val="7"/>
    </w:pPr>
    <w:rPr>
      <w:rFonts w:asciiTheme="minorHAnsi" w:eastAsiaTheme="majorEastAsia" w:hAnsiTheme="minorHAnsi"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19056E"/>
    <w:pPr>
      <w:keepNext/>
      <w:keepLines/>
      <w:spacing w:before="0" w:beforeAutospacing="0" w:after="0" w:afterAutospacing="0" w:line="278" w:lineRule="auto"/>
      <w:outlineLvl w:val="8"/>
    </w:pPr>
    <w:rPr>
      <w:rFonts w:asciiTheme="minorHAnsi" w:eastAsiaTheme="majorEastAsia" w:hAnsiTheme="minorHAnsi"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5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05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05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05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05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05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05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05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056E"/>
    <w:rPr>
      <w:rFonts w:eastAsiaTheme="majorEastAsia" w:cstheme="majorBidi"/>
      <w:color w:val="272727" w:themeColor="text1" w:themeTint="D8"/>
    </w:rPr>
  </w:style>
  <w:style w:type="paragraph" w:styleId="Title">
    <w:name w:val="Title"/>
    <w:basedOn w:val="Normal"/>
    <w:next w:val="Normal"/>
    <w:link w:val="TitleChar"/>
    <w:uiPriority w:val="10"/>
    <w:qFormat/>
    <w:rsid w:val="0019056E"/>
    <w:pPr>
      <w:spacing w:before="0" w:beforeAutospacing="0" w:after="80" w:afterAutospacing="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1905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056E"/>
    <w:pPr>
      <w:numPr>
        <w:ilvl w:val="1"/>
      </w:numPr>
      <w:spacing w:before="0" w:beforeAutospacing="0" w:after="160" w:afterAutospacing="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1905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056E"/>
    <w:pPr>
      <w:spacing w:before="160" w:beforeAutospacing="0" w:after="160" w:afterAutospacing="0" w:line="278" w:lineRule="auto"/>
      <w:jc w:val="center"/>
    </w:pPr>
    <w:rPr>
      <w:rFonts w:asciiTheme="minorHAnsi" w:hAnsiTheme="minorHAnsi"/>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19056E"/>
    <w:rPr>
      <w:i/>
      <w:iCs/>
      <w:color w:val="404040" w:themeColor="text1" w:themeTint="BF"/>
    </w:rPr>
  </w:style>
  <w:style w:type="paragraph" w:styleId="ListParagraph">
    <w:name w:val="List Paragraph"/>
    <w:basedOn w:val="Normal"/>
    <w:uiPriority w:val="34"/>
    <w:qFormat/>
    <w:rsid w:val="0019056E"/>
    <w:pPr>
      <w:spacing w:before="0" w:beforeAutospacing="0" w:after="160" w:afterAutospacing="0" w:line="278" w:lineRule="auto"/>
      <w:ind w:left="720"/>
      <w:contextualSpacing/>
    </w:pPr>
    <w:rPr>
      <w:rFonts w:asciiTheme="minorHAnsi" w:hAnsiTheme="minorHAnsi"/>
      <w:kern w:val="2"/>
      <w:sz w:val="24"/>
      <w:szCs w:val="24"/>
      <w14:ligatures w14:val="standardContextual"/>
    </w:rPr>
  </w:style>
  <w:style w:type="character" w:styleId="IntenseEmphasis">
    <w:name w:val="Intense Emphasis"/>
    <w:basedOn w:val="DefaultParagraphFont"/>
    <w:uiPriority w:val="21"/>
    <w:qFormat/>
    <w:rsid w:val="0019056E"/>
    <w:rPr>
      <w:i/>
      <w:iCs/>
      <w:color w:val="0F4761" w:themeColor="accent1" w:themeShade="BF"/>
    </w:rPr>
  </w:style>
  <w:style w:type="paragraph" w:styleId="IntenseQuote">
    <w:name w:val="Intense Quote"/>
    <w:basedOn w:val="Normal"/>
    <w:next w:val="Normal"/>
    <w:link w:val="IntenseQuoteChar"/>
    <w:uiPriority w:val="30"/>
    <w:qFormat/>
    <w:rsid w:val="0019056E"/>
    <w:pPr>
      <w:pBdr>
        <w:top w:val="single" w:sz="4" w:space="10" w:color="0F4761" w:themeColor="accent1" w:themeShade="BF"/>
        <w:bottom w:val="single" w:sz="4" w:space="10" w:color="0F4761" w:themeColor="accent1" w:themeShade="BF"/>
      </w:pBdr>
      <w:spacing w:before="360" w:beforeAutospacing="0" w:after="360" w:afterAutospacing="0" w:line="278" w:lineRule="auto"/>
      <w:ind w:left="864" w:right="864"/>
      <w:jc w:val="center"/>
    </w:pPr>
    <w:rPr>
      <w:rFonts w:asciiTheme="minorHAnsi" w:hAnsiTheme="minorHAnsi"/>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19056E"/>
    <w:rPr>
      <w:i/>
      <w:iCs/>
      <w:color w:val="0F4761" w:themeColor="accent1" w:themeShade="BF"/>
    </w:rPr>
  </w:style>
  <w:style w:type="character" w:styleId="IntenseReference">
    <w:name w:val="Intense Reference"/>
    <w:basedOn w:val="DefaultParagraphFont"/>
    <w:uiPriority w:val="32"/>
    <w:qFormat/>
    <w:rsid w:val="0019056E"/>
    <w:rPr>
      <w:b/>
      <w:bCs/>
      <w:smallCaps/>
      <w:color w:val="0F4761" w:themeColor="accent1" w:themeShade="BF"/>
      <w:spacing w:val="5"/>
    </w:rPr>
  </w:style>
  <w:style w:type="character" w:styleId="Hyperlink">
    <w:name w:val="Hyperlink"/>
    <w:basedOn w:val="DefaultParagraphFont"/>
    <w:uiPriority w:val="99"/>
    <w:unhideWhenUsed/>
    <w:rsid w:val="0019056E"/>
    <w:rPr>
      <w:color w:val="467886" w:themeColor="hyperlink"/>
      <w:u w:val="single"/>
    </w:rPr>
  </w:style>
  <w:style w:type="paragraph" w:styleId="Footer">
    <w:name w:val="footer"/>
    <w:basedOn w:val="Normal"/>
    <w:link w:val="FooterChar"/>
    <w:uiPriority w:val="99"/>
    <w:unhideWhenUsed/>
    <w:rsid w:val="001905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56E"/>
    <w:rPr>
      <w:rFonts w:ascii="Arial" w:hAnsi="Arial"/>
      <w:kern w:val="0"/>
      <w:sz w:val="22"/>
      <w:szCs w:val="22"/>
      <w14:ligatures w14:val="none"/>
    </w:rPr>
  </w:style>
  <w:style w:type="paragraph" w:styleId="TOC1">
    <w:name w:val="toc 1"/>
    <w:basedOn w:val="Normal"/>
    <w:next w:val="Normal"/>
    <w:autoRedefine/>
    <w:uiPriority w:val="39"/>
    <w:unhideWhenUsed/>
    <w:rsid w:val="001905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92/pb.bp.116.053660" TargetMode="External"/><Relationship Id="rId13" Type="http://schemas.openxmlformats.org/officeDocument/2006/relationships/hyperlink" Target="https://doi.org/10.1186/s12939-023-02035-w" TargetMode="External"/><Relationship Id="rId18" Type="http://schemas.openxmlformats.org/officeDocument/2006/relationships/hyperlink" Target="https://www.england.nhs.uk/publication/comprehensive-model-of-personalised-care/"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doi.org/10.1111/1467-9566.12199" TargetMode="External"/><Relationship Id="rId7" Type="http://schemas.openxmlformats.org/officeDocument/2006/relationships/image" Target="cid:image001.png@01D0EA4A.2BD679A0" TargetMode="External"/><Relationship Id="rId12" Type="http://schemas.openxmlformats.org/officeDocument/2006/relationships/hyperlink" Target="https://doi.org/10.1007/s12178-015-9273-z" TargetMode="External"/><Relationship Id="rId17" Type="http://schemas.openxmlformats.org/officeDocument/2006/relationships/hyperlink" Target="https://doi.org/10.3390/ijerph20206927" TargetMode="External"/><Relationship Id="rId25" Type="http://schemas.openxmlformats.org/officeDocument/2006/relationships/hyperlink" Target="https://doi.org/10.1177/0269215517709890" TargetMode="External"/><Relationship Id="rId2" Type="http://schemas.openxmlformats.org/officeDocument/2006/relationships/settings" Target="settings.xml"/><Relationship Id="rId16" Type="http://schemas.openxmlformats.org/officeDocument/2006/relationships/hyperlink" Target="https://doi.org/10.1080/13642987.2020.1783533" TargetMode="External"/><Relationship Id="rId20" Type="http://schemas.openxmlformats.org/officeDocument/2006/relationships/hyperlink" Target="https://doi.org/10.1007/978-1-349-20895-1"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2105/AJPH.2014.302006" TargetMode="External"/><Relationship Id="rId24" Type="http://schemas.openxmlformats.org/officeDocument/2006/relationships/hyperlink" Target="https://www.un.org/development/desa/dspd/wp-content/uploads/sites/22/2022/01/Introducing-CRPD-English-.pdf" TargetMode="External"/><Relationship Id="rId5" Type="http://schemas.openxmlformats.org/officeDocument/2006/relationships/endnotes" Target="endnotes.xml"/><Relationship Id="rId15" Type="http://schemas.openxmlformats.org/officeDocument/2006/relationships/hyperlink" Target="https://doi.org/10.18061/dsq.v40i2.7079" TargetMode="External"/><Relationship Id="rId23" Type="http://schemas.openxmlformats.org/officeDocument/2006/relationships/hyperlink" Target="https://doi.org/10.1080/09687590050058189" TargetMode="External"/><Relationship Id="rId28" Type="http://schemas.openxmlformats.org/officeDocument/2006/relationships/theme" Target="theme/theme1.xml"/><Relationship Id="rId10" Type="http://schemas.openxmlformats.org/officeDocument/2006/relationships/hyperlink" Target="https://doi.org/10.7861/futurehosp.3-2-114" TargetMode="External"/><Relationship Id="rId19" Type="http://schemas.openxmlformats.org/officeDocument/2006/relationships/hyperlink" Target="https://www.gov.uk/government/publications/social-care-and-support-for-disabled-people-in-the-uk/not-as-simple-as-right-or-wrong-a-themed-report-on-social-care-and-support-for-disabled-people-in-the-uk" TargetMode="External"/><Relationship Id="rId4" Type="http://schemas.openxmlformats.org/officeDocument/2006/relationships/footnotes" Target="footnotes.xml"/><Relationship Id="rId9" Type="http://schemas.openxmlformats.org/officeDocument/2006/relationships/hyperlink" Target="https://doi.org/10.1177/10497323231204562" TargetMode="External"/><Relationship Id="rId14" Type="http://schemas.openxmlformats.org/officeDocument/2006/relationships/hyperlink" Target="https://doi.org/10.1007/978-981-16-1278-7_54-1" TargetMode="External"/><Relationship Id="rId22" Type="http://schemas.openxmlformats.org/officeDocument/2006/relationships/hyperlink" Target="https://www.gov.uk/government/publications/reasonable-adjustments-a-legal-duty/reasonable-adjustments-a-legal-dut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3530</Words>
  <Characters>20121</Characters>
  <Application>Microsoft Office Word</Application>
  <DocSecurity>0</DocSecurity>
  <Lines>167</Lines>
  <Paragraphs>47</Paragraphs>
  <ScaleCrop>false</ScaleCrop>
  <Company/>
  <LinksUpToDate>false</LinksUpToDate>
  <CharactersWithSpaces>23604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 Uzoma Egbeonu (2438118)</dc:creator>
  <cp:keywords/>
  <dc:description/>
  <cp:lastModifiedBy>Francis Uzoma Egbeonu (2438118)</cp:lastModifiedBy>
  <cp:revision>3</cp:revision>
  <dcterms:created xsi:type="dcterms:W3CDTF">2026-07-20T08:44:00Z</dcterms:created>
  <dcterms:modified xsi:type="dcterms:W3CDTF">2026-07-31T09:54:00Z</dcterms:modified>
</cp:coreProperties>
</file>