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3DDE1" w14:textId="68288756" w:rsidR="00064A71" w:rsidRPr="00064A71" w:rsidRDefault="00064A71" w:rsidP="00064A71">
      <w:pPr>
        <w:rPr>
          <w:b/>
          <w:bCs/>
          <w:sz w:val="72"/>
          <w:szCs w:val="72"/>
        </w:rPr>
      </w:pPr>
    </w:p>
    <w:p w14:paraId="7AD3EF54" w14:textId="77777777" w:rsidR="00064A71" w:rsidRPr="00064A71" w:rsidRDefault="00064A71" w:rsidP="00064A71">
      <w:pPr>
        <w:rPr>
          <w:b/>
          <w:bCs/>
          <w:sz w:val="72"/>
          <w:szCs w:val="72"/>
        </w:rPr>
      </w:pPr>
      <w:r w:rsidRPr="00064A71">
        <w:rPr>
          <w:b/>
          <w:bCs/>
          <w:sz w:val="72"/>
          <w:szCs w:val="72"/>
        </w:rPr>
        <w:t>Module Title: Understanding and Engaging Stakeholders</w:t>
      </w:r>
    </w:p>
    <w:p w14:paraId="2F916D9E" w14:textId="77777777" w:rsidR="00064A71" w:rsidRPr="00064A71" w:rsidRDefault="00064A71" w:rsidP="00064A71">
      <w:pPr>
        <w:rPr>
          <w:b/>
          <w:bCs/>
          <w:sz w:val="72"/>
          <w:szCs w:val="72"/>
        </w:rPr>
      </w:pPr>
      <w:r w:rsidRPr="00064A71">
        <w:rPr>
          <w:b/>
          <w:bCs/>
          <w:sz w:val="72"/>
          <w:szCs w:val="72"/>
        </w:rPr>
        <w:t>Module Code: LCLM5001</w:t>
      </w:r>
    </w:p>
    <w:p w14:paraId="68A5C887" w14:textId="21AD1791" w:rsidR="00064A71" w:rsidRPr="00064A71" w:rsidRDefault="00064A71" w:rsidP="00064A71">
      <w:pPr>
        <w:rPr>
          <w:b/>
          <w:bCs/>
          <w:sz w:val="72"/>
          <w:szCs w:val="72"/>
        </w:rPr>
      </w:pPr>
      <w:r w:rsidRPr="00064A71">
        <w:rPr>
          <w:b/>
          <w:bCs/>
          <w:sz w:val="72"/>
          <w:szCs w:val="72"/>
        </w:rPr>
        <w:t xml:space="preserve">Lecture Name: Eric Osei </w:t>
      </w:r>
    </w:p>
    <w:p w14:paraId="7B767909" w14:textId="4B8E581C" w:rsidR="00064A71" w:rsidRPr="00064A71" w:rsidRDefault="00064A71" w:rsidP="00064A71">
      <w:pPr>
        <w:rPr>
          <w:b/>
          <w:bCs/>
          <w:sz w:val="72"/>
          <w:szCs w:val="72"/>
        </w:rPr>
      </w:pPr>
      <w:r w:rsidRPr="00064A71">
        <w:rPr>
          <w:b/>
          <w:bCs/>
          <w:sz w:val="72"/>
          <w:szCs w:val="72"/>
        </w:rPr>
        <w:t>Stud</w:t>
      </w:r>
      <w:r>
        <w:rPr>
          <w:b/>
          <w:bCs/>
          <w:sz w:val="72"/>
          <w:szCs w:val="72"/>
        </w:rPr>
        <w:t xml:space="preserve">ent </w:t>
      </w:r>
      <w:r w:rsidRPr="00064A71">
        <w:rPr>
          <w:b/>
          <w:bCs/>
          <w:sz w:val="72"/>
          <w:szCs w:val="72"/>
        </w:rPr>
        <w:t>Name:</w:t>
      </w:r>
      <w:r>
        <w:rPr>
          <w:b/>
          <w:bCs/>
          <w:sz w:val="72"/>
          <w:szCs w:val="72"/>
        </w:rPr>
        <w:t xml:space="preserve"> </w:t>
      </w:r>
      <w:r w:rsidRPr="00064A71">
        <w:rPr>
          <w:b/>
          <w:bCs/>
          <w:sz w:val="72"/>
          <w:szCs w:val="72"/>
        </w:rPr>
        <w:t>Julius Balaz</w:t>
      </w:r>
    </w:p>
    <w:p w14:paraId="6BFAC6EA" w14:textId="1A8D8212" w:rsidR="00064A71" w:rsidRPr="00064A71" w:rsidRDefault="00064A71" w:rsidP="00064A71">
      <w:pPr>
        <w:rPr>
          <w:b/>
          <w:bCs/>
          <w:sz w:val="72"/>
          <w:szCs w:val="72"/>
        </w:rPr>
      </w:pPr>
      <w:r w:rsidRPr="00064A71">
        <w:rPr>
          <w:b/>
          <w:bCs/>
          <w:sz w:val="72"/>
          <w:szCs w:val="72"/>
        </w:rPr>
        <w:t>Stud</w:t>
      </w:r>
      <w:r>
        <w:rPr>
          <w:b/>
          <w:bCs/>
          <w:sz w:val="72"/>
          <w:szCs w:val="72"/>
        </w:rPr>
        <w:t>ent</w:t>
      </w:r>
      <w:r w:rsidRPr="00064A71">
        <w:rPr>
          <w:b/>
          <w:bCs/>
          <w:sz w:val="72"/>
          <w:szCs w:val="72"/>
        </w:rPr>
        <w:t xml:space="preserve"> Number: 2321106</w:t>
      </w:r>
    </w:p>
    <w:p w14:paraId="171A4C58" w14:textId="77777777" w:rsidR="00064A71" w:rsidRDefault="00064A71">
      <w:pPr>
        <w:rPr>
          <w:b/>
          <w:bCs/>
          <w:sz w:val="26"/>
          <w:szCs w:val="26"/>
        </w:rPr>
      </w:pPr>
    </w:p>
    <w:p w14:paraId="687F91BF" w14:textId="2076AFF9" w:rsidR="00F923C6" w:rsidRDefault="00064A71">
      <w:pPr>
        <w:rPr>
          <w:b/>
          <w:bCs/>
          <w:sz w:val="26"/>
          <w:szCs w:val="26"/>
        </w:rPr>
      </w:pPr>
      <w:r>
        <w:rPr>
          <w:b/>
          <w:bCs/>
          <w:sz w:val="26"/>
          <w:szCs w:val="26"/>
        </w:rPr>
        <w:br w:type="page"/>
      </w:r>
      <w:bookmarkStart w:id="0" w:name="_Hlk213865997"/>
    </w:p>
    <w:bookmarkEnd w:id="0"/>
    <w:p w14:paraId="01073D02" w14:textId="77777777" w:rsidR="00F923C6" w:rsidRDefault="00F923C6">
      <w:pPr>
        <w:rPr>
          <w:b/>
          <w:bCs/>
          <w:sz w:val="44"/>
          <w:szCs w:val="44"/>
        </w:rPr>
      </w:pPr>
    </w:p>
    <w:p w14:paraId="0DBC296E" w14:textId="77777777" w:rsidR="00F923C6" w:rsidRDefault="00000000">
      <w:pPr>
        <w:pStyle w:val="Heading2"/>
        <w:keepNext w:val="0"/>
        <w:keepLines w:val="0"/>
        <w:spacing w:after="80"/>
        <w:rPr>
          <w:b/>
          <w:bCs/>
          <w:sz w:val="34"/>
          <w:szCs w:val="34"/>
        </w:rPr>
      </w:pPr>
      <w:bookmarkStart w:id="1" w:name="_vsln3tnxou2c" w:colFirst="0" w:colLast="0"/>
      <w:bookmarkEnd w:id="1"/>
      <w:r>
        <w:rPr>
          <w:b/>
          <w:bCs/>
          <w:sz w:val="34"/>
          <w:szCs w:val="34"/>
        </w:rPr>
        <w:t>Table of Contents</w:t>
      </w:r>
    </w:p>
    <w:tbl>
      <w:tblPr>
        <w:tblStyle w:val="a"/>
        <w:tblW w:w="76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80"/>
        <w:gridCol w:w="5990"/>
        <w:gridCol w:w="725"/>
      </w:tblGrid>
      <w:tr w:rsidR="00F923C6" w14:paraId="5F20E279" w14:textId="77777777">
        <w:trPr>
          <w:trHeight w:val="500"/>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E212E" w14:textId="77777777" w:rsidR="00F923C6" w:rsidRDefault="00000000">
            <w:pPr>
              <w:jc w:val="center"/>
              <w:rPr>
                <w:b/>
                <w:bCs/>
                <w:sz w:val="18"/>
                <w:szCs w:val="18"/>
              </w:rPr>
            </w:pPr>
            <w:r>
              <w:rPr>
                <w:b/>
                <w:bCs/>
                <w:sz w:val="18"/>
                <w:szCs w:val="18"/>
              </w:rPr>
              <w:t>Section</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B93E1" w14:textId="77777777" w:rsidR="00F923C6" w:rsidRDefault="00000000">
            <w:pPr>
              <w:jc w:val="center"/>
              <w:rPr>
                <w:b/>
                <w:bCs/>
                <w:sz w:val="18"/>
                <w:szCs w:val="18"/>
              </w:rPr>
            </w:pPr>
            <w:r>
              <w:rPr>
                <w:b/>
                <w:bCs/>
                <w:sz w:val="18"/>
                <w:szCs w:val="18"/>
              </w:rPr>
              <w:t>Title</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84D660" w14:textId="77777777" w:rsidR="00F923C6" w:rsidRDefault="00000000">
            <w:pPr>
              <w:jc w:val="center"/>
              <w:rPr>
                <w:b/>
                <w:bCs/>
                <w:sz w:val="18"/>
                <w:szCs w:val="18"/>
              </w:rPr>
            </w:pPr>
            <w:r>
              <w:rPr>
                <w:b/>
                <w:bCs/>
                <w:sz w:val="18"/>
                <w:szCs w:val="18"/>
              </w:rPr>
              <w:t>Page</w:t>
            </w:r>
          </w:p>
        </w:tc>
      </w:tr>
      <w:tr w:rsidR="00F923C6" w14:paraId="4063AC2D" w14:textId="77777777">
        <w:trPr>
          <w:trHeight w:val="500"/>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D29FE" w14:textId="77777777" w:rsidR="00F923C6" w:rsidRDefault="00000000">
            <w:pPr>
              <w:rPr>
                <w:b/>
                <w:bCs/>
                <w:sz w:val="18"/>
                <w:szCs w:val="18"/>
              </w:rPr>
            </w:pPr>
            <w:r>
              <w:rPr>
                <w:b/>
                <w:bCs/>
                <w:sz w:val="18"/>
                <w:szCs w:val="18"/>
              </w:rPr>
              <w:t>1.</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60B1F8" w14:textId="77777777" w:rsidR="00F923C6" w:rsidRDefault="00000000">
            <w:pPr>
              <w:rPr>
                <w:b/>
                <w:bCs/>
                <w:sz w:val="18"/>
                <w:szCs w:val="18"/>
              </w:rPr>
            </w:pPr>
            <w:r>
              <w:rPr>
                <w:b/>
                <w:bCs/>
                <w:sz w:val="18"/>
                <w:szCs w:val="18"/>
              </w:rPr>
              <w:t>Introduction</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982F84" w14:textId="77777777" w:rsidR="00F923C6" w:rsidRDefault="00000000">
            <w:pPr>
              <w:rPr>
                <w:b/>
                <w:bCs/>
                <w:sz w:val="18"/>
                <w:szCs w:val="18"/>
              </w:rPr>
            </w:pPr>
            <w:r>
              <w:rPr>
                <w:b/>
                <w:bCs/>
                <w:sz w:val="18"/>
                <w:szCs w:val="18"/>
              </w:rPr>
              <w:t>2</w:t>
            </w:r>
          </w:p>
        </w:tc>
      </w:tr>
      <w:tr w:rsidR="00F923C6" w14:paraId="5F994E4E" w14:textId="77777777">
        <w:trPr>
          <w:trHeight w:val="105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D1104A" w14:textId="77777777" w:rsidR="00F923C6" w:rsidRDefault="00000000">
            <w:pPr>
              <w:rPr>
                <w:b/>
                <w:bCs/>
                <w:sz w:val="18"/>
                <w:szCs w:val="18"/>
              </w:rPr>
            </w:pPr>
            <w:r>
              <w:rPr>
                <w:b/>
                <w:bCs/>
                <w:sz w:val="18"/>
                <w:szCs w:val="18"/>
              </w:rPr>
              <w:t>2.</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6ACDD5" w14:textId="77777777" w:rsidR="00F923C6" w:rsidRDefault="00000000">
            <w:pPr>
              <w:rPr>
                <w:b/>
                <w:bCs/>
                <w:sz w:val="18"/>
                <w:szCs w:val="18"/>
              </w:rPr>
            </w:pPr>
            <w:r>
              <w:rPr>
                <w:b/>
                <w:bCs/>
                <w:sz w:val="18"/>
                <w:szCs w:val="18"/>
              </w:rPr>
              <w:t>Strategic Appraisal of the Trust</w:t>
            </w:r>
          </w:p>
          <w:p w14:paraId="09675440" w14:textId="77777777" w:rsidR="00F923C6" w:rsidRDefault="00000000">
            <w:pPr>
              <w:rPr>
                <w:b/>
                <w:bCs/>
                <w:sz w:val="18"/>
                <w:szCs w:val="18"/>
              </w:rPr>
            </w:pPr>
            <w:r>
              <w:rPr>
                <w:b/>
                <w:bCs/>
                <w:sz w:val="18"/>
                <w:szCs w:val="18"/>
              </w:rPr>
              <w:t>3.1 SWOT Analysis</w:t>
            </w:r>
          </w:p>
          <w:p w14:paraId="5C17D5FE" w14:textId="77777777" w:rsidR="00F923C6" w:rsidRDefault="00000000">
            <w:pPr>
              <w:rPr>
                <w:b/>
                <w:bCs/>
                <w:sz w:val="18"/>
                <w:szCs w:val="18"/>
              </w:rPr>
            </w:pPr>
            <w:r>
              <w:rPr>
                <w:b/>
                <w:bCs/>
                <w:sz w:val="18"/>
                <w:szCs w:val="18"/>
              </w:rPr>
              <w:t>3.2 Strategic Alignment</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95AB3" w14:textId="77777777" w:rsidR="00F923C6" w:rsidRDefault="00000000">
            <w:pPr>
              <w:rPr>
                <w:b/>
                <w:bCs/>
                <w:sz w:val="18"/>
                <w:szCs w:val="18"/>
              </w:rPr>
            </w:pPr>
            <w:r>
              <w:rPr>
                <w:b/>
                <w:bCs/>
                <w:sz w:val="18"/>
                <w:szCs w:val="18"/>
              </w:rPr>
              <w:t>3</w:t>
            </w:r>
          </w:p>
        </w:tc>
      </w:tr>
      <w:tr w:rsidR="00F923C6" w14:paraId="36432F9D" w14:textId="77777777">
        <w:trPr>
          <w:trHeight w:val="1340"/>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5DF8E7" w14:textId="77777777" w:rsidR="00F923C6" w:rsidRDefault="00000000">
            <w:pPr>
              <w:rPr>
                <w:b/>
                <w:bCs/>
                <w:sz w:val="18"/>
                <w:szCs w:val="18"/>
              </w:rPr>
            </w:pPr>
            <w:r>
              <w:rPr>
                <w:b/>
                <w:bCs/>
                <w:sz w:val="18"/>
                <w:szCs w:val="18"/>
              </w:rPr>
              <w:t>3.</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228558" w14:textId="77777777" w:rsidR="00F923C6" w:rsidRDefault="00000000">
            <w:pPr>
              <w:rPr>
                <w:b/>
                <w:bCs/>
                <w:sz w:val="18"/>
                <w:szCs w:val="18"/>
              </w:rPr>
            </w:pPr>
            <w:r>
              <w:rPr>
                <w:b/>
                <w:bCs/>
                <w:sz w:val="18"/>
                <w:szCs w:val="18"/>
              </w:rPr>
              <w:t>Stakeholder Identification and Mapping</w:t>
            </w:r>
          </w:p>
          <w:p w14:paraId="46624920" w14:textId="77777777" w:rsidR="00F923C6" w:rsidRDefault="00000000">
            <w:pPr>
              <w:rPr>
                <w:b/>
                <w:bCs/>
                <w:sz w:val="18"/>
                <w:szCs w:val="18"/>
              </w:rPr>
            </w:pPr>
            <w:r>
              <w:rPr>
                <w:b/>
                <w:bCs/>
                <w:sz w:val="18"/>
                <w:szCs w:val="18"/>
              </w:rPr>
              <w:t>4.1 Internal Stakeholders</w:t>
            </w:r>
          </w:p>
          <w:p w14:paraId="439C2764" w14:textId="77777777" w:rsidR="00F923C6" w:rsidRDefault="00000000">
            <w:pPr>
              <w:rPr>
                <w:b/>
                <w:bCs/>
                <w:sz w:val="18"/>
                <w:szCs w:val="18"/>
              </w:rPr>
            </w:pPr>
            <w:r>
              <w:rPr>
                <w:b/>
                <w:bCs/>
                <w:sz w:val="18"/>
                <w:szCs w:val="18"/>
              </w:rPr>
              <w:t>4.2 External Stakeholders</w:t>
            </w:r>
          </w:p>
          <w:p w14:paraId="58A00E34" w14:textId="77777777" w:rsidR="00F923C6" w:rsidRDefault="00000000">
            <w:pPr>
              <w:rPr>
                <w:b/>
                <w:bCs/>
                <w:sz w:val="18"/>
                <w:szCs w:val="18"/>
              </w:rPr>
            </w:pPr>
            <w:r>
              <w:rPr>
                <w:b/>
                <w:bCs/>
                <w:sz w:val="18"/>
                <w:szCs w:val="18"/>
              </w:rPr>
              <w:t>4.3 Stakeholder Mapping</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4DC9CB" w14:textId="77777777" w:rsidR="00F923C6" w:rsidRDefault="00000000">
            <w:pPr>
              <w:rPr>
                <w:b/>
                <w:bCs/>
                <w:sz w:val="18"/>
                <w:szCs w:val="18"/>
              </w:rPr>
            </w:pPr>
            <w:r>
              <w:rPr>
                <w:b/>
                <w:bCs/>
                <w:sz w:val="18"/>
                <w:szCs w:val="18"/>
              </w:rPr>
              <w:t>4</w:t>
            </w:r>
          </w:p>
        </w:tc>
      </w:tr>
      <w:tr w:rsidR="00F923C6" w14:paraId="5BD7B052" w14:textId="77777777">
        <w:trPr>
          <w:trHeight w:val="500"/>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865CB9" w14:textId="77777777" w:rsidR="00F923C6" w:rsidRDefault="00000000">
            <w:pPr>
              <w:rPr>
                <w:b/>
                <w:bCs/>
                <w:sz w:val="18"/>
                <w:szCs w:val="18"/>
              </w:rPr>
            </w:pPr>
            <w:r>
              <w:rPr>
                <w:b/>
                <w:bCs/>
                <w:sz w:val="18"/>
                <w:szCs w:val="18"/>
              </w:rPr>
              <w:t>4.</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9FF203" w14:textId="77777777" w:rsidR="00F923C6" w:rsidRDefault="00000000">
            <w:pPr>
              <w:rPr>
                <w:b/>
                <w:bCs/>
                <w:sz w:val="18"/>
                <w:szCs w:val="18"/>
              </w:rPr>
            </w:pPr>
            <w:r>
              <w:rPr>
                <w:b/>
                <w:bCs/>
                <w:sz w:val="18"/>
                <w:szCs w:val="18"/>
              </w:rPr>
              <w:t>Roles, Responsibilities, Benefits and Challenges</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141788" w14:textId="77777777" w:rsidR="00F923C6" w:rsidRDefault="00000000">
            <w:pPr>
              <w:rPr>
                <w:b/>
                <w:bCs/>
                <w:sz w:val="18"/>
                <w:szCs w:val="18"/>
              </w:rPr>
            </w:pPr>
            <w:r>
              <w:rPr>
                <w:b/>
                <w:bCs/>
                <w:sz w:val="18"/>
                <w:szCs w:val="18"/>
              </w:rPr>
              <w:t>5</w:t>
            </w:r>
          </w:p>
        </w:tc>
      </w:tr>
      <w:tr w:rsidR="00F923C6" w14:paraId="2AD0F56A" w14:textId="77777777">
        <w:trPr>
          <w:trHeight w:val="500"/>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94138D" w14:textId="77777777" w:rsidR="00F923C6" w:rsidRDefault="00000000">
            <w:pPr>
              <w:rPr>
                <w:b/>
                <w:bCs/>
                <w:sz w:val="18"/>
                <w:szCs w:val="18"/>
              </w:rPr>
            </w:pPr>
            <w:r>
              <w:rPr>
                <w:b/>
                <w:bCs/>
                <w:sz w:val="18"/>
                <w:szCs w:val="18"/>
              </w:rPr>
              <w:t>5.</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BEF94A" w14:textId="77777777" w:rsidR="00F923C6" w:rsidRDefault="00000000">
            <w:pPr>
              <w:rPr>
                <w:b/>
                <w:bCs/>
                <w:sz w:val="18"/>
                <w:szCs w:val="18"/>
              </w:rPr>
            </w:pPr>
            <w:r>
              <w:rPr>
                <w:b/>
                <w:bCs/>
                <w:sz w:val="18"/>
                <w:szCs w:val="18"/>
              </w:rPr>
              <w:t>Stakeholder Engagement Frameworks</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E6978" w14:textId="77777777" w:rsidR="00F923C6" w:rsidRDefault="00000000">
            <w:pPr>
              <w:rPr>
                <w:b/>
                <w:bCs/>
                <w:sz w:val="18"/>
                <w:szCs w:val="18"/>
              </w:rPr>
            </w:pPr>
            <w:r>
              <w:rPr>
                <w:b/>
                <w:bCs/>
                <w:sz w:val="18"/>
                <w:szCs w:val="18"/>
              </w:rPr>
              <w:t>6</w:t>
            </w:r>
          </w:p>
        </w:tc>
      </w:tr>
      <w:tr w:rsidR="00F923C6" w14:paraId="5AFB0E98" w14:textId="77777777">
        <w:trPr>
          <w:trHeight w:val="500"/>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3AEAA" w14:textId="77777777" w:rsidR="00F923C6" w:rsidRDefault="00000000">
            <w:pPr>
              <w:rPr>
                <w:b/>
                <w:bCs/>
                <w:sz w:val="18"/>
                <w:szCs w:val="18"/>
              </w:rPr>
            </w:pPr>
            <w:r>
              <w:rPr>
                <w:b/>
                <w:bCs/>
                <w:sz w:val="18"/>
                <w:szCs w:val="18"/>
              </w:rPr>
              <w:t>6.</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306A5A" w14:textId="77777777" w:rsidR="00F923C6" w:rsidRDefault="00000000">
            <w:pPr>
              <w:rPr>
                <w:b/>
                <w:bCs/>
                <w:sz w:val="18"/>
                <w:szCs w:val="18"/>
              </w:rPr>
            </w:pPr>
            <w:r>
              <w:rPr>
                <w:b/>
                <w:bCs/>
                <w:sz w:val="18"/>
                <w:szCs w:val="18"/>
              </w:rPr>
              <w:t>Stakeholder Engagement Process and Conflict Management</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CDA2F" w14:textId="77777777" w:rsidR="00F923C6" w:rsidRDefault="00000000">
            <w:pPr>
              <w:rPr>
                <w:b/>
                <w:bCs/>
                <w:sz w:val="18"/>
                <w:szCs w:val="18"/>
              </w:rPr>
            </w:pPr>
            <w:r>
              <w:rPr>
                <w:b/>
                <w:bCs/>
                <w:sz w:val="18"/>
                <w:szCs w:val="18"/>
              </w:rPr>
              <w:t>7</w:t>
            </w:r>
          </w:p>
        </w:tc>
      </w:tr>
      <w:tr w:rsidR="00F923C6" w14:paraId="07681E41" w14:textId="77777777">
        <w:trPr>
          <w:trHeight w:val="1055"/>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6BCF08" w14:textId="77777777" w:rsidR="00F923C6" w:rsidRDefault="00000000">
            <w:pPr>
              <w:rPr>
                <w:b/>
                <w:bCs/>
                <w:sz w:val="18"/>
                <w:szCs w:val="18"/>
              </w:rPr>
            </w:pPr>
            <w:r>
              <w:rPr>
                <w:b/>
                <w:bCs/>
                <w:sz w:val="18"/>
                <w:szCs w:val="18"/>
              </w:rPr>
              <w:t>7.</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F262BC" w14:textId="77777777" w:rsidR="00F923C6" w:rsidRDefault="00000000">
            <w:pPr>
              <w:rPr>
                <w:b/>
                <w:bCs/>
                <w:sz w:val="18"/>
                <w:szCs w:val="18"/>
              </w:rPr>
            </w:pPr>
            <w:r>
              <w:rPr>
                <w:b/>
                <w:bCs/>
                <w:sz w:val="18"/>
                <w:szCs w:val="18"/>
              </w:rPr>
              <w:t>Evaluation and Recommendations</w:t>
            </w:r>
          </w:p>
          <w:p w14:paraId="33C2B7D0" w14:textId="77777777" w:rsidR="00F923C6" w:rsidRDefault="00000000">
            <w:pPr>
              <w:rPr>
                <w:b/>
                <w:bCs/>
                <w:sz w:val="18"/>
                <w:szCs w:val="18"/>
              </w:rPr>
            </w:pPr>
            <w:r>
              <w:rPr>
                <w:b/>
                <w:bCs/>
                <w:sz w:val="18"/>
                <w:szCs w:val="18"/>
              </w:rPr>
              <w:t>8.1 Evaluation of Stakeholder Engagement Impact</w:t>
            </w:r>
          </w:p>
          <w:p w14:paraId="50128798" w14:textId="77777777" w:rsidR="00F923C6" w:rsidRDefault="00000000">
            <w:pPr>
              <w:rPr>
                <w:b/>
                <w:bCs/>
                <w:sz w:val="18"/>
                <w:szCs w:val="18"/>
              </w:rPr>
            </w:pPr>
            <w:r>
              <w:rPr>
                <w:b/>
                <w:bCs/>
                <w:sz w:val="18"/>
                <w:szCs w:val="18"/>
              </w:rPr>
              <w:t>8.2 Recommendations for Future Engagement</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8B4AC" w14:textId="77777777" w:rsidR="00F923C6" w:rsidRDefault="00000000">
            <w:pPr>
              <w:rPr>
                <w:b/>
                <w:bCs/>
                <w:sz w:val="18"/>
                <w:szCs w:val="18"/>
              </w:rPr>
            </w:pPr>
            <w:r>
              <w:rPr>
                <w:b/>
                <w:bCs/>
                <w:sz w:val="18"/>
                <w:szCs w:val="18"/>
              </w:rPr>
              <w:t>8</w:t>
            </w:r>
          </w:p>
        </w:tc>
      </w:tr>
      <w:tr w:rsidR="00F923C6" w14:paraId="7A8CA155" w14:textId="77777777">
        <w:trPr>
          <w:trHeight w:val="500"/>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5D4927" w14:textId="77777777" w:rsidR="00F923C6" w:rsidRDefault="00000000">
            <w:pPr>
              <w:rPr>
                <w:b/>
                <w:bCs/>
                <w:sz w:val="18"/>
                <w:szCs w:val="18"/>
              </w:rPr>
            </w:pPr>
            <w:r>
              <w:rPr>
                <w:b/>
                <w:bCs/>
                <w:sz w:val="18"/>
                <w:szCs w:val="18"/>
              </w:rPr>
              <w:t>8.</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C3715" w14:textId="77777777" w:rsidR="00F923C6" w:rsidRDefault="00000000">
            <w:pPr>
              <w:rPr>
                <w:b/>
                <w:bCs/>
                <w:sz w:val="18"/>
                <w:szCs w:val="18"/>
              </w:rPr>
            </w:pPr>
            <w:r>
              <w:rPr>
                <w:b/>
                <w:bCs/>
                <w:sz w:val="18"/>
                <w:szCs w:val="18"/>
              </w:rPr>
              <w:t>Conclusion</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69F946" w14:textId="77777777" w:rsidR="00F923C6" w:rsidRDefault="00000000">
            <w:pPr>
              <w:rPr>
                <w:b/>
                <w:bCs/>
                <w:sz w:val="18"/>
                <w:szCs w:val="18"/>
              </w:rPr>
            </w:pPr>
            <w:r>
              <w:rPr>
                <w:b/>
                <w:bCs/>
                <w:sz w:val="18"/>
                <w:szCs w:val="18"/>
              </w:rPr>
              <w:t>9</w:t>
            </w:r>
          </w:p>
        </w:tc>
      </w:tr>
      <w:tr w:rsidR="00F923C6" w14:paraId="0EDB3F47" w14:textId="77777777">
        <w:trPr>
          <w:trHeight w:val="500"/>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62ED9" w14:textId="77777777" w:rsidR="00F923C6" w:rsidRDefault="00000000">
            <w:pPr>
              <w:rPr>
                <w:b/>
                <w:bCs/>
                <w:sz w:val="18"/>
                <w:szCs w:val="18"/>
              </w:rPr>
            </w:pPr>
            <w:r>
              <w:rPr>
                <w:b/>
                <w:bCs/>
                <w:sz w:val="18"/>
                <w:szCs w:val="18"/>
              </w:rPr>
              <w:t>9.</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FDCC6" w14:textId="77777777" w:rsidR="00F923C6" w:rsidRDefault="00000000">
            <w:pPr>
              <w:rPr>
                <w:b/>
                <w:bCs/>
                <w:sz w:val="18"/>
                <w:szCs w:val="18"/>
              </w:rPr>
            </w:pPr>
            <w:r>
              <w:rPr>
                <w:b/>
                <w:bCs/>
                <w:sz w:val="18"/>
                <w:szCs w:val="18"/>
              </w:rPr>
              <w:t>Reference List</w:t>
            </w:r>
          </w:p>
        </w:tc>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57CA2" w14:textId="77777777" w:rsidR="00F923C6" w:rsidRDefault="00000000">
            <w:pPr>
              <w:rPr>
                <w:b/>
                <w:bCs/>
                <w:sz w:val="18"/>
                <w:szCs w:val="18"/>
              </w:rPr>
            </w:pPr>
            <w:r>
              <w:rPr>
                <w:b/>
                <w:bCs/>
                <w:sz w:val="18"/>
                <w:szCs w:val="18"/>
              </w:rPr>
              <w:t>10</w:t>
            </w:r>
          </w:p>
        </w:tc>
      </w:tr>
      <w:tr w:rsidR="00F923C6" w14:paraId="1BC60C37" w14:textId="77777777">
        <w:trPr>
          <w:trHeight w:val="1340"/>
        </w:trPr>
        <w:tc>
          <w:tcPr>
            <w:tcW w:w="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733FA" w14:textId="77777777" w:rsidR="00F923C6" w:rsidRDefault="00000000">
            <w:pPr>
              <w:rPr>
                <w:b/>
                <w:bCs/>
                <w:sz w:val="18"/>
                <w:szCs w:val="18"/>
              </w:rPr>
            </w:pPr>
            <w:r>
              <w:rPr>
                <w:b/>
                <w:bCs/>
                <w:sz w:val="18"/>
                <w:szCs w:val="18"/>
              </w:rPr>
              <w:t>10.</w:t>
            </w:r>
          </w:p>
        </w:tc>
        <w:tc>
          <w:tcPr>
            <w:tcW w:w="5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1C599" w14:textId="77777777" w:rsidR="00F923C6" w:rsidRDefault="00000000">
            <w:pPr>
              <w:rPr>
                <w:b/>
                <w:bCs/>
                <w:sz w:val="18"/>
                <w:szCs w:val="18"/>
              </w:rPr>
            </w:pPr>
            <w:r>
              <w:rPr>
                <w:b/>
                <w:bCs/>
                <w:sz w:val="18"/>
                <w:szCs w:val="18"/>
              </w:rPr>
              <w:t>Appendices</w:t>
            </w:r>
          </w:p>
          <w:p w14:paraId="1D767F3D" w14:textId="77777777" w:rsidR="00F923C6" w:rsidRDefault="00000000">
            <w:pPr>
              <w:rPr>
                <w:b/>
                <w:bCs/>
                <w:sz w:val="18"/>
                <w:szCs w:val="18"/>
              </w:rPr>
            </w:pPr>
            <w:r>
              <w:rPr>
                <w:b/>
                <w:bCs/>
                <w:sz w:val="18"/>
                <w:szCs w:val="18"/>
              </w:rPr>
              <w:t>A. RACI Matrix</w:t>
            </w:r>
          </w:p>
          <w:p w14:paraId="65FBF5FD" w14:textId="77777777" w:rsidR="00F923C6" w:rsidRDefault="00000000">
            <w:pPr>
              <w:rPr>
                <w:b/>
                <w:bCs/>
                <w:sz w:val="18"/>
                <w:szCs w:val="18"/>
              </w:rPr>
            </w:pPr>
            <w:r>
              <w:rPr>
                <w:b/>
                <w:bCs/>
                <w:sz w:val="18"/>
                <w:szCs w:val="18"/>
              </w:rPr>
              <w:t>B. Stakeholder Matrix</w:t>
            </w:r>
          </w:p>
          <w:p w14:paraId="0E18D8E9" w14:textId="77777777" w:rsidR="00F923C6" w:rsidRDefault="00000000">
            <w:pPr>
              <w:rPr>
                <w:b/>
                <w:bCs/>
                <w:sz w:val="18"/>
                <w:szCs w:val="18"/>
              </w:rPr>
            </w:pPr>
            <w:r>
              <w:rPr>
                <w:b/>
                <w:bCs/>
                <w:sz w:val="18"/>
                <w:szCs w:val="18"/>
              </w:rPr>
              <w:t>C. Communication Plan Template</w:t>
            </w:r>
          </w:p>
        </w:tc>
        <w:tc>
          <w:tcPr>
            <w:tcW w:w="725" w:type="dxa"/>
            <w:tcBorders>
              <w:top w:val="single" w:sz="8" w:space="0" w:color="000000"/>
              <w:left w:val="single" w:sz="8" w:space="0" w:color="000000"/>
              <w:bottom w:val="single" w:sz="8" w:space="0" w:color="808080"/>
              <w:right w:val="single" w:sz="8" w:space="0" w:color="808080"/>
            </w:tcBorders>
            <w:tcMar>
              <w:top w:w="100" w:type="dxa"/>
              <w:left w:w="100" w:type="dxa"/>
              <w:bottom w:w="100" w:type="dxa"/>
              <w:right w:w="100" w:type="dxa"/>
            </w:tcMar>
          </w:tcPr>
          <w:p w14:paraId="6A4608A2" w14:textId="77777777" w:rsidR="00F923C6" w:rsidRDefault="00000000">
            <w:pPr>
              <w:rPr>
                <w:b/>
                <w:bCs/>
                <w:sz w:val="18"/>
                <w:szCs w:val="18"/>
              </w:rPr>
            </w:pPr>
            <w:r>
              <w:rPr>
                <w:b/>
                <w:bCs/>
                <w:sz w:val="18"/>
                <w:szCs w:val="18"/>
              </w:rPr>
              <w:t>11</w:t>
            </w:r>
          </w:p>
        </w:tc>
      </w:tr>
    </w:tbl>
    <w:p w14:paraId="17CF59E6" w14:textId="77777777" w:rsidR="00F923C6" w:rsidRDefault="00F923C6">
      <w:pPr>
        <w:rPr>
          <w:b/>
          <w:bCs/>
          <w:sz w:val="18"/>
          <w:szCs w:val="18"/>
        </w:rPr>
      </w:pPr>
    </w:p>
    <w:p w14:paraId="08B87DB6" w14:textId="77777777" w:rsidR="00F923C6" w:rsidRDefault="00F923C6">
      <w:pPr>
        <w:rPr>
          <w:b/>
          <w:bCs/>
          <w:sz w:val="44"/>
          <w:szCs w:val="44"/>
        </w:rPr>
      </w:pPr>
    </w:p>
    <w:p w14:paraId="28BB6897" w14:textId="77777777" w:rsidR="00F923C6" w:rsidRDefault="00F923C6">
      <w:pPr>
        <w:rPr>
          <w:b/>
          <w:bCs/>
          <w:sz w:val="26"/>
          <w:szCs w:val="26"/>
        </w:rPr>
      </w:pPr>
    </w:p>
    <w:p w14:paraId="38A8288C" w14:textId="77777777" w:rsidR="00F923C6" w:rsidRDefault="00F923C6">
      <w:pPr>
        <w:rPr>
          <w:b/>
          <w:bCs/>
          <w:sz w:val="44"/>
          <w:szCs w:val="44"/>
        </w:rPr>
      </w:pPr>
    </w:p>
    <w:p w14:paraId="26284579" w14:textId="77777777" w:rsidR="00F923C6" w:rsidRDefault="00F923C6">
      <w:pPr>
        <w:rPr>
          <w:b/>
          <w:bCs/>
          <w:sz w:val="26"/>
          <w:szCs w:val="26"/>
        </w:rPr>
      </w:pPr>
    </w:p>
    <w:p w14:paraId="71FDF8CA" w14:textId="77777777" w:rsidR="00F923C6" w:rsidRDefault="00000000">
      <w:pPr>
        <w:rPr>
          <w:b/>
          <w:bCs/>
          <w:sz w:val="26"/>
          <w:szCs w:val="26"/>
        </w:rPr>
      </w:pPr>
      <w:r>
        <w:rPr>
          <w:b/>
          <w:bCs/>
          <w:sz w:val="26"/>
          <w:szCs w:val="26"/>
        </w:rPr>
        <w:t>1. Introduction</w:t>
      </w:r>
    </w:p>
    <w:p w14:paraId="373E4250" w14:textId="77777777" w:rsidR="00F923C6" w:rsidRDefault="00F923C6"/>
    <w:p w14:paraId="6A82C450" w14:textId="77777777" w:rsidR="00F923C6" w:rsidRDefault="00000000">
      <w:r>
        <w:t>Sandwell and West Birmingham NHS Trust (SWBH) is a big, comprehensive healthcare institution which provides its services to more than 500,000 individuals within the West Midlands. The Trust is strategically focused on acute, community, and primary care, which it provides in newly opened Midland Metropolitan University Hospital (MMUH), several health campuses, and online services (Sandwell and West Birmingham NHS Trust, 2025). The vision of the Trust is to enhance the life chances and health outcomes that are based on the principles of ambition, respect, and compassion.</w:t>
      </w:r>
    </w:p>
    <w:p w14:paraId="00358CD8" w14:textId="77777777" w:rsidR="00A32805" w:rsidRDefault="00A32805"/>
    <w:p w14:paraId="52D33F32" w14:textId="60B7A063" w:rsidR="00A32805" w:rsidRDefault="00A32805">
      <w:r w:rsidRPr="00A32805">
        <w:drawing>
          <wp:inline distT="0" distB="0" distL="0" distR="0" wp14:anchorId="7F90D7D1" wp14:editId="151CAE14">
            <wp:extent cx="5733415" cy="4686300"/>
            <wp:effectExtent l="0" t="0" r="635" b="0"/>
            <wp:docPr id="210673893"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73893" name="Picture 1" descr="A graph of different colored lines&#10;&#10;AI-generated content may be incorrect."/>
                    <pic:cNvPicPr/>
                  </pic:nvPicPr>
                  <pic:blipFill>
                    <a:blip r:embed="rId7"/>
                    <a:stretch>
                      <a:fillRect/>
                    </a:stretch>
                  </pic:blipFill>
                  <pic:spPr>
                    <a:xfrm>
                      <a:off x="0" y="0"/>
                      <a:ext cx="5733415" cy="4686300"/>
                    </a:xfrm>
                    <a:prstGeom prst="rect">
                      <a:avLst/>
                    </a:prstGeom>
                  </pic:spPr>
                </pic:pic>
              </a:graphicData>
            </a:graphic>
          </wp:inline>
        </w:drawing>
      </w:r>
    </w:p>
    <w:p w14:paraId="589697EC" w14:textId="5ED2E2F9" w:rsidR="00A32805" w:rsidRDefault="00A32805">
      <w:r>
        <w:t xml:space="preserve">Figure 1: </w:t>
      </w:r>
    </w:p>
    <w:p w14:paraId="35B21551" w14:textId="77777777" w:rsidR="00F923C6" w:rsidRDefault="00F923C6"/>
    <w:p w14:paraId="0BE89F9E" w14:textId="77777777" w:rsidR="00F923C6" w:rsidRDefault="00000000">
      <w:r>
        <w:t>In line with its 2022-2027 strategy, the Trust is seeking innovation and digital integration in order to enhance patient experience and health monitoring. Following this, the organisation is on the verge of introducing a wearable health device that will be used to measure heart rate, oxygen saturation and quality of sleep. The project helps the Trust move closer to home and empower patients to take charge of their health due to their abilities (SWBH, 2025).</w:t>
      </w:r>
    </w:p>
    <w:p w14:paraId="7640260B" w14:textId="77777777" w:rsidR="00F923C6" w:rsidRDefault="00F923C6"/>
    <w:p w14:paraId="1600764D" w14:textId="77777777" w:rsidR="00F923C6" w:rsidRDefault="00000000">
      <w:r>
        <w:t xml:space="preserve">The assigned project manager must make it a priority to involve the relevant internal and external stakeholders so that it will lead to a timely, safe, and successful product launch. The </w:t>
      </w:r>
      <w:r>
        <w:lastRenderedPageBreak/>
        <w:t>ability to successfully engage a stakeholder is an important part of managing the NHS complexity, alignment to organisational objectives, and providing a tangible health payoff (Freeman, 1984; Ashcroft, 2017).</w:t>
      </w:r>
    </w:p>
    <w:p w14:paraId="2AC716A8" w14:textId="77777777" w:rsidR="00F923C6" w:rsidRDefault="00F923C6"/>
    <w:p w14:paraId="32BCE4BA" w14:textId="77777777" w:rsidR="00F923C6" w:rsidRDefault="00F923C6">
      <w:pPr>
        <w:rPr>
          <w:b/>
          <w:bCs/>
          <w:sz w:val="26"/>
          <w:szCs w:val="26"/>
        </w:rPr>
      </w:pPr>
    </w:p>
    <w:p w14:paraId="139F882B" w14:textId="77777777" w:rsidR="00F923C6" w:rsidRDefault="00000000">
      <w:pPr>
        <w:rPr>
          <w:b/>
          <w:bCs/>
          <w:sz w:val="26"/>
          <w:szCs w:val="26"/>
        </w:rPr>
      </w:pPr>
      <w:r>
        <w:rPr>
          <w:b/>
          <w:bCs/>
          <w:sz w:val="26"/>
          <w:szCs w:val="26"/>
        </w:rPr>
        <w:t>2. Strategic Appraisal of the Trust</w:t>
      </w:r>
    </w:p>
    <w:p w14:paraId="6A378FDE" w14:textId="77777777" w:rsidR="00F923C6" w:rsidRDefault="00F923C6">
      <w:pPr>
        <w:rPr>
          <w:b/>
          <w:bCs/>
          <w:sz w:val="26"/>
          <w:szCs w:val="26"/>
        </w:rPr>
      </w:pPr>
    </w:p>
    <w:p w14:paraId="709724F7" w14:textId="77777777" w:rsidR="00F923C6" w:rsidRDefault="00000000">
      <w:pPr>
        <w:rPr>
          <w:b/>
          <w:bCs/>
        </w:rPr>
      </w:pPr>
      <w:r>
        <w:rPr>
          <w:b/>
          <w:bCs/>
        </w:rPr>
        <w:t>2.1 SWOT Analysis</w:t>
      </w:r>
    </w:p>
    <w:p w14:paraId="71721874" w14:textId="77777777" w:rsidR="00F923C6" w:rsidRDefault="00F923C6"/>
    <w:p w14:paraId="41211CBE" w14:textId="77777777" w:rsidR="00F923C6" w:rsidRDefault="00000000">
      <w:r>
        <w:t>To determine the strategic situation in which the wearable health device can be launched in the market, a SWOT analysis will be used to present a systematic examination of internal strengths and weaknesses of Sandwell and West Birmingham NHS Trust, together with the external environment.</w:t>
      </w:r>
    </w:p>
    <w:p w14:paraId="2E586F94" w14:textId="77777777" w:rsidR="00F923C6" w:rsidRDefault="00F923C6"/>
    <w:p w14:paraId="11BD5058" w14:textId="77777777" w:rsidR="00F923C6" w:rsidRDefault="00000000">
      <w:pPr>
        <w:rPr>
          <w:b/>
          <w:bCs/>
        </w:rPr>
      </w:pPr>
      <w:r>
        <w:rPr>
          <w:b/>
          <w:bCs/>
        </w:rPr>
        <w:t>Strengths</w:t>
      </w:r>
    </w:p>
    <w:p w14:paraId="26BFEFB3" w14:textId="77777777" w:rsidR="00F923C6" w:rsidRDefault="00F923C6"/>
    <w:p w14:paraId="2C5B748E" w14:textId="77777777" w:rsidR="00F923C6" w:rsidRDefault="00000000">
      <w:r>
        <w:t>The Trust has a contemporary infrastructure, including the Midland Metropolitan University Hospital (MMUH), which focuses on the acute services in a facility of state-of-the-art facility (Sandwell and West Birmingham NHS Trust, 2025). It has also adopted a single electronic patient record (Unity) in both hospital and community services and this has made care delivery integrated. Its Continuous Improvement System, which has been introduced with the collaboration of international professionals, gives it a powerful inner environment, culture of quality, learning, and informed decisions (SWBH, 2025).</w:t>
      </w:r>
    </w:p>
    <w:p w14:paraId="4B932CD9" w14:textId="77777777" w:rsidR="00F923C6" w:rsidRDefault="00F923C6"/>
    <w:p w14:paraId="682C62B0" w14:textId="77777777" w:rsidR="00F923C6" w:rsidRDefault="00000000">
      <w:pPr>
        <w:rPr>
          <w:b/>
          <w:bCs/>
        </w:rPr>
      </w:pPr>
      <w:r>
        <w:rPr>
          <w:b/>
          <w:bCs/>
        </w:rPr>
        <w:t>Weaknesses</w:t>
      </w:r>
    </w:p>
    <w:p w14:paraId="09D2DC52" w14:textId="77777777" w:rsidR="00F923C6" w:rsidRDefault="00F923C6"/>
    <w:p w14:paraId="795AFC38" w14:textId="77777777" w:rsidR="00F923C6" w:rsidRDefault="00000000">
      <w:r>
        <w:t>Nevertheless, the overall rating of the Care Quality Commission in the Trust is now Requires Improvement, which is combined with a score of 3 in the NHS Oversight Framework, which puts the Trust at the bottom level in the country (SWBH, 2025). The organisation has its staffing issues, such as the lack of free positions and the necessity of increased online opportunities on every level. All of these may hinder the pace and intensity of digital health innovations buy-in among stakeholders.</w:t>
      </w:r>
    </w:p>
    <w:p w14:paraId="328AE6A8" w14:textId="77777777" w:rsidR="00F923C6" w:rsidRDefault="00F923C6"/>
    <w:p w14:paraId="15BF8DAE" w14:textId="77777777" w:rsidR="00F923C6" w:rsidRDefault="00000000">
      <w:pPr>
        <w:rPr>
          <w:b/>
          <w:bCs/>
        </w:rPr>
      </w:pPr>
      <w:r>
        <w:rPr>
          <w:b/>
          <w:bCs/>
        </w:rPr>
        <w:t>Opportunities</w:t>
      </w:r>
    </w:p>
    <w:p w14:paraId="70AB0D19" w14:textId="77777777" w:rsidR="00F923C6" w:rsidRDefault="00F923C6"/>
    <w:p w14:paraId="6D225D75" w14:textId="77777777" w:rsidR="00F923C6" w:rsidRDefault="00000000">
      <w:r>
        <w:t>The wearable technology fits the “Community First” model of the Trust, which seeks to make the care shift out of the hospital and into the community. The anchor institution approach is supported by the launch through innovation to deal with broader determinants of health and digital inequalities in health (SWBH, 2025). Partnering with universities (e.g. Wolverhampton, Aston) and close connections with local councils increase the chances of cross-sector adoption and research relationships.</w:t>
      </w:r>
    </w:p>
    <w:p w14:paraId="5A684890" w14:textId="77777777" w:rsidR="00F923C6" w:rsidRDefault="00F923C6"/>
    <w:p w14:paraId="6DB4AE47" w14:textId="77777777" w:rsidR="00F923C6" w:rsidRDefault="00000000">
      <w:pPr>
        <w:rPr>
          <w:b/>
          <w:bCs/>
        </w:rPr>
      </w:pPr>
      <w:r>
        <w:rPr>
          <w:b/>
          <w:bCs/>
        </w:rPr>
        <w:t>Threats</w:t>
      </w:r>
    </w:p>
    <w:p w14:paraId="478EBE32" w14:textId="77777777" w:rsidR="00F923C6" w:rsidRDefault="00F923C6"/>
    <w:p w14:paraId="4A236D4A" w14:textId="77777777" w:rsidR="00F923C6" w:rsidRDefault="00000000">
      <w:r>
        <w:t xml:space="preserve">The Trust is working in a financially strained system as one of the thirteen Integrated Care Systems being examined nationally (NHS England, 2024). Also, there is a threat to continuity of care across intended services due to a national shortage of GPs and persistent </w:t>
      </w:r>
      <w:r>
        <w:lastRenderedPageBreak/>
        <w:t>pressure on the social care workforce (Darzi, 2023). Clinical staff may have their own resistance to embracing unknown technologies as well, which can only be overcome by clearly communicating their benefits and co-designing them with users (Ashcroft, 2017).</w:t>
      </w:r>
    </w:p>
    <w:p w14:paraId="4C2483A7" w14:textId="77777777" w:rsidR="00F923C6" w:rsidRDefault="00F923C6"/>
    <w:p w14:paraId="2FDB7A5B" w14:textId="77777777" w:rsidR="00F923C6" w:rsidRDefault="00000000">
      <w:pPr>
        <w:rPr>
          <w:b/>
          <w:bCs/>
        </w:rPr>
      </w:pPr>
      <w:r>
        <w:rPr>
          <w:b/>
          <w:bCs/>
        </w:rPr>
        <w:t>2.2 Strategic Alignment</w:t>
      </w:r>
    </w:p>
    <w:p w14:paraId="11F1C2FD" w14:textId="77777777" w:rsidR="00F923C6" w:rsidRDefault="00F923C6">
      <w:pPr>
        <w:rPr>
          <w:b/>
          <w:bCs/>
        </w:rPr>
      </w:pPr>
    </w:p>
    <w:p w14:paraId="02D213CB" w14:textId="77777777" w:rsidR="00F923C6" w:rsidRDefault="00000000">
      <w:r>
        <w:t>The wearable device project would help in sponsoring some of the strategic pillars of the Trust, which include:</w:t>
      </w:r>
    </w:p>
    <w:p w14:paraId="504E08D8" w14:textId="77777777" w:rsidR="00F923C6" w:rsidRDefault="00F923C6"/>
    <w:p w14:paraId="5CB625DA" w14:textId="77777777" w:rsidR="00F923C6" w:rsidRDefault="00000000">
      <w:pPr>
        <w:numPr>
          <w:ilvl w:val="0"/>
          <w:numId w:val="3"/>
        </w:numPr>
      </w:pPr>
      <w:r>
        <w:t>Operations technology (SWBH, 2025)</w:t>
      </w:r>
    </w:p>
    <w:p w14:paraId="52D715CE" w14:textId="77777777" w:rsidR="00F923C6" w:rsidRDefault="00F923C6"/>
    <w:p w14:paraId="206C521C" w14:textId="77777777" w:rsidR="00F923C6" w:rsidRDefault="00000000">
      <w:pPr>
        <w:numPr>
          <w:ilvl w:val="0"/>
          <w:numId w:val="1"/>
        </w:numPr>
      </w:pPr>
      <w:r>
        <w:t>Bringing care to the community through monitoring health.</w:t>
      </w:r>
    </w:p>
    <w:p w14:paraId="7696C094" w14:textId="77777777" w:rsidR="00F923C6" w:rsidRDefault="00F923C6"/>
    <w:p w14:paraId="1066E7C1" w14:textId="77777777" w:rsidR="00F923C6" w:rsidRDefault="00000000">
      <w:pPr>
        <w:numPr>
          <w:ilvl w:val="0"/>
          <w:numId w:val="2"/>
        </w:numPr>
      </w:pPr>
      <w:r>
        <w:t>Enhancing the productivity of the workforce through minimising redundant hospital visits.</w:t>
      </w:r>
    </w:p>
    <w:p w14:paraId="56D57F80" w14:textId="77777777" w:rsidR="00F923C6" w:rsidRDefault="00F923C6"/>
    <w:p w14:paraId="578927AB" w14:textId="77777777" w:rsidR="00F923C6" w:rsidRDefault="00000000">
      <w:r>
        <w:t>It will succeed in accordance with the degree of alignment of the device rollout with the Trust's strategic planning framework and its competence to engage with the stakeholders. Alignment helps to make the project aligned to the organisational values and measurable objectives (Bryson, 2018).</w:t>
      </w:r>
    </w:p>
    <w:p w14:paraId="43C3A09D" w14:textId="77777777" w:rsidR="00F923C6" w:rsidRDefault="00F923C6"/>
    <w:p w14:paraId="4B319B95" w14:textId="77777777" w:rsidR="00F923C6" w:rsidRDefault="00000000">
      <w:pPr>
        <w:rPr>
          <w:b/>
          <w:bCs/>
          <w:sz w:val="26"/>
          <w:szCs w:val="26"/>
        </w:rPr>
      </w:pPr>
      <w:r>
        <w:rPr>
          <w:b/>
          <w:bCs/>
          <w:sz w:val="26"/>
          <w:szCs w:val="26"/>
        </w:rPr>
        <w:t>3. Stakeholder Identification and Mapping</w:t>
      </w:r>
    </w:p>
    <w:p w14:paraId="492A77DF" w14:textId="77777777" w:rsidR="00F923C6" w:rsidRDefault="00F923C6">
      <w:pPr>
        <w:rPr>
          <w:b/>
          <w:bCs/>
          <w:sz w:val="26"/>
          <w:szCs w:val="26"/>
        </w:rPr>
      </w:pPr>
    </w:p>
    <w:p w14:paraId="7D45908E" w14:textId="77777777" w:rsidR="00F923C6" w:rsidRDefault="00000000">
      <w:r>
        <w:t>One of the basic processes to enjoy the successful implementation of the wearable health device project is stakeholder identification. In the case of Sandwell and West Birmingham NHS Trust, the integrated care system (ICS) is held within the organisational structure of the organisation and has a wider context in which the NHS functions, implying that the organisational structure and planning of at least one aspect need to be taken into account. Based on the stakeholder theory proposed by Freeman (1984) the stakeholder theory requires the project to consider the interests, influence and expectations of a broad base of actors to ensure resistance is avoided, trust is established and collaborative delivery can be made possible.</w:t>
      </w:r>
    </w:p>
    <w:p w14:paraId="70C7A306" w14:textId="77777777" w:rsidR="00F923C6" w:rsidRDefault="00F923C6"/>
    <w:p w14:paraId="35C61EBB" w14:textId="77777777" w:rsidR="00F923C6" w:rsidRDefault="00000000">
      <w:r>
        <w:t xml:space="preserve">The executive leadership of the Trust, clinical teams, digital transformation departments, research leads, and operational managers are the most outstanding stakeholders internally. The investment decision making authority is in the hands of the executive board and senior project governance groups which approve the allocation of resources and effective strategic alignment. There are clinical stakeholders, in particular, cardiologists, respiratory specialists, which is particularly applicable given the characteristics of the device, which measures essential physiological parameters. The extent of their collaboration will define the level of success in embedding the device into the care pathways. The IT and digital health departments of the Trust are also essential to collect the data of the wearable into the current electronic patient record (Unity) system, which is a fundamental aspect of the digital infrastructure of the Trust (Sandwell and West Birmingham NHS Trust, 2025). With the implementation, the innovation and research support the evidence-based implementation through the connection of the project to research, evaluation and academic collaboration. Training coordinators and the operational managers are also very important as they maintain </w:t>
      </w:r>
      <w:r>
        <w:lastRenderedPageBreak/>
        <w:t>that the deployment process is not delayed, adequately staffed and that the staff are properly trained.</w:t>
      </w:r>
    </w:p>
    <w:p w14:paraId="0C95C806" w14:textId="77777777" w:rsidR="00F923C6" w:rsidRDefault="00F923C6"/>
    <w:p w14:paraId="69274AB8" w14:textId="77777777" w:rsidR="00F923C6" w:rsidRDefault="00000000">
      <w:r>
        <w:t>On the outside, patients and carers are stakeholders and thus their experience will eventually be used to evaluate the usefulness and effect of the device. They should not be passively involved but play an active role in its design and co-design to make it usable, easy to access, and reliable. The partners of the Integrated Care System are under influence, too, both Black Country ICS and Birmingham and Solihull ICS, in their turn, which is especially important in terms of the project alignment with the digital health priorities and the priority of population health. The other external stakeholders are the device supplier, who has to guarantee reliability and regulatory compliance; health regulators, i.e. the Care Quality Commission (CQC) and the Medicines and Healthcare products Regulatory Agency (MHRA), which regulate the safety of the devices and their clinical governance; and local academic partners, i.e. Sandwell College and the University of Wolverhampton, who facilitate the workforce and digital literacy development.</w:t>
      </w:r>
    </w:p>
    <w:p w14:paraId="236A6C0F" w14:textId="77777777" w:rsidR="00F923C6" w:rsidRDefault="00F923C6"/>
    <w:p w14:paraId="44C02E8D" w14:textId="6C5BF739" w:rsidR="00F923C6" w:rsidRDefault="00000000">
      <w:r>
        <w:t xml:space="preserve">The project will use the stakeholder matrix of Mendelow </w:t>
      </w:r>
      <w:r w:rsidR="00224FC6">
        <w:t xml:space="preserve">(Appendix B) </w:t>
      </w:r>
      <w:r>
        <w:t>to chart the relationships of each actor in terms of their interests and power to handle all these varied relationships. This model helps the project team to place communication at the centre of the agenda, concentrate on the engagement, and deploy resources where they would make the most significant change (Johnson, Scholes and Whittington, 2017). Efficient stakeholder mapping can help avert risks and satisfy the ambition to provide integrated patient-centred innovation aligned with the 2022</w:t>
      </w:r>
      <w:r w:rsidR="00104E5C">
        <w:t>/</w:t>
      </w:r>
      <w:r>
        <w:t xml:space="preserve">2027 </w:t>
      </w:r>
      <w:r w:rsidR="00104E5C">
        <w:t>strategies</w:t>
      </w:r>
      <w:r>
        <w:t xml:space="preserve"> of the Trust (SWBH, 2025).</w:t>
      </w:r>
    </w:p>
    <w:p w14:paraId="1BC6AC6B" w14:textId="77777777" w:rsidR="00F923C6" w:rsidRDefault="00F923C6"/>
    <w:p w14:paraId="2FD14C81" w14:textId="77777777" w:rsidR="00F923C6" w:rsidRDefault="00F923C6"/>
    <w:p w14:paraId="0B70BD38" w14:textId="77777777" w:rsidR="00F923C6" w:rsidRDefault="00F923C6"/>
    <w:p w14:paraId="7F17C456" w14:textId="77777777" w:rsidR="00F923C6" w:rsidRDefault="00000000">
      <w:pPr>
        <w:rPr>
          <w:b/>
          <w:bCs/>
          <w:sz w:val="26"/>
          <w:szCs w:val="26"/>
        </w:rPr>
      </w:pPr>
      <w:r>
        <w:rPr>
          <w:b/>
          <w:bCs/>
          <w:sz w:val="26"/>
          <w:szCs w:val="26"/>
        </w:rPr>
        <w:t>4. Roles, Responsibilities, Benefits and Challenges</w:t>
      </w:r>
    </w:p>
    <w:p w14:paraId="4DD423E2" w14:textId="77777777" w:rsidR="00F923C6" w:rsidRDefault="00F923C6"/>
    <w:p w14:paraId="5E716CB1" w14:textId="77777777" w:rsidR="00F923C6" w:rsidRDefault="00F923C6"/>
    <w:p w14:paraId="4063A91A" w14:textId="7E3418D5" w:rsidR="00F923C6" w:rsidRDefault="00000000">
      <w:r>
        <w:t>Another aspect requiring important organisation of stakeholder roles and tasks that will lead to the successful completion of the wearable health device project at Sandwell and West Birmingham NHS Trust is its definition. The application of the principles of the RACI model</w:t>
      </w:r>
      <w:r w:rsidR="00A32805">
        <w:t xml:space="preserve"> (refer to Appendix A)</w:t>
      </w:r>
      <w:r>
        <w:t>, Responsible, Accountable, Consulted, and Informed, enables the project team to reveal who is in charge, who monitors, and who participates in each process of the initiative (Project Management Institute, 2021). Such transparency is much needed in the healthcare environment, as the distribution of roles and multi-level government may cause uncertainty and slowness.</w:t>
      </w:r>
    </w:p>
    <w:p w14:paraId="4A5B2C60" w14:textId="77777777" w:rsidR="00F923C6" w:rsidRDefault="00F923C6"/>
    <w:p w14:paraId="26C2483A" w14:textId="77777777" w:rsidR="00F923C6" w:rsidRDefault="00000000">
      <w:r>
        <w:t>The executive board of Trust has a general responsibility to the project in terms of ensuring its alignment with strategic objectives, governance standards, as well as financial planning. The project manager has operational responsibility where he is expected to spearhead day-to-day adoption, resource coordination, and act as a connecting point to the stakeholders. The key functions of the clinical leaders can be identified as assessing the safety, functionality, and incorporation of the device into the routes of handling heart health conditions, sleep disorders, and oxygen-related conditions. They are also necessary in the input of clinical protocols and in monitoring the impact.</w:t>
      </w:r>
    </w:p>
    <w:p w14:paraId="06599B63" w14:textId="77777777" w:rsidR="00F923C6" w:rsidRDefault="00F923C6"/>
    <w:p w14:paraId="36AACEED" w14:textId="77777777" w:rsidR="00F923C6" w:rsidRDefault="00000000">
      <w:r>
        <w:lastRenderedPageBreak/>
        <w:t>The IT teams and the digital transformation have the responsibility of ensuring that the wearable device will communicate effectively and safely with the currently in use Unity electronic patient record system. They play a technical and strategic role of that their interoperability is one of the conditions of scaling implementation. The innovation and research departments provide additional assistance by coming up with assessment plans which can quantify effectiveness, patient satisfaction and clinical outcome. In the meantime, staff training teams will have the role of providing the front-line staff with confidence and expertise to assist patients in utilising the device.</w:t>
      </w:r>
    </w:p>
    <w:p w14:paraId="51D12925" w14:textId="77777777" w:rsidR="00F923C6" w:rsidRDefault="00F923C6"/>
    <w:p w14:paraId="6024627B" w14:textId="77777777" w:rsidR="00F923C6" w:rsidRDefault="00000000">
      <w:r>
        <w:t>It equally plays important roles of external stakeholders. The technology provider has the duty of ensuring the device is supplied to specifications and will meet all the standards of NHS interoperability and cybersecurity. The consulted bodies during the project will be the Medicines and Healthcare products Regulatory Agency (MHRA) and the Care Quality Commission (CQC), whose guidance will fix the regulatory compliance and safety levels. The patients and carers are seen not as receivers of the innovation and are deemed to be co-producers, and are consulted during the initial testing, usability feedback, and broader experience.</w:t>
      </w:r>
    </w:p>
    <w:p w14:paraId="6EE2F40E" w14:textId="77777777" w:rsidR="00F923C6" w:rsidRDefault="00F923C6"/>
    <w:p w14:paraId="13B9A218" w14:textId="77777777" w:rsidR="00F923C6" w:rsidRDefault="00000000">
      <w:r>
        <w:t>All these stakeholders come with several advantages. The utilisation of evidence and patient safety is guaranteed by clinical stakeholders. The inclusion and the data protection are facilitated by digital teams. Academic partners would bring in an added research value and opportunities in knowledge dissemination. The patients would offer a sense of practicality to the usage of devices, which would guide the adjustment of the device to various requirements and populations. Nonetheless, the project has to be brought through tough times as well. One is the possible opposition of the clinical staff, specifically when the device is seen as an unnecessary burden or an under-tested device. Digital exclusion is also another difficulty since certain segments of the population, especially the older generation or the unconnected, will not be able to utilise or explain the device (Ashcroft, 2017). Also, the related issues of data security and privacy should be addressed at the earliest stage to create trust among patients and regulatory institutions.</w:t>
      </w:r>
    </w:p>
    <w:p w14:paraId="538C2080" w14:textId="77777777" w:rsidR="00F923C6" w:rsidRDefault="00F923C6"/>
    <w:p w14:paraId="41C7A7AA" w14:textId="77777777" w:rsidR="00F923C6" w:rsidRDefault="00000000">
      <w:r>
        <w:t>By effectively laying out the role of stakeholders using name models like RACF and having systematic control over the roles played by the stakeholders as well as their interests, the Trust has a high chance of a successful launch, and strengthening a culture of inclusive and transparent project implementation (Freeman, 1984; Mitchell, Agle and Wood, 1997).</w:t>
      </w:r>
    </w:p>
    <w:p w14:paraId="23780471" w14:textId="77777777" w:rsidR="00F923C6" w:rsidRDefault="00F923C6"/>
    <w:p w14:paraId="4E4F3B2A" w14:textId="77777777" w:rsidR="00F923C6" w:rsidRDefault="00F923C6"/>
    <w:p w14:paraId="509DAB79" w14:textId="77777777" w:rsidR="00F923C6" w:rsidRDefault="00000000">
      <w:pPr>
        <w:rPr>
          <w:b/>
          <w:bCs/>
          <w:sz w:val="26"/>
          <w:szCs w:val="26"/>
        </w:rPr>
      </w:pPr>
      <w:r>
        <w:rPr>
          <w:b/>
          <w:bCs/>
          <w:sz w:val="26"/>
          <w:szCs w:val="26"/>
        </w:rPr>
        <w:t>5. Stakeholder Engagement Frameworks</w:t>
      </w:r>
    </w:p>
    <w:p w14:paraId="4BC82C67" w14:textId="77777777" w:rsidR="00F923C6" w:rsidRDefault="00F923C6">
      <w:pPr>
        <w:rPr>
          <w:b/>
          <w:bCs/>
          <w:sz w:val="26"/>
          <w:szCs w:val="26"/>
        </w:rPr>
      </w:pPr>
    </w:p>
    <w:p w14:paraId="595C5763" w14:textId="77777777" w:rsidR="00F923C6" w:rsidRDefault="00000000">
      <w:r>
        <w:t>The implementation of the project with the wearable health device would be impossible without the identification of stakeholders as well as the implementation of structured frameworks that could be used to guide their engagement. The interaction between stakeholders in healthcare initiatives is complicated by nature since it has no other choice but to reconcile clinical imperatives, patient-centred care, and regulatory management. To deal with this complexity, the project embraces a number of tools, which are linked to each other: the stakeholder matrix, the engagement plan, the communication plan, and the RACI model.</w:t>
      </w:r>
    </w:p>
    <w:p w14:paraId="4691675A" w14:textId="77777777" w:rsidR="00F923C6" w:rsidRDefault="00F923C6"/>
    <w:p w14:paraId="35CC11CD" w14:textId="77777777" w:rsidR="00A32805" w:rsidRDefault="00000000">
      <w:r>
        <w:t xml:space="preserve">Stakeholders are categorised into the stakeholder matrix, which in turn is the Power–Interest Grid created by Mendelow and applies depending on the level of influence and interest they have in the project (Johnson, Scholes and Whittington, 2017). </w:t>
      </w:r>
    </w:p>
    <w:p w14:paraId="0F57D2AF" w14:textId="77777777" w:rsidR="00A32805" w:rsidRDefault="00A32805"/>
    <w:p w14:paraId="5336C13C" w14:textId="71898E1E" w:rsidR="00F923C6" w:rsidRDefault="00000000">
      <w:r>
        <w:t>In such a way, a targeted engagement strategy is possible. As an example, high-power, high-interest executive leaders and senior clinicians should be closely engaged in making major decisions. Stakeholders that have high power, yet low direct interest, on the other hand, do not need to be involved regularly, albeit updated on a regular basis on adherence to the rules and regulations that govern it. Patients and carers are the major stakeholders with great interest and low power, and they need to be consulted regularly to make sure the formulated solution is fit.</w:t>
      </w:r>
    </w:p>
    <w:p w14:paraId="769FF6F5" w14:textId="77777777" w:rsidR="00F923C6" w:rsidRDefault="00F923C6"/>
    <w:p w14:paraId="71D1FEE0" w14:textId="77777777" w:rsidR="00F923C6" w:rsidRDefault="00000000">
      <w:r>
        <w:t>The stakeholder engagement plan will indicate the way stakeholders will be engaged in every phase of the project life cycle. Basing the plan on the best practices in relationship marketing and project management, an approach is tiers-based where the timing, the approach, and the purpose of engaging each stakeholder group are defined (Christopher, Payne and Ballantyne, 2013). As an illustration, clinical teams can be included using official workshops when reviewing devices and designing clinical pathways, whereas patients can be included in focus groups and testing prototypes to guide usability and accessibility characteristics.</w:t>
      </w:r>
    </w:p>
    <w:p w14:paraId="202BCA8B" w14:textId="77777777" w:rsidR="00F923C6" w:rsidRDefault="00F923C6"/>
    <w:p w14:paraId="4B05F104" w14:textId="0FEC44AA" w:rsidR="00F923C6" w:rsidRDefault="00000000">
      <w:r>
        <w:t>To supplement this is the communication plan</w:t>
      </w:r>
      <w:r w:rsidR="00BA3C18">
        <w:t xml:space="preserve"> (refer to Appendix C)</w:t>
      </w:r>
      <w:r>
        <w:t>; this will act as a strategic guide to the sustenance of clear, consistent and proper communication among the stakeholder groups. The mechanisms that will be incorporated in the plan involve periodical team briefings, intranet updates, email reports, and patient leaflets. This is to be so as every stakeholder will be aware of the objectives of the project, its progress and the role that the contributions of the stakeholders play. There is evidence that resistance or delay of a project is a common occurrence in the NHS involved in NHS due to poor communication (Ellis, Gibbs and Rein,1991). This can be countered by taking initiative and making such messages structured and audience-based, thereby ensuring a decrease in engagement fatigue or misunderstanding.</w:t>
      </w:r>
    </w:p>
    <w:p w14:paraId="3DFBFAF9" w14:textId="77777777" w:rsidR="00F923C6" w:rsidRDefault="00F923C6"/>
    <w:p w14:paraId="06D7F81B" w14:textId="77777777" w:rsidR="00F923C6" w:rsidRDefault="00000000">
      <w:r>
        <w:t>The RACI framework will still have a cross-cutting role in the process of engagement. It elucidates the role of stakeholders at every stage of a project, i.e. procurement, configuration, piloting, rollout and evaluation. It is a guarantee that accountability, as well as communication flow, is not merely defined but, it is engraved into project governance routines.</w:t>
      </w:r>
    </w:p>
    <w:p w14:paraId="2655C886" w14:textId="77777777" w:rsidR="00F923C6" w:rsidRDefault="00F923C6"/>
    <w:p w14:paraId="43FA96AB" w14:textId="77777777" w:rsidR="00F923C6" w:rsidRDefault="00000000">
      <w:r>
        <w:t>Combined, these frameworks can provide a multi-dimensional stakeholder engagement. They enable the project manager to have an opportunity to shift the ad hoc consultation into a coordinated system that facilitates transparency, feedback and mutual commitment. The models also comply with the wider implementation of a culture of continuous improvement systems and the values of respect, compassion, and ambition that the Trust possesses (Sandwell and West Birmingham NHS Trust, 2025).</w:t>
      </w:r>
    </w:p>
    <w:p w14:paraId="7F72FDBA" w14:textId="77777777" w:rsidR="00F923C6" w:rsidRDefault="00F923C6"/>
    <w:p w14:paraId="797CC014" w14:textId="77777777" w:rsidR="00F923C6" w:rsidRDefault="00F923C6"/>
    <w:p w14:paraId="41E1B4AE" w14:textId="77777777" w:rsidR="00F923C6" w:rsidRDefault="00000000">
      <w:pPr>
        <w:rPr>
          <w:b/>
          <w:bCs/>
          <w:sz w:val="26"/>
          <w:szCs w:val="26"/>
        </w:rPr>
      </w:pPr>
      <w:r>
        <w:rPr>
          <w:b/>
          <w:bCs/>
          <w:sz w:val="26"/>
          <w:szCs w:val="26"/>
        </w:rPr>
        <w:lastRenderedPageBreak/>
        <w:t>6. Stakeholder Engagement Process and Conflict Management</w:t>
      </w:r>
    </w:p>
    <w:p w14:paraId="0ADD42F8" w14:textId="77777777" w:rsidR="00F923C6" w:rsidRDefault="00F923C6"/>
    <w:p w14:paraId="655EC9B5" w14:textId="77777777" w:rsidR="00F923C6" w:rsidRDefault="00000000">
      <w:r>
        <w:t>As the head of the implementation of a wearable health device at Sandwell and West Birmingham NHS Trust, a systematic stakeholder engagement process should be achieved to succeed in the project. Since the NHS is a multi-stakeholder, dynamic environment, the project manager must be a PMO role beyond coordinating tasks, including establishing non-discriminatory and trustworthy relations with internal and external partners. In this regard, the project uses the 4Cs model as the guiding principle, which includes Communication, Coordination, Cooperation, and Collaboration (Ellis, Gibbs and Rein, 1991).</w:t>
      </w:r>
    </w:p>
    <w:p w14:paraId="006D05A4" w14:textId="77777777" w:rsidR="00F923C6" w:rsidRDefault="00F923C6"/>
    <w:p w14:paraId="717E12BB" w14:textId="77777777" w:rsidR="00F923C6" w:rsidRDefault="00000000">
      <w:r>
        <w:t>Effective engagement is founded on the first principle, which is communication. Clarity and uniformity in message relay is a ways of ensuring that the stakeholders are on board with the project goals, schedules, and their participation. Communication in the Trust starts with frequent briefings to the executive board and senior leadership in order to keep the Trust on track. Structured meetings and feedback update clinical teams, whereas implementation plans and progress dashboards are provided to operational and digital teams. To patients and carers, the intervention is based on the concept of accessibility: plain language resources are used and patient leaflets are co-designed to enhance trust and digital literacy (Ashcroft, 2017). More importantly, communication is not a one-way process which is why feedback systems like workshops, focus groups, and suggestion channels enable the stakeholders to influence the direction of the project. Adequate two-way communication has been commonly listed among the most common root causes of disengagement in NHS technology projects, and hence this two-way traffic is a strategic necessity (Bryson, 2018).</w:t>
      </w:r>
    </w:p>
    <w:p w14:paraId="0CA18BF2" w14:textId="77777777" w:rsidR="00F923C6" w:rsidRDefault="00F923C6"/>
    <w:p w14:paraId="2C82733F" w14:textId="77777777" w:rsidR="00F923C6" w:rsidRDefault="00000000">
      <w:r>
        <w:t>The second element is coordination where tasks and responsibilities are aligned within the departments and groups of stakeholders. Where dependencies are there, coordination is especially relevant. As an example, without clinical validation and IT security clearance, the wearable device cannot become a part of the patient pathways. In this case, the RACI model, or the definition of Responsible, Accountable, Consulted, and Informed, represents a determining element to organise the decision-making and prevent any duplication and uncertainty (Project Management Institute, 2021). This form of coordination is most required in the context of the NHS, where redundant hierarchies have the potential to delay progress until addressed proactively.</w:t>
      </w:r>
    </w:p>
    <w:p w14:paraId="238BF16F" w14:textId="77777777" w:rsidR="00F923C6" w:rsidRDefault="00F923C6"/>
    <w:p w14:paraId="4AB9F5FB" w14:textId="77777777" w:rsidR="00F923C6" w:rsidRDefault="00000000">
      <w:r>
        <w:t>The third dimension, cooperation, goes in line with the willingness of the stakeholders to collaborate with one another, although they differ in priorities. Various teams within the Trust can be left with different objectives but the success of the project depends on a collective patient-centred innovation commitment. To develop collaboration, the project manager will create joint planning sessions in which employees will be able to voice their concerns and impact solutions. This is in line with the work of Freeman (1984,) pointing out that the motivation to cooperate is based on the acknowledgement of legitimate interests by the stakeholders and provision of the stakeholders with room to make substantial contributions. The most notable are the patients, who are not only end-users but also co-designers who contribute to the usability of the interface and practical access barriers.</w:t>
      </w:r>
    </w:p>
    <w:p w14:paraId="5B1E8309" w14:textId="77777777" w:rsidR="00F923C6" w:rsidRDefault="00F923C6"/>
    <w:p w14:paraId="3C95DCD7" w14:textId="77777777" w:rsidR="00F923C6" w:rsidRDefault="00000000">
      <w:r>
        <w:t xml:space="preserve">The last is the aspect of collaboration, which is more entrenchment of the groups of stakeholders. It also involves collaborative efforts with educational organisations like the </w:t>
      </w:r>
      <w:r>
        <w:lastRenderedPageBreak/>
        <w:t>University of Wolverhampton, which endorses the device testing in terms of research and partners in the Integrated Care System (ICS), which discusses the possibility of rolling out the device in the region. It is also applicable to collaborative working by local councils, whose community can be informed and included through the help of their public health team. In line with the strategy of the Trust, creating partnerships with local stakeholders is the most important way of providing community-first healthcare and focusing on broader determinants of health (Sandwell and West Birmingham NHS Trust, 2025).</w:t>
      </w:r>
    </w:p>
    <w:p w14:paraId="5C460583" w14:textId="77777777" w:rsidR="00F923C6" w:rsidRDefault="00F923C6"/>
    <w:p w14:paraId="054E5187" w14:textId="77777777" w:rsidR="00F923C6" w:rsidRDefault="00000000">
      <w:r>
        <w:t>A strong structure notwithstanding, stakeholder conflict is a possibility. Conflicts can emerge within departments on how to allocate resources, between the frontline employees and leadership on implementation schedules. Disagreement can also arise with those patients whose data privacy issues or whom they do not consider online. To contain this, there are conflict management strategies that are implemented to the process of engagement. The prevention involves stakeholder mapping early, the incorporation of structured feedback on the matter and risk reviews regularly. In cases of conflict, the interest-based negotiation will be used by the project manager to find common values and redirect the goals. It is also important to coordinate engagement with the Trust's ethics of ambition, respect, and compassion to effectively solve the dispute (SWBH, 2025).</w:t>
      </w:r>
    </w:p>
    <w:p w14:paraId="289A60D7" w14:textId="77777777" w:rsidR="00F923C6" w:rsidRDefault="00F923C6"/>
    <w:p w14:paraId="4581E5CE" w14:textId="77777777" w:rsidR="00F923C6" w:rsidRDefault="00000000">
      <w:r>
        <w:t>Finally, the stakeholder engagement cannot be viewed solely based on technical planning; continuous engagement in the process of relationship-building, open communication, and collective decision-making is necessary. With the help of such tools as RACI and conflict mediation processes, manipulated with the help of the 4Cs model, the Trust is well-informed to introduce the wearable device project in its efficient and inclusive way.</w:t>
      </w:r>
    </w:p>
    <w:p w14:paraId="2359F78A" w14:textId="77777777" w:rsidR="00F923C6" w:rsidRDefault="00F923C6"/>
    <w:p w14:paraId="4D7A2B98" w14:textId="77777777" w:rsidR="00F923C6" w:rsidRDefault="00F923C6"/>
    <w:p w14:paraId="62E7447A" w14:textId="77777777" w:rsidR="00F923C6" w:rsidRDefault="00000000">
      <w:pPr>
        <w:rPr>
          <w:b/>
          <w:bCs/>
          <w:sz w:val="26"/>
          <w:szCs w:val="26"/>
        </w:rPr>
      </w:pPr>
      <w:r>
        <w:rPr>
          <w:b/>
          <w:bCs/>
          <w:sz w:val="26"/>
          <w:szCs w:val="26"/>
        </w:rPr>
        <w:t>7. Evaluation and Recommendation</w:t>
      </w:r>
    </w:p>
    <w:p w14:paraId="5D3AE97D" w14:textId="77777777" w:rsidR="00F923C6" w:rsidRDefault="00F923C6">
      <w:pPr>
        <w:rPr>
          <w:b/>
          <w:bCs/>
          <w:sz w:val="26"/>
          <w:szCs w:val="26"/>
        </w:rPr>
      </w:pPr>
    </w:p>
    <w:p w14:paraId="381C5333" w14:textId="77777777" w:rsidR="00F923C6" w:rsidRDefault="00000000">
      <w:pPr>
        <w:rPr>
          <w:b/>
          <w:bCs/>
        </w:rPr>
      </w:pPr>
      <w:r>
        <w:rPr>
          <w:b/>
          <w:bCs/>
        </w:rPr>
        <w:t>7.1 Stakeholder Engagement Impact Evaluation</w:t>
      </w:r>
    </w:p>
    <w:p w14:paraId="31B0AFDC" w14:textId="77777777" w:rsidR="00F923C6" w:rsidRDefault="00F923C6"/>
    <w:p w14:paraId="625746B6" w14:textId="69473F54" w:rsidR="00F923C6" w:rsidRDefault="00000000">
      <w:r>
        <w:t xml:space="preserve">The effectiveness of stakeholder involvement in the wearable health device project could be measured in terms of its organisational performance, collaboration with the staff, patient satisfaction, and strategic alignment. The Sandwell and West Birmingham NHS Trust not only acknowledge that stakeholder engagement is an administrative mandate, but also an important tool in the implementation of its strategic objective of providing an integrated and patient-based care </w:t>
      </w:r>
      <w:r w:rsidR="00104E5C">
        <w:t>(Sandwell</w:t>
      </w:r>
      <w:r>
        <w:t xml:space="preserve"> and West Birmingham NHS Trust, 2025).</w:t>
      </w:r>
    </w:p>
    <w:p w14:paraId="4940B25F" w14:textId="77777777" w:rsidR="00F923C6" w:rsidRDefault="00F923C6"/>
    <w:p w14:paraId="5207C2D3" w14:textId="77777777" w:rsidR="00F923C6" w:rsidRDefault="00000000">
      <w:r>
        <w:t>The quality and speed of implementation is seen as the most direct effect of successful stakeholder involvement. Engaging clinical teams at the initial design phases of the device enhances the chances of a smooth uptake in the care pathways and improvement in clinical ownership. This will minimise delays, increase compliance with safety and make sure that the device addresses the real needs of patients. Implicated clinicians will also find it easier to be champions in their teams to enhance adoption and minimise resistance (Ashcroft, 2017). Similarly, including IT and digital stakeholders can detect the barriers to integration early and will avoid them in the rollout effectively, which helps to make the technical deployment more efficient.</w:t>
      </w:r>
    </w:p>
    <w:p w14:paraId="0EC9EA1A" w14:textId="77777777" w:rsidR="00F923C6" w:rsidRDefault="00F923C6"/>
    <w:p w14:paraId="7326ABED" w14:textId="77777777" w:rsidR="00F923C6" w:rsidRDefault="00000000">
      <w:r>
        <w:lastRenderedPageBreak/>
        <w:t>On a patient level, the stakeholder engagement will give rise to greater satisfaction, usability, and uptake. Cosigning products with patients, such as different groups of people who experience digital inequality, allows making sure that the device is accessible, inclusive, and purposeful. Studies indicate that health innovations have high chances to be successful in practice when patients are regarded not as very passive receivers but as active partners (Freeman, 1984). As an illustration, the consultation with patients speaking non-European languages or the elderly can result in simple yet necessary modifications, such as the translation features or visual prompts.</w:t>
      </w:r>
    </w:p>
    <w:p w14:paraId="2D9EA40D" w14:textId="77777777" w:rsidR="00F923C6" w:rsidRDefault="00F923C6"/>
    <w:p w14:paraId="3A08516D" w14:textId="77777777" w:rsidR="00F923C6" w:rsidRDefault="00000000">
      <w:r>
        <w:t>Strategically, engagements enhance trust in alliances. This partnership with external partners, like academic institutions and Integrated Care System (ICS) collaborators, would make the device serve the bigger health objectives in the population and align into the community-first model used by the Trust. This correspondence endorses higher CQC grades, better results under the NHS Oversight Framework, and better views of the visibility of leadership (SWBH, 2025).</w:t>
      </w:r>
    </w:p>
    <w:p w14:paraId="6C28A01B" w14:textId="77777777" w:rsidR="00F923C6" w:rsidRDefault="00F923C6"/>
    <w:p w14:paraId="6D932005" w14:textId="77777777" w:rsidR="00F923C6" w:rsidRDefault="00000000">
      <w:r>
        <w:t>Reduced project delays, higher staff engagement scores, and more patient-reported experience measures (PREMs) are all measures of successful engagement. In addition, long-term stakeholder engagement also facilitates a very engaged feedback-driven environment, which assists the Trust to maintain continuous improvement towards the aim of becoming the most integrated care organisation in the NHS.</w:t>
      </w:r>
    </w:p>
    <w:p w14:paraId="40405587" w14:textId="77777777" w:rsidR="00F923C6" w:rsidRDefault="00F923C6"/>
    <w:p w14:paraId="7F1E03AA" w14:textId="77777777" w:rsidR="00F923C6" w:rsidRDefault="00000000">
      <w:pPr>
        <w:rPr>
          <w:b/>
          <w:bCs/>
        </w:rPr>
      </w:pPr>
      <w:r>
        <w:rPr>
          <w:b/>
          <w:bCs/>
        </w:rPr>
        <w:t>7.2 Future Engagement recommendations</w:t>
      </w:r>
    </w:p>
    <w:p w14:paraId="3D7F98FA" w14:textId="77777777" w:rsidR="00F923C6" w:rsidRDefault="00F923C6"/>
    <w:p w14:paraId="631C9159" w14:textId="77777777" w:rsidR="00F923C6" w:rsidRDefault="00000000">
      <w:r>
        <w:t>The recommendations that may arise post the above evaluation are to further the stakeholder engagement efforts in this and other similar digital health initiatives. These suggestions aim at empowering inclusivity, accountability and alignment to strategic objectives.</w:t>
      </w:r>
    </w:p>
    <w:p w14:paraId="5A00FE10" w14:textId="77777777" w:rsidR="00F923C6" w:rsidRDefault="00F923C6"/>
    <w:p w14:paraId="731F99E1" w14:textId="77777777" w:rsidR="00F923C6" w:rsidRDefault="00000000">
      <w:r>
        <w:t>To begin with, the Trust needs to institutionalise co-design as a governance process in the project. Although the concept of consultation is already adopted, a more organised form e.g. a standing Patient and Public Involvement (PPI) panel of digital innovations, would ensure that the feedback of service users is not only systematic but also systematic. Ashcroft (2017) maintains that organisations that incorporate the relationship management practices tend to create more long-term value out of the engagement because the stakeholders feel included with the organisations all the time and not only at specific moments.</w:t>
      </w:r>
    </w:p>
    <w:p w14:paraId="1E5F466D" w14:textId="77777777" w:rsidR="00F923C6" w:rsidRDefault="00F923C6"/>
    <w:p w14:paraId="481D7679" w14:textId="77777777" w:rsidR="00F923C6" w:rsidRDefault="00000000">
      <w:r>
        <w:t>Second, the feedback loop applications to stakeholders must be computerised and included in the system of the Unity electronic patient record. Inclusion of a form of evaluation, a gauge of satisfaction or even real-time usage analytics of the wearable device can facilitate data-driven iteration. This strategy is in line with the Trust's digital ambition to develop a process that is less complex in communication and more productive (SWBH, 2025).</w:t>
      </w:r>
    </w:p>
    <w:p w14:paraId="2D56E69C" w14:textId="77777777" w:rsidR="00F923C6" w:rsidRDefault="00F923C6"/>
    <w:p w14:paraId="79D9C2AA" w14:textId="77777777" w:rsidR="00F923C6" w:rsidRDefault="00000000">
      <w:r>
        <w:t xml:space="preserve">Third, more culturally sensitive engagement strategies should be used. Despite the fact that the values of the Trust, such as compassion and respect, have been operationalised, there is a possibility to go further with that by providing marginalised groups with a more tailored communication and training, especially those facing language, mobility, and digital access barriers. As Freeman (1984) points out, there must be continuous reconsideration of </w:t>
      </w:r>
      <w:r>
        <w:lastRenderedPageBreak/>
        <w:t>relationships with stakeholders when it comes to serving populations that might be underrepresented by conventional healthcare planning.</w:t>
      </w:r>
    </w:p>
    <w:p w14:paraId="320DE55A" w14:textId="77777777" w:rsidR="00F923C6" w:rsidRDefault="00F923C6"/>
    <w:p w14:paraId="5A246F42" w14:textId="77777777" w:rsidR="00F923C6" w:rsidRDefault="00000000">
      <w:r>
        <w:t>Fourth, it is necessary to educate stakeholders continuously. This is supposed to be not limited to the project life cycle, as there should be frequent workshops and sessions of learning not only to the internal staff but also to the community partners. As an illustration, anxiety and being misled about the device may be decreased through a summary of cybersecurity, data privacy, or remote care morality. Conscientious stakeholders cannot just be more assured; they tend to own innovations and promote even more of them in the future.</w:t>
      </w:r>
    </w:p>
    <w:p w14:paraId="42CD0E58" w14:textId="77777777" w:rsidR="00F923C6" w:rsidRDefault="00F923C6"/>
    <w:p w14:paraId="4FAC17DD" w14:textId="77777777" w:rsidR="00F923C6" w:rsidRDefault="00000000">
      <w:r>
        <w:t>Finally, the Trust ought to develop a central stakeholder engagement dashboard to monitor the main performance indicators in terms of engagement session attendance, feedback satisfaction rates, resolved concerns and diversity of stakeholder response. Any of these indicators can subsequently be tracked as time goes on in the evaluation of whether the stakeholder engagement practices are changing according to the strategic commitments of the Trust.</w:t>
      </w:r>
    </w:p>
    <w:p w14:paraId="181C6795" w14:textId="77777777" w:rsidR="00F923C6" w:rsidRDefault="00F923C6"/>
    <w:p w14:paraId="14BE80FE" w14:textId="77777777" w:rsidR="00F923C6" w:rsidRDefault="00000000">
      <w:r>
        <w:t>Overall, these recommendations will help to change the stakeholder engagement as a reactive process to an interconnected system of engagement, reflection, and enhancement. Such a practice not only increases the success of the project, but also increases trust within the ecosystem of the Trust, eventually leading to more citizens with better life opportunities and health outcomes.</w:t>
      </w:r>
    </w:p>
    <w:p w14:paraId="6B675D26" w14:textId="77777777" w:rsidR="00F923C6" w:rsidRDefault="00F923C6"/>
    <w:p w14:paraId="776D6294" w14:textId="77777777" w:rsidR="00F923C6" w:rsidRDefault="00F923C6"/>
    <w:p w14:paraId="3A6BB7A2" w14:textId="77777777" w:rsidR="00F923C6" w:rsidRDefault="00000000">
      <w:pPr>
        <w:rPr>
          <w:b/>
          <w:bCs/>
          <w:sz w:val="26"/>
          <w:szCs w:val="26"/>
        </w:rPr>
      </w:pPr>
      <w:r>
        <w:rPr>
          <w:b/>
          <w:bCs/>
          <w:sz w:val="26"/>
          <w:szCs w:val="26"/>
        </w:rPr>
        <w:t>8.Conclusion</w:t>
      </w:r>
    </w:p>
    <w:p w14:paraId="5170A308" w14:textId="77777777" w:rsidR="00F923C6" w:rsidRDefault="00F923C6"/>
    <w:p w14:paraId="692B5A4C" w14:textId="77777777" w:rsidR="00F923C6" w:rsidRDefault="00000000">
      <w:r>
        <w:t>The stakeholder engagement has played a significant role in the welfare of the wearable health device project at the Sandwell and West Birmingham NHS Trust. As shown in this report, systematic involvement enables alignment of strategies, leads to better patient outcomes, and elevates the teamwork of staff. The stakeholder matrix, RACI framework, and the 4Cs approach models allowed having clear roles, active communication, and shared ownership.</w:t>
      </w:r>
    </w:p>
    <w:p w14:paraId="3F340122" w14:textId="77777777" w:rsidR="00F923C6" w:rsidRDefault="00F923C6"/>
    <w:p w14:paraId="491C41EE" w14:textId="77777777" w:rsidR="00F923C6" w:rsidRDefault="00000000">
      <w:r>
        <w:t>Stakeholders, both within clinical teams and to patients and external partners, played a positive role in the design and delivery of the project. Their participation also made sure that the device is in sync with the clinical requirements as well as the expectations of the users, and risks of resistance or exclusion were minimised. The wider priorities of the Trust, integrated care and digital innovation were also supported by engagement (Sandwell and West Birmingham NHS Trust, 2025).</w:t>
      </w:r>
    </w:p>
    <w:p w14:paraId="5C1A135D" w14:textId="77777777" w:rsidR="00F923C6" w:rsidRDefault="00F923C6"/>
    <w:p w14:paraId="6F65B0B2" w14:textId="77777777" w:rsidR="00F923C6" w:rsidRDefault="00000000">
      <w:r>
        <w:t>Problems like conflict and digital inequality were also accepted, but practical solutions to these issues overcame them through proactive approaches rather than negative expressions, such as co-design and feedback loops. To conclude, stakeholder involvement must continue to be one of the primary strengths of new projects to achieve improved outcomes in the lives of patients, employees, and the health care system in general.</w:t>
      </w:r>
    </w:p>
    <w:p w14:paraId="2B389BAB" w14:textId="77777777" w:rsidR="00F923C6" w:rsidRDefault="00F923C6"/>
    <w:p w14:paraId="35B8C477" w14:textId="77777777" w:rsidR="00F923C6" w:rsidRDefault="00F923C6"/>
    <w:p w14:paraId="0C55DECD" w14:textId="77777777" w:rsidR="00F923C6" w:rsidRDefault="00F923C6"/>
    <w:p w14:paraId="55512295" w14:textId="77777777" w:rsidR="00F923C6" w:rsidRDefault="00F923C6"/>
    <w:p w14:paraId="24A88C3E" w14:textId="77777777" w:rsidR="00F923C6" w:rsidRDefault="00000000">
      <w:pPr>
        <w:rPr>
          <w:b/>
          <w:bCs/>
        </w:rPr>
      </w:pPr>
      <w:r>
        <w:rPr>
          <w:b/>
          <w:bCs/>
        </w:rPr>
        <w:t>References</w:t>
      </w:r>
    </w:p>
    <w:p w14:paraId="7118DF64" w14:textId="77777777" w:rsidR="00F923C6" w:rsidRDefault="00F923C6"/>
    <w:p w14:paraId="623EFA5C" w14:textId="77777777" w:rsidR="00F923C6" w:rsidRDefault="00000000" w:rsidP="00A32805">
      <w:pPr>
        <w:pStyle w:val="ListParagraph"/>
        <w:numPr>
          <w:ilvl w:val="0"/>
          <w:numId w:val="4"/>
        </w:numPr>
        <w:spacing w:before="240" w:after="240"/>
      </w:pPr>
      <w:r>
        <w:t xml:space="preserve">Ashcroft, J. (2017) </w:t>
      </w:r>
      <w:r w:rsidRPr="00A32805">
        <w:rPr>
          <w:i/>
          <w:iCs/>
        </w:rPr>
        <w:t>The relational lens: understanding, measuring, and managing stakeholder relationships</w:t>
      </w:r>
      <w:r>
        <w:t>. Cambridge: Cambridge University Press.</w:t>
      </w:r>
    </w:p>
    <w:p w14:paraId="25177F27" w14:textId="77777777" w:rsidR="00F923C6" w:rsidRDefault="00000000" w:rsidP="00A32805">
      <w:pPr>
        <w:pStyle w:val="ListParagraph"/>
        <w:numPr>
          <w:ilvl w:val="0"/>
          <w:numId w:val="4"/>
        </w:numPr>
        <w:spacing w:before="240" w:after="240"/>
      </w:pPr>
      <w:r>
        <w:t xml:space="preserve">Bryson, J. M. (2018) </w:t>
      </w:r>
      <w:r w:rsidRPr="00A32805">
        <w:rPr>
          <w:i/>
          <w:iCs/>
        </w:rPr>
        <w:t>Strategic planning for public and nonprofit organizations: A guide to strengthening and sustaining organizational achievement</w:t>
      </w:r>
      <w:r>
        <w:t>. 5th edn. Hoboken, NJ: Wiley.</w:t>
      </w:r>
    </w:p>
    <w:p w14:paraId="1175CBF2" w14:textId="77777777" w:rsidR="00F923C6" w:rsidRDefault="00000000" w:rsidP="00A32805">
      <w:pPr>
        <w:pStyle w:val="ListParagraph"/>
        <w:numPr>
          <w:ilvl w:val="0"/>
          <w:numId w:val="4"/>
        </w:numPr>
        <w:spacing w:before="240" w:after="240"/>
      </w:pPr>
      <w:r>
        <w:t xml:space="preserve">Christopher, M., Payne, A. and Ballantyne, D. (2013) </w:t>
      </w:r>
      <w:r w:rsidRPr="00A32805">
        <w:rPr>
          <w:i/>
          <w:iCs/>
        </w:rPr>
        <w:t>Relationship marketing: Creating stakeholder value</w:t>
      </w:r>
      <w:r>
        <w:t>. Abingdon: Routledge.</w:t>
      </w:r>
    </w:p>
    <w:p w14:paraId="6F1DAF0B" w14:textId="77777777" w:rsidR="00F923C6" w:rsidRDefault="00000000" w:rsidP="00A32805">
      <w:pPr>
        <w:pStyle w:val="ListParagraph"/>
        <w:numPr>
          <w:ilvl w:val="0"/>
          <w:numId w:val="4"/>
        </w:numPr>
        <w:spacing w:before="240" w:after="240"/>
      </w:pPr>
      <w:r>
        <w:t xml:space="preserve">Darzi, A. (2023) </w:t>
      </w:r>
      <w:r w:rsidRPr="00A32805">
        <w:rPr>
          <w:i/>
          <w:iCs/>
        </w:rPr>
        <w:t>Independent Review of NHS Strategy: A Vision for Future Care</w:t>
      </w:r>
      <w:r>
        <w:t>. London: NHS England.</w:t>
      </w:r>
    </w:p>
    <w:p w14:paraId="60D138AC" w14:textId="77777777" w:rsidR="00F923C6" w:rsidRDefault="00000000" w:rsidP="00A32805">
      <w:pPr>
        <w:pStyle w:val="ListParagraph"/>
        <w:numPr>
          <w:ilvl w:val="0"/>
          <w:numId w:val="4"/>
        </w:numPr>
        <w:spacing w:before="240" w:after="240"/>
      </w:pPr>
      <w:r>
        <w:t xml:space="preserve">Ellis, C. A., Gibbs, S. J. and Rein, G. L. (1991) ‘Groupware: Some issues and experiences’, </w:t>
      </w:r>
      <w:r w:rsidRPr="00A32805">
        <w:rPr>
          <w:i/>
          <w:iCs/>
        </w:rPr>
        <w:t>Communications of the ACM</w:t>
      </w:r>
      <w:r>
        <w:t>, 34(1), pp. 38–58. doi:10.1145/99977.99987.</w:t>
      </w:r>
    </w:p>
    <w:p w14:paraId="55780C1A" w14:textId="77777777" w:rsidR="00F923C6" w:rsidRDefault="00000000" w:rsidP="00A32805">
      <w:pPr>
        <w:pStyle w:val="ListParagraph"/>
        <w:numPr>
          <w:ilvl w:val="0"/>
          <w:numId w:val="4"/>
        </w:numPr>
        <w:spacing w:before="240" w:after="240"/>
      </w:pPr>
      <w:r>
        <w:t xml:space="preserve">Freeman, R. E. (1984) </w:t>
      </w:r>
      <w:r w:rsidRPr="00A32805">
        <w:rPr>
          <w:i/>
          <w:iCs/>
        </w:rPr>
        <w:t>Strategic management: A stakeholder approach</w:t>
      </w:r>
      <w:r>
        <w:t>. Boston: Pitman.</w:t>
      </w:r>
    </w:p>
    <w:p w14:paraId="797537AE" w14:textId="77777777" w:rsidR="00F923C6" w:rsidRDefault="00000000" w:rsidP="00A32805">
      <w:pPr>
        <w:pStyle w:val="ListParagraph"/>
        <w:numPr>
          <w:ilvl w:val="0"/>
          <w:numId w:val="4"/>
        </w:numPr>
        <w:spacing w:before="240" w:after="240"/>
      </w:pPr>
      <w:r>
        <w:t xml:space="preserve">Johnson, G., Scholes, K. and Whittington, R. (2017) </w:t>
      </w:r>
      <w:r w:rsidRPr="00A32805">
        <w:rPr>
          <w:i/>
          <w:iCs/>
        </w:rPr>
        <w:t>Exploring strategy: Text and cases</w:t>
      </w:r>
      <w:r>
        <w:t>. 11th edn. Harlow: Pearson Education.</w:t>
      </w:r>
    </w:p>
    <w:p w14:paraId="20E6002E" w14:textId="77777777" w:rsidR="00F923C6" w:rsidRDefault="00000000" w:rsidP="00A32805">
      <w:pPr>
        <w:pStyle w:val="ListParagraph"/>
        <w:numPr>
          <w:ilvl w:val="0"/>
          <w:numId w:val="4"/>
        </w:numPr>
        <w:spacing w:before="240" w:after="240"/>
      </w:pPr>
      <w:r>
        <w:t xml:space="preserve">Mitchell, R. K., Agle, B. R. and Wood, D. J. (1997) ‘Toward a theory of stakeholder identification and salience: Defining the principle of who and what really counts’, </w:t>
      </w:r>
      <w:r w:rsidRPr="00A32805">
        <w:rPr>
          <w:i/>
          <w:iCs/>
        </w:rPr>
        <w:t>Academy of Management Review</w:t>
      </w:r>
      <w:r>
        <w:t>, 22(4), pp. 853–886. doi:10.5465/amr.1997.9711022105.</w:t>
      </w:r>
    </w:p>
    <w:p w14:paraId="32A1A2D4" w14:textId="77777777" w:rsidR="00F923C6" w:rsidRDefault="00000000" w:rsidP="00A32805">
      <w:pPr>
        <w:pStyle w:val="ListParagraph"/>
        <w:numPr>
          <w:ilvl w:val="0"/>
          <w:numId w:val="4"/>
        </w:numPr>
        <w:spacing w:before="240" w:after="240"/>
      </w:pPr>
      <w:r>
        <w:t xml:space="preserve">NHS England (2024) </w:t>
      </w:r>
      <w:r w:rsidRPr="00A32805">
        <w:rPr>
          <w:i/>
          <w:iCs/>
        </w:rPr>
        <w:t>Integrated Care Systems: National Oversight Report 2024</w:t>
      </w:r>
      <w:r>
        <w:t>. London: NHS England. Available at: [insert link if used] (Accessed: 12 November 2025).</w:t>
      </w:r>
    </w:p>
    <w:p w14:paraId="7DF068BE" w14:textId="77777777" w:rsidR="00F923C6" w:rsidRDefault="00000000" w:rsidP="00A32805">
      <w:pPr>
        <w:pStyle w:val="ListParagraph"/>
        <w:numPr>
          <w:ilvl w:val="0"/>
          <w:numId w:val="4"/>
        </w:numPr>
        <w:spacing w:before="240" w:after="240"/>
      </w:pPr>
      <w:r>
        <w:t xml:space="preserve">Project Management Institute (PMI) (2021) </w:t>
      </w:r>
      <w:r w:rsidRPr="00A32805">
        <w:rPr>
          <w:i/>
          <w:iCs/>
        </w:rPr>
        <w:t>A guide to the project management body of knowledge (PMBOK® guide)</w:t>
      </w:r>
      <w:r>
        <w:t>. 7th edn. Newtown Square, PA: Project Management Institute.</w:t>
      </w:r>
    </w:p>
    <w:p w14:paraId="0AEF370A" w14:textId="77777777" w:rsidR="00F923C6" w:rsidRDefault="00000000" w:rsidP="00A32805">
      <w:pPr>
        <w:pStyle w:val="ListParagraph"/>
        <w:numPr>
          <w:ilvl w:val="0"/>
          <w:numId w:val="4"/>
        </w:numPr>
        <w:spacing w:before="240" w:after="240"/>
      </w:pPr>
      <w:r>
        <w:t xml:space="preserve">Sandwell and West Birmingham NHS Trust (2025) </w:t>
      </w:r>
      <w:r w:rsidRPr="00A32805">
        <w:rPr>
          <w:i/>
          <w:iCs/>
        </w:rPr>
        <w:t>Our Trust Strategy 2022–2027</w:t>
      </w:r>
      <w:r>
        <w:t>. [PDF] Internal document. Provided by user. Accessed: 11 November 2025.</w:t>
      </w:r>
    </w:p>
    <w:p w14:paraId="51B0B0EC" w14:textId="1ED141FC" w:rsidR="00224FC6" w:rsidRDefault="00224FC6" w:rsidP="00A32805">
      <w:pPr>
        <w:pStyle w:val="ListParagraph"/>
        <w:numPr>
          <w:ilvl w:val="0"/>
          <w:numId w:val="4"/>
        </w:numPr>
        <w:spacing w:before="240" w:after="240"/>
      </w:pPr>
      <w:r w:rsidRPr="00224FC6">
        <w:t>POLICY, S., 2022. SANDWELL &amp; WEST BIRMINGHAM NHS TRUST PROVIDER. </w:t>
      </w:r>
      <w:r w:rsidRPr="00224FC6">
        <w:rPr>
          <w:i/>
          <w:iCs/>
        </w:rPr>
        <w:t>POLICY</w:t>
      </w:r>
      <w:r w:rsidRPr="00224FC6">
        <w:t>.</w:t>
      </w:r>
    </w:p>
    <w:p w14:paraId="645DBA6F" w14:textId="1C91C527" w:rsidR="00224FC6" w:rsidRDefault="00224FC6" w:rsidP="00A32805">
      <w:pPr>
        <w:pStyle w:val="ListParagraph"/>
        <w:numPr>
          <w:ilvl w:val="0"/>
          <w:numId w:val="4"/>
        </w:numPr>
        <w:spacing w:before="240" w:after="240"/>
      </w:pPr>
      <w:r w:rsidRPr="00224FC6">
        <w:t>Bliss, E. and Naqvi, H., 2022. The evaluation of a period of extended shadowing for foundation year one doctors at induction and mentorship schemes at Sandwell and West Birmingham NHS Trust. </w:t>
      </w:r>
      <w:r w:rsidRPr="00224FC6">
        <w:rPr>
          <w:i/>
          <w:iCs/>
        </w:rPr>
        <w:t>Future Healthcare Journal</w:t>
      </w:r>
      <w:r w:rsidRPr="00224FC6">
        <w:t>, </w:t>
      </w:r>
      <w:r w:rsidRPr="00224FC6">
        <w:rPr>
          <w:i/>
          <w:iCs/>
        </w:rPr>
        <w:t>9</w:t>
      </w:r>
      <w:r w:rsidRPr="00224FC6">
        <w:t>(Suppl 2), p.58.</w:t>
      </w:r>
    </w:p>
    <w:p w14:paraId="45D58983" w14:textId="789370DF" w:rsidR="00224FC6" w:rsidRDefault="00224FC6" w:rsidP="00A32805">
      <w:pPr>
        <w:pStyle w:val="ListParagraph"/>
        <w:numPr>
          <w:ilvl w:val="0"/>
          <w:numId w:val="4"/>
        </w:numPr>
        <w:spacing w:before="240" w:after="240"/>
      </w:pPr>
      <w:r w:rsidRPr="00224FC6">
        <w:t>Shah, W., Newham, R., Casey, C. and Burgess, R., 2024. Clinical characteristics and variation in musculoskeletal complexity of different ethnic populations accessing Sandwell and West Birmingham Hospital's MSK Service: a service evaluation. </w:t>
      </w:r>
      <w:r w:rsidRPr="00224FC6">
        <w:rPr>
          <w:i/>
          <w:iCs/>
        </w:rPr>
        <w:t>Musculoskeletal care</w:t>
      </w:r>
      <w:r w:rsidRPr="00224FC6">
        <w:t>, </w:t>
      </w:r>
      <w:r w:rsidRPr="00224FC6">
        <w:rPr>
          <w:i/>
          <w:iCs/>
        </w:rPr>
        <w:t>22</w:t>
      </w:r>
      <w:r w:rsidRPr="00224FC6">
        <w:t>(4), p.e70012.</w:t>
      </w:r>
    </w:p>
    <w:p w14:paraId="4388EE0E" w14:textId="4E3CF6BB" w:rsidR="00224FC6" w:rsidRDefault="00224FC6" w:rsidP="00A32805">
      <w:pPr>
        <w:pStyle w:val="ListParagraph"/>
        <w:numPr>
          <w:ilvl w:val="0"/>
          <w:numId w:val="4"/>
        </w:numPr>
        <w:spacing w:before="240" w:after="240"/>
      </w:pPr>
      <w:r w:rsidRPr="00224FC6">
        <w:t>Naqvi, H. and Blaber, M., 2023. 6 Embedding wellbeing support in foundation induction.</w:t>
      </w:r>
    </w:p>
    <w:p w14:paraId="2664889F" w14:textId="5197D9F8" w:rsidR="00224FC6" w:rsidRDefault="00224FC6" w:rsidP="00A32805">
      <w:pPr>
        <w:pStyle w:val="ListParagraph"/>
        <w:numPr>
          <w:ilvl w:val="0"/>
          <w:numId w:val="4"/>
        </w:numPr>
        <w:spacing w:before="240" w:after="240"/>
      </w:pPr>
      <w:r w:rsidRPr="00224FC6">
        <w:t>Wells, I., Simons, G., Kanacherril, J.P., Mallen, C.D., Raza, K. and Falahee, M., 2023. Stakeholder perceptions of preventive approaches to rheumatoid arthritis: qualitative study of healthcare professionals’ perspectives on predictive and preventive strategies. </w:t>
      </w:r>
      <w:r w:rsidRPr="00224FC6">
        <w:rPr>
          <w:i/>
          <w:iCs/>
        </w:rPr>
        <w:t>BMC rheumatology</w:t>
      </w:r>
      <w:r w:rsidRPr="00224FC6">
        <w:t>, </w:t>
      </w:r>
      <w:r w:rsidRPr="00224FC6">
        <w:rPr>
          <w:i/>
          <w:iCs/>
        </w:rPr>
        <w:t>7</w:t>
      </w:r>
      <w:r w:rsidRPr="00224FC6">
        <w:t>(1), p.35.</w:t>
      </w:r>
    </w:p>
    <w:p w14:paraId="161F3169" w14:textId="77777777" w:rsidR="00F923C6" w:rsidRDefault="00000000">
      <w:pPr>
        <w:pStyle w:val="Heading3"/>
        <w:keepNext w:val="0"/>
        <w:keepLines w:val="0"/>
        <w:spacing w:before="280"/>
        <w:rPr>
          <w:b/>
          <w:bCs/>
          <w:color w:val="000000"/>
          <w:sz w:val="26"/>
          <w:szCs w:val="26"/>
        </w:rPr>
      </w:pPr>
      <w:bookmarkStart w:id="2" w:name="_jdc386jpuijx" w:colFirst="0" w:colLast="0"/>
      <w:bookmarkEnd w:id="2"/>
      <w:r>
        <w:rPr>
          <w:b/>
          <w:bCs/>
          <w:color w:val="000000"/>
          <w:sz w:val="26"/>
          <w:szCs w:val="26"/>
        </w:rPr>
        <w:t>Appendix A – RACI Matrix: Roles and Responsibilities</w:t>
      </w:r>
    </w:p>
    <w:p w14:paraId="45B73427" w14:textId="77777777" w:rsidR="00F923C6" w:rsidRDefault="00000000">
      <w:pPr>
        <w:spacing w:before="240" w:after="240"/>
      </w:pPr>
      <w:r>
        <w:lastRenderedPageBreak/>
        <w:t>The RACI matrix (Responsible, Accountable, Consulted, Informed) outlines the key roles and responsibilities of stakeholders involved in the wearable device project. It ensures clarity during planning, implementation, and evaluation phases.</w:t>
      </w:r>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71"/>
        <w:gridCol w:w="1930"/>
        <w:gridCol w:w="1645"/>
        <w:gridCol w:w="1631"/>
        <w:gridCol w:w="1848"/>
      </w:tblGrid>
      <w:tr w:rsidR="00F923C6" w14:paraId="3DDDCA9E" w14:textId="77777777" w:rsidTr="00A32805">
        <w:trPr>
          <w:trHeight w:val="785"/>
        </w:trPr>
        <w:tc>
          <w:tcPr>
            <w:tcW w:w="1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8A00D" w14:textId="77777777" w:rsidR="00F923C6" w:rsidRDefault="00000000">
            <w:pPr>
              <w:jc w:val="center"/>
            </w:pPr>
            <w:r>
              <w:rPr>
                <w:b/>
                <w:bCs/>
              </w:rPr>
              <w:t>Project Task</w:t>
            </w:r>
          </w:p>
        </w:tc>
        <w:tc>
          <w:tcPr>
            <w:tcW w:w="1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00CB13" w14:textId="77777777" w:rsidR="00F923C6" w:rsidRDefault="00000000">
            <w:pPr>
              <w:jc w:val="center"/>
            </w:pPr>
            <w:r>
              <w:rPr>
                <w:b/>
                <w:bCs/>
              </w:rPr>
              <w:t>Responsible (R)</w:t>
            </w:r>
          </w:p>
        </w:tc>
        <w:tc>
          <w:tcPr>
            <w:tcW w:w="1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B3BCB" w14:textId="77777777" w:rsidR="00F923C6" w:rsidRDefault="00000000">
            <w:pPr>
              <w:jc w:val="center"/>
            </w:pPr>
            <w:r>
              <w:rPr>
                <w:b/>
                <w:bCs/>
              </w:rPr>
              <w:t>Accountable (A)</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1B4D0" w14:textId="77777777" w:rsidR="00F923C6" w:rsidRDefault="00000000">
            <w:pPr>
              <w:jc w:val="center"/>
            </w:pPr>
            <w:r>
              <w:rPr>
                <w:b/>
                <w:bCs/>
              </w:rPr>
              <w:t>Consulted (C)</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7266C8" w14:textId="77777777" w:rsidR="00F923C6" w:rsidRDefault="00000000">
            <w:pPr>
              <w:jc w:val="center"/>
            </w:pPr>
            <w:r>
              <w:rPr>
                <w:b/>
                <w:bCs/>
              </w:rPr>
              <w:t>Informed (I)</w:t>
            </w:r>
          </w:p>
        </w:tc>
      </w:tr>
      <w:tr w:rsidR="00F923C6" w14:paraId="574A40D1" w14:textId="77777777" w:rsidTr="00A32805">
        <w:trPr>
          <w:trHeight w:val="785"/>
        </w:trPr>
        <w:tc>
          <w:tcPr>
            <w:tcW w:w="1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B2DF93" w14:textId="77777777" w:rsidR="00F923C6" w:rsidRDefault="00000000">
            <w:r>
              <w:t>Define clinical use cases</w:t>
            </w:r>
          </w:p>
        </w:tc>
        <w:tc>
          <w:tcPr>
            <w:tcW w:w="1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37CB83" w14:textId="77777777" w:rsidR="00F923C6" w:rsidRDefault="00000000">
            <w:r>
              <w:t>Clinical Leads</w:t>
            </w:r>
          </w:p>
        </w:tc>
        <w:tc>
          <w:tcPr>
            <w:tcW w:w="1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75AE0" w14:textId="77777777" w:rsidR="00F923C6" w:rsidRDefault="00000000">
            <w:r>
              <w:t>Project Manager</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6131A" w14:textId="77777777" w:rsidR="00F923C6" w:rsidRDefault="00000000">
            <w:r>
              <w:t>Patient Safety Group</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078A1C" w14:textId="77777777" w:rsidR="00F923C6" w:rsidRDefault="00000000">
            <w:r>
              <w:t>Executive Board</w:t>
            </w:r>
          </w:p>
        </w:tc>
      </w:tr>
      <w:tr w:rsidR="00F923C6" w14:paraId="705B5D4E" w14:textId="77777777" w:rsidTr="00A32805">
        <w:trPr>
          <w:trHeight w:val="785"/>
        </w:trPr>
        <w:tc>
          <w:tcPr>
            <w:tcW w:w="1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A57A4D" w14:textId="77777777" w:rsidR="00F923C6" w:rsidRDefault="00000000">
            <w:r>
              <w:t>Vendor selection and procurement</w:t>
            </w:r>
          </w:p>
        </w:tc>
        <w:tc>
          <w:tcPr>
            <w:tcW w:w="1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1B6CA" w14:textId="77777777" w:rsidR="00F923C6" w:rsidRDefault="00000000">
            <w:r>
              <w:t>Procurement Lead</w:t>
            </w:r>
          </w:p>
        </w:tc>
        <w:tc>
          <w:tcPr>
            <w:tcW w:w="1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DE1C8E" w14:textId="77777777" w:rsidR="00F923C6" w:rsidRDefault="00000000">
            <w:r>
              <w:t>Project Manager</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A3DC4" w14:textId="77777777" w:rsidR="00F923C6" w:rsidRDefault="00000000">
            <w:r>
              <w:t>IT Governance</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205B4D" w14:textId="77777777" w:rsidR="00F923C6" w:rsidRDefault="00000000">
            <w:r>
              <w:t>Finance</w:t>
            </w:r>
          </w:p>
        </w:tc>
      </w:tr>
      <w:tr w:rsidR="00F923C6" w14:paraId="65C3F9CC" w14:textId="77777777" w:rsidTr="00A32805">
        <w:trPr>
          <w:trHeight w:val="1055"/>
        </w:trPr>
        <w:tc>
          <w:tcPr>
            <w:tcW w:w="1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176C59" w14:textId="77777777" w:rsidR="00F923C6" w:rsidRDefault="00000000">
            <w:r>
              <w:t>Integrate device with Unity EPR</w:t>
            </w:r>
          </w:p>
        </w:tc>
        <w:tc>
          <w:tcPr>
            <w:tcW w:w="1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A48BA5" w14:textId="77777777" w:rsidR="00F923C6" w:rsidRDefault="00000000">
            <w:r>
              <w:t>Digital Transformation Team</w:t>
            </w:r>
          </w:p>
        </w:tc>
        <w:tc>
          <w:tcPr>
            <w:tcW w:w="1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DEF6B" w14:textId="77777777" w:rsidR="00F923C6" w:rsidRDefault="00000000">
            <w:r>
              <w:t>Head of IT</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26915E" w14:textId="77777777" w:rsidR="00F923C6" w:rsidRDefault="00000000">
            <w:r>
              <w:t>Vendor, Clinical Teams</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A3B784" w14:textId="77777777" w:rsidR="00F923C6" w:rsidRDefault="00000000">
            <w:r>
              <w:t>Governance Board</w:t>
            </w:r>
          </w:p>
        </w:tc>
      </w:tr>
      <w:tr w:rsidR="00F923C6" w14:paraId="25FB3FF1" w14:textId="77777777" w:rsidTr="00A32805">
        <w:trPr>
          <w:trHeight w:val="785"/>
        </w:trPr>
        <w:tc>
          <w:tcPr>
            <w:tcW w:w="1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305D1" w14:textId="77777777" w:rsidR="00F923C6" w:rsidRDefault="00000000">
            <w:r>
              <w:t>Design and deliver staff training</w:t>
            </w:r>
          </w:p>
        </w:tc>
        <w:tc>
          <w:tcPr>
            <w:tcW w:w="1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2DC52" w14:textId="77777777" w:rsidR="00F923C6" w:rsidRDefault="00000000">
            <w:r>
              <w:t>Education &amp; Workforce Team</w:t>
            </w:r>
          </w:p>
        </w:tc>
        <w:tc>
          <w:tcPr>
            <w:tcW w:w="1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9B14E0" w14:textId="77777777" w:rsidR="00F923C6" w:rsidRDefault="00000000">
            <w:r>
              <w:t>Training Coordinator</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7C9C1C" w14:textId="77777777" w:rsidR="00F923C6" w:rsidRDefault="00000000">
            <w:r>
              <w:t>Clinical Managers</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DA3A2" w14:textId="77777777" w:rsidR="00F923C6" w:rsidRDefault="00000000">
            <w:r>
              <w:t>HR</w:t>
            </w:r>
          </w:p>
        </w:tc>
      </w:tr>
      <w:tr w:rsidR="00F923C6" w14:paraId="4AE73762" w14:textId="77777777" w:rsidTr="00A32805">
        <w:trPr>
          <w:trHeight w:val="1055"/>
        </w:trPr>
        <w:tc>
          <w:tcPr>
            <w:tcW w:w="1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0BBF8" w14:textId="77777777" w:rsidR="00F923C6" w:rsidRDefault="00000000">
            <w:r>
              <w:t>Patient onboarding and support</w:t>
            </w:r>
          </w:p>
        </w:tc>
        <w:tc>
          <w:tcPr>
            <w:tcW w:w="1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C7F482" w14:textId="77777777" w:rsidR="00F923C6" w:rsidRDefault="00000000">
            <w:r>
              <w:t>Community Nursing Team</w:t>
            </w:r>
          </w:p>
        </w:tc>
        <w:tc>
          <w:tcPr>
            <w:tcW w:w="1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BE9C7" w14:textId="77777777" w:rsidR="00F923C6" w:rsidRDefault="00000000">
            <w:r>
              <w:t>Patient Experience Lead</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46D3A" w14:textId="77777777" w:rsidR="00F923C6" w:rsidRDefault="00000000">
            <w:r>
              <w:t>Carers, Inclusion Networks</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F46AE" w14:textId="77777777" w:rsidR="00F923C6" w:rsidRDefault="00000000">
            <w:r>
              <w:t>Communications Team</w:t>
            </w:r>
          </w:p>
        </w:tc>
      </w:tr>
      <w:tr w:rsidR="00F923C6" w14:paraId="3E32B9D7" w14:textId="77777777" w:rsidTr="00A32805">
        <w:trPr>
          <w:trHeight w:val="1055"/>
        </w:trPr>
        <w:tc>
          <w:tcPr>
            <w:tcW w:w="1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4490F5" w14:textId="77777777" w:rsidR="00F923C6" w:rsidRDefault="00000000">
            <w:r>
              <w:t>Regulatory compliance (CQC, MHRA)</w:t>
            </w:r>
          </w:p>
        </w:tc>
        <w:tc>
          <w:tcPr>
            <w:tcW w:w="1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79CD84" w14:textId="77777777" w:rsidR="00F923C6" w:rsidRDefault="00000000">
            <w:r>
              <w:t>Governance Manager</w:t>
            </w:r>
          </w:p>
        </w:tc>
        <w:tc>
          <w:tcPr>
            <w:tcW w:w="1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CDF182" w14:textId="77777777" w:rsidR="00F923C6" w:rsidRDefault="00000000">
            <w:r>
              <w:t>Compliance Lead</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B6D6AD" w14:textId="77777777" w:rsidR="00F923C6" w:rsidRDefault="00000000">
            <w:r>
              <w:t>Legal and Risk Team</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68B82" w14:textId="77777777" w:rsidR="00F923C6" w:rsidRDefault="00000000">
            <w:r>
              <w:t>Project Group</w:t>
            </w:r>
          </w:p>
        </w:tc>
      </w:tr>
      <w:tr w:rsidR="00F923C6" w14:paraId="5A1AABC7" w14:textId="77777777" w:rsidTr="00A32805">
        <w:trPr>
          <w:trHeight w:val="785"/>
        </w:trPr>
        <w:tc>
          <w:tcPr>
            <w:tcW w:w="1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104F1D" w14:textId="77777777" w:rsidR="00F923C6" w:rsidRDefault="00000000">
            <w:r>
              <w:t>Evaluation of outcomes</w:t>
            </w:r>
          </w:p>
        </w:tc>
        <w:tc>
          <w:tcPr>
            <w:tcW w:w="19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7D57C" w14:textId="77777777" w:rsidR="00F923C6" w:rsidRDefault="00000000">
            <w:r>
              <w:t>Innovation and Research Team</w:t>
            </w:r>
          </w:p>
        </w:tc>
        <w:tc>
          <w:tcPr>
            <w:tcW w:w="16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8600F6" w14:textId="77777777" w:rsidR="00F923C6" w:rsidRDefault="00000000">
            <w:r>
              <w:t>Clinical Director</w:t>
            </w:r>
          </w:p>
        </w:tc>
        <w:tc>
          <w:tcPr>
            <w:tcW w:w="16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DFD493" w14:textId="77777777" w:rsidR="00F923C6" w:rsidRDefault="00000000">
            <w:r>
              <w:t>University Partners</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EB0B3B" w14:textId="77777777" w:rsidR="00F923C6" w:rsidRDefault="00000000">
            <w:r>
              <w:t>ICS Partners</w:t>
            </w:r>
          </w:p>
        </w:tc>
      </w:tr>
    </w:tbl>
    <w:p w14:paraId="4C3CC6DC" w14:textId="77777777" w:rsidR="00F923C6" w:rsidRDefault="00F923C6"/>
    <w:p w14:paraId="52A5D065" w14:textId="77777777" w:rsidR="00F923C6" w:rsidRDefault="00F923C6"/>
    <w:p w14:paraId="3E3890CD" w14:textId="77777777" w:rsidR="00F923C6" w:rsidRDefault="00000000">
      <w:pPr>
        <w:pStyle w:val="Heading3"/>
        <w:keepNext w:val="0"/>
        <w:keepLines w:val="0"/>
        <w:spacing w:before="280"/>
        <w:rPr>
          <w:b/>
          <w:bCs/>
          <w:color w:val="000000"/>
          <w:sz w:val="26"/>
          <w:szCs w:val="26"/>
        </w:rPr>
      </w:pPr>
      <w:bookmarkStart w:id="3" w:name="_6bld1ubvxnp5" w:colFirst="0" w:colLast="0"/>
      <w:bookmarkEnd w:id="3"/>
      <w:r>
        <w:rPr>
          <w:b/>
          <w:bCs/>
          <w:color w:val="000000"/>
          <w:sz w:val="26"/>
          <w:szCs w:val="26"/>
        </w:rPr>
        <w:t>Appendix B – Stakeholder Matrix (Mendelow’s Model)</w:t>
      </w:r>
    </w:p>
    <w:p w14:paraId="1B17E7B6" w14:textId="77777777" w:rsidR="00F923C6" w:rsidRDefault="00000000">
      <w:pPr>
        <w:spacing w:before="240" w:after="240"/>
      </w:pPr>
      <w:r>
        <w:t>This matrix identifies stakeholders based on their level of power and interest, using Mendelow’s model. This helps prioritise engagement strategies and manage expectations.</w:t>
      </w:r>
    </w:p>
    <w:tbl>
      <w:tblPr>
        <w:tblStyle w:val="a1"/>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06"/>
        <w:gridCol w:w="1399"/>
        <w:gridCol w:w="957"/>
        <w:gridCol w:w="4163"/>
      </w:tblGrid>
      <w:tr w:rsidR="00F923C6" w14:paraId="6A147438" w14:textId="77777777">
        <w:trPr>
          <w:trHeight w:val="500"/>
        </w:trPr>
        <w:tc>
          <w:tcPr>
            <w:tcW w:w="2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20DF6B" w14:textId="77777777" w:rsidR="00F923C6" w:rsidRDefault="00000000">
            <w:pPr>
              <w:jc w:val="center"/>
            </w:pPr>
            <w:r>
              <w:rPr>
                <w:b/>
                <w:bCs/>
              </w:rPr>
              <w:t>Stakeholder</w:t>
            </w:r>
          </w:p>
        </w:tc>
        <w:tc>
          <w:tcPr>
            <w:tcW w:w="13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2815D1" w14:textId="77777777" w:rsidR="00F923C6" w:rsidRDefault="00000000">
            <w:pPr>
              <w:jc w:val="center"/>
            </w:pPr>
            <w:r>
              <w:rPr>
                <w:b/>
                <w:bCs/>
              </w:rPr>
              <w:t>Power</w:t>
            </w:r>
          </w:p>
        </w:tc>
        <w:tc>
          <w:tcPr>
            <w:tcW w:w="9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D9B5D6" w14:textId="77777777" w:rsidR="00F923C6" w:rsidRDefault="00000000">
            <w:pPr>
              <w:jc w:val="center"/>
            </w:pPr>
            <w:r>
              <w:rPr>
                <w:b/>
                <w:bCs/>
              </w:rPr>
              <w:t>Interest</w:t>
            </w:r>
          </w:p>
        </w:tc>
        <w:tc>
          <w:tcPr>
            <w:tcW w:w="4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21B473" w14:textId="77777777" w:rsidR="00F923C6" w:rsidRDefault="00000000">
            <w:pPr>
              <w:jc w:val="center"/>
            </w:pPr>
            <w:r>
              <w:rPr>
                <w:b/>
                <w:bCs/>
              </w:rPr>
              <w:t>Engagement Strategy</w:t>
            </w:r>
          </w:p>
        </w:tc>
      </w:tr>
      <w:tr w:rsidR="00F923C6" w14:paraId="0641C305" w14:textId="77777777">
        <w:trPr>
          <w:trHeight w:val="785"/>
        </w:trPr>
        <w:tc>
          <w:tcPr>
            <w:tcW w:w="2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BB7D62" w14:textId="77777777" w:rsidR="00F923C6" w:rsidRDefault="00000000">
            <w:r>
              <w:lastRenderedPageBreak/>
              <w:t>Executive Board</w:t>
            </w:r>
          </w:p>
        </w:tc>
        <w:tc>
          <w:tcPr>
            <w:tcW w:w="13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CC5E7CE" w14:textId="77777777" w:rsidR="00F923C6" w:rsidRDefault="00000000">
            <w:r>
              <w:t>High</w:t>
            </w:r>
          </w:p>
        </w:tc>
        <w:tc>
          <w:tcPr>
            <w:tcW w:w="9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5A7D17" w14:textId="77777777" w:rsidR="00F923C6" w:rsidRDefault="00000000">
            <w:r>
              <w:t>High</w:t>
            </w:r>
          </w:p>
        </w:tc>
        <w:tc>
          <w:tcPr>
            <w:tcW w:w="4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7D981F" w14:textId="77777777" w:rsidR="00F923C6" w:rsidRDefault="00000000">
            <w:r>
              <w:t>Manage closely through strategic briefings and updates</w:t>
            </w:r>
          </w:p>
        </w:tc>
      </w:tr>
      <w:tr w:rsidR="00F923C6" w14:paraId="7D1ACCEF" w14:textId="77777777">
        <w:trPr>
          <w:trHeight w:val="785"/>
        </w:trPr>
        <w:tc>
          <w:tcPr>
            <w:tcW w:w="2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E33DB5" w14:textId="77777777" w:rsidR="00F923C6" w:rsidRDefault="00000000">
            <w:r>
              <w:t>Clinical Teams</w:t>
            </w:r>
          </w:p>
        </w:tc>
        <w:tc>
          <w:tcPr>
            <w:tcW w:w="13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C306A5" w14:textId="77777777" w:rsidR="00F923C6" w:rsidRDefault="00000000">
            <w:r>
              <w:t>Medium–High</w:t>
            </w:r>
          </w:p>
        </w:tc>
        <w:tc>
          <w:tcPr>
            <w:tcW w:w="9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E2C321" w14:textId="77777777" w:rsidR="00F923C6" w:rsidRDefault="00000000">
            <w:r>
              <w:t>High</w:t>
            </w:r>
          </w:p>
        </w:tc>
        <w:tc>
          <w:tcPr>
            <w:tcW w:w="4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64A500" w14:textId="77777777" w:rsidR="00F923C6" w:rsidRDefault="00000000">
            <w:r>
              <w:t>Regular involvement in decision-making and co-design</w:t>
            </w:r>
          </w:p>
        </w:tc>
      </w:tr>
      <w:tr w:rsidR="00F923C6" w14:paraId="430F5393" w14:textId="77777777">
        <w:trPr>
          <w:trHeight w:val="785"/>
        </w:trPr>
        <w:tc>
          <w:tcPr>
            <w:tcW w:w="2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34E829" w14:textId="77777777" w:rsidR="00F923C6" w:rsidRDefault="00000000">
            <w:r>
              <w:t>Digital/IT Department</w:t>
            </w:r>
          </w:p>
        </w:tc>
        <w:tc>
          <w:tcPr>
            <w:tcW w:w="13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BB1FC5" w14:textId="77777777" w:rsidR="00F923C6" w:rsidRDefault="00000000">
            <w:r>
              <w:t>Medium</w:t>
            </w:r>
          </w:p>
        </w:tc>
        <w:tc>
          <w:tcPr>
            <w:tcW w:w="9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BEAF38" w14:textId="77777777" w:rsidR="00F923C6" w:rsidRDefault="00000000">
            <w:r>
              <w:t>High</w:t>
            </w:r>
          </w:p>
        </w:tc>
        <w:tc>
          <w:tcPr>
            <w:tcW w:w="4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54CB7E" w14:textId="77777777" w:rsidR="00F923C6" w:rsidRDefault="00000000">
            <w:r>
              <w:t>Continuous coordination through weekly meetings</w:t>
            </w:r>
          </w:p>
        </w:tc>
      </w:tr>
      <w:tr w:rsidR="00F923C6" w14:paraId="2C539A40" w14:textId="77777777">
        <w:trPr>
          <w:trHeight w:val="785"/>
        </w:trPr>
        <w:tc>
          <w:tcPr>
            <w:tcW w:w="2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060E16" w14:textId="77777777" w:rsidR="00F923C6" w:rsidRDefault="00000000">
            <w:r>
              <w:t>Patients and Carers</w:t>
            </w:r>
          </w:p>
        </w:tc>
        <w:tc>
          <w:tcPr>
            <w:tcW w:w="13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573A1D" w14:textId="77777777" w:rsidR="00F923C6" w:rsidRDefault="00000000">
            <w:r>
              <w:t>Low</w:t>
            </w:r>
          </w:p>
        </w:tc>
        <w:tc>
          <w:tcPr>
            <w:tcW w:w="9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5D0F06" w14:textId="77777777" w:rsidR="00F923C6" w:rsidRDefault="00000000">
            <w:r>
              <w:t>High</w:t>
            </w:r>
          </w:p>
        </w:tc>
        <w:tc>
          <w:tcPr>
            <w:tcW w:w="4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1644A0" w14:textId="77777777" w:rsidR="00F923C6" w:rsidRDefault="00000000">
            <w:r>
              <w:t>Consult through focus groups and usability testing</w:t>
            </w:r>
          </w:p>
        </w:tc>
      </w:tr>
      <w:tr w:rsidR="00F923C6" w14:paraId="6784D536" w14:textId="77777777">
        <w:trPr>
          <w:trHeight w:val="785"/>
        </w:trPr>
        <w:tc>
          <w:tcPr>
            <w:tcW w:w="2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5140ED" w14:textId="77777777" w:rsidR="00F923C6" w:rsidRDefault="00000000">
            <w:r>
              <w:t>Vendor (Technology Supplier)</w:t>
            </w:r>
          </w:p>
        </w:tc>
        <w:tc>
          <w:tcPr>
            <w:tcW w:w="13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347600" w14:textId="77777777" w:rsidR="00F923C6" w:rsidRDefault="00000000">
            <w:r>
              <w:t>Medium</w:t>
            </w:r>
          </w:p>
        </w:tc>
        <w:tc>
          <w:tcPr>
            <w:tcW w:w="9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9FB6CB" w14:textId="77777777" w:rsidR="00F923C6" w:rsidRDefault="00000000">
            <w:r>
              <w:t>Medium</w:t>
            </w:r>
          </w:p>
        </w:tc>
        <w:tc>
          <w:tcPr>
            <w:tcW w:w="4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344696" w14:textId="77777777" w:rsidR="00F923C6" w:rsidRDefault="00000000">
            <w:r>
              <w:t>Coordinate through delivery updates and SLAs</w:t>
            </w:r>
          </w:p>
        </w:tc>
      </w:tr>
      <w:tr w:rsidR="00F923C6" w14:paraId="0FB09003" w14:textId="77777777">
        <w:trPr>
          <w:trHeight w:val="785"/>
        </w:trPr>
        <w:tc>
          <w:tcPr>
            <w:tcW w:w="2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F467F5" w14:textId="77777777" w:rsidR="00F923C6" w:rsidRDefault="00000000">
            <w:r>
              <w:t>CQC, MHRA (Regulators)</w:t>
            </w:r>
          </w:p>
        </w:tc>
        <w:tc>
          <w:tcPr>
            <w:tcW w:w="13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451F0F" w14:textId="77777777" w:rsidR="00F923C6" w:rsidRDefault="00000000">
            <w:r>
              <w:t>High</w:t>
            </w:r>
          </w:p>
        </w:tc>
        <w:tc>
          <w:tcPr>
            <w:tcW w:w="9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C5626E" w14:textId="77777777" w:rsidR="00F923C6" w:rsidRDefault="00000000">
            <w:r>
              <w:t>Low</w:t>
            </w:r>
          </w:p>
        </w:tc>
        <w:tc>
          <w:tcPr>
            <w:tcW w:w="4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5E09F4" w14:textId="77777777" w:rsidR="00F923C6" w:rsidRDefault="00000000">
            <w:r>
              <w:t>Keep satisfied via compliance reports and assurance</w:t>
            </w:r>
          </w:p>
        </w:tc>
      </w:tr>
      <w:tr w:rsidR="00F923C6" w14:paraId="17E31BCD" w14:textId="77777777">
        <w:trPr>
          <w:trHeight w:val="785"/>
        </w:trPr>
        <w:tc>
          <w:tcPr>
            <w:tcW w:w="250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9189AD" w14:textId="77777777" w:rsidR="00F923C6" w:rsidRDefault="00000000">
            <w:r>
              <w:t>ICS Partners</w:t>
            </w:r>
          </w:p>
        </w:tc>
        <w:tc>
          <w:tcPr>
            <w:tcW w:w="13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5B74E0" w14:textId="77777777" w:rsidR="00F923C6" w:rsidRDefault="00000000">
            <w:r>
              <w:t>Medium</w:t>
            </w:r>
          </w:p>
        </w:tc>
        <w:tc>
          <w:tcPr>
            <w:tcW w:w="957"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9F67FE" w14:textId="77777777" w:rsidR="00F923C6" w:rsidRDefault="00000000">
            <w:r>
              <w:t>Medium</w:t>
            </w:r>
          </w:p>
        </w:tc>
        <w:tc>
          <w:tcPr>
            <w:tcW w:w="416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65365A" w14:textId="77777777" w:rsidR="00F923C6" w:rsidRDefault="00000000">
            <w:r>
              <w:t>Collaborate during rollout and data evaluation</w:t>
            </w:r>
          </w:p>
        </w:tc>
      </w:tr>
    </w:tbl>
    <w:p w14:paraId="7EAE39BF" w14:textId="77777777" w:rsidR="00F923C6" w:rsidRDefault="00F923C6"/>
    <w:p w14:paraId="7CEA5004" w14:textId="77777777" w:rsidR="00F923C6" w:rsidRDefault="00F923C6"/>
    <w:p w14:paraId="440C9E91" w14:textId="77777777" w:rsidR="00F923C6" w:rsidRDefault="00000000">
      <w:pPr>
        <w:pStyle w:val="Heading3"/>
        <w:keepNext w:val="0"/>
        <w:keepLines w:val="0"/>
        <w:spacing w:before="280"/>
        <w:rPr>
          <w:b/>
          <w:bCs/>
          <w:color w:val="000000"/>
          <w:sz w:val="26"/>
          <w:szCs w:val="26"/>
        </w:rPr>
      </w:pPr>
      <w:bookmarkStart w:id="4" w:name="_vlq5yzvmzu17" w:colFirst="0" w:colLast="0"/>
      <w:bookmarkEnd w:id="4"/>
      <w:r>
        <w:rPr>
          <w:b/>
          <w:bCs/>
          <w:color w:val="000000"/>
          <w:sz w:val="26"/>
          <w:szCs w:val="26"/>
        </w:rPr>
        <w:t>Appendix C – Communication Plan Summary</w:t>
      </w:r>
    </w:p>
    <w:p w14:paraId="332BF6EB" w14:textId="77777777" w:rsidR="00F923C6" w:rsidRDefault="00000000">
      <w:pPr>
        <w:spacing w:before="240" w:after="240"/>
      </w:pPr>
      <w:r>
        <w:t>The communication plan outlines the channels, audience, and frequency of communication for stakeholder engagement. It supports transparency, reduces conflict, and ensures feedback is captured throughout the project lifecycle.</w:t>
      </w:r>
    </w:p>
    <w:tbl>
      <w:tblPr>
        <w:tblStyle w:val="a2"/>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49"/>
        <w:gridCol w:w="1849"/>
        <w:gridCol w:w="1726"/>
        <w:gridCol w:w="1523"/>
        <w:gridCol w:w="2078"/>
      </w:tblGrid>
      <w:tr w:rsidR="00F923C6" w14:paraId="2959B7B9" w14:textId="77777777">
        <w:trPr>
          <w:trHeight w:val="500"/>
        </w:trPr>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AC71D5" w14:textId="77777777" w:rsidR="00F923C6" w:rsidRDefault="00000000">
            <w:pPr>
              <w:jc w:val="center"/>
            </w:pPr>
            <w:r>
              <w:rPr>
                <w:b/>
                <w:bCs/>
              </w:rPr>
              <w:t>Audience</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7D7C3" w14:textId="77777777" w:rsidR="00F923C6" w:rsidRDefault="00000000">
            <w:pPr>
              <w:jc w:val="center"/>
            </w:pPr>
            <w:r>
              <w:rPr>
                <w:b/>
                <w:bCs/>
              </w:rPr>
              <w:t>Purpose</w:t>
            </w:r>
          </w:p>
        </w:tc>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3D3672" w14:textId="77777777" w:rsidR="00F923C6" w:rsidRDefault="00000000">
            <w:pPr>
              <w:jc w:val="center"/>
            </w:pPr>
            <w:r>
              <w:rPr>
                <w:b/>
                <w:bCs/>
              </w:rPr>
              <w:t>Channel</w:t>
            </w:r>
          </w:p>
        </w:tc>
        <w:tc>
          <w:tcPr>
            <w:tcW w:w="1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5E8EC0" w14:textId="77777777" w:rsidR="00F923C6" w:rsidRDefault="00000000">
            <w:pPr>
              <w:jc w:val="center"/>
            </w:pPr>
            <w:r>
              <w:rPr>
                <w:b/>
                <w:bCs/>
              </w:rPr>
              <w:t>Frequency</w:t>
            </w: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745B3" w14:textId="77777777" w:rsidR="00F923C6" w:rsidRDefault="00000000">
            <w:pPr>
              <w:jc w:val="center"/>
            </w:pPr>
            <w:r>
              <w:rPr>
                <w:b/>
                <w:bCs/>
              </w:rPr>
              <w:t>Lead</w:t>
            </w:r>
          </w:p>
        </w:tc>
      </w:tr>
      <w:tr w:rsidR="00F923C6" w14:paraId="42D7B676" w14:textId="77777777">
        <w:trPr>
          <w:trHeight w:val="785"/>
        </w:trPr>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A09EC" w14:textId="77777777" w:rsidR="00F923C6" w:rsidRDefault="00000000">
            <w:r>
              <w:t>Executive Board</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8B9B25" w14:textId="77777777" w:rsidR="00F923C6" w:rsidRDefault="00000000">
            <w:r>
              <w:t>Strategic oversight</w:t>
            </w:r>
          </w:p>
        </w:tc>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BB063" w14:textId="77777777" w:rsidR="00F923C6" w:rsidRDefault="00000000">
            <w:r>
              <w:t>Reports, Meetings</w:t>
            </w:r>
          </w:p>
        </w:tc>
        <w:tc>
          <w:tcPr>
            <w:tcW w:w="1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3A868D" w14:textId="77777777" w:rsidR="00F923C6" w:rsidRDefault="00000000">
            <w:r>
              <w:t>Monthly</w:t>
            </w: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48BF17" w14:textId="77777777" w:rsidR="00F923C6" w:rsidRDefault="00000000">
            <w:r>
              <w:t>Project Manager</w:t>
            </w:r>
          </w:p>
        </w:tc>
      </w:tr>
      <w:tr w:rsidR="00F923C6" w14:paraId="7112931C" w14:textId="77777777">
        <w:trPr>
          <w:trHeight w:val="785"/>
        </w:trPr>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FB64A" w14:textId="77777777" w:rsidR="00F923C6" w:rsidRDefault="00000000">
            <w:r>
              <w:t>Clinical Teams</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12488" w14:textId="77777777" w:rsidR="00F923C6" w:rsidRDefault="00000000">
            <w:r>
              <w:t>Workflow integration</w:t>
            </w:r>
          </w:p>
        </w:tc>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31B3F" w14:textId="77777777" w:rsidR="00F923C6" w:rsidRDefault="00000000">
            <w:r>
              <w:t>Emails, Workshops</w:t>
            </w:r>
          </w:p>
        </w:tc>
        <w:tc>
          <w:tcPr>
            <w:tcW w:w="1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190F50" w14:textId="77777777" w:rsidR="00F923C6" w:rsidRDefault="00000000">
            <w:r>
              <w:t>Bi-weekly</w:t>
            </w: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D3838" w14:textId="77777777" w:rsidR="00F923C6" w:rsidRDefault="00000000">
            <w:r>
              <w:t>Clinical Engagement Lead</w:t>
            </w:r>
          </w:p>
        </w:tc>
      </w:tr>
      <w:tr w:rsidR="00F923C6" w14:paraId="1EAF4414" w14:textId="77777777">
        <w:trPr>
          <w:trHeight w:val="785"/>
        </w:trPr>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A2800C" w14:textId="77777777" w:rsidR="00F923C6" w:rsidRDefault="00000000">
            <w:r>
              <w:t>IT Department</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73556" w14:textId="77777777" w:rsidR="00F923C6" w:rsidRDefault="00000000">
            <w:r>
              <w:t>Tech alignment</w:t>
            </w:r>
          </w:p>
        </w:tc>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65EA27" w14:textId="77777777" w:rsidR="00F923C6" w:rsidRDefault="00000000">
            <w:r>
              <w:t>Stand-ups, Jira updates</w:t>
            </w:r>
          </w:p>
        </w:tc>
        <w:tc>
          <w:tcPr>
            <w:tcW w:w="1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49FB4" w14:textId="77777777" w:rsidR="00F923C6" w:rsidRDefault="00000000">
            <w:r>
              <w:t>Weekly</w:t>
            </w: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FF8573" w14:textId="77777777" w:rsidR="00F923C6" w:rsidRDefault="00000000">
            <w:r>
              <w:t>Digital Lead</w:t>
            </w:r>
          </w:p>
        </w:tc>
      </w:tr>
      <w:tr w:rsidR="00F923C6" w14:paraId="3052D05D" w14:textId="77777777">
        <w:trPr>
          <w:trHeight w:val="785"/>
        </w:trPr>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D368B1" w14:textId="77777777" w:rsidR="00F923C6" w:rsidRDefault="00000000">
            <w:r>
              <w:lastRenderedPageBreak/>
              <w:t>Patients and Carers</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641554" w14:textId="77777777" w:rsidR="00F923C6" w:rsidRDefault="00000000">
            <w:r>
              <w:t>Awareness and onboarding</w:t>
            </w:r>
          </w:p>
        </w:tc>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33F37" w14:textId="77777777" w:rsidR="00F923C6" w:rsidRDefault="00000000">
            <w:r>
              <w:t>Leaflets, Info Sessions</w:t>
            </w:r>
          </w:p>
        </w:tc>
        <w:tc>
          <w:tcPr>
            <w:tcW w:w="1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ECD2A8" w14:textId="77777777" w:rsidR="00F923C6" w:rsidRDefault="00000000">
            <w:r>
              <w:t>Launch + Feedback</w:t>
            </w: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A6148" w14:textId="77777777" w:rsidR="00F923C6" w:rsidRDefault="00000000">
            <w:r>
              <w:t>Comms Team</w:t>
            </w:r>
          </w:p>
        </w:tc>
      </w:tr>
      <w:tr w:rsidR="00F923C6" w14:paraId="1A82DF10" w14:textId="77777777">
        <w:trPr>
          <w:trHeight w:val="785"/>
        </w:trPr>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104504" w14:textId="77777777" w:rsidR="00F923C6" w:rsidRDefault="00000000">
            <w:r>
              <w:t>Regulators (CQC, MHRA)</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4A45D" w14:textId="77777777" w:rsidR="00F923C6" w:rsidRDefault="00000000">
            <w:r>
              <w:t>Compliance</w:t>
            </w:r>
          </w:p>
        </w:tc>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24BA5" w14:textId="77777777" w:rsidR="00F923C6" w:rsidRDefault="00000000">
            <w:r>
              <w:t>Formal Submissions</w:t>
            </w:r>
          </w:p>
        </w:tc>
        <w:tc>
          <w:tcPr>
            <w:tcW w:w="1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6CB3D6" w14:textId="77777777" w:rsidR="00F923C6" w:rsidRDefault="00000000">
            <w:r>
              <w:t>As required</w:t>
            </w: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3BE9BD" w14:textId="77777777" w:rsidR="00F923C6" w:rsidRDefault="00000000">
            <w:r>
              <w:t>Governance Lead</w:t>
            </w:r>
          </w:p>
        </w:tc>
      </w:tr>
      <w:tr w:rsidR="00F923C6" w14:paraId="6BB695D9" w14:textId="77777777">
        <w:trPr>
          <w:trHeight w:val="785"/>
        </w:trPr>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B435C4" w14:textId="77777777" w:rsidR="00F923C6" w:rsidRDefault="00000000">
            <w:r>
              <w:t>Staff Trust-wide</w:t>
            </w:r>
          </w:p>
        </w:tc>
        <w:tc>
          <w:tcPr>
            <w:tcW w:w="18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F6897" w14:textId="77777777" w:rsidR="00F923C6" w:rsidRDefault="00000000">
            <w:r>
              <w:t>General awareness</w:t>
            </w:r>
          </w:p>
        </w:tc>
        <w:tc>
          <w:tcPr>
            <w:tcW w:w="1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C07CE" w14:textId="77777777" w:rsidR="00F923C6" w:rsidRDefault="00000000">
            <w:r>
              <w:t>Intranet, Posters</w:t>
            </w:r>
          </w:p>
        </w:tc>
        <w:tc>
          <w:tcPr>
            <w:tcW w:w="15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41DFE" w14:textId="77777777" w:rsidR="00F923C6" w:rsidRDefault="00000000">
            <w:r>
              <w:t>Monthly</w:t>
            </w:r>
          </w:p>
        </w:tc>
        <w:tc>
          <w:tcPr>
            <w:tcW w:w="20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9F4213" w14:textId="77777777" w:rsidR="00F923C6" w:rsidRDefault="00000000">
            <w:r>
              <w:t>Communications and HR</w:t>
            </w:r>
          </w:p>
        </w:tc>
      </w:tr>
    </w:tbl>
    <w:p w14:paraId="569F9E34" w14:textId="77777777" w:rsidR="00F923C6" w:rsidRDefault="00F923C6"/>
    <w:sectPr w:rsidR="00F923C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5D176" w14:textId="77777777" w:rsidR="0000431E" w:rsidRDefault="0000431E">
      <w:pPr>
        <w:spacing w:line="240" w:lineRule="auto"/>
      </w:pPr>
      <w:r>
        <w:separator/>
      </w:r>
    </w:p>
  </w:endnote>
  <w:endnote w:type="continuationSeparator" w:id="0">
    <w:p w14:paraId="28CF7EE6" w14:textId="77777777" w:rsidR="0000431E" w:rsidRDefault="000043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ABC2AFD-A31B-4AD3-A6C8-85CFDA60D168}"/>
  </w:font>
  <w:font w:name="Cambria">
    <w:panose1 w:val="02040503050406030204"/>
    <w:charset w:val="00"/>
    <w:family w:val="roman"/>
    <w:pitch w:val="variable"/>
    <w:sig w:usb0="E00006FF" w:usb1="420024FF" w:usb2="02000000" w:usb3="00000000" w:csb0="0000019F" w:csb1="00000000"/>
    <w:embedRegular r:id="rId2" w:fontKey="{AB543381-EC6A-4C14-920D-5A7B8BFBBA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971B7" w14:textId="77777777" w:rsidR="00F923C6"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064A71">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CE79C" w14:textId="77777777" w:rsidR="0000431E" w:rsidRDefault="0000431E">
      <w:pPr>
        <w:spacing w:line="240" w:lineRule="auto"/>
      </w:pPr>
      <w:r>
        <w:separator/>
      </w:r>
    </w:p>
  </w:footnote>
  <w:footnote w:type="continuationSeparator" w:id="0">
    <w:p w14:paraId="568ECA3A" w14:textId="77777777" w:rsidR="0000431E" w:rsidRDefault="000043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E4BC9"/>
    <w:multiLevelType w:val="multilevel"/>
    <w:tmpl w:val="68E20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0D759DD"/>
    <w:multiLevelType w:val="multilevel"/>
    <w:tmpl w:val="6A9C5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C515A1"/>
    <w:multiLevelType w:val="hybridMultilevel"/>
    <w:tmpl w:val="00DE95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E16015D"/>
    <w:multiLevelType w:val="multilevel"/>
    <w:tmpl w:val="E6B2C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7723805">
    <w:abstractNumId w:val="1"/>
  </w:num>
  <w:num w:numId="2" w16cid:durableId="1882471877">
    <w:abstractNumId w:val="0"/>
  </w:num>
  <w:num w:numId="3" w16cid:durableId="504396894">
    <w:abstractNumId w:val="3"/>
  </w:num>
  <w:num w:numId="4" w16cid:durableId="5264805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3C6"/>
    <w:rsid w:val="0000431E"/>
    <w:rsid w:val="00064A71"/>
    <w:rsid w:val="00104E5C"/>
    <w:rsid w:val="001A4C41"/>
    <w:rsid w:val="00224FC6"/>
    <w:rsid w:val="003E53D8"/>
    <w:rsid w:val="00710A78"/>
    <w:rsid w:val="007541D1"/>
    <w:rsid w:val="00A32805"/>
    <w:rsid w:val="00BA3C18"/>
    <w:rsid w:val="00BC58DC"/>
    <w:rsid w:val="00EF72DD"/>
    <w:rsid w:val="00F92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96F63"/>
  <w15:docId w15:val="{1E9C5148-7134-4E80-8538-050D71814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ListParagraph">
    <w:name w:val="List Paragraph"/>
    <w:basedOn w:val="Normal"/>
    <w:uiPriority w:val="34"/>
    <w:qFormat/>
    <w:rsid w:val="00A328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5340</Words>
  <Characters>30444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Julius Balaz (2321106)</cp:lastModifiedBy>
  <cp:revision>6</cp:revision>
  <dcterms:created xsi:type="dcterms:W3CDTF">2025-11-12T18:52:00Z</dcterms:created>
  <dcterms:modified xsi:type="dcterms:W3CDTF">2025-11-15T15:03:00Z</dcterms:modified>
</cp:coreProperties>
</file>