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Default Extension="jpeg" ContentType="image/jpeg"/>
  <Default Extension="png" ContentType="image/png"/>
  <Default Extension="gif" ContentType="image/gif"/>
  <Default Extension="tif" ContentType="image/tif"/>
  <Default Extension="emf" ContentType="image/x-emf"/>
  <Default Extension="wmf" ContentType="image/x-wmf"/>
  <Default Extension="pct" ContentType="image/pct"/>
  <Default Extension="pcx" ContentType="image/pcx"/>
  <Default Extension="tga" ContentType="image/tga"/>
  <Default Extension="svg" ContentType="image/svg+xml"/>
  <Default Extension="webp" ContentType="image/png"/>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styles.xml" ContentType="application/vnd.openxmlformats-officedocument.wordprocessingml.styles+xml"/>
  <Override PartName="/word/stylesWithEffects.xml" ContentType="application/vnd.ms-word.stylesWithEffect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body>
    <w:p>
      <w:pPr>
        <w:pStyle w:val="para4"/>
        <w:ind w:left="-180" w:right="-334"/>
        <w:spacing w:before="0" w:after="0" w:beforeAutospacing="0" w:afterAutospacing="0"/>
      </w:pPr>
      <w:r>
        <w:rPr>
          <w:noProof/>
        </w:rPr>
        <w:drawing>
          <wp:inline distT="0" distB="0" distL="0" distR="0">
            <wp:extent cx="1816735" cy="728980"/>
            <wp:effectExtent l="0" t="0" r="0" b="0"/>
            <wp:docPr id="1" name="Picture1"/>
            <wp:cNvGraphicFramePr/>
            <a:graphic xmlns:a="http://schemas.openxmlformats.org/drawingml/2006/main">
              <a:graphicData uri="http://schemas.openxmlformats.org/drawingml/2006/picture">
                <pic:pic xmlns:pic="http://schemas.openxmlformats.org/drawingml/2006/picture">
                  <pic:nvPicPr>
                    <pic:cNvPr id="1" name="Picture1"/>
                    <pic:cNvPicPr>
                      <a:extLst>
                        <a:ext uri="sm">
                          <sm:smNativeData xmlns:sm="sm" val="SMDATA_17_olozZxMAAAAlAAAAEQAAAA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yAAAAAAAAAAAAAAAAAAAAAAAAAAAAAAAAAAAAAAAAAAAAAALQsAAHwEAAAAAAAAAAAAAAAAAAAoAAAACAAAAAEAAAABAAAAMAAAABQAAAAAAAAAAAD//wAAAQAAAP//AAABAA=="/>
                        </a:ext>
                      </a:extLst>
                    </pic:cNvPicPr>
                  </pic:nvPicPr>
                  <pic:blipFill>
                    <a:blip r:embed="rId7"/>
                    <a:stretch>
                      <a:fillRect/>
                    </a:stretch>
                  </pic:blipFill>
                  <pic:spPr>
                    <a:xfrm>
                      <a:off x="0" y="0"/>
                      <a:ext cx="1816735" cy="728980"/>
                    </a:xfrm>
                    <a:prstGeom prst="rect">
                      <a:avLst/>
                    </a:prstGeom>
                    <a:noFill/>
                    <a:ln w="12700">
                      <a:noFill/>
                    </a:ln>
                  </pic:spPr>
                </pic:pic>
              </a:graphicData>
            </a:graphic>
          </wp:inline>
        </w:drawing>
      </w:r>
      <w:r/>
    </w:p>
    <w:p>
      <w:pPr>
        <w:pStyle w:val="para4"/>
        <w:ind w:left="-180" w:right="-334"/>
        <w:spacing w:before="0" w:after="0" w:beforeAutospacing="0" w:afterAutospacing="0"/>
      </w:pPr>
      <w:r/>
    </w:p>
    <w:p>
      <w:pPr>
        <w:pStyle w:val="para4"/>
        <w:ind w:left="-180" w:right="-334"/>
        <w:spacing w:before="0" w:after="0" w:beforeAutospacing="0" w:afterAutospacing="0"/>
      </w:pPr>
      <w:r/>
    </w:p>
    <w:p>
      <w:pPr>
        <w:pStyle w:val="para4"/>
        <w:ind w:left="-180" w:right="-334"/>
        <w:spacing w:before="0" w:after="0" w:beforeAutospacing="0" w:afterAutospacing="0"/>
        <w:jc w:val="center"/>
        <w:rPr>
          <w:rFonts w:ascii="Arial" w:hAnsi="Arial" w:cs="Arial"/>
          <w:b/>
          <w:sz w:val="28"/>
          <w:szCs w:val="28"/>
          <w:lang w:val="cy-gb"/>
        </w:rPr>
      </w:pPr>
      <w:r>
        <w:rPr>
          <w:rFonts w:ascii="Arial" w:hAnsi="Arial" w:cs="Arial"/>
          <w:b/>
          <w:sz w:val="28"/>
          <w:szCs w:val="28"/>
          <w:lang w:val="cy-gb"/>
        </w:rPr>
        <w:t xml:space="preserve">Postgraduate/Distance Learning </w:t>
      </w:r>
      <w:r>
        <w:rPr>
          <w:rFonts w:ascii="Arial" w:hAnsi="Arial" w:cs="Arial"/>
          <w:b/>
          <w:sz w:val="28"/>
          <w:szCs w:val="28"/>
          <w:lang w:val="cy-gb"/>
        </w:rPr>
      </w:r>
    </w:p>
    <w:p>
      <w:pPr>
        <w:pStyle w:val="para4"/>
        <w:ind w:left="-180" w:right="-334"/>
        <w:spacing w:before="0" w:after="0" w:beforeAutospacing="0" w:afterAutospacing="0"/>
        <w:jc w:val="center"/>
        <w:rPr>
          <w:rFonts w:ascii="Arial" w:hAnsi="Arial" w:cs="Arial"/>
          <w:b/>
          <w:sz w:val="28"/>
          <w:szCs w:val="28"/>
        </w:rPr>
      </w:pPr>
      <w:r>
        <w:rPr>
          <w:rFonts w:ascii="Arial" w:hAnsi="Arial" w:cs="Arial"/>
          <w:b/>
          <w:sz w:val="28"/>
          <w:szCs w:val="28"/>
          <w:lang w:val="cy-gb"/>
        </w:rPr>
        <w:t>Assignment coversheet &amp; feedback form</w:t>
      </w:r>
      <w:r>
        <w:rPr>
          <w:rFonts w:ascii="Arial" w:hAnsi="Arial" w:cs="Arial"/>
          <w:b/>
          <w:sz w:val="28"/>
          <w:szCs w:val="28"/>
        </w:rPr>
      </w:r>
    </w:p>
    <w:p>
      <w:pPr>
        <w:spacing w:before="0"/>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8"/>
          <w:szCs w:val="28"/>
          <w:lang w:val="cy-gb"/>
        </w:rPr>
      </w:pPr>
      <w:r>
        <w:rPr>
          <w:rFonts w:ascii="Arial" w:hAnsi="Arial" w:eastAsia="SimSun" w:cs="Arial"/>
          <w:sz w:val="28"/>
          <w:szCs w:val="28"/>
          <w:lang w:val="cy-gb"/>
        </w:rPr>
      </w:r>
    </w:p>
    <w:p>
      <w:pPr>
        <w:pStyle w:val="para3"/>
        <w:ind w:left="720"/>
        <w:spacing w:before="0" w:after="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ahoma" w:hAnsi="Tahoma" w:eastAsia="SimSun" w:cs="Tahoma"/>
          <w:sz w:val="20"/>
          <w:szCs w:val="20"/>
          <w:lang w:val="cy-gb"/>
        </w:rPr>
      </w:pPr>
      <w:r>
        <w:rPr>
          <w:rFonts w:ascii="Tahoma" w:hAnsi="Tahoma" w:eastAsia="SimSun" w:cs="Tahoma"/>
          <w:sz w:val="20"/>
          <w:szCs w:val="20"/>
          <w:lang w:val="cy-gb"/>
        </w:rPr>
        <w:t xml:space="preserve">THIS SHEET MUST BE THE FIRST </w:t>
      </w:r>
      <w:r>
        <w:rPr>
          <w:rFonts w:ascii="Tahoma" w:hAnsi="Tahoma" w:eastAsia="SimSun" w:cs="Tahoma"/>
          <w:sz w:val="20"/>
          <w:szCs w:val="20"/>
        </w:rPr>
        <w:t>PAGE</w:t>
      </w:r>
      <w:r>
        <w:rPr>
          <w:rFonts w:ascii="Tahoma" w:hAnsi="Tahoma" w:eastAsia="SimSun" w:cs="Tahoma"/>
          <w:sz w:val="20"/>
          <w:szCs w:val="20"/>
          <w:lang w:val="cy-gb"/>
        </w:rPr>
        <w:t xml:space="preserve"> OF THE ASSIGNMENT YOU ARE SUBMITTING  (DO NOT SEND AS A SEPARATE FILE)</w:t>
      </w:r>
      <w:r>
        <w:rPr>
          <w:rFonts w:ascii="Tahoma" w:hAnsi="Tahoma" w:eastAsia="SimSun" w:cs="Tahoma"/>
          <w:sz w:val="20"/>
          <w:szCs w:val="20"/>
          <w:lang w:val="cy-gb"/>
        </w:rPr>
      </w:r>
    </w:p>
    <w:p>
      <w:pPr>
        <w:pStyle w:val="para3"/>
        <w:ind w:left="720"/>
        <w:spacing w:before="0" w:after="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rebuchet MS" w:hAnsi="Trebuchet MS" w:eastAsia="SimSun" w:cs="Trebuchet MS"/>
          <w:sz w:val="20"/>
          <w:szCs w:val="20"/>
        </w:rPr>
      </w:pPr>
      <w:r>
        <w:rPr>
          <w:rFonts w:ascii="Trebuchet MS" w:hAnsi="Trebuchet MS" w:eastAsia="SimSun" w:cs="Trebuchet MS"/>
          <w:sz w:val="20"/>
          <w:szCs w:val="20"/>
        </w:rPr>
      </w:r>
    </w:p>
    <w:tbl>
      <w:tblPr>
        <w:tblStyle w:val="TableNormal"/>
        <w:name w:val="Table1"/>
        <w:tabOrder w:val="0"/>
        <w:jc w:val="left"/>
        <w:tblInd w:w="0" w:type="dxa"/>
        <w:tblW w:w="9639" w:type="dxa"/>
        <w:pPr>
          <w:spacing w:before="0"/>
          <w:jc w:val="left"/>
          <w:tabs defTabSz="720"/>
        </w:pPr>
        <w:tblLook w:val="0600" w:firstRow="0" w:lastRow="0" w:firstColumn="0" w:lastColumn="0" w:noHBand="1" w:noVBand="1"/>
      </w:tblPr>
      <w:tblGrid>
        <w:gridCol w:w="4778"/>
        <w:gridCol w:w="422"/>
        <w:gridCol w:w="1553"/>
        <w:gridCol w:w="286"/>
        <w:gridCol w:w="2600"/>
      </w:tblGrid>
      <w:tr>
        <w:trPr>
          <w:tblHeader w:val="0"/>
          <w:cantSplit w:val="0"/>
          <w:trHeight w:val="614"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pStyle w:val="para4"/>
              <w:ind w:right="34" w:firstLine="0"/>
              <w:spacing w:before="0" w:after="0" w:beforeAutospacing="0" w:afterAutospacing="0"/>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r>
              <w:rPr>
                <w:rFonts w:ascii="Arial" w:hAnsi="Arial" w:cs="Arial"/>
                <w:sz w:val="22"/>
                <w:szCs w:val="22"/>
              </w:rPr>
            </w:r>
          </w:p>
        </w:tc>
      </w:tr>
      <w:tr>
        <w:trPr>
          <w:tblHeader w:val="0"/>
          <w:cantSplit w:val="0"/>
          <w:trHeight w:val="71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Name: Linda Parkinson-Hardman</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 xml:space="preserve">Student </w:t>
            </w:r>
            <w:r>
              <w:rPr>
                <w:rFonts w:ascii="Arial" w:hAnsi="Arial" w:cs="Arial"/>
                <w:b/>
                <w:bCs/>
                <w:sz w:val="22"/>
                <w:szCs w:val="22"/>
                <w:u w:color="auto" w:val="single"/>
              </w:rPr>
              <w:t>University</w:t>
            </w:r>
            <w:r>
              <w:rPr>
                <w:rFonts w:ascii="Arial" w:hAnsi="Arial" w:cs="Arial"/>
                <w:sz w:val="22"/>
                <w:szCs w:val="22"/>
                <w:u w:color="auto" w:val="single"/>
              </w:rPr>
              <w:t xml:space="preserve"> </w:t>
            </w:r>
            <w:r>
              <w:rPr>
                <w:rFonts w:ascii="Arial" w:hAnsi="Arial" w:cs="Arial"/>
                <w:sz w:val="22"/>
                <w:szCs w:val="22"/>
              </w:rPr>
              <w:t>Email: 2409122@student.uwtsd.ac.uk</w:t>
            </w:r>
            <w:r>
              <w:rPr>
                <w:rFonts w:ascii="Arial" w:hAnsi="Arial" w:cs="Arial"/>
                <w:sz w:val="22"/>
                <w:szCs w:val="22"/>
              </w:rPr>
            </w:r>
          </w:p>
        </w:tc>
      </w:tr>
      <w:tr>
        <w:trPr>
          <w:tblHeader w:val="0"/>
          <w:cantSplit w:val="0"/>
          <w:trHeight w:val="849" w:hRule="atLeast"/>
        </w:trPr>
        <w:tc>
          <w:tcPr>
            <w:tcW w:w="4778"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code: HPCA7031</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title: Astrology: history, spirit and soul</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spacing w:before="0" w:after="0" w:beforeAutospacing="0" w:afterAutospacing="0"/>
              <w:rPr>
                <w:rFonts w:ascii="Arial" w:hAnsi="Arial" w:cs="Arial"/>
                <w:sz w:val="22"/>
                <w:szCs w:val="22"/>
              </w:rPr>
            </w:pPr>
            <w:r>
              <w:rPr>
                <w:rFonts w:ascii="Arial" w:hAnsi="Arial" w:cs="Arial"/>
                <w:sz w:val="22"/>
                <w:szCs w:val="22"/>
              </w:rPr>
            </w:r>
          </w:p>
        </w:tc>
        <w:tc>
          <w:tcPr>
            <w:tcW w:w="2261"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ID number:</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2409122</w:t>
            </w:r>
          </w:p>
        </w:tc>
        <w:tc>
          <w:tcPr>
            <w:tcW w:w="260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Educational support needs:</w:t>
            </w:r>
          </w:p>
          <w:p>
            <w:pPr>
              <w:pStyle w:val="para4"/>
              <w:ind w:right="34" w:firstLine="0"/>
              <w:spacing w:before="0" w:after="0" w:beforeAutospacing="0" w:afterAutospacing="0"/>
              <w:rPr>
                <w:rFonts w:ascii="Arial" w:hAnsi="Arial" w:cs="Arial"/>
                <w:sz w:val="22"/>
                <w:szCs w:val="22"/>
              </w:rPr>
            </w:pPr>
            <w:r>
              <w:rPr>
                <w:rFonts w:ascii="Arial" w:hAnsi="Arial" w:cs="Arial"/>
                <w:strike w:val="1"/>
                <w:sz w:val="22"/>
                <w:szCs w:val="22"/>
              </w:rPr>
              <w:t>Yes/</w:t>
            </w:r>
            <w:r>
              <w:rPr>
                <w:rFonts w:ascii="Arial" w:hAnsi="Arial" w:cs="Arial"/>
                <w:sz w:val="22"/>
                <w:szCs w:val="22"/>
              </w:rPr>
              <w:t>No</w:t>
            </w:r>
            <w:r>
              <w:rPr>
                <w:rFonts w:ascii="Arial" w:hAnsi="Arial" w:cs="Arial"/>
                <w:sz w:val="22"/>
                <w:szCs w:val="22"/>
              </w:rPr>
            </w:r>
          </w:p>
        </w:tc>
      </w:tr>
      <w:tr>
        <w:trPr>
          <w:tblHeader w:val="0"/>
          <w:cantSplit w:val="0"/>
          <w:trHeight w:val="1139"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title: A critical comparison of Mercury in three primary source documents</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Word Count: 3,123</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due date: 18</w:t>
            </w:r>
            <w:r>
              <w:rPr>
                <w:rFonts w:ascii="Arial" w:hAnsi="Arial" w:cs="Arial"/>
                <w:sz w:val="22"/>
                <w:szCs w:val="22"/>
                <w:vertAlign w:val="superscript"/>
              </w:rPr>
              <w:t>th</w:t>
            </w:r>
            <w:r>
              <w:rPr>
                <w:rFonts w:ascii="Arial" w:hAnsi="Arial" w:cs="Arial"/>
                <w:sz w:val="22"/>
                <w:szCs w:val="22"/>
              </w:rPr>
              <w:t xml:space="preserve"> November 2024</w:t>
            </w:r>
            <w:r>
              <w:rPr>
                <w:rFonts w:ascii="Arial" w:hAnsi="Arial" w:cs="Arial"/>
                <w:sz w:val="22"/>
                <w:szCs w:val="22"/>
              </w:rPr>
            </w:r>
          </w:p>
        </w:tc>
      </w:tr>
      <w:tr>
        <w:trPr>
          <w:tblHeader w:val="0"/>
          <w:cantSplit w:val="0"/>
          <w:trHeight w:val="97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2"/>
                <w:szCs w:val="22"/>
              </w:rPr>
            </w:pPr>
            <w:r>
              <w:rPr>
                <w:rFonts w:ascii="Arial" w:hAnsi="Arial" w:eastAsia="SimSun" w:cs="Arial"/>
                <w:sz w:val="22"/>
                <w:szCs w:val="22"/>
              </w:rPr>
              <w:t>This assignment is for the       1</w:t>
            </w:r>
            <w:r>
              <w:rPr>
                <w:rFonts w:ascii="Arial" w:hAnsi="Arial" w:eastAsia="SimSun" w:cs="Arial"/>
                <w:sz w:val="22"/>
                <w:szCs w:val="22"/>
                <w:vertAlign w:val="superscript"/>
              </w:rPr>
              <w:t xml:space="preserve">st </w:t>
            </w:r>
            <w:r/>
            <w:bookmarkStart w:id="0" w:name="Check13"/>
            <w:r/>
            <w:r>
              <w:rPr>
                <w:rFonts w:ascii="Arial" w:hAnsi="Arial" w:eastAsia="SimSun" w:cs="Arial"/>
                <w:sz w:val="22"/>
                <w:szCs w:val="22"/>
              </w:rPr>
            </w:r>
            <w:r>
              <w:rPr>
                <w:rFonts w:ascii="Arial" w:hAnsi="Arial" w:eastAsia="SimSun" w:cs="Arial"/>
                <w:sz w:val="22"/>
                <w:szCs w:val="22"/>
              </w:rPr>
              <w:fldChar w:fldCharType="begin">
                <w:ffData>
                  <w:name w:val="Check13"/>
                  <w:enabled/>
                  <w:calcOnExit w:val="0"/>
                  <w:checkBox>
                    <w:sizeAuto/>
                    <w:checked w:val="0"/>
                  </w:checkBox>
                  <w:dim/>
                </w:ffData>
              </w:fldChar>
            </w:r>
            <w:r>
              <w:rPr>
                <w:rFonts w:ascii="Arial" w:hAnsi="Arial" w:eastAsia="SimSun" w:cs="Arial"/>
                <w:sz w:val="22"/>
                <w:szCs w:val="22"/>
              </w:rPr>
              <w:instrText xml:space="preserve"> FORMCHECKBOX </w:instrText>
            </w:r>
            <w:r>
              <w:rPr>
                <w:rFonts w:ascii="Arial" w:hAnsi="Arial" w:eastAsia="SimSun" w:cs="Arial"/>
                <w:sz w:val="22"/>
                <w:szCs w:val="22"/>
              </w:rPr>
            </w:r>
            <w:r>
              <w:rPr>
                <w:rFonts w:ascii="Arial" w:hAnsi="Arial" w:eastAsia="SimSun" w:cs="Arial"/>
                <w:sz w:val="22"/>
                <w:szCs w:val="22"/>
              </w:rPr>
              <w:fldChar w:fldCharType="end"/>
            </w:r>
            <w:r>
              <w:rPr>
                <w:rFonts w:ascii="Arial" w:hAnsi="Arial" w:eastAsia="SimSun" w:cs="Arial"/>
                <w:sz w:val="22"/>
                <w:szCs w:val="22"/>
              </w:rPr>
            </w:r>
            <w:r/>
            <w:bookmarkEnd w:id="0"/>
            <w:r/>
            <w:r>
              <w:rPr>
                <w:rFonts w:ascii="Arial" w:hAnsi="Arial" w:eastAsia="SimSun" w:cs="Arial"/>
                <w:sz w:val="22"/>
                <w:szCs w:val="22"/>
              </w:rPr>
              <w:t xml:space="preserve">    2</w:t>
            </w:r>
            <w:r>
              <w:rPr>
                <w:rFonts w:ascii="Arial" w:hAnsi="Arial" w:eastAsia="SimSun" w:cs="Arial"/>
                <w:sz w:val="22"/>
                <w:szCs w:val="22"/>
                <w:vertAlign w:val="superscript"/>
              </w:rPr>
              <w:t>nd</w:t>
            </w:r>
            <w:r>
              <w:rPr>
                <w:rFonts w:ascii="Arial" w:hAnsi="Arial" w:eastAsia="SimSun" w:cs="Arial"/>
                <w:sz w:val="22"/>
                <w:szCs w:val="22"/>
              </w:rPr>
              <w:t xml:space="preserve">  </w:t>
            </w:r>
            <w:r/>
            <w:bookmarkStart w:id="1" w:name="Check14"/>
            <w:r/>
            <w:r>
              <w:rPr>
                <w:rFonts w:ascii="Arial" w:hAnsi="Arial" w:eastAsia="SimSun" w:cs="Arial"/>
                <w:sz w:val="22"/>
                <w:szCs w:val="22"/>
              </w:rPr>
            </w:r>
            <w:r>
              <w:rPr>
                <w:rFonts w:ascii="Arial" w:hAnsi="Arial" w:eastAsia="SimSun" w:cs="Arial"/>
                <w:sz w:val="22"/>
                <w:szCs w:val="22"/>
              </w:rPr>
              <w:fldChar w:fldCharType="begin">
                <w:ffData>
                  <w:name w:val="Check14"/>
                  <w:enabled/>
                  <w:calcOnExit w:val="0"/>
                  <w:checkBox>
                    <w:sizeAuto/>
                    <w:checked w:val="1"/>
                  </w:checkBox>
                  <w:dim/>
                </w:ffData>
              </w:fldChar>
            </w:r>
            <w:r>
              <w:rPr>
                <w:rFonts w:ascii="Arial" w:hAnsi="Arial" w:eastAsia="SimSun" w:cs="Arial"/>
                <w:sz w:val="22"/>
                <w:szCs w:val="22"/>
              </w:rPr>
              <w:instrText xml:space="preserve"> FORMCHECKBOX </w:instrText>
            </w:r>
            <w:r>
              <w:rPr>
                <w:rFonts w:ascii="Arial" w:hAnsi="Arial" w:eastAsia="SimSun" w:cs="Arial"/>
                <w:sz w:val="22"/>
                <w:szCs w:val="22"/>
              </w:rPr>
            </w:r>
            <w:r>
              <w:rPr>
                <w:rFonts w:ascii="Arial" w:hAnsi="Arial" w:eastAsia="SimSun" w:cs="Arial"/>
                <w:sz w:val="22"/>
                <w:szCs w:val="22"/>
              </w:rPr>
              <w:fldChar w:fldCharType="end"/>
            </w:r>
            <w:r>
              <w:rPr>
                <w:rFonts w:ascii="Arial" w:hAnsi="Arial" w:eastAsia="SimSun" w:cs="Arial"/>
                <w:sz w:val="22"/>
                <w:szCs w:val="22"/>
              </w:rPr>
            </w:r>
            <w:r/>
            <w:bookmarkEnd w:id="1"/>
            <w:r/>
            <w:r>
              <w:rPr>
                <w:rFonts w:ascii="Arial" w:hAnsi="Arial" w:eastAsia="SimSun" w:cs="Arial"/>
                <w:sz w:val="22"/>
                <w:szCs w:val="22"/>
              </w:rPr>
              <w:t xml:space="preserve">     3</w:t>
            </w:r>
            <w:r>
              <w:rPr>
                <w:rFonts w:ascii="Arial" w:hAnsi="Arial" w:eastAsia="SimSun" w:cs="Arial"/>
                <w:sz w:val="22"/>
                <w:szCs w:val="22"/>
                <w:vertAlign w:val="superscript"/>
              </w:rPr>
              <w:t>rd</w:t>
            </w:r>
            <w:r>
              <w:rPr>
                <w:rFonts w:ascii="Arial" w:hAnsi="Arial" w:eastAsia="SimSun" w:cs="Arial"/>
                <w:sz w:val="22"/>
                <w:szCs w:val="22"/>
              </w:rPr>
              <w:t xml:space="preserve">  </w:t>
            </w:r>
            <w:r/>
            <w:bookmarkStart w:id="2" w:name="Check15"/>
            <w:r/>
            <w:r>
              <w:rPr>
                <w:rFonts w:ascii="Arial" w:hAnsi="Arial" w:eastAsia="SimSun" w:cs="Arial"/>
                <w:sz w:val="22"/>
                <w:szCs w:val="22"/>
              </w:rPr>
            </w:r>
            <w:r>
              <w:rPr>
                <w:rFonts w:ascii="Arial" w:hAnsi="Arial" w:eastAsia="SimSun" w:cs="Arial"/>
                <w:sz w:val="22"/>
                <w:szCs w:val="22"/>
              </w:rPr>
              <w:fldChar w:fldCharType="begin">
                <w:ffData>
                  <w:name w:val="Check15"/>
                  <w:enabled/>
                  <w:calcOnExit w:val="0"/>
                  <w:checkBox>
                    <w:sizeAuto/>
                    <w:checked w:val="0"/>
                  </w:checkBox>
                  <w:dim/>
                </w:ffData>
              </w:fldChar>
            </w:r>
            <w:r>
              <w:rPr>
                <w:rFonts w:ascii="Arial" w:hAnsi="Arial" w:eastAsia="SimSun" w:cs="Arial"/>
                <w:sz w:val="22"/>
                <w:szCs w:val="22"/>
              </w:rPr>
              <w:instrText xml:space="preserve"> FORMCHECKBOX </w:instrText>
            </w:r>
            <w:r>
              <w:rPr>
                <w:rFonts w:ascii="Arial" w:hAnsi="Arial" w:eastAsia="SimSun" w:cs="Arial"/>
                <w:sz w:val="22"/>
                <w:szCs w:val="22"/>
              </w:rPr>
            </w:r>
            <w:r>
              <w:rPr>
                <w:rFonts w:ascii="Arial" w:hAnsi="Arial" w:eastAsia="SimSun" w:cs="Arial"/>
                <w:sz w:val="22"/>
                <w:szCs w:val="22"/>
              </w:rPr>
              <w:fldChar w:fldCharType="end"/>
            </w:r>
            <w:r>
              <w:rPr>
                <w:rFonts w:ascii="Arial" w:hAnsi="Arial" w:eastAsia="SimSun" w:cs="Arial"/>
                <w:sz w:val="22"/>
                <w:szCs w:val="22"/>
              </w:rPr>
            </w:r>
            <w:r/>
            <w:bookmarkEnd w:id="2"/>
            <w:r/>
            <w:r>
              <w:rPr>
                <w:rFonts w:ascii="Arial" w:hAnsi="Arial" w:eastAsia="SimSun" w:cs="Arial"/>
                <w:sz w:val="22"/>
                <w:szCs w:val="22"/>
              </w:rPr>
              <w:t xml:space="preserve">      4</w:t>
            </w:r>
            <w:r>
              <w:rPr>
                <w:rFonts w:ascii="Arial" w:hAnsi="Arial" w:eastAsia="SimSun" w:cs="Arial"/>
                <w:sz w:val="22"/>
                <w:szCs w:val="22"/>
                <w:vertAlign w:val="superscript"/>
              </w:rPr>
              <w:t>th</w:t>
            </w:r>
            <w:r>
              <w:rPr>
                <w:rFonts w:ascii="Arial" w:hAnsi="Arial" w:eastAsia="SimSun" w:cs="Arial"/>
                <w:sz w:val="22"/>
                <w:szCs w:val="22"/>
              </w:rPr>
              <w:t xml:space="preserve"> </w:t>
            </w:r>
            <w:r/>
            <w:bookmarkStart w:id="3" w:name="Check16"/>
            <w:r/>
            <w:r>
              <w:rPr>
                <w:rFonts w:ascii="Arial" w:hAnsi="Arial" w:eastAsia="SimSun" w:cs="Arial"/>
                <w:sz w:val="22"/>
                <w:szCs w:val="22"/>
              </w:rPr>
            </w:r>
            <w:r>
              <w:rPr>
                <w:rFonts w:ascii="Arial" w:hAnsi="Arial" w:eastAsia="SimSun" w:cs="Arial"/>
                <w:sz w:val="22"/>
                <w:szCs w:val="22"/>
              </w:rPr>
              <w:fldChar w:fldCharType="begin">
                <w:ffData>
                  <w:name w:val="Check16"/>
                  <w:enabled/>
                  <w:calcOnExit w:val="0"/>
                  <w:checkBox>
                    <w:sizeAuto/>
                    <w:checked w:val="0"/>
                  </w:checkBox>
                  <w:dim/>
                </w:ffData>
              </w:fldChar>
            </w:r>
            <w:r>
              <w:rPr>
                <w:rFonts w:ascii="Arial" w:hAnsi="Arial" w:eastAsia="SimSun" w:cs="Arial"/>
                <w:sz w:val="22"/>
                <w:szCs w:val="22"/>
              </w:rPr>
              <w:instrText xml:space="preserve"> FORMCHECKBOX </w:instrText>
            </w:r>
            <w:r>
              <w:rPr>
                <w:rFonts w:ascii="Arial" w:hAnsi="Arial" w:eastAsia="SimSun" w:cs="Arial"/>
                <w:sz w:val="22"/>
                <w:szCs w:val="22"/>
              </w:rPr>
            </w:r>
            <w:r>
              <w:rPr>
                <w:rFonts w:ascii="Arial" w:hAnsi="Arial" w:eastAsia="SimSun" w:cs="Arial"/>
                <w:sz w:val="22"/>
                <w:szCs w:val="22"/>
              </w:rPr>
              <w:fldChar w:fldCharType="end"/>
            </w:r>
            <w:r>
              <w:rPr>
                <w:rFonts w:ascii="Arial" w:hAnsi="Arial" w:eastAsia="SimSun" w:cs="Arial"/>
                <w:sz w:val="22"/>
                <w:szCs w:val="22"/>
              </w:rPr>
            </w:r>
            <w:r/>
            <w:bookmarkEnd w:id="3"/>
            <w:r/>
            <w:r>
              <w:rPr>
                <w:rFonts w:ascii="Arial" w:hAnsi="Arial" w:eastAsia="SimSun" w:cs="Arial"/>
                <w:sz w:val="22"/>
                <w:szCs w:val="22"/>
              </w:rPr>
              <w:t xml:space="preserve">      5</w:t>
            </w:r>
            <w:r>
              <w:rPr>
                <w:rFonts w:ascii="Arial" w:hAnsi="Arial" w:eastAsia="SimSun" w:cs="Arial"/>
                <w:sz w:val="22"/>
                <w:szCs w:val="22"/>
                <w:vertAlign w:val="superscript"/>
              </w:rPr>
              <w:t>th</w:t>
            </w:r>
            <w:r>
              <w:rPr>
                <w:rFonts w:ascii="Arial" w:hAnsi="Arial" w:eastAsia="SimSun" w:cs="Arial"/>
                <w:sz w:val="22"/>
                <w:szCs w:val="22"/>
              </w:rPr>
              <w:t xml:space="preserve"> </w:t>
            </w:r>
            <w:r/>
            <w:bookmarkStart w:id="4" w:name="Check17"/>
            <w:r/>
            <w:r>
              <w:rPr>
                <w:rFonts w:ascii="Arial" w:hAnsi="Arial" w:eastAsia="SimSun" w:cs="Arial"/>
                <w:sz w:val="22"/>
                <w:szCs w:val="22"/>
              </w:rPr>
            </w:r>
            <w:r>
              <w:rPr>
                <w:rFonts w:ascii="Arial" w:hAnsi="Arial" w:eastAsia="SimSun" w:cs="Arial"/>
                <w:sz w:val="22"/>
                <w:szCs w:val="22"/>
              </w:rPr>
              <w:fldChar w:fldCharType="begin">
                <w:ffData>
                  <w:name w:val="Check17"/>
                  <w:enabled/>
                  <w:calcOnExit w:val="0"/>
                  <w:checkBox>
                    <w:sizeAuto/>
                    <w:checked w:val="0"/>
                  </w:checkBox>
                  <w:dim/>
                </w:ffData>
              </w:fldChar>
            </w:r>
            <w:r>
              <w:rPr>
                <w:rFonts w:ascii="Arial" w:hAnsi="Arial" w:eastAsia="SimSun" w:cs="Arial"/>
                <w:sz w:val="22"/>
                <w:szCs w:val="22"/>
              </w:rPr>
              <w:instrText xml:space="preserve"> FORMCHECKBOX </w:instrText>
            </w:r>
            <w:r>
              <w:rPr>
                <w:rFonts w:ascii="Arial" w:hAnsi="Arial" w:eastAsia="SimSun" w:cs="Arial"/>
                <w:sz w:val="22"/>
                <w:szCs w:val="22"/>
              </w:rPr>
            </w:r>
            <w:r>
              <w:rPr>
                <w:rFonts w:ascii="Arial" w:hAnsi="Arial" w:eastAsia="SimSun" w:cs="Arial"/>
                <w:sz w:val="22"/>
                <w:szCs w:val="22"/>
              </w:rPr>
              <w:fldChar w:fldCharType="end"/>
            </w:r>
            <w:r>
              <w:rPr>
                <w:rFonts w:ascii="Arial" w:hAnsi="Arial" w:eastAsia="SimSun" w:cs="Arial"/>
                <w:sz w:val="22"/>
                <w:szCs w:val="22"/>
              </w:rPr>
            </w:r>
            <w:r/>
            <w:bookmarkEnd w:id="4"/>
            <w:r/>
            <w:r>
              <w:rPr>
                <w:rFonts w:ascii="Arial" w:hAnsi="Arial" w:eastAsia="SimSun" w:cs="Arial"/>
                <w:sz w:val="22"/>
                <w:szCs w:val="22"/>
              </w:rPr>
              <w:t xml:space="preserve">      6</w:t>
            </w:r>
            <w:r>
              <w:rPr>
                <w:rFonts w:ascii="Arial" w:hAnsi="Arial" w:eastAsia="SimSun" w:cs="Arial"/>
                <w:sz w:val="22"/>
                <w:szCs w:val="22"/>
                <w:vertAlign w:val="superscript"/>
              </w:rPr>
              <w:t>th</w:t>
            </w:r>
            <w:r>
              <w:rPr>
                <w:rFonts w:ascii="Arial" w:hAnsi="Arial" w:eastAsia="SimSun" w:cs="Arial"/>
                <w:sz w:val="22"/>
                <w:szCs w:val="22"/>
              </w:rPr>
              <w:t xml:space="preserve"> </w:t>
            </w:r>
            <w:r/>
            <w:bookmarkStart w:id="5" w:name="Check18"/>
            <w:r/>
            <w:r>
              <w:rPr>
                <w:rFonts w:ascii="Arial" w:hAnsi="Arial" w:eastAsia="SimSun" w:cs="Arial"/>
                <w:sz w:val="22"/>
                <w:szCs w:val="22"/>
              </w:rPr>
            </w:r>
            <w:r>
              <w:rPr>
                <w:rFonts w:ascii="Arial" w:hAnsi="Arial" w:eastAsia="SimSun" w:cs="Arial"/>
                <w:sz w:val="22"/>
                <w:szCs w:val="22"/>
              </w:rPr>
              <w:fldChar w:fldCharType="begin">
                <w:ffData>
                  <w:name w:val="Check18"/>
                  <w:enabled/>
                  <w:calcOnExit w:val="0"/>
                  <w:checkBox>
                    <w:sizeAuto/>
                    <w:checked w:val="0"/>
                  </w:checkBox>
                  <w:dim/>
                </w:ffData>
              </w:fldChar>
            </w:r>
            <w:r>
              <w:rPr>
                <w:rFonts w:ascii="Arial" w:hAnsi="Arial" w:eastAsia="SimSun" w:cs="Arial"/>
                <w:sz w:val="22"/>
                <w:szCs w:val="22"/>
              </w:rPr>
              <w:instrText xml:space="preserve"> FORMCHECKBOX </w:instrText>
            </w:r>
            <w:r>
              <w:rPr>
                <w:rFonts w:ascii="Arial" w:hAnsi="Arial" w:eastAsia="SimSun" w:cs="Arial"/>
                <w:sz w:val="22"/>
                <w:szCs w:val="22"/>
              </w:rPr>
            </w:r>
            <w:r>
              <w:rPr>
                <w:rFonts w:ascii="Arial" w:hAnsi="Arial" w:eastAsia="SimSun" w:cs="Arial"/>
                <w:sz w:val="22"/>
                <w:szCs w:val="22"/>
              </w:rPr>
              <w:fldChar w:fldCharType="end"/>
            </w:r>
            <w:r>
              <w:rPr>
                <w:rFonts w:ascii="Arial" w:hAnsi="Arial" w:eastAsia="SimSun" w:cs="Arial"/>
                <w:sz w:val="22"/>
                <w:szCs w:val="22"/>
              </w:rPr>
            </w:r>
            <w:r/>
            <w:bookmarkEnd w:id="5"/>
            <w:r/>
            <w:r>
              <w:rPr>
                <w:rFonts w:ascii="Arial" w:hAnsi="Arial" w:eastAsia="SimSun" w:cs="Arial"/>
                <w:b/>
                <w:sz w:val="22"/>
                <w:szCs w:val="22"/>
              </w:rPr>
              <w:t xml:space="preserve">   </w:t>
            </w:r>
            <w:r>
              <w:rPr>
                <w:rFonts w:ascii="Arial" w:hAnsi="Arial" w:eastAsia="SimSun" w:cs="Arial"/>
                <w:sz w:val="22"/>
                <w:szCs w:val="22"/>
              </w:rPr>
              <w:t>module of the degree</w:t>
            </w:r>
            <w:r>
              <w:rPr>
                <w:rFonts w:ascii="Arial" w:hAnsi="Arial" w:eastAsia="SimSun" w:cs="Arial"/>
                <w:sz w:val="22"/>
                <w:szCs w:val="22"/>
              </w:rPr>
            </w:r>
          </w:p>
        </w:tc>
      </w:tr>
      <w:tr>
        <w:trPr>
          <w:tblHeader w:val="0"/>
          <w:cantSplit w:val="0"/>
          <w:trHeight w:val="978" w:hRule="atLeast"/>
        </w:trPr>
        <w:tc>
          <w:tcPr>
            <w:tcW w:w="9639" w:type="dxa"/>
            <w:gridSpan w:val="5"/>
            <w:shd w:val="solid" w:color="D9D9D9" tmshd="1677721856, 0, 14277081"/>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I confirm that this is my original work and that I have adhered to the University policy on plagiarism.</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Signed  L Parkinson-Hardman</w:t>
            </w:r>
          </w:p>
          <w:p>
            <w:pPr>
              <w:pStyle w:val="para4"/>
              <w:ind w:right="34" w:firstLine="0"/>
              <w:spacing w:before="0" w:after="0" w:beforeAutospacing="0" w:afterAutospacing="0"/>
              <w:rPr>
                <w:rFonts w:ascii="Wingdings 2" w:hAnsi="Wingdings 2" w:eastAsia="Wingdings 2" w:cs="Wingdings 2"/>
                <w:b/>
                <w:sz w:val="44"/>
                <w:szCs w:val="44"/>
              </w:rPr>
            </w:pPr>
            <w:r>
              <w:rPr>
                <w:rFonts w:ascii="Calibri" w:hAnsi="Calibri" w:cs="Tahoma"/>
                <w:b/>
                <w:sz w:val="24"/>
                <w:szCs w:val="24"/>
              </w:rPr>
              <w:t xml:space="preserve">Email submission:if you are submitting this form via email, please tick this box </w:t>
            </w:r>
            <w:r>
              <w:rPr>
                <w:rFonts w:ascii="Calibri" w:hAnsi="Calibri" w:cs="Calibri"/>
                <w:b/>
                <w:sz w:val="32"/>
                <w:szCs w:val="32"/>
              </w:rPr>
              <w:t xml:space="preserve"> </w:t>
            </w:r>
            <w:r>
              <w:rPr>
                <w:rFonts w:ascii="Wingdings 2" w:hAnsi="Wingdings 2" w:eastAsia="Wingdings 2" w:cs="Wingdings 2"/>
                <w:b/>
                <w:sz w:val="32"/>
                <w:szCs w:val="32"/>
              </w:rPr>
              <w:t></w:t>
            </w:r>
            <w:r>
              <w:rPr>
                <w:rFonts w:ascii="Wingdings 2" w:hAnsi="Wingdings 2" w:eastAsia="Wingdings 2" w:cs="Wingdings 2"/>
                <w:b/>
                <w:sz w:val="44"/>
                <w:szCs w:val="44"/>
              </w:rPr>
            </w:r>
          </w:p>
          <w:p>
            <w:pPr>
              <w:pStyle w:val="para4"/>
              <w:ind w:right="34" w:firstLine="0"/>
              <w:spacing w:before="0" w:after="0" w:beforeAutospacing="0" w:afterAutospacing="0"/>
              <w:rPr>
                <w:rFonts w:ascii="Arial" w:hAnsi="Arial" w:cs="Arial"/>
                <w:sz w:val="22"/>
                <w:szCs w:val="22"/>
              </w:rPr>
            </w:pPr>
            <w:r>
              <w:rPr>
                <w:rFonts w:ascii="Calibri" w:hAnsi="Calibri" w:cs="Tahoma"/>
                <w:b/>
                <w:sz w:val="24"/>
                <w:szCs w:val="24"/>
              </w:rPr>
              <w:t>(as a substitute for your signature) to confirm that you agree to the above declaration.</w:t>
            </w:r>
            <w:r>
              <w:rPr>
                <w:rFonts w:ascii="Arial" w:hAnsi="Arial" w:cs="Arial"/>
                <w:sz w:val="22"/>
                <w:szCs w:val="22"/>
              </w:rPr>
            </w:r>
          </w:p>
        </w:tc>
      </w:tr>
      <w:tr>
        <w:trPr>
          <w:tblHeader w:val="0"/>
          <w:cantSplit w:val="0"/>
          <w:trHeight w:val="3972"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rPr>
            </w:pPr>
            <w:r>
              <w:rPr>
                <w:rFonts w:ascii="Arial" w:hAnsi="Arial" w:eastAsia="SimSun" w:cs="Arial"/>
                <w:b/>
              </w:rPr>
            </w:r>
          </w:p>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b/>
              </w:rPr>
              <w:t>Assignment Mark</w:t>
            </w:r>
            <w:r>
              <w:rPr>
                <w:rFonts w:ascii="Arial" w:hAnsi="Arial" w:eastAsia="SimSun" w:cs="Arial"/>
              </w:rPr>
            </w:r>
          </w:p>
          <w:tbl>
            <w:tblPr>
              <w:tblStyle w:val="TableNormal"/>
              <w:name w:val="Table2"/>
              <w:tabOrder w:val="0"/>
              <w:jc w:val="left"/>
              <w:tblInd w:w="0" w:type="dxa"/>
              <w:tblW w:w="9413" w:type="dxa"/>
              <w:pPr>
                <w:spacing w:before="0"/>
                <w:jc w:val="left"/>
                <w:tabs defTabSz="720"/>
              </w:pPr>
              <w:tblLook w:val="0600" w:firstRow="0" w:lastRow="0" w:firstColumn="0" w:lastColumn="0" w:noHBand="1" w:noVBand="1"/>
            </w:tblPr>
            <w:tblGrid>
              <w:gridCol w:w="6911"/>
              <w:gridCol w:w="2502"/>
            </w:tblGrid>
            <w:tr>
              <w:trPr>
                <w:tblHeader w:val="0"/>
                <w:cantSplit w:val="0"/>
                <w:trHeight w:val="0" w:hRule="auto"/>
              </w:trPr>
              <w:tc>
                <w:tcPr>
                  <w:tcW w:w="69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1</w:t>
                  </w:r>
                  <w:r>
                    <w:rPr>
                      <w:rFonts w:ascii="Arial" w:hAnsi="Arial" w:eastAsia="SimSun" w:cs="Arial"/>
                      <w:sz w:val="20"/>
                      <w:szCs w:val="20"/>
                      <w:vertAlign w:val="superscript"/>
                    </w:rPr>
                    <w:t>st</w:t>
                  </w:r>
                  <w:r>
                    <w:rPr>
                      <w:rFonts w:ascii="Arial" w:hAnsi="Arial" w:eastAsia="SimSun" w:cs="Arial"/>
                      <w:sz w:val="20"/>
                      <w:szCs w:val="20"/>
                    </w:rPr>
                    <w:t xml:space="preserve"> Marker’s Provisional mark</w:t>
                  </w:r>
                </w:p>
              </w:tc>
              <w:tc>
                <w:tcPr>
                  <w:tcW w:w="25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2</w:t>
                  </w:r>
                  <w:r>
                    <w:rPr>
                      <w:rFonts w:ascii="Arial" w:hAnsi="Arial" w:eastAsia="SimSun" w:cs="Arial"/>
                      <w:sz w:val="20"/>
                      <w:szCs w:val="20"/>
                      <w:vertAlign w:val="superscript"/>
                    </w:rPr>
                    <w:t>nd</w:t>
                  </w:r>
                  <w:r>
                    <w:rPr>
                      <w:rFonts w:ascii="Arial" w:hAnsi="Arial" w:eastAsia="SimSun" w:cs="Arial"/>
                      <w:sz w:val="20"/>
                      <w:szCs w:val="20"/>
                    </w:rPr>
                    <w:t xml:space="preserve"> Marker’s/Moderator’s provisional mark</w:t>
                  </w:r>
                </w:p>
              </w:tc>
              <w:tc>
                <w:tcPr>
                  <w:tcW w:w="25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External Examiner’s mark (if relevant)</w:t>
                  </w:r>
                </w:p>
              </w:tc>
              <w:tc>
                <w:tcPr>
                  <w:tcW w:w="25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sz w:val="20"/>
                      <w:szCs w:val="20"/>
                    </w:rPr>
                  </w:pPr>
                  <w:r>
                    <w:rPr>
                      <w:rFonts w:ascii="Arial" w:hAnsi="Arial" w:eastAsia="SimSun" w:cs="Arial"/>
                      <w:b/>
                      <w:sz w:val="20"/>
                      <w:szCs w:val="20"/>
                    </w:rPr>
                    <w:t>Final Mark</w:t>
                  </w:r>
                </w:p>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c>
                <w:tcPr>
                  <w:tcW w:w="25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bl>
          <w:p>
            <w:pPr>
              <w:pStyle w:val="para4"/>
              <w:ind w:left="142" w:right="34"/>
              <w:spacing w:before="0" w:after="0" w:beforeAutospacing="0" w:afterAutospacing="0"/>
              <w:rPr>
                <w:rFonts w:ascii="Arial" w:hAnsi="Arial" w:cs="Arial"/>
                <w:b/>
                <w:sz w:val="22"/>
                <w:szCs w:val="22"/>
              </w:rPr>
            </w:pPr>
            <w:r>
              <w:rPr>
                <w:rFonts w:ascii="Arial" w:hAnsi="Arial" w:cs="Arial"/>
                <w:b/>
                <w:sz w:val="22"/>
                <w:szCs w:val="22"/>
              </w:rPr>
            </w:r>
          </w:p>
          <w:p>
            <w:pPr>
              <w:pStyle w:val="para4"/>
              <w:ind w:left="142" w:right="34" w:firstLine="0"/>
              <w:spacing w:before="0" w:after="0" w:beforeAutospacing="0" w:afterAutospacing="0"/>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r>
              <w:rPr>
                <w:rFonts w:ascii="Arial" w:hAnsi="Arial" w:cs="Arial"/>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t>For completion by Marker 1 :</w:t>
            </w:r>
          </w:p>
          <w:p>
            <w:pPr>
              <w:pStyle w:val="para4"/>
              <w:ind w:firstLine="0"/>
              <w:rPr>
                <w:rFonts w:ascii="Arial" w:hAnsi="Arial" w:cs="Arial"/>
                <w:sz w:val="22"/>
                <w:szCs w:val="22"/>
              </w:rPr>
            </w:pPr>
            <w:r>
              <w:rPr>
                <w:rFonts w:ascii="Arial" w:hAnsi="Arial" w:cs="Arial"/>
                <w:sz w:val="22"/>
                <w:szCs w:val="22"/>
              </w:rPr>
              <w:t>Comments:</w:t>
            </w:r>
          </w:p>
          <w:p>
            <w:pPr>
              <w:pStyle w:val="para4"/>
              <w:rPr>
                <w:rFonts w:ascii="Arial" w:hAnsi="Arial" w:cs="Arial"/>
                <w:sz w:val="22"/>
                <w:szCs w:val="22"/>
              </w:rPr>
            </w:pPr>
            <w:r>
              <w:rPr>
                <w:rFonts w:ascii="Arial" w:hAnsi="Arial" w:cs="Arial"/>
                <w:sz w:val="22"/>
                <w:szCs w:val="22"/>
              </w:rPr>
            </w:r>
          </w:p>
        </w:tc>
      </w:tr>
      <w:tr>
        <w:trPr>
          <w:tblHeader w:val="0"/>
          <w:cantSplit w:val="0"/>
          <w:trHeight w:val="492" w:hRule="atLeast"/>
        </w:trPr>
        <w:tc>
          <w:tcPr>
            <w:tcW w:w="6753"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pStyle w:val="para4"/>
              <w:ind w:left="0" w:right="34" w:firstLine="0"/>
              <w:rPr>
                <w:rFonts w:ascii="Arial" w:hAnsi="Arial" w:cs="Arial"/>
                <w:sz w:val="22"/>
                <w:szCs w:val="22"/>
              </w:rPr>
            </w:pPr>
            <w:r>
              <w:rPr>
                <w:rFonts w:ascii="Arial" w:hAnsi="Arial" w:cs="Arial"/>
                <w:sz w:val="22"/>
                <w:szCs w:val="22"/>
              </w:rPr>
              <w:t>Marker’s signature:</w:t>
            </w:r>
          </w:p>
        </w:tc>
        <w:tc>
          <w:tcPr>
            <w:tcW w:w="2886"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pStyle w:val="para4"/>
              <w:ind w:left="0" w:right="34" w:firstLine="0"/>
              <w:spacing w:after="0"/>
              <w:rPr>
                <w:rFonts w:ascii="Arial" w:hAnsi="Arial" w:cs="Arial"/>
                <w:sz w:val="22"/>
                <w:szCs w:val="22"/>
              </w:rPr>
            </w:pPr>
            <w:r>
              <w:rPr>
                <w:rFonts w:ascii="Arial" w:hAnsi="Arial" w:cs="Arial"/>
                <w:sz w:val="22"/>
                <w:szCs w:val="22"/>
              </w:rPr>
              <w:t>Date:</w:t>
            </w:r>
          </w:p>
        </w:tc>
      </w:tr>
      <w:tr>
        <w:trPr>
          <w:tblHeader w:val="0"/>
          <w:cantSplit w:val="0"/>
          <w:trHeight w:val="0" w:hRule="auto"/>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pStyle w:val="para4"/>
              <w:ind w:right="-334"/>
              <w:spacing w:before="0" w:after="0" w:beforeAutospacing="0" w:afterAutospacing="0"/>
              <w:rPr>
                <w:rFonts w:ascii="Arial" w:hAnsi="Arial" w:cs="Arial"/>
                <w:bCs/>
                <w:i/>
                <w:sz w:val="22"/>
                <w:szCs w:val="22"/>
              </w:rPr>
            </w:pPr>
            <w:r>
              <w:rPr>
                <w:rFonts w:ascii="Arial" w:hAnsi="Arial" w:cs="Arial"/>
                <w:bCs/>
                <w:i/>
                <w:sz w:val="22"/>
                <w:szCs w:val="22"/>
              </w:rPr>
            </w:r>
          </w:p>
          <w:p>
            <w:pPr>
              <w:pStyle w:val="para4"/>
              <w:ind w:right="-334" w:firstLine="0"/>
              <w:spacing w:before="0" w:after="0" w:beforeAutospacing="0" w:afterAutospacing="0"/>
              <w:rPr>
                <w:rFonts w:ascii="Arial" w:hAnsi="Arial" w:cs="Arial"/>
                <w:b/>
                <w:bCs/>
                <w:sz w:val="22"/>
                <w:szCs w:val="22"/>
              </w:rPr>
            </w:pPr>
            <w:r>
              <w:rPr>
                <w:rFonts w:ascii="Arial" w:hAnsi="Arial" w:cs="Arial"/>
                <w:b/>
                <w:bCs/>
                <w:sz w:val="22"/>
                <w:szCs w:val="22"/>
              </w:rPr>
              <w:t>For completion by Marker 2/Moderator:</w:t>
            </w:r>
          </w:p>
          <w:p>
            <w:pPr>
              <w:pStyle w:val="para4"/>
              <w:ind w:right="-334"/>
              <w:spacing w:before="0" w:after="0" w:beforeAutospacing="0" w:afterAutospacing="0"/>
              <w:rPr>
                <w:rFonts w:ascii="Arial" w:hAnsi="Arial" w:cs="Arial"/>
                <w:b/>
                <w:bCs/>
                <w:sz w:val="22"/>
                <w:szCs w:val="22"/>
              </w:rPr>
            </w:pPr>
            <w:r>
              <w:rPr>
                <w:rFonts w:ascii="Arial" w:hAnsi="Arial" w:cs="Arial"/>
                <w:b/>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Comments:</w:t>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Marker’s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Date:</w:t>
            </w:r>
          </w:p>
        </w:tc>
      </w:tr>
      <w:tr>
        <w:trPr>
          <w:tblHeader w:val="0"/>
          <w:cantSplit w:val="0"/>
          <w:trHeight w:val="720"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sz w:val="22"/>
                <w:szCs w:val="22"/>
              </w:rPr>
            </w:pPr>
            <w:r>
              <w:rPr>
                <w:rFonts w:ascii="Arial" w:hAnsi="Arial" w:eastAsia="SimSun" w:cs="Arial"/>
                <w:b/>
                <w:sz w:val="22"/>
                <w:szCs w:val="22"/>
              </w:rPr>
              <w:t>External Examiner’s comments (if relevant)</w:t>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2"/>
                <w:szCs w:val="22"/>
              </w:rPr>
            </w:pPr>
            <w:r>
              <w:rPr>
                <w:rFonts w:ascii="Arial" w:hAnsi="Arial" w:eastAsia="SimSun" w:cs="Arial"/>
                <w:sz w:val="22"/>
                <w:szCs w:val="22"/>
              </w:rPr>
              <w:t>External Examiner’s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1418786" protected="1"/>
          </w:tcPr>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2"/>
                <w:szCs w:val="22"/>
              </w:rPr>
            </w:pPr>
            <w:r>
              <w:rPr>
                <w:rFonts w:ascii="Arial" w:hAnsi="Arial" w:eastAsia="SimSun" w:cs="Arial"/>
                <w:sz w:val="22"/>
                <w:szCs w:val="22"/>
              </w:rPr>
              <w:t>Date:</w:t>
            </w:r>
          </w:p>
        </w:tc>
      </w:tr>
    </w:tbl>
    <w:p>
      <w:pPr>
        <w:pStyle w:val="para4"/>
        <w:ind w:right="-334"/>
        <w:spacing w:before="0" w:after="0" w:beforeAutospacing="0" w:afterAutospacing="0"/>
        <w:rPr>
          <w:rFonts w:ascii="Trebuchet MS" w:hAnsi="Trebuchet MS" w:cs="Tahoma"/>
          <w:bCs/>
          <w:sz w:val="24"/>
          <w:szCs w:val="24"/>
        </w:rPr>
      </w:pPr>
      <w:r>
        <w:rPr>
          <w:rFonts w:ascii="Trebuchet MS" w:hAnsi="Trebuchet MS" w:cs="Tahoma"/>
          <w:bCs/>
          <w:sz w:val="24"/>
          <w:szCs w:val="24"/>
        </w:rPr>
      </w:r>
    </w:p>
    <w:p>
      <w:r/>
    </w:p>
    <w:p>
      <w:pPr>
        <w:pStyle w:val="para1"/>
        <w:ind w:firstLine="0"/>
        <w:spacing/>
        <w:jc w:val="center"/>
      </w:pPr>
      <w:r>
        <w:br w:type="page"/>
      </w:r>
      <w:r>
        <w:t xml:space="preserve">A critical comparison of Mercury in </w:t>
        <w:br w:type="textWrapping"/>
        <w:t>three primary source documents</w:t>
      </w:r>
    </w:p>
    <w:p>
      <w:pPr>
        <w:pStyle w:val="para3"/>
      </w:pPr>
      <w:r>
        <w:t>Introduction</w:t>
      </w:r>
    </w:p>
    <w:p>
      <w:r>
        <w:t>This paper will compare and contrast the treatment of the astrological use of Mercury in the following three sources:  Claudius Ptolemy, Tetrabiblos, translated by F. E Robbins (Loeb Classical Library 435. Cambridge, MA: Harvard University Press, 1940.)</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
      </w:r>
      <w:r>
        <w:t>, William Lilly, Christian Astrology,  (Abingdon: Astrology Classics, [1659] 2004)</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
      </w:r>
      <w:r>
        <w:t xml:space="preserve"> and Alan Leo, How to Judge a Nativity 6</w:t>
      </w:r>
      <w:r>
        <w:rPr>
          <w:vertAlign w:val="superscript"/>
        </w:rPr>
        <w:t>th</w:t>
      </w:r>
      <w:r>
        <w:t xml:space="preserve"> edition [Spellman Press, Kindle Edition, 2020 (1935)]</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
      </w:r>
      <w:r>
        <w:t>.</w:t>
      </w:r>
    </w:p>
    <w:p>
      <w:r>
        <w:t>Mercury, the first planet out from the Sun in our solar system, is small and heavily cratered. It is difficult to see with the naked eye, and is best viewed in the 90 minutes at sunset or sunrise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0"/>
      </w:r>
      <w:r>
        <w:t xml:space="preserve">. </w:t>
      </w:r>
    </w:p>
    <w:p>
      <w:pPr>
        <w:pStyle w:val="para3"/>
      </w:pPr>
      <w:r>
        <w:t>Claudius Ptolemy, Tetrabiblos</w:t>
      </w:r>
    </w:p>
    <w:p>
      <w:pPr>
        <w:suppressAutoHyphens/>
        <w:hyphenationLines w:val="0"/>
      </w:pPr>
      <w:r>
        <w:t>Claudius Ptolemy (100–178 CE), was an astrologer astronomer born in Ptolemaïs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1"/>
      </w:r>
      <w:r>
        <w:t xml:space="preserve">. His four ancient Greek texts, titled The Quadripartite Mathematical Treatise, or </w:t>
      </w:r>
      <w:r>
        <w:rPr>
          <w:b/>
          <w:bCs/>
        </w:rPr>
        <w:t>Tetrabiblos</w:t>
      </w:r>
      <w:r>
        <w:t>, of Claudius Ptolemy, or a 'Mathematical Treatise in Four Books’'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2"/>
      </w:r>
      <w:r>
        <w:t>, comprises a set of instructions for practitioners and students of astrology and was to be the definitive text on the art for a millennia</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3"/>
      </w:r>
      <w:r>
        <w:t>. In addition to Tetrabiblos, Ptolemy is believed to be the author of thirteen additional works including The Almagest, although as Robbins explained, there is debate regarding his authorship</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4"/>
      </w:r>
      <w:r>
        <w:t>.</w:t>
      </w:r>
    </w:p>
    <w:p>
      <w:pPr>
        <w:suppressAutoHyphens/>
        <w:hyphenationLines w:val="0"/>
      </w:pPr>
      <w:r>
        <w:t xml:space="preserve">In his introduction to his translation, Robbins also highlights the issues arising from the translation of ancient texts, explaining there were only a limited number of direct translations from the original Greek, with the most recently </w:t>
      </w:r>
      <w:r>
        <w:rPr>
          <w:i/>
          <w:iCs/>
        </w:rPr>
        <w:t>completed</w:t>
      </w:r>
      <w:r>
        <w:t xml:space="preserve"> being in 1581 by Fr. Junctinus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5"/>
      </w:r>
      <w:r>
        <w:t>. Robbins discusses at length the issues given the paucity of available original manuscripts and this must be taken into account when considering Ptolemy’s position on any astrological feature in the Tetrabiblos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6"/>
      </w:r>
      <w:r>
        <w:t>.</w:t>
      </w:r>
    </w:p>
    <w:p>
      <w:pPr>
        <w:suppressAutoHyphens/>
        <w:hyphenationLines w:val="0"/>
      </w:pPr>
      <w:r>
        <w:t>Ptolemy states the purpose of Tetrabiblos is to ‘[..] give an account of the second (astrology) and less self-sufficient method in a properly philosophical way’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7"/>
      </w:r>
      <w:r>
        <w:t xml:space="preserve"> and improve ‘the mistakes of those who are not accurately instructed in its practice’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8"/>
      </w:r>
      <w:r>
        <w:t>. A further aim may also be inferred as defending astrology from its critics by asking how it is they are happy to foretell the weather by observation of the planets and stars, but are unable to:</w:t>
      </w:r>
    </w:p>
    <w:p>
      <w:pPr>
        <w:pStyle w:val="para6"/>
      </w:pPr>
      <w:r>
        <w:t>[..] perceive the general quality of his temperament from the ambient at the time of his birth, […] predict occasional events, ... and is favourable to prosperity, while another is not so attuned and conduces to injury?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9"/>
      </w:r>
      <w:r>
        <w:t>.</w:t>
      </w:r>
    </w:p>
    <w:p>
      <w:pPr>
        <w:suppressAutoHyphens/>
        <w:hyphenationLines w:val="0"/>
      </w:pPr>
      <w:r>
        <w:t>As an academic work, Ptolemy presents two issues; the first is his writing style which is meandering and lacks specific meaning as the above paragraph demonstrates. The second, is the derivation of his information as we do not know his sources, or if it is simply an account of personal observations. He alludes to a more ancient source when he states ‘ancient configurations of the planets, upon the basis of which we attach to similar aspects of our own day’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0"/>
      </w:r>
      <w:r>
        <w:t>. But what those sources are can only be assumed.</w:t>
      </w:r>
    </w:p>
    <w:p>
      <w:pPr>
        <w:suppressAutoHyphens/>
        <w:hyphenationLines w:val="0"/>
      </w:pPr>
      <w:r>
        <w:t>Mercury is mentioned twenty eight times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1"/>
      </w:r>
      <w:r>
        <w:t xml:space="preserve"> over a range of topics from the nature of the planet to its effect on the body. Ptolemy begins by describing the dry and ‘absorptive’ nature of the planet attributing this to its proximity to the Sun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2"/>
      </w:r>
      <w:r>
        <w:t>. It also lacks a specific gender due to it producing ‘dry and moist alike’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3"/>
      </w:r>
      <w:r>
        <w:t>, a fact that appears to contradict his earlier statement about Mercury’s ‘absorptive’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4"/>
      </w:r>
      <w:r>
        <w:t xml:space="preserve"> powers. His observation of Mercury as both evening (feminine) and morning (masculine) star as the reason for its neutrality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5"/>
      </w:r>
      <w:r>
        <w:t xml:space="preserve">. </w:t>
      </w:r>
    </w:p>
    <w:p>
      <w:pPr>
        <w:suppressAutoHyphens/>
        <w:hyphenationLines w:val="0"/>
      </w:pPr>
      <w:r>
        <w:t>It is interesting to note that modern astronomy has shown that only the side facing the Sun is hot, the far side being far colder than was previously assumed. They also show that Mercury has phases like the moon, a fact that could not have been known in earlier times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6"/>
      </w:r>
      <w:r>
        <w:t>. Is it possible that ancient astronomers intuited both these facts, offering a reason why Mercury has acquired this adaptive nature in astrology? We will never know for certain, but modern astronomy now appears to lend weight to ancient assumptions.</w:t>
      </w:r>
    </w:p>
    <w:p>
      <w:pPr>
        <w:suppressAutoHyphens/>
        <w:hyphenationLines w:val="0"/>
      </w:pPr>
      <w:r>
        <w:t>Ptolemy comments that the planet rules Gemini and Virgo because these signs are next to those signs ruled by the Sun and Moon, Leo and Cancer</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7"/>
      </w:r>
      <w:r>
        <w:t>. Mercury sits next to the sun, ergo it should rule the sign next to that of the Sun.</w:t>
      </w:r>
    </w:p>
    <w:p>
      <w:pPr>
        <w:suppressAutoHyphens/>
        <w:hyphenationLines w:val="0"/>
      </w:pPr>
      <w:r>
        <w:t xml:space="preserve">In astrology, all planets shine (are Exalted) and are depressed (in Detriment) in specific zodiac signs. For Mercury these are Virgo and Pisces respectively. Virgo he tells us is exalted because it represents the dry heat of Autumn; and Pisces, presumably because it reflects the damp of early Spring, although he does not mention this latter point specifically </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8"/>
      </w:r>
      <w:r>
        <w:t>.</w:t>
      </w:r>
    </w:p>
    <w:p>
      <w:pPr>
        <w:suppressAutoHyphens/>
        <w:hyphenationLines w:val="0"/>
      </w:pPr>
      <w:r>
        <w:t>Mercury’s mercurial nature is specified throughout Ptolemy’s references because its lack of gender renders it adept at taking on the ‘nature like whatever of the other planets may be associated with him’</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9"/>
      </w:r>
      <w:r>
        <w:t xml:space="preserve"> and is therefore as likely to  be ‘stimulating’ and ‘ingenious’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0"/>
      </w:r>
      <w:r>
        <w:t xml:space="preserve"> whilst also causing ‘robberies’ and ‘piracy’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1"/>
      </w:r>
      <w:r>
        <w:t xml:space="preserve">. </w:t>
      </w:r>
    </w:p>
    <w:p>
      <w:pPr>
        <w:suppressAutoHyphens/>
        <w:hyphenationLines w:val="0"/>
      </w:pPr>
      <w:r>
        <w:t>For Ptolemy, governance of the soul is through the rational mind, represented by Mercury and the irrational or emotional mind, represented by the Moon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2"/>
      </w:r>
      <w:r>
        <w:t>. The quality of the soul is defined by the combination of these two when aspected by other planets, producing a section of his work which is encyclopaedic, striving to leave almost no option out in its list of as many human conditions and experiences as can be conceived of</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3"/>
      </w:r>
      <w:r>
        <w:t>.</w:t>
      </w:r>
    </w:p>
    <w:p>
      <w:pPr>
        <w:suppressAutoHyphens/>
        <w:hyphenationLines w:val="0"/>
      </w:pPr>
      <w:r>
        <w:t>There are sporadic references throughout to attributes of Mercury used by modern astrologers such as communication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4"/>
      </w:r>
      <w:r>
        <w:t xml:space="preserve"> but these are not expanded on to any great extent. Instead his work is subdivided into categories such as Monsters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5"/>
      </w:r>
      <w:r>
        <w:t>, Prorogation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6"/>
      </w:r>
      <w:r>
        <w:t>, Illness and Disease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7"/>
      </w:r>
      <w:r>
        <w:t>, Diseases of the soul</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8"/>
      </w:r>
      <w:r>
        <w:t xml:space="preserve"> and Action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9"/>
      </w:r>
      <w:r>
        <w:t>. This division by category makes it difficult to follow the effect of Mercury as a single entity, although it does make it easier to answer specific questions about marriage and children.</w:t>
      </w:r>
    </w:p>
    <w:p>
      <w:pPr>
        <w:pStyle w:val="para3"/>
      </w:pPr>
      <w:r>
        <w:t>William Lilly, Christian Astrology</w:t>
      </w:r>
    </w:p>
    <w:p>
      <w:r>
        <w:t>William Lilly (1602-81)</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0"/>
      </w:r>
      <w:r>
        <w:t xml:space="preserve">, unlike Ptolemy, gives us significant biographical details in the Introduction to his English work, </w:t>
      </w:r>
      <w:r>
        <w:rPr>
          <w:b/>
          <w:bCs/>
        </w:rPr>
        <w:t>Christian Astrology</w:t>
      </w:r>
      <w:r>
        <w:t xml:space="preserve"> published in 1647 which, according to Campion was the first textbook of astrology to be published in English</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1"/>
      </w:r>
      <w:r>
        <w:t>. He was born in Diseworth, his father squandered his estate and in 1620 Lilly entered the service of one Gilbert Wright</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2"/>
      </w:r>
      <w:r>
        <w:t>. From these inauspicious beginnings he rose to become one of the most influential people of 17</w:t>
      </w:r>
      <w:r>
        <w:rPr>
          <w:vertAlign w:val="superscript"/>
        </w:rPr>
        <w:t>th</w:t>
      </w:r>
      <w:r>
        <w:t xml:space="preserve"> Century England after a series of successful political readings, including one that changed the course of the Civil War at the battle of Naseby in 1645</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3"/>
      </w:r>
      <w:r>
        <w:t>.</w:t>
      </w:r>
    </w:p>
    <w:p>
      <w:r>
        <w:t>Lilly discovered Astrology in 1632</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4"/>
      </w:r>
      <w:r>
        <w:t>, aged 30, and in contrast to Ptolemy is clear about the source of his information, telling us he ‘examined the manuscripts of Ancient and Reverend Professors in this Art, who lived more remote from these corrupt Times’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5"/>
      </w:r>
      <w:r>
        <w:t>. And he published it to ‘instruct the student how to begin his work’</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6"/>
      </w:r>
      <w:r>
        <w:t>.In this way he asserts his moral and intellectual right to construct the work, whilst validating the art of astrology as an ancient and worthy occupation.</w:t>
      </w:r>
    </w:p>
    <w:p>
      <w:r>
        <w:t>The work is divided into two books. Book One details the planets, zodiac, and houses, and how to cast a horoscope; whilst Book Two explains how to answer specific questions. This makes it a relatively easy reference book once a student has learnt the basics. Detailed tables, ephemeris and example charts all provide additional learning aids and reinforces understanding. Both books are practical rather than philosophic, the emphasis is on answering the needs of everyday life in the 17</w:t>
      </w:r>
      <w:r>
        <w:rPr>
          <w:vertAlign w:val="superscript"/>
        </w:rPr>
        <w:t>th</w:t>
      </w:r>
      <w:r>
        <w:t xml:space="preserve"> Century.</w:t>
      </w:r>
    </w:p>
    <w:p>
      <w:r>
        <w:t>Compared to Ptolemy’s twenty eight references, there is only a single reference to Mercury in Lilly’s index</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7"/>
      </w:r>
      <w:r>
        <w:t>, and yet the book is littered with information about each of the planets, many highlighted simply by the use of glyphs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8"/>
      </w:r>
      <w:r>
        <w:t xml:space="preserve"> whilst others are italicised. This way of constructing the text was presumably as a teaching aid for students. However, it is not outside the bounds of possibility that, given the high cost of printed publications, it may have helped reduce production costs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9"/>
      </w:r>
      <w:r>
        <w:t>.</w:t>
      </w:r>
    </w:p>
    <w:p>
      <w:r>
        <w:t>Whilst Ptolemy has little use for the individual significance of Mercury, passing the majority of his information by reference to its interaction with other planets, Lilly takes a different approach. He devotes individual chapters to each planet, and the information about Mercury is in Chapter thirteen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0"/>
      </w:r>
      <w:r>
        <w:t>. This means students get to know the planet in depth before applying their knowledge to questions.</w:t>
      </w:r>
    </w:p>
    <w:p>
      <w:r>
        <w:t>He lists the various names Mercury is known by, describes the movement of the planet, its colour and retrograde motion. Rulership is listed as Gemini and Virgo, as it is with Ptolemy but without the explanation as to why this is so, and is the same with detriment and fall. Mercury is cold and dry, masculine and feminine, depending on the relationship with other planets showing it’s versatility in the statement ‘with the good he is good, with the evil Planets ill’</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1"/>
      </w:r>
      <w:r>
        <w:t xml:space="preserve"> .</w:t>
      </w:r>
    </w:p>
    <w:p>
      <w:r>
        <w:t>Like Ptolemy, Lilly also emphasises the intellectual and communication aspects of Mercury we find in modern astrology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2"/>
      </w:r>
      <w:r>
        <w:t>, explaining in detail how it manifests depending on the placement of Mercury in a chart. When it is well placed it will produce ’.. a man of subtle and political brain, intellect, and cognition’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3"/>
      </w:r>
      <w:r>
        <w:t>. When ill placed, ’A troublesome wit, a kind of Phrenetic man, his tongue and pen against every man’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4"/>
      </w:r>
      <w:r>
        <w:t>. The emphasis on knowledge, learning, business and communication is evident in the professions listed including ‘Astrologians’, ‘Orators’, ‘Messengers’ and ‘Grammarians’ amongst others, demonstrating Mercury’s association with the head, mind and intellect</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5"/>
      </w:r>
      <w:r>
        <w:t>. As for diseases and illness, they tend towards anything head and hands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6"/>
      </w:r>
      <w:r>
        <w:t>.</w:t>
      </w:r>
    </w:p>
    <w:p>
      <w:r>
        <w:t>Lilly ensures that students know that Mercury’s ability to influence character depends on which other planets are in relationship to it, reminding them this ability is not seen with the other planets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7"/>
      </w:r>
      <w:r>
        <w:t xml:space="preserve">. </w:t>
      </w:r>
    </w:p>
    <w:p>
      <w:r>
        <w:t>In additional to individual characteristics, Lilly also shows his Aristotelian leanings in his explanation of Mercury’s influence on the natural world: colours (Neck of the Stockdove), herbs and plants (Vervain and Lungwort) which have an influence on those ailments specific to Mercury. It also rules beasts such as the Hyena and Spider, birds like the Parrot, minerals (Quicksilver), stones (Marcasite), ‘Windy, Stormy and Violent’ weather</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8"/>
      </w:r>
      <w:r>
        <w:t>.</w:t>
      </w:r>
    </w:p>
    <w:p>
      <w:pPr>
        <w:rPr>
          <w:color w:val="000000"/>
        </w:rPr>
      </w:pPr>
      <w:r>
        <w:t>Whilst Lilly does not deal with the idea of fate specifically, there are traces throughout Christian Astrology, and it is easy to assume that Lilly believes fate is essentially fixed and that astrology’s purpose is to help querents understand and prepare for the inevitable, a very Stoic perspective. For example, in the If Bewitched chart he states ‘I judged he was itchy because</w:t>
      </w:r>
      <w:r>
        <w:rPr>
          <w:color w:val="000000"/>
        </w:rPr>
        <w:t xml:space="preserve"> Mercury was in Pisces, a moist Sign, and because Libra, the Sign of the sixth, and Gemini are airy Signs</w:t>
      </w:r>
      <w:r>
        <w:rPr>
          <w:color w:val="000000"/>
        </w:rPr>
        <w:t>’</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9"/>
      </w:r>
      <w:r>
        <w:rPr>
          <w:color w:val="000000"/>
        </w:rPr>
        <w:t>.</w:t>
      </w:r>
      <w:r>
        <w:rPr>
          <w:color w:val="000000"/>
        </w:rPr>
        <w:t xml:space="preserve"> However, as Campion points out there is evidence that he did not wholly conform to a purely Stoic or Neo-Platonic perspective, instead Christian free moral choice plays a part and that if a querent pays attention to the advice given then perhaps, with a fair wind and a bit of cosmic luck, the prognostication can be averted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0"/>
      </w:r>
      <w:r>
        <w:rPr>
          <w:color w:val="000000"/>
        </w:rPr>
        <w:t>.</w:t>
      </w:r>
      <w:r>
        <w:rPr>
          <w:color w:val="000000"/>
        </w:rPr>
      </w:r>
    </w:p>
    <w:p>
      <w:pPr>
        <w:pStyle w:val="para3"/>
      </w:pPr>
      <w:r>
        <w:t>Alan Leo, How to Judge a Nativity</w:t>
      </w:r>
    </w:p>
    <w:p>
      <w:r>
        <w:t>Alan Leo (1860-1917) was originally named William Frederick Allan, but changed his name to reflect what he believed was his rising sign, Leo</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1"/>
      </w:r>
      <w:r>
        <w:t>. His English work, ‘</w:t>
      </w:r>
      <w:r>
        <w:rPr>
          <w:b/>
          <w:bCs/>
        </w:rPr>
        <w:t>How to Judge a Nativity</w:t>
      </w:r>
      <w:r>
        <w:t>’, was first published in 1899 as one of the two volume Astrology for All</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2"/>
      </w:r>
      <w:r>
        <w:t xml:space="preserve"> and in the third edition he included a brief history of astrology because it had been requested by readers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3"/>
      </w:r>
      <w:r>
        <w:t xml:space="preserve">. At the end of the work he includes a </w:t>
      </w:r>
      <w:r>
        <w:rPr>
          <w:i/>
          <w:iCs/>
        </w:rPr>
        <w:t>‘</w:t>
      </w:r>
      <w:r>
        <w:t>Centiloquy’, similar to that attributed to Ptolemy, as an aide memoir of significant teachings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4"/>
      </w:r>
      <w:r>
        <w:t>.</w:t>
      </w:r>
    </w:p>
    <w:p>
      <w:r>
        <w:t>For Leo, astrology was the ‘science which no mortal mind could invent being the direct work of immortals who came from other worlds to instruct our infant humanity’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5"/>
      </w:r>
      <w:r>
        <w:t>. This expansive view of  all worlds connected is the background to which all his work should be understood, because it demonstrates his overwhelming belief that astrology was the key to unlocking the spiritual self</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6"/>
      </w:r>
      <w:r>
        <w:t>. According to Liz Greene, Leo’s work was therefore a tool for character insight rather than fatalistic prediction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7"/>
      </w:r>
      <w:r>
        <w:t xml:space="preserve"> and as such was an early form of psychological astrology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8"/>
      </w:r>
      <w:r>
        <w:t>.</w:t>
      </w:r>
    </w:p>
    <w:p>
      <w:r>
        <w:t>The first work in the series, ‘Astrology for All’ provides students with basic information about the planets and zodiacal signs. This volume was written with the intention of providing further information about the art of interpreting the birth chart after it has been correctly cast</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9"/>
      </w:r>
      <w:r>
        <w:t>, thus building on students prior knowledge.</w:t>
      </w:r>
    </w:p>
    <w:p>
      <w:r>
        <w:t>Whilst Leo is deservedly acknowledged as the father of sun sign astrology, making the sun the most important of the planetary pantheon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0"/>
      </w:r>
      <w:r>
        <w:t>, he still acknowledges the importance of all the planets as the secret sauce that provides the sensorial flavour and quality to the house and sign in which they reside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1"/>
      </w:r>
      <w:r>
        <w:t>.</w:t>
      </w:r>
    </w:p>
    <w:p>
      <w:r>
        <w:t>In the Centiloquy, Leo provides an overview of Mercury’s core characteristics telling us it is adaptable, governs knowledge and the mind, and is affected by aspects made to it by other planets. It rules Gemini and Virgo</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2"/>
      </w:r>
      <w:r>
        <w:t xml:space="preserve"> and the third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3"/>
      </w:r>
      <w:r>
        <w:t xml:space="preserve"> and sixth houses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4"/>
      </w:r>
      <w:r>
        <w:t>, these are the attributes we have encountered previously with Ptolemy and Lilly.</w:t>
      </w:r>
    </w:p>
    <w:p>
      <w:r>
        <w:t>Like Lilly, Leo provides the reader with a detailed description of each planet. Mercury becomes the arch communicator, the ‘Winged Messenger of the Gods’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5"/>
      </w:r>
      <w:r>
        <w:t xml:space="preserve"> and is above all a planet of ‘Reason’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6"/>
      </w:r>
      <w:r>
        <w:t xml:space="preserve"> and is associated with the mind, memory, knowledge and wisdom, all traits we see in modern astrology today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7"/>
      </w:r>
      <w:r>
        <w:t>.</w:t>
      </w:r>
    </w:p>
    <w:p>
      <w:r>
        <w:t>Leo uses the term ‘convertible’ to describe the neutrality which governs Mercury’s adaptability, as well as its subjective and objective nature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8"/>
      </w:r>
      <w:r>
        <w:t>. Although, a better term to use might be malleable, rather like clay or plasticine it moulds itself to those zodiacal characters stronger than it. Like Lilly, Leo understands this characteristic can be good with a good planet, and the opposite with the malefic</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9"/>
      </w:r>
      <w:r>
        <w:t xml:space="preserve"> and demonstrates this most clearly when discussing its effect on the mind when aspected by other planets. For example, Mercury and Neptune together create a mind that is more receptive to new ideas when the aspect is positive, but when it is negative it may lead to distraction and day-dreaming</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0"/>
      </w:r>
      <w:r>
        <w:t>. By contrast, when aspected by Mars negatively it can be volatile, with angry words and unreasonable prejudice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1"/>
      </w:r>
      <w:r>
        <w:t>, yet when well aspected it is lively, witty and restless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2"/>
      </w:r>
      <w:r>
        <w:t xml:space="preserve">. </w:t>
      </w:r>
    </w:p>
    <w:p>
      <w:r>
        <w:t>However, this neutrality means it is impacted in turn by aspecting planets because it expresses Ptolemy’s absorptive properties of the zodiac sign in which it is placed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3"/>
      </w:r>
      <w:r>
        <w:t>. For example, when Mercury is rising in Taurus it is fluent, when in Sagittarius talkative and in Aquarius, it is eloquent. Conversely, in Pisces it can be superficial, in Leo bombastic and in Aries, fiery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4"/>
      </w:r>
      <w:r>
        <w:t>.</w:t>
      </w:r>
    </w:p>
    <w:p>
      <w:r>
        <w:t>Mercury as the planet of the mind is responsible for professions associated with communication, wit and intelligence such as writing, speaking, teaching and any business that involves interaction with the public, amongst others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5"/>
      </w:r>
      <w:r>
        <w:t>. Leo also asserts that the third (mind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6"/>
      </w:r>
      <w:r>
        <w:t>), and sixth (health) houses would provide natural occupations for Mercury, as they are both governed by the planet</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7"/>
      </w:r>
      <w:r>
        <w:t>.</w:t>
      </w:r>
    </w:p>
    <w:p>
      <w:r>
        <w:t>Leo extends his explanation of Mercury as the planet associated with the mind and all mental capacities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8"/>
      </w:r>
      <w:r>
        <w:t>. By linking it directly to the Sun, whose influence travels outwards, in the same way the human nervous system extends to those parts of the body most associated with similar outer manifestation of communication and intellect, the hands and tongue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9"/>
      </w:r>
      <w:r>
        <w:t>. This connection with the mind and nervous system directly affects the type of afflictions associated with Mercury implying  stress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0"/>
      </w:r>
      <w:r>
        <w:t>, nervous and mental disorders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1"/>
      </w:r>
      <w:r>
        <w:t xml:space="preserve">, and the lungs </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2"/>
      </w:r>
      <w:r/>
    </w:p>
    <w:p>
      <w:r>
        <w:t>His philosophical belief is Theosophical, reflected in the Platonic ideal that  the soul is always free to decide its fortune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3"/>
      </w:r>
      <w:r>
        <w:t>. Liz Greene quotes Leo as saying the question of ’.. Fate versus Freewill .. is the difference between the exoteric and esoteric astrologer.’</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4"/>
      </w:r>
      <w:r>
        <w:t xml:space="preserve"> In his world view, Mercury is the energy accompanying the Soul on its journey to Hades, it is memory made tangible, offering the Soul a way of connecting with every other life experience it has had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5"/>
      </w:r>
      <w:r>
        <w:t>. This description of Mercury may well have derived from the Theosophical belief, espoused by Max Heindel that Mercury was represented by the serpent entwined Caduceus, in turn representing the path the Soul follows into matter</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6"/>
      </w:r>
      <w:r>
        <w:t>.</w:t>
      </w:r>
    </w:p>
    <w:p>
      <w:r>
        <w:t>According to Campion, Leo assumed that the Soul was pre-eminent in modern astrology and that its purpose was to enable a spiritual awakening, moving astrology away from its origins in predictions and prognostications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7"/>
      </w:r>
      <w:r>
        <w:t>. Brady supports this, acknowledging that by applying focus to the forces of karma and reincarnation, Leo helped users understand why one horoscope might be easier to live with than others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8"/>
      </w:r>
      <w:r>
        <w:t>. And Greene confirms both positions with her observation that without understanding former lives, astrology would have no meaning for Leo</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9"/>
      </w:r>
      <w:r>
        <w:t>. He also revived a definition of the planets as energetic symbols of the unconscious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00"/>
      </w:r>
      <w:r>
        <w:t xml:space="preserve"> thus enabling the transfer of astrology from the determinedly practical, to the psychological and spiritual.</w:t>
      </w:r>
    </w:p>
    <w:p>
      <w:pPr>
        <w:pStyle w:val="para2"/>
      </w:pPr>
      <w:r>
        <w:t>Conclusion</w:t>
      </w:r>
    </w:p>
    <w:p>
      <w:r>
        <w:t>In conclusion, all three texts have elements in common when discussing Mercury. The signs it rules, it’s influence over the mind, intellect, knowledge and learning and it’s malleable nature are the most obvious. And although the terminology may have changed, as it does naturally over time, we see common professions listed. There is little to distinguish the three works in this regard except to the extent and how they are discussed.</w:t>
      </w:r>
    </w:p>
    <w:p>
      <w:r>
        <w:t>Ptolemy peppers the information throughout his work making it difficult for a reader to find common associations easily, whilst Lilly and Leo deliberately set out to help a student gain and expand their knowledge by providing it in neat, building block chunks. The latter two authors both recognised that new astrologers need a firm foundation of core information before venturing into any interpretative work, and their books reflect this supportive tone.</w:t>
      </w:r>
    </w:p>
    <w:p>
      <w:r>
        <w:t>However, the only author to give multiple examples, even if they are retrospective and for learning purposes, is Lilly. His work has the dual benefit of not only enabling a student to gain good astrological knowledge, but also how to apply it in specific situations. Alan Leo gives a single example of King Edward VII’s horoscope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01"/>
      </w:r>
      <w:r>
        <w:t>.</w:t>
      </w:r>
    </w:p>
    <w:p>
      <w:r>
        <w:t>Perhaps the most important distinction however is in the purpose of each text. Ptolemy and Lilly both focus on the pragmatic application of astrology by answering specific questions as they apply to the lives of querents. Leo, on the other hand, actively eschews such a use for astrology, asserting at the very beginning of his work that its purpose is to unlock wisdom and enable spiritual growth. In this regard he is very purposely moving astrology away from the fatalistic and inevitable approaches of the past which was often a source of criticism, towards more personal growth and development.</w:t>
      </w:r>
    </w:p>
    <w:p>
      <w:r/>
    </w:p>
    <w:p>
      <w:pPr>
        <w:pStyle w:val="para2"/>
      </w:pPr>
      <w:r>
        <w:br w:type="page"/>
      </w:r>
      <w:r>
        <w:t>Reference List</w:t>
      </w:r>
    </w:p>
    <w:p>
      <w:pPr>
        <w:pStyle w:val="para7"/>
      </w:pPr>
      <w:r>
        <w:t>Alan Leo, How to Judge a Nativity, 6</w:t>
      </w:r>
      <w:r>
        <w:rPr>
          <w:vertAlign w:val="superscript"/>
        </w:rPr>
        <w:t>th</w:t>
      </w:r>
      <w:r>
        <w:t xml:space="preserve"> edn. (London, 1935, facsimile edition, Kindle edition, Spellman Press, 2020).</w:t>
      </w:r>
    </w:p>
    <w:p>
      <w:pPr>
        <w:pStyle w:val="para7"/>
      </w:pPr>
      <w:r/>
    </w:p>
    <w:p>
      <w:pPr>
        <w:pStyle w:val="para7"/>
      </w:pPr>
      <w:r>
        <w:t xml:space="preserve">Austen Saunders and Tom Boardman. ‘Was there an explosion of print in the 1640s?’ </w:t>
      </w:r>
      <w:r>
        <w:rPr>
          <w:i/>
          <w:iCs/>
        </w:rPr>
        <w:t>The Seventeenth Century</w:t>
      </w:r>
      <w:r>
        <w:t>, 37.2, (2022), 177-99, &lt;DOI: 10.1080/0268117X.2021.1902851&gt;.</w:t>
      </w:r>
    </w:p>
    <w:p>
      <w:pPr>
        <w:pStyle w:val="para7"/>
      </w:pPr>
      <w:r/>
    </w:p>
    <w:p>
      <w:pPr>
        <w:pStyle w:val="para7"/>
      </w:pPr>
      <w:r>
        <w:t xml:space="preserve">Bernadette Brady, ‘Fate’, in </w:t>
      </w:r>
      <w:r>
        <w:rPr>
          <w:i/>
          <w:iCs/>
        </w:rPr>
        <w:t>Astrology Through History: Interpreting the Stars from Ancient Mesopotamia to the Present</w:t>
      </w:r>
      <w:r>
        <w:t xml:space="preserve">, ed. by William E Burns (Santa Barbara, ABC-CLIO, 2018), 114-17 &lt;DOI: 10.1080/0268117X.2021.1902851&gt;. </w:t>
      </w:r>
    </w:p>
    <w:p>
      <w:pPr>
        <w:pStyle w:val="para7"/>
      </w:pPr>
      <w:r/>
    </w:p>
    <w:p>
      <w:pPr>
        <w:pStyle w:val="para7"/>
      </w:pPr>
      <w:r>
        <w:t xml:space="preserve">Judy Hall, </w:t>
      </w:r>
      <w:r>
        <w:rPr>
          <w:i/>
          <w:iCs/>
        </w:rPr>
        <w:t>The Astrology Bible</w:t>
      </w:r>
      <w:r>
        <w:t>, (London, Godsfield Press, 2019).</w:t>
      </w:r>
    </w:p>
    <w:p>
      <w:pPr>
        <w:pStyle w:val="para7"/>
      </w:pPr>
      <w:r/>
    </w:p>
    <w:p>
      <w:pPr>
        <w:pStyle w:val="para7"/>
      </w:pPr>
      <w:r>
        <w:t xml:space="preserve">Laura Andrikopoulos, ‘Natal Astrology’, in </w:t>
      </w:r>
      <w:r>
        <w:rPr>
          <w:i/>
          <w:iCs/>
        </w:rPr>
        <w:t>Astrology Through History: Interpreting the Stars from Ancient Mesopotamia to the Present</w:t>
      </w:r>
      <w:r>
        <w:t>, ed. by William E Burns (Santa Barbara, ABC-CLIO, 2018) 114-17 &lt;DOI: 10.1080/0268117X.2021.1902851&gt;.</w:t>
      </w:r>
    </w:p>
    <w:p>
      <w:pPr>
        <w:pStyle w:val="para7"/>
      </w:pPr>
      <w:r/>
    </w:p>
    <w:p>
      <w:pPr>
        <w:pStyle w:val="para7"/>
      </w:pPr>
      <w:r>
        <w:t xml:space="preserve">Liz Greene, </w:t>
      </w:r>
      <w:r>
        <w:rPr>
          <w:i/>
          <w:iCs/>
        </w:rPr>
        <w:t>Jung’s Studies in Astrology</w:t>
      </w:r>
      <w:r>
        <w:t>, (Oxon, Routledge, 2018).</w:t>
      </w:r>
    </w:p>
    <w:p>
      <w:pPr>
        <w:pStyle w:val="para7"/>
      </w:pPr>
      <w:r/>
    </w:p>
    <w:p>
      <w:pPr>
        <w:pStyle w:val="para7"/>
      </w:pPr>
      <w:r>
        <w:t xml:space="preserve">Maggie Aderin-Pocock, </w:t>
      </w:r>
      <w:r>
        <w:rPr>
          <w:i/>
          <w:iCs/>
        </w:rPr>
        <w:t>The Sky at Night: The Art of Stargazing: My Essential Guide to Navigating the Night Sky</w:t>
      </w:r>
      <w:r>
        <w:t xml:space="preserve"> (London, BBC Books, 2023).</w:t>
      </w:r>
    </w:p>
    <w:p>
      <w:pPr>
        <w:pStyle w:val="para7"/>
      </w:pPr>
      <w:r/>
    </w:p>
    <w:p>
      <w:pPr>
        <w:pStyle w:val="para7"/>
      </w:pPr>
      <w:r>
        <w:t xml:space="preserve">Nicholas Campion, </w:t>
      </w:r>
      <w:r>
        <w:rPr>
          <w:i/>
          <w:iCs/>
        </w:rPr>
        <w:t>A History of Western Astrology: Vol. 2</w:t>
      </w:r>
      <w:r>
        <w:t>, (London, Bloomsbury Academic, 2009).</w:t>
      </w:r>
    </w:p>
    <w:p>
      <w:pPr>
        <w:pStyle w:val="para7"/>
      </w:pPr>
      <w:r/>
    </w:p>
    <w:p>
      <w:pPr>
        <w:pStyle w:val="para7"/>
      </w:pPr>
      <w:r>
        <w:t xml:space="preserve">Nicholas Campion, </w:t>
      </w:r>
      <w:r>
        <w:rPr>
          <w:i/>
          <w:iCs/>
        </w:rPr>
        <w:t>Astrology and Cosmology in the World’s Religions</w:t>
      </w:r>
      <w:r>
        <w:t>. (New York, New York University Press, 2012), p. 197.</w:t>
      </w:r>
    </w:p>
    <w:p>
      <w:pPr>
        <w:pStyle w:val="para7"/>
      </w:pPr>
      <w:r/>
    </w:p>
    <w:p>
      <w:pPr>
        <w:pStyle w:val="para7"/>
      </w:pPr>
      <w:r>
        <w:t xml:space="preserve">Nicholas Campion, ‘New Age’, in </w:t>
      </w:r>
      <w:r>
        <w:rPr>
          <w:i/>
          <w:iCs/>
        </w:rPr>
        <w:t>Astrology Through History: Interpreting the Stars from Ancient Mesopotamia to the Present</w:t>
      </w:r>
      <w:r>
        <w:t xml:space="preserve"> ed. by William E Burns (Santa Barbara, ABC-CLIO, 2018) 114-17 (p251) &lt;DOI: 10.1080/0268117X.2021.1902851&gt;.</w:t>
      </w:r>
    </w:p>
    <w:p>
      <w:pPr>
        <w:pStyle w:val="para7"/>
      </w:pPr>
      <w:r/>
    </w:p>
    <w:p>
      <w:pPr>
        <w:pStyle w:val="para7"/>
      </w:pPr>
      <w:r>
        <w:t xml:space="preserve">Nicholas Campion, ‘Sun Signs’, in </w:t>
      </w:r>
      <w:r>
        <w:rPr>
          <w:i/>
          <w:iCs/>
        </w:rPr>
        <w:t>Astrology Through History: Interpreting the Stars from Ancient Mesopotamia to the Present.</w:t>
      </w:r>
      <w:r>
        <w:t xml:space="preserve"> ed. by William E Burns (Santa Barbara, ABC-CLIO, 2018), 114-17 &lt;DOI: 10.1080/0268117X.2021.1902851&gt;.</w:t>
      </w:r>
    </w:p>
    <w:p>
      <w:pPr>
        <w:pStyle w:val="para7"/>
      </w:pPr>
      <w:r/>
    </w:p>
    <w:p>
      <w:pPr>
        <w:pStyle w:val="para7"/>
      </w:pPr>
      <w:r>
        <w:t xml:space="preserve">Parel, Anthony. ‘Farewell to Fortune’ </w:t>
      </w:r>
      <w:r>
        <w:rPr>
          <w:i/>
          <w:iCs/>
        </w:rPr>
        <w:t>The Review of Politics</w:t>
      </w:r>
      <w:r>
        <w:t>, 75.4, (2013) 587–604. JSTOR, http://www.jstor.org/stable/43670909. Accessed 7 Oct. 2024.</w:t>
      </w:r>
    </w:p>
    <w:p>
      <w:pPr>
        <w:pStyle w:val="para7"/>
      </w:pPr>
      <w:r/>
    </w:p>
    <w:p>
      <w:pPr>
        <w:pStyle w:val="para7"/>
      </w:pPr>
      <w:r>
        <w:t xml:space="preserve">Ptolemy, </w:t>
      </w:r>
      <w:r>
        <w:rPr>
          <w:i/>
          <w:iCs/>
        </w:rPr>
        <w:t>Tetrabiblos</w:t>
      </w:r>
      <w:r>
        <w:t>, trans. by F. E. Robbins. (Loeb Classical Library 435. Cambridge, MA: Harvard University Press, 1940) &lt;DOI: 10.4159/DLCL.ptolemy-tetrabiblos.1940&gt;.</w:t>
      </w:r>
    </w:p>
    <w:p>
      <w:pPr>
        <w:pStyle w:val="para7"/>
      </w:pPr>
      <w:r/>
    </w:p>
    <w:p>
      <w:pPr>
        <w:pStyle w:val="para7"/>
      </w:pPr>
      <w:r>
        <w:t xml:space="preserve">William Lilly, </w:t>
      </w:r>
      <w:r>
        <w:rPr>
          <w:i/>
          <w:iCs/>
        </w:rPr>
        <w:t>Christian Astrology</w:t>
      </w:r>
      <w:r>
        <w:t>, (London, 1647, facsimile edition, Abingdon, MD: Astrology Classics. 2004).</w:t>
      </w:r>
    </w:p>
    <w:p>
      <w:pPr>
        <w:pStyle w:val="para7"/>
      </w:pPr>
      <w:r/>
    </w:p>
    <w:sectPr>
      <w:footnotePr>
        <w:pos w:val="pageBottom"/>
        <w:numFmt w:val="decimal"/>
        <w:numStart w:val="1"/>
        <w:numRestart w:val="continuous"/>
      </w:footnotePr>
      <w:endnotePr>
        <w:pos w:val="docEnd"/>
        <w:numFmt w:val="lowerRoman"/>
        <w:numStart w:val="1"/>
        <w:numRestart w:val="continuous"/>
      </w:endnotePr>
      <w:type w:val="continuous"/>
      <w:pgSz w:h="16839" w:w="11907"/>
      <w:pgMar w:left="1134" w:top="1134" w:right="1134" w:bottom="1134" w:header="0" w:footer="0"/>
      <w:paperSrc w:first="0" w:other="0" a="0" b="0"/>
      <w:pgNumType w:fmt="decimal"/>
      <w:tmGutter w:val="1"/>
      <w:mirrorMargins w:val="0"/>
      <w:tmSection w:h="-1"/>
      <w:guidesAndGridMasterPages Id="0" numberOfVerticalGuides="0" numberOfHorizontalGuides="0"/>
      <w:guidesAndGridMasterPages Id="1" numberOfVerticalGuides="0" numberOfHorizontalGuides="0"/>
      <w:guidesAndGridMasterPages Id="2" numberOfVerticalGuides="0" numberOfHorizontalGuides="0"/>
      <w:foldMark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default"/>
  </w:font>
  <w:font w:name="SimSun">
    <w:panose1 w:val="02010600030101010101"/>
    <w:charset w:val="00"/>
    <w:family w:val="auto"/>
    <w:pitch w:val="default"/>
  </w:font>
  <w:font w:name="Arial">
    <w:panose1 w:val="020B0604020202020204"/>
    <w:charset w:val="00"/>
    <w:family w:val="swiss"/>
    <w:pitch w:val="default"/>
  </w:font>
  <w:font w:name="Calibri">
    <w:panose1 w:val="020F0502020204030204"/>
    <w:charset w:val="00"/>
    <w:family w:val="swiss"/>
    <w:pitch w:val="default"/>
  </w:font>
  <w:font w:name="Cambria">
    <w:panose1 w:val="02040503050406030204"/>
    <w:charset w:val="00"/>
    <w:family w:val="roman"/>
    <w:pitch w:val="default"/>
  </w:font>
  <w:font w:name="Georgia">
    <w:panose1 w:val="02040502050405020303"/>
    <w:charset w:val="00"/>
    <w:family w:val="roman"/>
    <w:pitch w:val="default"/>
  </w:font>
  <w:font w:name="Tahoma">
    <w:panose1 w:val="020B0604030504040204"/>
    <w:charset w:val="00"/>
    <w:family w:val="swiss"/>
    <w:pitch w:val="default"/>
  </w:font>
  <w:font w:name="Trebuchet MS">
    <w:panose1 w:val="020B0603020202020204"/>
    <w:charset w:val="00"/>
    <w:family w:val="swiss"/>
    <w:pitch w:val="default"/>
  </w:font>
  <w:font w:name="Wingdings 2">
    <w:panose1 w:val="05020102010507070707"/>
    <w:charset w:val="02"/>
    <w:family w:val="roman"/>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footnote w:id="7">
    <w:p>
      <w:pPr>
        <w:pStyle w:val="para5"/>
      </w:pPr>
      <w:r>
        <w:rPr>
          <w:rStyle w:val="char1"/>
        </w:rPr>
      </w:r>
      <w:r>
        <w:rPr>
          <w:rStyle w:val="char1"/>
        </w:rPr>
        <w:footnoteRef/>
      </w:r>
      <w:r>
        <w:t xml:space="preserve"> Ptolemy, </w:t>
      </w:r>
      <w:r>
        <w:rPr>
          <w:i/>
          <w:iCs/>
        </w:rPr>
        <w:t>Tetrabiblos</w:t>
      </w:r>
      <w:r>
        <w:t>, trans. by F. E. Robbins. (Loeb Classical Library 435. Cambridge, MA: Harvard University Press, 1940) &lt;DOI: 10.4159/DLCL.ptolemy-tetrabiblos.1940&gt;.</w:t>
      </w:r>
    </w:p>
  </w:footnote>
  <w:footnote w:id="8">
    <w:p>
      <w:pPr>
        <w:pStyle w:val="para5"/>
      </w:pPr>
      <w:r>
        <w:rPr>
          <w:rStyle w:val="char1"/>
        </w:rPr>
      </w:r>
      <w:r>
        <w:rPr>
          <w:rStyle w:val="char1"/>
        </w:rPr>
        <w:footnoteRef/>
      </w:r>
      <w:r>
        <w:t xml:space="preserve"> William Lilly, </w:t>
      </w:r>
      <w:r>
        <w:rPr>
          <w:i/>
          <w:iCs/>
        </w:rPr>
        <w:t>Christian Astrology</w:t>
      </w:r>
      <w:r>
        <w:t>, (London, 1647, facsimile edition, Abingdon, MD: Astrology Classics. 2004).</w:t>
      </w:r>
    </w:p>
  </w:footnote>
  <w:footnote w:id="9">
    <w:p>
      <w:pPr>
        <w:pStyle w:val="para5"/>
      </w:pPr>
      <w:r>
        <w:rPr>
          <w:rStyle w:val="char1"/>
        </w:rPr>
      </w:r>
      <w:r>
        <w:rPr>
          <w:rStyle w:val="char1"/>
        </w:rPr>
        <w:footnoteRef/>
      </w:r>
      <w:r>
        <w:t xml:space="preserve"> Alan Leo, How to Judge a Nativity, 6</w:t>
      </w:r>
      <w:r>
        <w:rPr>
          <w:vertAlign w:val="superscript"/>
        </w:rPr>
        <w:t>th</w:t>
      </w:r>
      <w:r>
        <w:t xml:space="preserve"> edn. (London, 1935, facsimile edition, Kindle edition, Spellman Press, 2020).</w:t>
      </w:r>
    </w:p>
  </w:footnote>
  <w:footnote w:id="10">
    <w:p>
      <w:pPr>
        <w:pStyle w:val="para5"/>
      </w:pPr>
      <w:r>
        <w:rPr>
          <w:rStyle w:val="char1"/>
        </w:rPr>
      </w:r>
      <w:r>
        <w:rPr>
          <w:rStyle w:val="char1"/>
        </w:rPr>
        <w:footnoteRef/>
      </w:r>
      <w:r>
        <w:t xml:space="preserve"> Maggie Aderin-Pocock, </w:t>
      </w:r>
      <w:r>
        <w:rPr>
          <w:i/>
          <w:iCs/>
        </w:rPr>
        <w:t>The Sky at Night: The Art of Stargazing: My Essential Guide to Navigating the Night Sky</w:t>
      </w:r>
      <w:r>
        <w:t xml:space="preserve"> (London, BBC Books, 2023) pp. 18-19.</w:t>
      </w:r>
    </w:p>
  </w:footnote>
  <w:footnote w:id="11">
    <w:p>
      <w:pPr>
        <w:pStyle w:val="para5"/>
      </w:pPr>
      <w:r>
        <w:rPr>
          <w:rStyle w:val="char1"/>
        </w:rPr>
      </w:r>
      <w:r>
        <w:rPr>
          <w:rStyle w:val="char1"/>
        </w:rPr>
        <w:footnoteRef/>
      </w:r>
      <w:r>
        <w:t xml:space="preserve"> Ptolemy, </w:t>
      </w:r>
      <w:r>
        <w:rPr>
          <w:i/>
          <w:iCs/>
        </w:rPr>
        <w:t>Tetrabiblos</w:t>
      </w:r>
      <w:r>
        <w:t>, p. i.</w:t>
      </w:r>
    </w:p>
  </w:footnote>
  <w:footnote w:id="12">
    <w:p>
      <w:pPr>
        <w:pStyle w:val="para5"/>
      </w:pPr>
      <w:r>
        <w:rPr>
          <w:rStyle w:val="char1"/>
        </w:rPr>
      </w:r>
      <w:r>
        <w:rPr>
          <w:rStyle w:val="char1"/>
        </w:rPr>
        <w:footnoteRef/>
      </w:r>
      <w:r>
        <w:t xml:space="preserve"> Parel, Anthony. ‘Farewell to Fortune’ </w:t>
      </w:r>
      <w:r>
        <w:rPr>
          <w:i/>
          <w:iCs/>
        </w:rPr>
        <w:t>The Review of Politics</w:t>
      </w:r>
      <w:r>
        <w:t>, 75.4, (2013) 587–604. (p. 588) JSTOR, http://www.jstor.org/stable/43670909. Accessed 7 Oct. 2024.</w:t>
      </w:r>
    </w:p>
  </w:footnote>
  <w:footnote w:id="13">
    <w:p>
      <w:pPr>
        <w:pStyle w:val="para5"/>
      </w:pPr>
      <w:r>
        <w:rPr>
          <w:rStyle w:val="char1"/>
        </w:rPr>
      </w:r>
      <w:r>
        <w:rPr>
          <w:rStyle w:val="char1"/>
        </w:rPr>
        <w:footnoteRef/>
      </w:r>
      <w:r>
        <w:t xml:space="preserve"> Nicholas Campion, </w:t>
      </w:r>
      <w:r>
        <w:rPr>
          <w:i/>
          <w:iCs/>
        </w:rPr>
        <w:t>A History of Western Astrology: Vol. 2</w:t>
      </w:r>
      <w:r>
        <w:t>, (London, Bloomsbury Academic, 2009), p. 168.</w:t>
      </w:r>
    </w:p>
  </w:footnote>
  <w:footnote w:id="14">
    <w:p>
      <w:pPr>
        <w:pStyle w:val="para5"/>
      </w:pPr>
      <w:r>
        <w:rPr>
          <w:rStyle w:val="char1"/>
        </w:rPr>
      </w:r>
      <w:r>
        <w:rPr>
          <w:rStyle w:val="char1"/>
        </w:rPr>
        <w:footnoteRef/>
      </w:r>
      <w:r>
        <w:t xml:space="preserve"> Ptolemy, </w:t>
      </w:r>
      <w:r>
        <w:rPr>
          <w:i/>
          <w:iCs/>
        </w:rPr>
        <w:t>Tetrabiblos</w:t>
      </w:r>
      <w:r>
        <w:t>, pp. xi-xii.</w:t>
      </w:r>
    </w:p>
  </w:footnote>
  <w:footnote w:id="15">
    <w:p>
      <w:pPr>
        <w:pStyle w:val="para5"/>
      </w:pPr>
      <w:r>
        <w:rPr>
          <w:rStyle w:val="char1"/>
        </w:rPr>
      </w:r>
      <w:r>
        <w:rPr>
          <w:rStyle w:val="char1"/>
        </w:rPr>
        <w:footnoteRef/>
      </w:r>
      <w:r>
        <w:t xml:space="preserve"> Ptolemy, </w:t>
      </w:r>
      <w:r>
        <w:rPr>
          <w:i/>
          <w:iCs/>
        </w:rPr>
        <w:t>Tetrabiblos</w:t>
      </w:r>
      <w:r>
        <w:t>, p. xiv.</w:t>
      </w:r>
    </w:p>
  </w:footnote>
  <w:footnote w:id="16">
    <w:p>
      <w:pPr>
        <w:pStyle w:val="para5"/>
      </w:pPr>
      <w:r>
        <w:rPr>
          <w:rStyle w:val="char1"/>
        </w:rPr>
      </w:r>
      <w:r>
        <w:rPr>
          <w:rStyle w:val="char1"/>
        </w:rPr>
        <w:footnoteRef/>
      </w:r>
      <w:r>
        <w:t xml:space="preserve"> Ptolemy, </w:t>
      </w:r>
      <w:r>
        <w:rPr>
          <w:i/>
          <w:iCs/>
        </w:rPr>
        <w:t>Tetrabiblos</w:t>
      </w:r>
      <w:r>
        <w:t>, pp. xiv-xvii.</w:t>
      </w:r>
    </w:p>
  </w:footnote>
  <w:footnote w:id="17">
    <w:p>
      <w:pPr>
        <w:pStyle w:val="para5"/>
      </w:pPr>
      <w:r>
        <w:rPr>
          <w:rStyle w:val="char1"/>
        </w:rPr>
      </w:r>
      <w:r>
        <w:rPr>
          <w:rStyle w:val="char1"/>
        </w:rPr>
        <w:footnoteRef/>
      </w:r>
      <w:r>
        <w:t xml:space="preserve"> Ptolemy, </w:t>
      </w:r>
      <w:r>
        <w:rPr>
          <w:i/>
          <w:iCs/>
        </w:rPr>
        <w:t>Tetrabiblos</w:t>
      </w:r>
      <w:r>
        <w:t>, Book 1, I.1</w:t>
      </w:r>
    </w:p>
  </w:footnote>
  <w:footnote w:id="18">
    <w:p>
      <w:pPr>
        <w:pStyle w:val="para5"/>
      </w:pPr>
      <w:r>
        <w:rPr>
          <w:rStyle w:val="char1"/>
        </w:rPr>
      </w:r>
      <w:r>
        <w:rPr>
          <w:rStyle w:val="char1"/>
        </w:rPr>
        <w:footnoteRef/>
      </w:r>
      <w:r>
        <w:t xml:space="preserve"> Ptolemy, </w:t>
      </w:r>
      <w:r>
        <w:rPr>
          <w:i/>
          <w:iCs/>
        </w:rPr>
        <w:t>Tetrabiblos</w:t>
      </w:r>
      <w:r>
        <w:t>, Book 1, I.2.</w:t>
      </w:r>
    </w:p>
  </w:footnote>
  <w:footnote w:id="19">
    <w:p>
      <w:pPr>
        <w:pStyle w:val="para5"/>
      </w:pPr>
      <w:r>
        <w:rPr>
          <w:rStyle w:val="char1"/>
        </w:rPr>
      </w:r>
      <w:r>
        <w:rPr>
          <w:rStyle w:val="char1"/>
        </w:rPr>
        <w:footnoteRef/>
      </w:r>
      <w:r>
        <w:t xml:space="preserve"> Ptolemy, </w:t>
      </w:r>
      <w:r>
        <w:rPr>
          <w:i/>
          <w:iCs/>
        </w:rPr>
        <w:t>Tetrabiblos</w:t>
      </w:r>
      <w:r>
        <w:t>, Book 1, I.2.</w:t>
      </w:r>
    </w:p>
  </w:footnote>
  <w:footnote w:id="20">
    <w:p>
      <w:pPr>
        <w:pStyle w:val="para5"/>
      </w:pPr>
      <w:r>
        <w:rPr>
          <w:rStyle w:val="char1"/>
        </w:rPr>
      </w:r>
      <w:r>
        <w:rPr>
          <w:rStyle w:val="char1"/>
        </w:rPr>
        <w:footnoteRef/>
      </w:r>
      <w:r>
        <w:t xml:space="preserve"> Ptolemy, </w:t>
      </w:r>
      <w:r>
        <w:rPr>
          <w:i/>
          <w:iCs/>
        </w:rPr>
        <w:t>Tetrabiblos</w:t>
      </w:r>
      <w:r>
        <w:t>, Book 1, I.2.</w:t>
      </w:r>
    </w:p>
  </w:footnote>
  <w:footnote w:id="21">
    <w:p>
      <w:pPr>
        <w:pStyle w:val="para5"/>
      </w:pPr>
      <w:r>
        <w:rPr>
          <w:rStyle w:val="char1"/>
        </w:rPr>
      </w:r>
      <w:r>
        <w:rPr>
          <w:rStyle w:val="char1"/>
        </w:rPr>
        <w:footnoteRef/>
      </w:r>
      <w:r>
        <w:t xml:space="preserve"> Ptolemy, </w:t>
      </w:r>
      <w:r>
        <w:rPr>
          <w:i/>
          <w:iCs/>
        </w:rPr>
        <w:t>Tetrabiblos</w:t>
      </w:r>
      <w:r>
        <w:t>, pp. 463-464.</w:t>
      </w:r>
    </w:p>
  </w:footnote>
  <w:footnote w:id="22">
    <w:p>
      <w:pPr>
        <w:pStyle w:val="para5"/>
      </w:pPr>
      <w:r>
        <w:rPr>
          <w:rStyle w:val="char1"/>
        </w:rPr>
      </w:r>
      <w:r>
        <w:rPr>
          <w:rStyle w:val="char1"/>
        </w:rPr>
        <w:footnoteRef/>
      </w:r>
      <w:r>
        <w:t xml:space="preserve"> Ptolemy, </w:t>
      </w:r>
      <w:r>
        <w:rPr>
          <w:i/>
          <w:iCs/>
        </w:rPr>
        <w:t>Tetrabiblos</w:t>
      </w:r>
      <w:r>
        <w:t>, Book 1, I.5.</w:t>
      </w:r>
    </w:p>
  </w:footnote>
  <w:footnote w:id="23">
    <w:p>
      <w:pPr>
        <w:pStyle w:val="para5"/>
      </w:pPr>
      <w:r>
        <w:rPr>
          <w:rStyle w:val="char1"/>
        </w:rPr>
      </w:r>
      <w:r>
        <w:rPr>
          <w:rStyle w:val="char1"/>
        </w:rPr>
        <w:footnoteRef/>
      </w:r>
      <w:r>
        <w:t xml:space="preserve"> Ptolemy, </w:t>
      </w:r>
      <w:r>
        <w:rPr>
          <w:i/>
          <w:iCs/>
        </w:rPr>
        <w:t>Tetrabiblos</w:t>
      </w:r>
      <w:r>
        <w:t>, Book 1, I.6.</w:t>
      </w:r>
    </w:p>
  </w:footnote>
  <w:footnote w:id="24">
    <w:p>
      <w:pPr>
        <w:pStyle w:val="para5"/>
      </w:pPr>
      <w:r>
        <w:rPr>
          <w:rStyle w:val="char1"/>
        </w:rPr>
      </w:r>
      <w:r>
        <w:rPr>
          <w:rStyle w:val="char1"/>
        </w:rPr>
        <w:footnoteRef/>
      </w:r>
      <w:r>
        <w:t xml:space="preserve"> Ptolemy, </w:t>
      </w:r>
      <w:r>
        <w:rPr>
          <w:i/>
          <w:iCs/>
        </w:rPr>
        <w:t>Tetrabiblos</w:t>
      </w:r>
      <w:r>
        <w:t>, Book 1, I.4.</w:t>
      </w:r>
    </w:p>
  </w:footnote>
  <w:footnote w:id="25">
    <w:p>
      <w:pPr>
        <w:pStyle w:val="para5"/>
      </w:pPr>
      <w:r>
        <w:rPr>
          <w:rStyle w:val="char1"/>
        </w:rPr>
      </w:r>
      <w:r>
        <w:rPr>
          <w:rStyle w:val="char1"/>
        </w:rPr>
        <w:footnoteRef/>
      </w:r>
      <w:r>
        <w:t xml:space="preserve"> Ptolemy, </w:t>
      </w:r>
      <w:r>
        <w:rPr>
          <w:i/>
          <w:iCs/>
        </w:rPr>
        <w:t>Tetrabiblos</w:t>
      </w:r>
      <w:r>
        <w:t>, Book 1, I.7.</w:t>
      </w:r>
    </w:p>
  </w:footnote>
  <w:footnote w:id="26">
    <w:p>
      <w:pPr>
        <w:pStyle w:val="para5"/>
      </w:pPr>
      <w:r>
        <w:rPr>
          <w:rStyle w:val="char1"/>
        </w:rPr>
      </w:r>
      <w:r>
        <w:rPr>
          <w:rStyle w:val="char1"/>
        </w:rPr>
        <w:footnoteRef/>
      </w:r>
      <w:r>
        <w:t xml:space="preserve"> Aderin-Pocock, The Art of Stargazing, pp. 18-19.</w:t>
      </w:r>
    </w:p>
  </w:footnote>
  <w:footnote w:id="27">
    <w:p>
      <w:pPr>
        <w:pStyle w:val="para5"/>
      </w:pPr>
      <w:r>
        <w:rPr>
          <w:rStyle w:val="char1"/>
        </w:rPr>
      </w:r>
      <w:r>
        <w:rPr>
          <w:rStyle w:val="char1"/>
        </w:rPr>
        <w:footnoteRef/>
      </w:r>
      <w:r>
        <w:t xml:space="preserve"> Ptolemy, </w:t>
      </w:r>
      <w:r>
        <w:rPr>
          <w:i/>
          <w:iCs/>
        </w:rPr>
        <w:t>Tetrabiblos</w:t>
      </w:r>
      <w:r>
        <w:t>, Book 1, I.17.</w:t>
      </w:r>
    </w:p>
  </w:footnote>
  <w:footnote w:id="28">
    <w:p>
      <w:pPr>
        <w:pStyle w:val="para5"/>
      </w:pPr>
      <w:r>
        <w:rPr>
          <w:rStyle w:val="char1"/>
        </w:rPr>
      </w:r>
      <w:r>
        <w:rPr>
          <w:rStyle w:val="char1"/>
        </w:rPr>
        <w:footnoteRef/>
      </w:r>
      <w:r>
        <w:t xml:space="preserve"> Ptolemy, </w:t>
      </w:r>
      <w:r>
        <w:rPr>
          <w:i/>
          <w:iCs/>
        </w:rPr>
        <w:t>Tetrabiblos</w:t>
      </w:r>
      <w:r>
        <w:t>, Book 1, I.19.</w:t>
      </w:r>
    </w:p>
  </w:footnote>
  <w:footnote w:id="29">
    <w:p>
      <w:pPr>
        <w:pStyle w:val="para5"/>
      </w:pPr>
      <w:r>
        <w:rPr>
          <w:rStyle w:val="char1"/>
        </w:rPr>
      </w:r>
      <w:r>
        <w:rPr>
          <w:rStyle w:val="char1"/>
        </w:rPr>
        <w:footnoteRef/>
      </w:r>
      <w:r>
        <w:t xml:space="preserve"> Ptolemy,</w:t>
      </w:r>
      <w:r>
        <w:rPr>
          <w:i/>
          <w:iCs/>
        </w:rPr>
        <w:t xml:space="preserve"> Tetrabiblos</w:t>
      </w:r>
      <w:r>
        <w:t>, Book 2, II.8.</w:t>
      </w:r>
    </w:p>
  </w:footnote>
  <w:footnote w:id="30">
    <w:p>
      <w:pPr>
        <w:pStyle w:val="para5"/>
      </w:pPr>
      <w:r>
        <w:rPr>
          <w:rStyle w:val="char1"/>
        </w:rPr>
      </w:r>
      <w:r>
        <w:rPr>
          <w:rStyle w:val="char1"/>
        </w:rPr>
        <w:footnoteRef/>
      </w:r>
      <w:r>
        <w:t xml:space="preserve"> Ptolemy, </w:t>
      </w:r>
      <w:r>
        <w:rPr>
          <w:i/>
          <w:iCs/>
        </w:rPr>
        <w:t>Tetrabiblos</w:t>
      </w:r>
      <w:r>
        <w:t>, Book 2, II.8.</w:t>
      </w:r>
    </w:p>
  </w:footnote>
  <w:footnote w:id="31">
    <w:p>
      <w:pPr>
        <w:pStyle w:val="para5"/>
      </w:pPr>
      <w:r>
        <w:rPr>
          <w:rStyle w:val="char1"/>
        </w:rPr>
      </w:r>
      <w:r>
        <w:rPr>
          <w:rStyle w:val="char1"/>
        </w:rPr>
        <w:footnoteRef/>
      </w:r>
      <w:r>
        <w:t xml:space="preserve"> Ptolemy, </w:t>
      </w:r>
      <w:r>
        <w:rPr>
          <w:i/>
          <w:iCs/>
        </w:rPr>
        <w:t>Tetrabiblos</w:t>
      </w:r>
      <w:r>
        <w:t>, Book 2, II.8.</w:t>
      </w:r>
    </w:p>
  </w:footnote>
  <w:footnote w:id="32">
    <w:p>
      <w:pPr>
        <w:pStyle w:val="para5"/>
      </w:pPr>
      <w:r>
        <w:rPr>
          <w:rStyle w:val="char1"/>
        </w:rPr>
      </w:r>
      <w:r>
        <w:rPr>
          <w:rStyle w:val="char1"/>
        </w:rPr>
        <w:footnoteRef/>
      </w:r>
      <w:r>
        <w:t xml:space="preserve"> Ptolemy, </w:t>
      </w:r>
      <w:r>
        <w:rPr>
          <w:i/>
          <w:iCs/>
        </w:rPr>
        <w:t>Tetrabiblos</w:t>
      </w:r>
      <w:r>
        <w:t>, Book 3, III.13.</w:t>
      </w:r>
    </w:p>
  </w:footnote>
  <w:footnote w:id="33">
    <w:p>
      <w:pPr>
        <w:pStyle w:val="para5"/>
      </w:pPr>
      <w:r>
        <w:rPr>
          <w:rStyle w:val="char1"/>
        </w:rPr>
      </w:r>
      <w:r>
        <w:rPr>
          <w:rStyle w:val="char1"/>
        </w:rPr>
        <w:footnoteRef/>
      </w:r>
      <w:r>
        <w:t xml:space="preserve"> Ptolemy, </w:t>
      </w:r>
      <w:r>
        <w:rPr>
          <w:i/>
          <w:iCs/>
        </w:rPr>
        <w:t>Tetrabiblos</w:t>
      </w:r>
      <w:r>
        <w:t>, Book 3, III.13.</w:t>
      </w:r>
    </w:p>
  </w:footnote>
  <w:footnote w:id="34">
    <w:p>
      <w:pPr>
        <w:pStyle w:val="para5"/>
      </w:pPr>
      <w:r>
        <w:rPr>
          <w:rStyle w:val="char1"/>
        </w:rPr>
      </w:r>
      <w:r>
        <w:rPr>
          <w:rStyle w:val="char1"/>
        </w:rPr>
        <w:footnoteRef/>
      </w:r>
      <w:r>
        <w:t xml:space="preserve"> Judy Hall, </w:t>
      </w:r>
      <w:r>
        <w:rPr>
          <w:i/>
          <w:iCs/>
        </w:rPr>
        <w:t>The Astrology Bible</w:t>
      </w:r>
      <w:r>
        <w:t>, (London, Godsfield Press, 2019), p. 167.</w:t>
      </w:r>
    </w:p>
  </w:footnote>
  <w:footnote w:id="35">
    <w:p>
      <w:pPr>
        <w:pStyle w:val="para5"/>
      </w:pPr>
      <w:r>
        <w:rPr>
          <w:rStyle w:val="char1"/>
        </w:rPr>
      </w:r>
      <w:r>
        <w:rPr>
          <w:rStyle w:val="char1"/>
        </w:rPr>
        <w:footnoteRef/>
      </w:r>
      <w:r>
        <w:t xml:space="preserve"> Ptolemy, </w:t>
      </w:r>
      <w:r>
        <w:rPr>
          <w:i/>
          <w:iCs/>
        </w:rPr>
        <w:t>Tetrabiblos</w:t>
      </w:r>
      <w:r>
        <w:t>, Book 3, III.8.</w:t>
      </w:r>
    </w:p>
  </w:footnote>
  <w:footnote w:id="36">
    <w:p>
      <w:pPr>
        <w:pStyle w:val="para5"/>
      </w:pPr>
      <w:r>
        <w:rPr>
          <w:rStyle w:val="char1"/>
        </w:rPr>
      </w:r>
      <w:r>
        <w:rPr>
          <w:rStyle w:val="char1"/>
        </w:rPr>
        <w:footnoteRef/>
      </w:r>
      <w:r>
        <w:t xml:space="preserve"> Ptolemy, </w:t>
      </w:r>
      <w:r>
        <w:rPr>
          <w:i/>
          <w:iCs/>
        </w:rPr>
        <w:t>Tetrabiblos</w:t>
      </w:r>
      <w:r>
        <w:t>, Book 3, III.10.</w:t>
      </w:r>
    </w:p>
  </w:footnote>
  <w:footnote w:id="37">
    <w:p>
      <w:pPr>
        <w:pStyle w:val="para5"/>
      </w:pPr>
      <w:r>
        <w:rPr>
          <w:rStyle w:val="char1"/>
        </w:rPr>
      </w:r>
      <w:r>
        <w:rPr>
          <w:rStyle w:val="char1"/>
        </w:rPr>
        <w:footnoteRef/>
      </w:r>
      <w:r>
        <w:t xml:space="preserve"> Ptolemy, </w:t>
      </w:r>
      <w:r>
        <w:rPr>
          <w:i/>
          <w:iCs/>
        </w:rPr>
        <w:t>Tetrabiblos</w:t>
      </w:r>
      <w:r>
        <w:t>, Book 3, III.12.</w:t>
      </w:r>
    </w:p>
  </w:footnote>
  <w:footnote w:id="38">
    <w:p>
      <w:pPr>
        <w:pStyle w:val="para5"/>
      </w:pPr>
      <w:r>
        <w:rPr>
          <w:rStyle w:val="char1"/>
        </w:rPr>
      </w:r>
      <w:r>
        <w:rPr>
          <w:rStyle w:val="char1"/>
        </w:rPr>
        <w:footnoteRef/>
      </w:r>
      <w:r>
        <w:t xml:space="preserve"> Ptolemy, </w:t>
      </w:r>
      <w:r>
        <w:rPr>
          <w:i/>
          <w:iCs/>
        </w:rPr>
        <w:t>Tetrabiblos</w:t>
      </w:r>
      <w:r>
        <w:t>, Book 3, III.14.</w:t>
      </w:r>
    </w:p>
  </w:footnote>
  <w:footnote w:id="39">
    <w:p>
      <w:pPr>
        <w:pStyle w:val="para5"/>
      </w:pPr>
      <w:r>
        <w:rPr>
          <w:rStyle w:val="char1"/>
        </w:rPr>
      </w:r>
      <w:r>
        <w:rPr>
          <w:rStyle w:val="char1"/>
        </w:rPr>
        <w:footnoteRef/>
      </w:r>
      <w:r>
        <w:t xml:space="preserve"> Ptolemy, </w:t>
      </w:r>
      <w:r>
        <w:rPr>
          <w:i/>
          <w:iCs/>
        </w:rPr>
        <w:t>Tetrabiblos</w:t>
      </w:r>
      <w:r>
        <w:t>, Book 4, IV.4.</w:t>
      </w:r>
    </w:p>
  </w:footnote>
  <w:footnote w:id="40">
    <w:p>
      <w:pPr>
        <w:pStyle w:val="para5"/>
      </w:pPr>
      <w:r>
        <w:rPr>
          <w:rStyle w:val="char1"/>
        </w:rPr>
      </w:r>
      <w:r>
        <w:rPr>
          <w:rStyle w:val="char1"/>
        </w:rPr>
        <w:footnoteRef/>
      </w:r>
      <w:r>
        <w:t xml:space="preserve"> Campion, </w:t>
      </w:r>
      <w:r>
        <w:rPr>
          <w:i/>
          <w:iCs/>
        </w:rPr>
        <w:t>Western Astrology: Vol. 2</w:t>
      </w:r>
      <w:r>
        <w:t>, p. 151.</w:t>
      </w:r>
    </w:p>
  </w:footnote>
  <w:footnote w:id="41">
    <w:p>
      <w:pPr>
        <w:pStyle w:val="para5"/>
      </w:pPr>
      <w:r>
        <w:rPr>
          <w:rStyle w:val="char1"/>
        </w:rPr>
      </w:r>
      <w:r>
        <w:rPr>
          <w:rStyle w:val="char1"/>
        </w:rPr>
        <w:footnoteRef/>
      </w:r>
      <w:r>
        <w:t xml:space="preserve"> Campion, Western Astrology: Vol. 2, p. 11.</w:t>
      </w:r>
    </w:p>
  </w:footnote>
  <w:footnote w:id="42">
    <w:p>
      <w:pPr>
        <w:pStyle w:val="para5"/>
      </w:pPr>
      <w:r>
        <w:rPr>
          <w:rStyle w:val="char1"/>
        </w:rPr>
      </w:r>
      <w:r>
        <w:rPr>
          <w:rStyle w:val="char1"/>
        </w:rPr>
        <w:footnoteRef/>
      </w:r>
      <w:r>
        <w:t xml:space="preserve"> Lilly, </w:t>
      </w:r>
      <w:r>
        <w:rPr>
          <w:i/>
          <w:iCs/>
        </w:rPr>
        <w:t>Christian Astrology</w:t>
      </w:r>
      <w:r>
        <w:t>, p. xvi.</w:t>
      </w:r>
    </w:p>
  </w:footnote>
  <w:footnote w:id="43">
    <w:p>
      <w:pPr>
        <w:pStyle w:val="para5"/>
      </w:pPr>
      <w:r>
        <w:rPr>
          <w:rStyle w:val="char1"/>
        </w:rPr>
      </w:r>
      <w:r>
        <w:rPr>
          <w:rStyle w:val="char1"/>
        </w:rPr>
        <w:footnoteRef/>
      </w:r>
      <w:r>
        <w:t xml:space="preserve"> Campion, Western Astrology. Vol. 2, p. 154.</w:t>
      </w:r>
    </w:p>
  </w:footnote>
  <w:footnote w:id="44">
    <w:p>
      <w:pPr>
        <w:pStyle w:val="para5"/>
      </w:pPr>
      <w:r>
        <w:rPr>
          <w:rStyle w:val="char1"/>
        </w:rPr>
      </w:r>
      <w:r>
        <w:rPr>
          <w:rStyle w:val="char1"/>
        </w:rPr>
        <w:footnoteRef/>
      </w:r>
      <w:r>
        <w:t xml:space="preserve"> Lilly, </w:t>
      </w:r>
      <w:r>
        <w:rPr>
          <w:i/>
          <w:iCs/>
        </w:rPr>
        <w:t>Christian Astrology</w:t>
      </w:r>
      <w:r>
        <w:t>, p. xvi.</w:t>
      </w:r>
    </w:p>
  </w:footnote>
  <w:footnote w:id="45">
    <w:p>
      <w:pPr>
        <w:pStyle w:val="para5"/>
      </w:pPr>
      <w:r>
        <w:rPr>
          <w:rStyle w:val="char1"/>
        </w:rPr>
      </w:r>
      <w:r>
        <w:rPr>
          <w:rStyle w:val="char1"/>
        </w:rPr>
        <w:footnoteRef/>
      </w:r>
      <w:r>
        <w:t xml:space="preserve"> Lilly, </w:t>
      </w:r>
      <w:r>
        <w:rPr>
          <w:i/>
          <w:iCs/>
        </w:rPr>
        <w:t>Christian Astrology</w:t>
      </w:r>
      <w:r>
        <w:t>, p. xiii.</w:t>
      </w:r>
    </w:p>
  </w:footnote>
  <w:footnote w:id="46">
    <w:p>
      <w:pPr>
        <w:pStyle w:val="para5"/>
      </w:pPr>
      <w:r>
        <w:rPr>
          <w:rStyle w:val="char1"/>
        </w:rPr>
      </w:r>
      <w:r>
        <w:rPr>
          <w:rStyle w:val="char1"/>
        </w:rPr>
        <w:footnoteRef/>
      </w:r>
      <w:r>
        <w:t xml:space="preserve"> Lilly, </w:t>
      </w:r>
      <w:r>
        <w:rPr>
          <w:i/>
          <w:iCs/>
        </w:rPr>
        <w:t>Christian Astrology</w:t>
      </w:r>
      <w:r>
        <w:t>, p. xii.</w:t>
      </w:r>
    </w:p>
  </w:footnote>
  <w:footnote w:id="47">
    <w:p>
      <w:pPr>
        <w:pStyle w:val="para5"/>
      </w:pPr>
      <w:r>
        <w:rPr>
          <w:rStyle w:val="char1"/>
        </w:rPr>
      </w:r>
      <w:r>
        <w:rPr>
          <w:rStyle w:val="char1"/>
        </w:rPr>
        <w:footnoteRef/>
      </w:r>
      <w:r>
        <w:t xml:space="preserve"> Lilly, </w:t>
      </w:r>
      <w:r>
        <w:rPr>
          <w:i/>
          <w:iCs/>
        </w:rPr>
        <w:t>Christian Astrology</w:t>
      </w:r>
      <w:r>
        <w:t>, p. A38.</w:t>
      </w:r>
    </w:p>
  </w:footnote>
  <w:footnote w:id="48">
    <w:p>
      <w:pPr>
        <w:pStyle w:val="para5"/>
      </w:pPr>
      <w:r>
        <w:rPr>
          <w:rStyle w:val="char1"/>
        </w:rPr>
      </w:r>
      <w:r>
        <w:rPr>
          <w:rStyle w:val="char1"/>
        </w:rPr>
        <w:footnoteRef/>
      </w:r>
      <w:r>
        <w:t xml:space="preserve"> Lilly, </w:t>
      </w:r>
      <w:r>
        <w:rPr>
          <w:i/>
          <w:iCs/>
        </w:rPr>
        <w:t>Christian Astrology</w:t>
      </w:r>
      <w:r>
        <w:t>, p. 139.</w:t>
      </w:r>
    </w:p>
  </w:footnote>
  <w:footnote w:id="49">
    <w:p>
      <w:pPr>
        <w:pStyle w:val="para5"/>
      </w:pPr>
      <w:r>
        <w:rPr>
          <w:rStyle w:val="char1"/>
        </w:rPr>
      </w:r>
      <w:r>
        <w:rPr>
          <w:rStyle w:val="char1"/>
        </w:rPr>
        <w:footnoteRef/>
      </w:r>
      <w:r>
        <w:t xml:space="preserve"> Austen Saunders and Tom Boardman. ‘Was there an explosion of print in the 1640s?’ </w:t>
      </w:r>
      <w:r>
        <w:rPr>
          <w:i/>
          <w:iCs/>
        </w:rPr>
        <w:t>The Seventeenth Century</w:t>
      </w:r>
      <w:r>
        <w:t>, 37.2, (2022), 177-99, (p. 179), &lt;DOI: 10.1080/0268117X.2021.1902851&gt;.</w:t>
      </w:r>
    </w:p>
  </w:footnote>
  <w:footnote w:id="50">
    <w:p>
      <w:pPr>
        <w:pStyle w:val="para5"/>
      </w:pPr>
      <w:r>
        <w:rPr>
          <w:rStyle w:val="char1"/>
        </w:rPr>
      </w:r>
      <w:r>
        <w:rPr>
          <w:rStyle w:val="char1"/>
        </w:rPr>
        <w:footnoteRef/>
      </w:r>
      <w:r>
        <w:t xml:space="preserve"> Lilly, </w:t>
      </w:r>
      <w:r>
        <w:rPr>
          <w:i/>
          <w:iCs/>
        </w:rPr>
        <w:t>Christian Astrology</w:t>
      </w:r>
      <w:r>
        <w:t>, pp. 76-80.</w:t>
      </w:r>
    </w:p>
  </w:footnote>
  <w:footnote w:id="51">
    <w:p>
      <w:pPr>
        <w:pStyle w:val="para5"/>
      </w:pPr>
      <w:r>
        <w:rPr>
          <w:rStyle w:val="char1"/>
        </w:rPr>
      </w:r>
      <w:r>
        <w:rPr>
          <w:rStyle w:val="char1"/>
        </w:rPr>
        <w:footnoteRef/>
      </w:r>
      <w:r>
        <w:t xml:space="preserve"> Lilly, </w:t>
      </w:r>
      <w:r>
        <w:rPr>
          <w:i/>
          <w:iCs/>
        </w:rPr>
        <w:t>Christian Astrology</w:t>
      </w:r>
      <w:r>
        <w:t>, p. 77.</w:t>
      </w:r>
    </w:p>
  </w:footnote>
  <w:footnote w:id="52">
    <w:p>
      <w:pPr>
        <w:pStyle w:val="para5"/>
      </w:pPr>
      <w:r>
        <w:rPr>
          <w:rStyle w:val="char1"/>
        </w:rPr>
      </w:r>
      <w:r>
        <w:rPr>
          <w:rStyle w:val="char1"/>
        </w:rPr>
        <w:footnoteRef/>
      </w:r>
      <w:r>
        <w:t xml:space="preserve"> Hall, </w:t>
      </w:r>
      <w:r>
        <w:rPr>
          <w:i/>
          <w:iCs/>
        </w:rPr>
        <w:t>Astrology Bible</w:t>
      </w:r>
      <w:r>
        <w:t>, p. 168.</w:t>
      </w:r>
    </w:p>
  </w:footnote>
  <w:footnote w:id="53">
    <w:p>
      <w:pPr>
        <w:pStyle w:val="para5"/>
      </w:pPr>
      <w:r>
        <w:rPr>
          <w:rStyle w:val="char1"/>
        </w:rPr>
      </w:r>
      <w:r>
        <w:rPr>
          <w:rStyle w:val="char1"/>
        </w:rPr>
        <w:footnoteRef/>
      </w:r>
      <w:r>
        <w:t xml:space="preserve"> Lilly, </w:t>
      </w:r>
      <w:r>
        <w:rPr>
          <w:i/>
          <w:iCs/>
        </w:rPr>
        <w:t>Christian Astrology</w:t>
      </w:r>
      <w:r>
        <w:t>, p. 77.</w:t>
      </w:r>
    </w:p>
  </w:footnote>
  <w:footnote w:id="54">
    <w:p>
      <w:pPr>
        <w:pStyle w:val="para5"/>
      </w:pPr>
      <w:r>
        <w:rPr>
          <w:rStyle w:val="char1"/>
        </w:rPr>
      </w:r>
      <w:r>
        <w:rPr>
          <w:rStyle w:val="char1"/>
        </w:rPr>
        <w:footnoteRef/>
      </w:r>
      <w:r>
        <w:t xml:space="preserve"> Lilly, </w:t>
      </w:r>
      <w:r>
        <w:rPr>
          <w:i/>
          <w:iCs/>
        </w:rPr>
        <w:t>Christian Astrology</w:t>
      </w:r>
      <w:r>
        <w:t>, p. 77.</w:t>
      </w:r>
    </w:p>
  </w:footnote>
  <w:footnote w:id="55">
    <w:p>
      <w:pPr>
        <w:pStyle w:val="para5"/>
      </w:pPr>
      <w:r>
        <w:rPr>
          <w:rStyle w:val="char1"/>
        </w:rPr>
      </w:r>
      <w:r>
        <w:rPr>
          <w:rStyle w:val="char1"/>
        </w:rPr>
        <w:footnoteRef/>
      </w:r>
      <w:r>
        <w:t xml:space="preserve"> Lilly, </w:t>
      </w:r>
      <w:r>
        <w:rPr>
          <w:i/>
          <w:iCs/>
        </w:rPr>
        <w:t>Christian Astrology</w:t>
      </w:r>
      <w:r>
        <w:t>, p. 78.</w:t>
      </w:r>
    </w:p>
  </w:footnote>
  <w:footnote w:id="56">
    <w:p>
      <w:pPr>
        <w:pStyle w:val="para5"/>
      </w:pPr>
      <w:r>
        <w:rPr>
          <w:rStyle w:val="char1"/>
        </w:rPr>
      </w:r>
      <w:r>
        <w:rPr>
          <w:rStyle w:val="char1"/>
        </w:rPr>
        <w:footnoteRef/>
      </w:r>
      <w:r>
        <w:t xml:space="preserve"> Lilly, </w:t>
      </w:r>
      <w:r>
        <w:rPr>
          <w:i/>
          <w:iCs/>
        </w:rPr>
        <w:t>Christian Astrology</w:t>
      </w:r>
      <w:r>
        <w:t>, p. 247.</w:t>
      </w:r>
    </w:p>
  </w:footnote>
  <w:footnote w:id="57">
    <w:p>
      <w:pPr>
        <w:pStyle w:val="para5"/>
      </w:pPr>
      <w:r>
        <w:rPr>
          <w:rStyle w:val="char1"/>
        </w:rPr>
      </w:r>
      <w:r>
        <w:rPr>
          <w:rStyle w:val="char1"/>
        </w:rPr>
        <w:footnoteRef/>
      </w:r>
      <w:r>
        <w:t xml:space="preserve"> Lilly, </w:t>
      </w:r>
      <w:r>
        <w:rPr>
          <w:i/>
          <w:iCs/>
        </w:rPr>
        <w:t>Christian Astrology</w:t>
      </w:r>
      <w:r>
        <w:t>, p. 78.</w:t>
      </w:r>
    </w:p>
  </w:footnote>
  <w:footnote w:id="58">
    <w:p>
      <w:pPr>
        <w:pStyle w:val="para5"/>
      </w:pPr>
      <w:r>
        <w:rPr>
          <w:rStyle w:val="char1"/>
        </w:rPr>
      </w:r>
      <w:r>
        <w:rPr>
          <w:rStyle w:val="char1"/>
        </w:rPr>
        <w:footnoteRef/>
      </w:r>
      <w:r>
        <w:t xml:space="preserve"> Lilly, </w:t>
      </w:r>
      <w:r>
        <w:rPr>
          <w:i/>
          <w:iCs/>
        </w:rPr>
        <w:t>Christian Astrology</w:t>
      </w:r>
      <w:r>
        <w:t>, p. 79.</w:t>
      </w:r>
    </w:p>
  </w:footnote>
  <w:footnote w:id="59">
    <w:p>
      <w:pPr>
        <w:pStyle w:val="para5"/>
      </w:pPr>
      <w:r>
        <w:rPr>
          <w:rStyle w:val="char1"/>
        </w:rPr>
      </w:r>
      <w:r>
        <w:rPr>
          <w:rStyle w:val="char1"/>
        </w:rPr>
        <w:footnoteRef/>
      </w:r>
      <w:r>
        <w:t xml:space="preserve"> Lilly, </w:t>
      </w:r>
      <w:r>
        <w:rPr>
          <w:i/>
          <w:iCs/>
        </w:rPr>
        <w:t>Christian Astrology</w:t>
      </w:r>
      <w:r>
        <w:t>, p. 469.</w:t>
      </w:r>
    </w:p>
  </w:footnote>
  <w:footnote w:id="60">
    <w:p>
      <w:pPr>
        <w:pStyle w:val="para5"/>
      </w:pPr>
      <w:r>
        <w:rPr>
          <w:rStyle w:val="char1"/>
        </w:rPr>
      </w:r>
      <w:r>
        <w:rPr>
          <w:rStyle w:val="char1"/>
        </w:rPr>
        <w:footnoteRef/>
      </w:r>
      <w:r>
        <w:t xml:space="preserve"> Campion, </w:t>
      </w:r>
      <w:r>
        <w:rPr>
          <w:i/>
          <w:iCs/>
        </w:rPr>
        <w:t>Western Astrology: Vol. 2</w:t>
      </w:r>
      <w:r>
        <w:t>, pp. 155-56.</w:t>
      </w:r>
    </w:p>
  </w:footnote>
  <w:footnote w:id="61">
    <w:p>
      <w:pPr>
        <w:pStyle w:val="para5"/>
      </w:pPr>
      <w:r>
        <w:rPr>
          <w:rStyle w:val="char1"/>
        </w:rPr>
      </w:r>
      <w:r>
        <w:rPr>
          <w:rStyle w:val="char1"/>
        </w:rPr>
        <w:footnoteRef/>
      </w:r>
      <w:r>
        <w:t xml:space="preserve"> Campion, </w:t>
      </w:r>
      <w:r>
        <w:rPr>
          <w:i/>
          <w:iCs/>
        </w:rPr>
        <w:t>Western Astrology: Vol. 2</w:t>
      </w:r>
      <w:r>
        <w:t>, p. 231.</w:t>
      </w:r>
    </w:p>
  </w:footnote>
  <w:footnote w:id="62">
    <w:p>
      <w:pPr>
        <w:pStyle w:val="para5"/>
      </w:pPr>
      <w:r>
        <w:rPr>
          <w:rStyle w:val="char1"/>
        </w:rPr>
      </w:r>
      <w:r>
        <w:rPr>
          <w:rStyle w:val="char1"/>
        </w:rPr>
        <w:footnoteRef/>
      </w:r>
      <w:r>
        <w:t xml:space="preserve"> Liz Greene, </w:t>
      </w:r>
      <w:r>
        <w:rPr>
          <w:i/>
          <w:iCs/>
        </w:rPr>
        <w:t>Jung’s Studies in Astrology</w:t>
      </w:r>
      <w:r>
        <w:t>, (Oxon, Routledge, 2018) p. 41.</w:t>
      </w:r>
    </w:p>
  </w:footnote>
  <w:footnote w:id="63">
    <w:p>
      <w:pPr>
        <w:pStyle w:val="para5"/>
      </w:pPr>
      <w:r>
        <w:rPr>
          <w:rStyle w:val="char1"/>
        </w:rPr>
      </w:r>
      <w:r>
        <w:rPr>
          <w:rStyle w:val="char1"/>
        </w:rPr>
        <w:footnoteRef/>
      </w:r>
      <w:r>
        <w:t xml:space="preserve"> Leo, </w:t>
      </w:r>
      <w:r>
        <w:rPr>
          <w:i/>
          <w:iCs/>
        </w:rPr>
        <w:t>How to Judge a Nativity,</w:t>
      </w:r>
      <w:r>
        <w:t xml:space="preserve"> p. 4.</w:t>
      </w:r>
    </w:p>
  </w:footnote>
  <w:footnote w:id="64">
    <w:p>
      <w:pPr>
        <w:pStyle w:val="para5"/>
      </w:pPr>
      <w:r>
        <w:rPr>
          <w:rStyle w:val="char1"/>
        </w:rPr>
      </w:r>
      <w:r>
        <w:rPr>
          <w:rStyle w:val="char1"/>
        </w:rPr>
        <w:footnoteRef/>
      </w:r>
      <w:r>
        <w:t xml:space="preserve"> Leo, </w:t>
      </w:r>
      <w:r>
        <w:rPr>
          <w:i/>
          <w:iCs/>
        </w:rPr>
        <w:t>How to Judge a Nativity,</w:t>
      </w:r>
      <w:r>
        <w:t xml:space="preserve"> p. 474-82.</w:t>
      </w:r>
    </w:p>
  </w:footnote>
  <w:footnote w:id="65">
    <w:p>
      <w:pPr>
        <w:pStyle w:val="para5"/>
      </w:pPr>
      <w:r>
        <w:rPr>
          <w:rStyle w:val="char1"/>
        </w:rPr>
      </w:r>
      <w:r>
        <w:rPr>
          <w:rStyle w:val="char1"/>
        </w:rPr>
        <w:footnoteRef/>
      </w:r>
      <w:r>
        <w:t xml:space="preserve"> Leo, </w:t>
      </w:r>
      <w:r>
        <w:rPr>
          <w:i/>
          <w:iCs/>
        </w:rPr>
        <w:t>How to Judge a Nativity,</w:t>
      </w:r>
      <w:r>
        <w:t xml:space="preserve"> p. 2.</w:t>
      </w:r>
    </w:p>
  </w:footnote>
  <w:footnote w:id="66">
    <w:p>
      <w:pPr>
        <w:pStyle w:val="para5"/>
      </w:pPr>
      <w:r>
        <w:rPr>
          <w:rStyle w:val="char1"/>
        </w:rPr>
      </w:r>
      <w:r>
        <w:rPr>
          <w:rStyle w:val="char1"/>
        </w:rPr>
        <w:footnoteRef/>
      </w:r>
      <w:r>
        <w:t xml:space="preserve"> Leo, </w:t>
      </w:r>
      <w:r>
        <w:rPr>
          <w:i/>
          <w:iCs/>
        </w:rPr>
        <w:t>How to Judge a Nativity,</w:t>
      </w:r>
      <w:r>
        <w:t xml:space="preserve"> p. 2.</w:t>
      </w:r>
    </w:p>
  </w:footnote>
  <w:footnote w:id="67">
    <w:p>
      <w:pPr>
        <w:pStyle w:val="para5"/>
      </w:pPr>
      <w:r>
        <w:rPr>
          <w:rStyle w:val="char1"/>
        </w:rPr>
      </w:r>
      <w:r>
        <w:rPr>
          <w:rStyle w:val="char1"/>
        </w:rPr>
        <w:footnoteRef/>
      </w:r>
      <w:r>
        <w:t xml:space="preserve"> Greene, </w:t>
      </w:r>
      <w:r>
        <w:rPr>
          <w:i/>
          <w:iCs/>
        </w:rPr>
        <w:t>Jung’s Studies</w:t>
      </w:r>
      <w:r>
        <w:t xml:space="preserve"> p. 39.</w:t>
      </w:r>
    </w:p>
  </w:footnote>
  <w:footnote w:id="68">
    <w:p>
      <w:pPr>
        <w:pStyle w:val="para5"/>
      </w:pPr>
      <w:r>
        <w:rPr>
          <w:rStyle w:val="char1"/>
        </w:rPr>
      </w:r>
      <w:r>
        <w:rPr>
          <w:rStyle w:val="char1"/>
        </w:rPr>
        <w:footnoteRef/>
      </w:r>
      <w:r>
        <w:t xml:space="preserve"> Greene, </w:t>
      </w:r>
      <w:r>
        <w:rPr>
          <w:i/>
          <w:iCs/>
        </w:rPr>
        <w:t>Jung’s Studies</w:t>
      </w:r>
      <w:r>
        <w:t xml:space="preserve"> p. 41.</w:t>
      </w:r>
    </w:p>
  </w:footnote>
  <w:footnote w:id="69">
    <w:p>
      <w:pPr>
        <w:pStyle w:val="para5"/>
      </w:pPr>
      <w:r>
        <w:rPr>
          <w:rStyle w:val="char1"/>
        </w:rPr>
      </w:r>
      <w:r>
        <w:rPr>
          <w:rStyle w:val="char1"/>
        </w:rPr>
        <w:footnoteRef/>
      </w:r>
      <w:r>
        <w:t xml:space="preserve"> Leo, </w:t>
      </w:r>
      <w:r>
        <w:rPr>
          <w:i/>
          <w:iCs/>
        </w:rPr>
        <w:t>How to Judge a Nativity,</w:t>
      </w:r>
      <w:r>
        <w:t xml:space="preserve"> p. 1.</w:t>
      </w:r>
    </w:p>
  </w:footnote>
  <w:footnote w:id="70">
    <w:p>
      <w:pPr>
        <w:pStyle w:val="para5"/>
      </w:pPr>
      <w:r>
        <w:rPr>
          <w:rStyle w:val="char1"/>
        </w:rPr>
      </w:r>
      <w:r>
        <w:rPr>
          <w:rStyle w:val="char1"/>
        </w:rPr>
        <w:footnoteRef/>
      </w:r>
      <w:r>
        <w:t xml:space="preserve"> Nicholas Campion, ‘Sun Signs’, in </w:t>
      </w:r>
      <w:r>
        <w:rPr>
          <w:i/>
          <w:iCs/>
        </w:rPr>
        <w:t>Astrology Through History: Interpreting the Stars from Ancient Mesopotamia to the Present.</w:t>
      </w:r>
      <w:r>
        <w:t xml:space="preserve"> ed. by William E Burns (Santa Barbara, ABC-CLIO, 2018), 114-17 (p. 321) &lt;DOI: 10.1080/0268117X.2021.1902851&gt;.</w:t>
      </w:r>
    </w:p>
  </w:footnote>
  <w:footnote w:id="71">
    <w:p>
      <w:pPr>
        <w:pStyle w:val="para5"/>
      </w:pPr>
      <w:r>
        <w:rPr>
          <w:rStyle w:val="char1"/>
        </w:rPr>
      </w:r>
      <w:r>
        <w:rPr>
          <w:rStyle w:val="char1"/>
        </w:rPr>
        <w:footnoteRef/>
      </w:r>
      <w:r>
        <w:t xml:space="preserve"> Leo, </w:t>
      </w:r>
      <w:r>
        <w:rPr>
          <w:i/>
          <w:iCs/>
        </w:rPr>
        <w:t>How to Judge a Nativity,</w:t>
      </w:r>
      <w:r>
        <w:t xml:space="preserve"> p. 61.</w:t>
      </w:r>
    </w:p>
  </w:footnote>
  <w:footnote w:id="72">
    <w:p>
      <w:pPr>
        <w:pStyle w:val="para5"/>
      </w:pPr>
      <w:r>
        <w:rPr>
          <w:rStyle w:val="char1"/>
        </w:rPr>
      </w:r>
      <w:r>
        <w:rPr>
          <w:rStyle w:val="char1"/>
        </w:rPr>
        <w:footnoteRef/>
      </w:r>
      <w:r>
        <w:t xml:space="preserve"> Leo, </w:t>
      </w:r>
      <w:r>
        <w:rPr>
          <w:i/>
          <w:iCs/>
        </w:rPr>
        <w:t>How to Judge a Nativity,</w:t>
      </w:r>
      <w:r>
        <w:t xml:space="preserve"> p. 59.</w:t>
      </w:r>
    </w:p>
  </w:footnote>
  <w:footnote w:id="73">
    <w:p>
      <w:pPr>
        <w:pStyle w:val="para5"/>
      </w:pPr>
      <w:r>
        <w:rPr>
          <w:rStyle w:val="char1"/>
        </w:rPr>
      </w:r>
      <w:r>
        <w:rPr>
          <w:rStyle w:val="char1"/>
        </w:rPr>
        <w:footnoteRef/>
      </w:r>
      <w:r>
        <w:t xml:space="preserve"> Leo, </w:t>
      </w:r>
      <w:r>
        <w:rPr>
          <w:i/>
          <w:iCs/>
        </w:rPr>
        <w:t>How to Judge a Nativity,</w:t>
      </w:r>
      <w:r>
        <w:t xml:space="preserve"> p. 244.</w:t>
      </w:r>
    </w:p>
  </w:footnote>
  <w:footnote w:id="74">
    <w:p>
      <w:pPr>
        <w:pStyle w:val="para5"/>
      </w:pPr>
      <w:r>
        <w:rPr>
          <w:rStyle w:val="char1"/>
        </w:rPr>
      </w:r>
      <w:r>
        <w:rPr>
          <w:rStyle w:val="char1"/>
        </w:rPr>
        <w:footnoteRef/>
      </w:r>
      <w:r>
        <w:t xml:space="preserve"> Leo, </w:t>
      </w:r>
      <w:r>
        <w:rPr>
          <w:i/>
          <w:iCs/>
        </w:rPr>
        <w:t>How to Judge a Nativity,</w:t>
      </w:r>
      <w:r>
        <w:t xml:space="preserve"> p. 123.</w:t>
      </w:r>
    </w:p>
  </w:footnote>
  <w:footnote w:id="75">
    <w:p>
      <w:pPr>
        <w:pStyle w:val="para5"/>
      </w:pPr>
      <w:r>
        <w:rPr>
          <w:rStyle w:val="char1"/>
        </w:rPr>
      </w:r>
      <w:r>
        <w:rPr>
          <w:rStyle w:val="char1"/>
        </w:rPr>
        <w:footnoteRef/>
      </w:r>
      <w:r>
        <w:t xml:space="preserve"> Leo, </w:t>
      </w:r>
      <w:r>
        <w:rPr>
          <w:i/>
          <w:iCs/>
        </w:rPr>
        <w:t>How to Judge a Nativity,</w:t>
      </w:r>
      <w:r>
        <w:t xml:space="preserve"> p. 72.</w:t>
      </w:r>
    </w:p>
  </w:footnote>
  <w:footnote w:id="76">
    <w:p>
      <w:pPr>
        <w:pStyle w:val="para5"/>
      </w:pPr>
      <w:r>
        <w:rPr>
          <w:rStyle w:val="char1"/>
        </w:rPr>
      </w:r>
      <w:r>
        <w:rPr>
          <w:rStyle w:val="char1"/>
        </w:rPr>
        <w:footnoteRef/>
      </w:r>
      <w:r>
        <w:t xml:space="preserve"> Leo, </w:t>
      </w:r>
      <w:r>
        <w:rPr>
          <w:i/>
          <w:iCs/>
        </w:rPr>
        <w:t>How to Judge a Nativity,</w:t>
      </w:r>
      <w:r>
        <w:t xml:space="preserve"> p. 72.</w:t>
      </w:r>
    </w:p>
  </w:footnote>
  <w:footnote w:id="77">
    <w:p>
      <w:pPr>
        <w:pStyle w:val="para5"/>
      </w:pPr>
      <w:r>
        <w:rPr>
          <w:rStyle w:val="char1"/>
        </w:rPr>
      </w:r>
      <w:r>
        <w:rPr>
          <w:rStyle w:val="char1"/>
        </w:rPr>
        <w:footnoteRef/>
      </w:r>
      <w:r>
        <w:t xml:space="preserve"> Hall, </w:t>
      </w:r>
      <w:r>
        <w:rPr>
          <w:i/>
          <w:iCs/>
        </w:rPr>
        <w:t>Astrology Bible</w:t>
      </w:r>
      <w:r>
        <w:t>, p. 168.</w:t>
      </w:r>
    </w:p>
  </w:footnote>
  <w:footnote w:id="78">
    <w:p>
      <w:pPr>
        <w:pStyle w:val="para5"/>
      </w:pPr>
      <w:r>
        <w:rPr>
          <w:rStyle w:val="char1"/>
        </w:rPr>
      </w:r>
      <w:r>
        <w:rPr>
          <w:rStyle w:val="char1"/>
        </w:rPr>
        <w:footnoteRef/>
      </w:r>
      <w:r>
        <w:t xml:space="preserve"> Leo, </w:t>
      </w:r>
      <w:r>
        <w:rPr>
          <w:i/>
          <w:iCs/>
        </w:rPr>
        <w:t>How to Judge a Nativity,</w:t>
      </w:r>
      <w:r>
        <w:t xml:space="preserve"> p. 72.</w:t>
      </w:r>
    </w:p>
  </w:footnote>
  <w:footnote w:id="79">
    <w:p>
      <w:pPr>
        <w:pStyle w:val="para5"/>
      </w:pPr>
      <w:r>
        <w:rPr>
          <w:rStyle w:val="char1"/>
        </w:rPr>
      </w:r>
      <w:r>
        <w:rPr>
          <w:rStyle w:val="char1"/>
        </w:rPr>
        <w:footnoteRef/>
      </w:r>
      <w:r>
        <w:t xml:space="preserve"> Leo, </w:t>
      </w:r>
      <w:r>
        <w:rPr>
          <w:i/>
          <w:iCs/>
        </w:rPr>
        <w:t>How to Judge a Nativity,</w:t>
      </w:r>
      <w:r>
        <w:t xml:space="preserve"> p. 78.</w:t>
      </w:r>
    </w:p>
  </w:footnote>
  <w:footnote w:id="80">
    <w:p>
      <w:pPr>
        <w:pStyle w:val="para5"/>
      </w:pPr>
      <w:r>
        <w:rPr>
          <w:rStyle w:val="char1"/>
        </w:rPr>
      </w:r>
      <w:r>
        <w:rPr>
          <w:rStyle w:val="char1"/>
        </w:rPr>
        <w:footnoteRef/>
      </w:r>
      <w:r>
        <w:t xml:space="preserve"> Leo, </w:t>
      </w:r>
      <w:r>
        <w:rPr>
          <w:i/>
          <w:iCs/>
        </w:rPr>
        <w:t>How to Judge a Nativity,</w:t>
      </w:r>
      <w:r>
        <w:t xml:space="preserve"> p. 409.</w:t>
      </w:r>
    </w:p>
  </w:footnote>
  <w:footnote w:id="81">
    <w:p>
      <w:pPr>
        <w:pStyle w:val="para5"/>
      </w:pPr>
      <w:r>
        <w:rPr>
          <w:rStyle w:val="char1"/>
        </w:rPr>
      </w:r>
      <w:r>
        <w:rPr>
          <w:rStyle w:val="char1"/>
        </w:rPr>
        <w:footnoteRef/>
      </w:r>
      <w:r>
        <w:t xml:space="preserve"> Leo, </w:t>
      </w:r>
      <w:r>
        <w:rPr>
          <w:i/>
          <w:iCs/>
        </w:rPr>
        <w:t>How to Judge a Nativity,</w:t>
      </w:r>
      <w:r>
        <w:t xml:space="preserve"> p. 410.</w:t>
      </w:r>
    </w:p>
  </w:footnote>
  <w:footnote w:id="82">
    <w:p>
      <w:pPr>
        <w:pStyle w:val="para5"/>
      </w:pPr>
      <w:r>
        <w:rPr>
          <w:rStyle w:val="char1"/>
        </w:rPr>
      </w:r>
      <w:r>
        <w:rPr>
          <w:rStyle w:val="char1"/>
        </w:rPr>
        <w:footnoteRef/>
      </w:r>
      <w:r>
        <w:t xml:space="preserve"> Leo, </w:t>
      </w:r>
      <w:r>
        <w:rPr>
          <w:i/>
          <w:iCs/>
        </w:rPr>
        <w:t>How to Judge a Nativity,</w:t>
      </w:r>
      <w:r>
        <w:t xml:space="preserve"> p. 411.</w:t>
      </w:r>
    </w:p>
  </w:footnote>
  <w:footnote w:id="83">
    <w:p>
      <w:pPr>
        <w:pStyle w:val="para5"/>
      </w:pPr>
      <w:r>
        <w:rPr>
          <w:rStyle w:val="char1"/>
        </w:rPr>
      </w:r>
      <w:r>
        <w:rPr>
          <w:rStyle w:val="char1"/>
        </w:rPr>
        <w:footnoteRef/>
      </w:r>
      <w:r>
        <w:t xml:space="preserve"> Leo, </w:t>
      </w:r>
      <w:r>
        <w:rPr>
          <w:i/>
          <w:iCs/>
        </w:rPr>
        <w:t>How to Judge a Nativity,</w:t>
      </w:r>
      <w:r>
        <w:t xml:space="preserve"> p. 174.</w:t>
      </w:r>
    </w:p>
  </w:footnote>
  <w:footnote w:id="84">
    <w:p>
      <w:pPr>
        <w:pStyle w:val="para5"/>
      </w:pPr>
      <w:r>
        <w:rPr>
          <w:rStyle w:val="char1"/>
        </w:rPr>
      </w:r>
      <w:r>
        <w:rPr>
          <w:rStyle w:val="char1"/>
        </w:rPr>
        <w:footnoteRef/>
      </w:r>
      <w:r>
        <w:t xml:space="preserve"> Leo, </w:t>
      </w:r>
      <w:r>
        <w:rPr>
          <w:i/>
          <w:iCs/>
        </w:rPr>
        <w:t>How to Judge a Nativity,</w:t>
      </w:r>
      <w:r>
        <w:t xml:space="preserve"> p. 174-5.</w:t>
      </w:r>
    </w:p>
  </w:footnote>
  <w:footnote w:id="85">
    <w:p>
      <w:pPr>
        <w:pStyle w:val="para5"/>
      </w:pPr>
      <w:r>
        <w:rPr>
          <w:rStyle w:val="char1"/>
        </w:rPr>
      </w:r>
      <w:r>
        <w:rPr>
          <w:rStyle w:val="char1"/>
        </w:rPr>
        <w:footnoteRef/>
      </w:r>
      <w:r>
        <w:t xml:space="preserve"> Leo, </w:t>
      </w:r>
      <w:r>
        <w:rPr>
          <w:i/>
          <w:iCs/>
        </w:rPr>
        <w:t>How to Judge a Nativity,</w:t>
      </w:r>
      <w:r>
        <w:t xml:space="preserve"> pp. 239-40.</w:t>
      </w:r>
    </w:p>
  </w:footnote>
  <w:footnote w:id="86">
    <w:p>
      <w:pPr>
        <w:pStyle w:val="para5"/>
      </w:pPr>
      <w:r>
        <w:rPr>
          <w:rStyle w:val="char1"/>
        </w:rPr>
      </w:r>
      <w:r>
        <w:rPr>
          <w:rStyle w:val="char1"/>
        </w:rPr>
        <w:footnoteRef/>
      </w:r>
      <w:r>
        <w:t xml:space="preserve"> Leo, </w:t>
      </w:r>
      <w:r>
        <w:rPr>
          <w:i/>
          <w:iCs/>
        </w:rPr>
        <w:t>How to Judge a Nativity,</w:t>
      </w:r>
      <w:r>
        <w:t xml:space="preserve"> p. 244.</w:t>
      </w:r>
    </w:p>
  </w:footnote>
  <w:footnote w:id="87">
    <w:p>
      <w:pPr>
        <w:pStyle w:val="para5"/>
      </w:pPr>
      <w:r>
        <w:rPr>
          <w:rStyle w:val="char1"/>
        </w:rPr>
      </w:r>
      <w:r>
        <w:rPr>
          <w:rStyle w:val="char1"/>
        </w:rPr>
        <w:footnoteRef/>
      </w:r>
      <w:r>
        <w:t xml:space="preserve"> Leo, </w:t>
      </w:r>
      <w:r>
        <w:rPr>
          <w:i/>
          <w:iCs/>
        </w:rPr>
        <w:t>How to Judge a Nativity,</w:t>
      </w:r>
      <w:r>
        <w:t xml:space="preserve"> p. 237.</w:t>
      </w:r>
    </w:p>
  </w:footnote>
  <w:footnote w:id="88">
    <w:p>
      <w:pPr>
        <w:pStyle w:val="para5"/>
      </w:pPr>
      <w:r>
        <w:rPr>
          <w:rStyle w:val="char1"/>
        </w:rPr>
      </w:r>
      <w:r>
        <w:rPr>
          <w:rStyle w:val="char1"/>
        </w:rPr>
        <w:footnoteRef/>
      </w:r>
      <w:r>
        <w:t xml:space="preserve"> Leo, </w:t>
      </w:r>
      <w:r>
        <w:rPr>
          <w:i/>
          <w:iCs/>
        </w:rPr>
        <w:t>How to Judge a Nativity,</w:t>
      </w:r>
      <w:r>
        <w:t xml:space="preserve"> p. 174.</w:t>
      </w:r>
    </w:p>
  </w:footnote>
  <w:footnote w:id="89">
    <w:p>
      <w:pPr>
        <w:pStyle w:val="para5"/>
      </w:pPr>
      <w:r>
        <w:rPr>
          <w:rStyle w:val="char1"/>
        </w:rPr>
      </w:r>
      <w:r>
        <w:rPr>
          <w:rStyle w:val="char1"/>
        </w:rPr>
        <w:footnoteRef/>
      </w:r>
      <w:r>
        <w:t xml:space="preserve"> Leo, </w:t>
      </w:r>
      <w:r>
        <w:rPr>
          <w:i/>
          <w:iCs/>
        </w:rPr>
        <w:t>How to Judge a Nativity,</w:t>
      </w:r>
      <w:r>
        <w:t xml:space="preserve"> p. 119.</w:t>
      </w:r>
    </w:p>
  </w:footnote>
  <w:footnote w:id="90">
    <w:p>
      <w:pPr>
        <w:pStyle w:val="para5"/>
      </w:pPr>
      <w:r>
        <w:rPr>
          <w:rStyle w:val="char1"/>
        </w:rPr>
      </w:r>
      <w:r>
        <w:rPr>
          <w:rStyle w:val="char1"/>
        </w:rPr>
        <w:footnoteRef/>
      </w:r>
      <w:r>
        <w:t xml:space="preserve"> Leo, </w:t>
      </w:r>
      <w:r>
        <w:rPr>
          <w:i/>
          <w:iCs/>
        </w:rPr>
        <w:t>How to Judge a Nativity,</w:t>
      </w:r>
      <w:r>
        <w:t xml:space="preserve"> p. 123.</w:t>
      </w:r>
    </w:p>
  </w:footnote>
  <w:footnote w:id="91">
    <w:p>
      <w:pPr>
        <w:pStyle w:val="para5"/>
      </w:pPr>
      <w:r>
        <w:rPr>
          <w:rStyle w:val="char1"/>
        </w:rPr>
      </w:r>
      <w:r>
        <w:rPr>
          <w:rStyle w:val="char1"/>
        </w:rPr>
        <w:footnoteRef/>
      </w:r>
      <w:r>
        <w:t xml:space="preserve"> Leo, </w:t>
      </w:r>
      <w:r>
        <w:rPr>
          <w:i/>
          <w:iCs/>
        </w:rPr>
        <w:t>How to Judge a Nativity,</w:t>
      </w:r>
      <w:r>
        <w:t xml:space="preserve"> p. 219.</w:t>
      </w:r>
    </w:p>
  </w:footnote>
  <w:footnote w:id="92">
    <w:p>
      <w:pPr>
        <w:pStyle w:val="para5"/>
      </w:pPr>
      <w:r>
        <w:rPr>
          <w:rStyle w:val="char1"/>
        </w:rPr>
      </w:r>
      <w:r>
        <w:rPr>
          <w:rStyle w:val="char1"/>
        </w:rPr>
        <w:footnoteRef/>
      </w:r>
      <w:r>
        <w:t xml:space="preserve"> Leo, </w:t>
      </w:r>
      <w:r>
        <w:rPr>
          <w:i/>
          <w:iCs/>
        </w:rPr>
        <w:t>How to Judge a Nativity,</w:t>
      </w:r>
      <w:r>
        <w:t xml:space="preserve"> p. 220.</w:t>
      </w:r>
    </w:p>
  </w:footnote>
  <w:footnote w:id="93">
    <w:p>
      <w:pPr>
        <w:pStyle w:val="para5"/>
      </w:pPr>
      <w:r>
        <w:rPr>
          <w:rStyle w:val="char1"/>
        </w:rPr>
      </w:r>
      <w:r>
        <w:rPr>
          <w:rStyle w:val="char1"/>
        </w:rPr>
        <w:footnoteRef/>
      </w:r>
      <w:r>
        <w:t xml:space="preserve"> Bernadette Brady, ‘Fate’, in </w:t>
      </w:r>
      <w:r>
        <w:rPr>
          <w:i/>
          <w:iCs/>
        </w:rPr>
        <w:t>Astrology Through History: Interpreting the Stars from Ancient Mesopotamia to the Present</w:t>
      </w:r>
      <w:r>
        <w:t>, ed. by William E Burns (Santa Barbara, ABC-CLIO, 2018), 114-17 (p. 116) &lt;DOI: 10.1080/0268117X.2021.1902851&gt;.</w:t>
      </w:r>
    </w:p>
  </w:footnote>
  <w:footnote w:id="94">
    <w:p>
      <w:pPr>
        <w:pStyle w:val="para5"/>
      </w:pPr>
      <w:r>
        <w:rPr>
          <w:rStyle w:val="char1"/>
        </w:rPr>
      </w:r>
      <w:r>
        <w:rPr>
          <w:rStyle w:val="char1"/>
        </w:rPr>
        <w:footnoteRef/>
      </w:r>
      <w:r>
        <w:t xml:space="preserve"> Greene, </w:t>
      </w:r>
      <w:r>
        <w:rPr>
          <w:i/>
          <w:iCs/>
        </w:rPr>
        <w:t>Jung’s Studies</w:t>
      </w:r>
      <w:r>
        <w:t>, p. 15.</w:t>
      </w:r>
    </w:p>
  </w:footnote>
  <w:footnote w:id="95">
    <w:p>
      <w:pPr>
        <w:pStyle w:val="para5"/>
      </w:pPr>
      <w:r>
        <w:rPr>
          <w:rStyle w:val="char1"/>
        </w:rPr>
      </w:r>
      <w:r>
        <w:rPr>
          <w:rStyle w:val="char1"/>
        </w:rPr>
        <w:footnoteRef/>
      </w:r>
      <w:r>
        <w:t xml:space="preserve"> Leo, </w:t>
      </w:r>
      <w:r>
        <w:rPr>
          <w:i/>
          <w:iCs/>
        </w:rPr>
        <w:t>How to Judge a Nativity,</w:t>
      </w:r>
      <w:r>
        <w:t xml:space="preserve"> p. 72.</w:t>
      </w:r>
    </w:p>
  </w:footnote>
  <w:footnote w:id="96">
    <w:p>
      <w:pPr>
        <w:pStyle w:val="para5"/>
      </w:pPr>
      <w:r>
        <w:rPr>
          <w:rStyle w:val="char1"/>
        </w:rPr>
      </w:r>
      <w:r>
        <w:rPr>
          <w:rStyle w:val="char1"/>
        </w:rPr>
        <w:footnoteRef/>
      </w:r>
      <w:r>
        <w:t xml:space="preserve"> Greene, </w:t>
      </w:r>
      <w:r>
        <w:rPr>
          <w:i/>
          <w:iCs/>
        </w:rPr>
        <w:t>Jung’s Studies</w:t>
      </w:r>
      <w:r>
        <w:t xml:space="preserve"> p. 52.</w:t>
      </w:r>
    </w:p>
  </w:footnote>
  <w:footnote w:id="97">
    <w:p>
      <w:pPr>
        <w:pStyle w:val="para5"/>
      </w:pPr>
      <w:r>
        <w:rPr>
          <w:rStyle w:val="char1"/>
        </w:rPr>
      </w:r>
      <w:r>
        <w:rPr>
          <w:rStyle w:val="char1"/>
        </w:rPr>
        <w:footnoteRef/>
      </w:r>
      <w:r>
        <w:t xml:space="preserve"> Nicholas Campion, </w:t>
      </w:r>
      <w:r>
        <w:rPr>
          <w:i/>
          <w:iCs/>
        </w:rPr>
        <w:t>Astrology and Cosmology in the World’s Religions</w:t>
      </w:r>
      <w:r>
        <w:t>. (New York, New York University Press, 2012), p. 197.</w:t>
      </w:r>
    </w:p>
  </w:footnote>
  <w:footnote w:id="98">
    <w:p>
      <w:pPr>
        <w:pStyle w:val="para5"/>
      </w:pPr>
      <w:r>
        <w:rPr>
          <w:rStyle w:val="char1"/>
        </w:rPr>
      </w:r>
      <w:r>
        <w:rPr>
          <w:rStyle w:val="char1"/>
        </w:rPr>
        <w:footnoteRef/>
      </w:r>
      <w:r>
        <w:t xml:space="preserve"> Laura Andrikopoulos, ‘Natal Astrology’, in </w:t>
      </w:r>
      <w:r>
        <w:rPr>
          <w:i/>
          <w:iCs/>
        </w:rPr>
        <w:t>Astrology Through History: Interpreting the Stars from Ancient Mesopotamia to the Present</w:t>
      </w:r>
      <w:r>
        <w:t>, ed. by William E Burns (Santa Barbara, ABC-CLIO, 2018)  114-17 (p. 245) &lt;DOI: 10.1080/0268117X.2021.1902851&gt;.</w:t>
      </w:r>
    </w:p>
  </w:footnote>
  <w:footnote w:id="99">
    <w:p>
      <w:pPr>
        <w:pStyle w:val="para5"/>
      </w:pPr>
      <w:r>
        <w:rPr>
          <w:rStyle w:val="char1"/>
        </w:rPr>
      </w:r>
      <w:r>
        <w:rPr>
          <w:rStyle w:val="char1"/>
        </w:rPr>
        <w:footnoteRef/>
      </w:r>
      <w:r>
        <w:t xml:space="preserve"> Greene, </w:t>
      </w:r>
      <w:r>
        <w:rPr>
          <w:i/>
          <w:iCs/>
        </w:rPr>
        <w:t xml:space="preserve">Jung’s Studies, p. </w:t>
      </w:r>
      <w:r>
        <w:t>120.</w:t>
      </w:r>
    </w:p>
  </w:footnote>
  <w:footnote w:id="100">
    <w:p>
      <w:pPr>
        <w:pStyle w:val="para5"/>
      </w:pPr>
      <w:r>
        <w:rPr>
          <w:rStyle w:val="char1"/>
        </w:rPr>
      </w:r>
      <w:r>
        <w:rPr>
          <w:rStyle w:val="char1"/>
        </w:rPr>
        <w:footnoteRef/>
      </w:r>
      <w:r>
        <w:t xml:space="preserve"> Nicholas Campion, ‘New Age’, in </w:t>
      </w:r>
      <w:r>
        <w:rPr>
          <w:i/>
          <w:iCs/>
        </w:rPr>
        <w:t>Astrology Through History: Interpreting the Stars from Ancient Mesopotamia to the Present</w:t>
      </w:r>
      <w:r>
        <w:t xml:space="preserve"> ed. by William E Burns (Santa Barbara, ABC-CLIO, 2018) 114-17 (p251) &lt;DOI: 10.1080/0268117X.2021.1902851&gt;.</w:t>
      </w:r>
    </w:p>
  </w:footnote>
  <w:footnote w:id="101">
    <w:p>
      <w:pPr>
        <w:pStyle w:val="para5"/>
      </w:pPr>
      <w:r>
        <w:rPr>
          <w:rStyle w:val="char1"/>
        </w:rPr>
      </w:r>
      <w:r>
        <w:rPr>
          <w:rStyle w:val="char1"/>
        </w:rPr>
        <w:footnoteRef/>
      </w:r>
      <w:r>
        <w:t xml:space="preserve"> Leo, </w:t>
      </w:r>
      <w:r>
        <w:rPr>
          <w:i/>
          <w:iCs/>
        </w:rPr>
        <w:t>How to Judge a Nativity,</w:t>
      </w:r>
      <w:r>
        <w:t xml:space="preserve"> p. 426-431.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view w:val="print"/>
  <w:defaultTabStop w:val="708"/>
  <w:autoHyphenation w:val="0"/>
  <w:doNotShadeFormData w:val="1"/>
  <w:captions>
    <w:caption w:name="Table" w:pos="below" w:numFmt="decimal"/>
    <w:caption w:name="Figure" w:pos="below" w:numFmt="decimal"/>
    <w:caption w:name="Picture" w:pos="below" w:numFmt="decimal"/>
  </w:captions>
  <w:drawingGridHorizontalSpacing w:val="283"/>
  <w:drawingGridVerticalSpacing w:val="283"/>
  <w:revisionView w:comments="1" w:markup="1" w:insDel="1" w:formatting="1"/>
  <w:footnotePr>
    <w:pos w:val="pageBottom"/>
    <w:numFmt w:val="decimal"/>
    <w:numStart w:val="1"/>
    <w:numRestart w:val="continuous"/>
  </w:footnotePr>
  <w:endnotePr>
    <w:pos w:val="docEnd"/>
    <w:numFmt w:val="lowerRoman"/>
    <w:numStart w:val="1"/>
    <w:numRestart w:val="continuous"/>
  </w:endnotePr>
  <w:compat>
    <w:suppressSpBfAfterPgBrk w:val="1"/>
    <w:compatSetting w:name="compatibilityMode" w:uri="http://schemas.microsoft.com/office/word" w:val="15"/>
  </w:compat>
  <w:shapeDefaults>
    <o:shapedefaults v:ext="edit" spidmax="1026"/>
    <o:shapelayout v:ext="edit">
      <o:rules v:ext="edit"/>
    </o:shapelayout>
  </w:shapeDefaults>
  <w:tmPrefOne w:val="16"/>
  <w:tmPrefTwo w:val="1"/>
  <w:tmFmtPref w:val="55090283"/>
  <w:tmCommentsPr>
    <w:tmCommentsPlace w:val="0"/>
    <w:tmCommentsWidth w:val="3119"/>
    <w:tmCommentsColor w:val="-1"/>
  </w:tmCommentsPr>
  <w:tmReviewPr>
    <w:tmReviewEnabled w:val="0"/>
    <w:tmReviewShow w:val="1"/>
    <w:tmReviewPrint w:val="0"/>
    <w:tmRevisionNum w:val="18"/>
    <w:tmReviewMarkIns w:val="4"/>
    <w:tmReviewColorIns w:val="-1"/>
    <w:tmReviewMarkDel w:val="6"/>
    <w:tmReviewColorDel w:val="-1"/>
    <w:tmReviewMarkFmt w:val="1"/>
    <w:tmReviewColorFmt w:val="-1"/>
    <w:tmReviewMarkLn w:val="1"/>
    <w:tmReviewColorLn w:val="0"/>
    <w:tmReviewToolTip w:val="0"/>
  </w:tmReviewPr>
  <w:tmLastPos>
    <w:tmLastPosPage w:val="4"/>
    <w:tmLastPosSelect w:val="0"/>
    <w:tmLastPosFrameIdx w:val="0"/>
    <w:tmLastPosCaret>
      <w:tmLastPosPgfIdx w:val="31"/>
      <w:tmLastPosIdx w:val="234"/>
    </w:tmLastPosCaret>
    <w:tmLastPosAnchor>
      <w:tmLastPosPgfIdx w:val="0"/>
      <w:tmLastPosIdx w:val="0"/>
    </w:tmLastPosAnchor>
    <w:tmLastPosTblRect w:left="0" w:top="0" w:right="0" w:bottom="0"/>
  </w:tmLastPos>
  <w:tmAppRevision w:date="1731418786" w:val="1218" w:fileVer="342" w:fileVer64="64" w:fileVerOS="4"/>
  <w:guidesAndGrid showGuides="1" lockGuides="0" snapToGuides="1" snapToPageMargins="0" snapToOtherObjects="1" tolerance="8" gridDistanceHorizontal="283" gridDistanceVertical="283" showGrid="0" snapToGrid="0"/>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SimSun" w:cs="Times New Roman"/>
        <w:kern w:val="1"/>
        <w:sz w:val="20"/>
        <w:szCs w:val="20"/>
        <w:lang w:val="en-gb" w:eastAsia="zh-cn" w:bidi="ar-sa"/>
      </w:rPr>
    </w:rPrDefault>
    <w:pPrDefault>
      <w:pPr>
        <w:ind w:firstLine="283"/>
        <w:spacing w:before="40"/>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4"/>
      <w:szCs w:val="24"/>
    </w:rPr>
    <w:key w:val="1072"/>
  </w:style>
  <w:style w:type="paragraph" w:styleId="para1">
    <w:name w:val="heading 1"/>
    <w:qFormat/>
    <w:basedOn w:val="para0"/>
    <w:next w:val="para0"/>
    <w:pPr>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ind w:firstLine="0"/>
      <w:spacing w:before="120" w:after="120" w:beforeAutospacing="0"/>
      <w:contextualSpacing/>
      <w:jc w:val="left"/>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spacing w:before="0"/>
    </w:pPr>
    <w:rPr>
      <w:sz w:val="20"/>
      <w:szCs w:val="20"/>
      <w:lang w:eastAsia="en-gb" w:bidi="en-gb"/>
    </w:rPr>
  </w:style>
  <w:style w:type="paragraph" w:styleId="para6" w:customStyle="1">
    <w:name w:val="LargeQuote"/>
    <w:qFormat/>
    <w:basedOn w:val="para0"/>
    <w:pPr>
      <w:ind w:left="283" w:firstLine="0"/>
      <w:spacing w:before="120" w:after="120"/>
    </w:pPr>
    <w:rPr>
      <w:sz w:val="22"/>
      <w:szCs w:val="22"/>
      <w:lang w:eastAsia="en-gb" w:bidi="en-gb"/>
    </w:rPr>
  </w:style>
  <w:style w:type="paragraph" w:styleId="para7" w:customStyle="1">
    <w:name w:val="Reference"/>
    <w:qFormat/>
    <w:basedOn w:val="para5"/>
    <w:pPr>
      <w:spacing/>
      <w:jc w:val="left"/>
    </w:pPr>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character" w:styleId="char3" w:customStyle="1">
    <w:name w:val="Quotation"/>
    <w:basedOnNormal/>
    <w:rPr>
      <w:rFonts w:ascii="Calibri" w:hAnsi="Calibri"/>
      <w:b w:val="0"/>
      <w:i w:val="0"/>
      <w:sz w:val="22"/>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docDefaults>
    <w:rPrDefault>
      <w:rPr>
        <w:rFonts w:ascii="Times New Roman" w:hAnsi="Times New Roman" w:eastAsia="SimSun" w:cs="Times New Roman"/>
        <w:kern w:val="1"/>
        <w:sz w:val="20"/>
        <w:szCs w:val="20"/>
        <w:lang w:val="en-gb" w:eastAsia="zh-cn" w:bidi="ar-sa"/>
      </w:rPr>
    </w:rPrDefault>
    <w:pPrDefault>
      <w:pPr>
        <w:ind w:firstLine="283"/>
        <w:spacing w:before="40"/>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4"/>
      <w:szCs w:val="24"/>
    </w:rPr>
    <w:key w:val="1072"/>
  </w:style>
  <w:style w:type="paragraph" w:styleId="para1">
    <w:name w:val="heading 1"/>
    <w:qFormat/>
    <w:basedOn w:val="para0"/>
    <w:next w:val="para0"/>
    <w:pPr>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ind w:firstLine="0"/>
      <w:spacing w:before="120" w:after="120" w:beforeAutospacing="0"/>
      <w:contextualSpacing/>
      <w:jc w:val="left"/>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spacing w:before="0"/>
    </w:pPr>
    <w:rPr>
      <w:sz w:val="20"/>
      <w:szCs w:val="20"/>
      <w:lang w:eastAsia="en-gb" w:bidi="en-gb"/>
    </w:rPr>
  </w:style>
  <w:style w:type="paragraph" w:styleId="para6" w:customStyle="1">
    <w:name w:val="LargeQuote"/>
    <w:qFormat/>
    <w:basedOn w:val="para0"/>
    <w:pPr>
      <w:ind w:left="283" w:firstLine="0"/>
      <w:spacing w:before="120" w:after="120"/>
    </w:pPr>
    <w:rPr>
      <w:sz w:val="22"/>
      <w:szCs w:val="22"/>
      <w:lang w:eastAsia="en-gb" w:bidi="en-gb"/>
    </w:rPr>
  </w:style>
  <w:style w:type="paragraph" w:styleId="para7" w:customStyle="1">
    <w:name w:val="Reference"/>
    <w:qFormat/>
    <w:basedOn w:val="para5"/>
    <w:pPr>
      <w:spacing/>
      <w:jc w:val="left"/>
    </w:pPr>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character" w:styleId="char3" w:customStyle="1">
    <w:name w:val="Quotation"/>
    <w:basedOnNormal/>
    <w:rPr>
      <w:rFonts w:ascii="Calibri" w:hAnsi="Calibri"/>
      <w:b w:val="0"/>
      <w:i w:val="0"/>
      <w:sz w:val="22"/>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
<Relationships xmlns="http://schemas.openxmlformats.org/package/2006/relationships"><Relationship Id="rId1" Type="http://schemas.openxmlformats.org/officeDocument/2006/relationships/webSettings" Target="webSettings.xml"/><Relationship Id="rId2" Type="http://schemas.openxmlformats.org/officeDocument/2006/relationships/settings" Target="settings.xml"/><Relationship Id="rId3" Type="http://schemas.openxmlformats.org/officeDocument/2006/relationships/theme" Target="theme/theme1.xml"/><Relationship Id="rId4" Type="http://schemas.openxmlformats.org/officeDocument/2006/relationships/fontTable" Target="fontTable.xml"/><Relationship Id="rId5" Type="http://schemas.openxmlformats.org/officeDocument/2006/relationships/styles" Target="styles.xml"/><Relationship Id="rId6" Type="http://schemas.microsoft.com/office/2007/relationships/stylesWithEffects" Target="stylesWithEffects.xml"/><Relationship Id="rId7" Type="http://schemas.openxmlformats.org/officeDocument/2006/relationships/image" Target="media/image1.jpeg"/><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Cambria"/>
        <a:cs typeface="Cambria"/>
      </a:majorFont>
      <a:minorFont>
        <a:latin typeface="Calibri"/>
        <a:ea typeface="Calibri"/>
        <a:cs typeface="Calibri"/>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docProps/app.xml><?xml version="1.0" encoding="utf-8"?>
<Properties xmlns="http://schemas.openxmlformats.org/officeDocument/2006/extended-properties" xmlns:vt="http://schemas.openxmlformats.org/officeDocument/2006/docPropsVTypes">
  <Application>TextMaker 2024 rev.1218</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18</cp:revision>
  <dcterms:created xsi:type="dcterms:W3CDTF">2024-10-02T14:09:39Z</dcterms:created>
  <dcterms:modified xsi:type="dcterms:W3CDTF">2024-11-12T13:39:46Z</dcterms:modified>
</cp:coreProperties>
</file>