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36BA799"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7C31F704">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8B27116" w:rsidR="00833470" w:rsidRPr="00074402" w:rsidRDefault="00833470" w:rsidP="00833470">
      <w:pPr>
        <w:spacing w:line="360" w:lineRule="auto"/>
        <w:rPr>
          <w:rFonts w:ascii="Arial" w:hAnsi="Arial" w:cs="Arial"/>
          <w:szCs w:val="24"/>
        </w:rPr>
      </w:pPr>
    </w:p>
    <w:p w14:paraId="0F83201D" w14:textId="571DEE6E" w:rsidR="00833470" w:rsidRPr="00074402" w:rsidRDefault="00833470" w:rsidP="00833470">
      <w:pPr>
        <w:spacing w:line="360" w:lineRule="auto"/>
        <w:rPr>
          <w:rFonts w:ascii="Arial" w:hAnsi="Arial" w:cs="Arial"/>
          <w:szCs w:val="24"/>
        </w:rPr>
      </w:pPr>
    </w:p>
    <w:p w14:paraId="3473C351" w14:textId="448189D0" w:rsidR="00833470" w:rsidRDefault="00833470" w:rsidP="00833470">
      <w:pPr>
        <w:tabs>
          <w:tab w:val="left" w:pos="6540"/>
        </w:tabs>
        <w:spacing w:line="360" w:lineRule="auto"/>
        <w:rPr>
          <w:rFonts w:ascii="Arial" w:hAnsi="Arial" w:cs="Arial"/>
          <w:sz w:val="28"/>
          <w:szCs w:val="28"/>
        </w:rPr>
      </w:pPr>
    </w:p>
    <w:p w14:paraId="5818B88A" w14:textId="38C2895D" w:rsidR="00833470" w:rsidRPr="006B67A9" w:rsidRDefault="00833470" w:rsidP="00833470">
      <w:pPr>
        <w:tabs>
          <w:tab w:val="left" w:pos="6540"/>
        </w:tabs>
        <w:spacing w:line="360" w:lineRule="auto"/>
        <w:rPr>
          <w:rFonts w:ascii="Arial" w:hAnsi="Arial" w:cs="Arial"/>
          <w:b/>
          <w:bCs/>
          <w:sz w:val="32"/>
          <w:szCs w:val="32"/>
        </w:rPr>
      </w:pPr>
      <w:bookmarkStart w:id="0" w:name="_Hlk119323191"/>
      <w:r w:rsidRPr="006B67A9">
        <w:rPr>
          <w:rFonts w:ascii="Arial" w:hAnsi="Arial" w:cs="Arial"/>
          <w:b/>
          <w:bCs/>
          <w:sz w:val="32"/>
          <w:szCs w:val="32"/>
        </w:rPr>
        <w:t xml:space="preserve">Student name: </w:t>
      </w:r>
      <w:r w:rsidR="007669D9" w:rsidRPr="006B67A9">
        <w:rPr>
          <w:rFonts w:ascii="Arial" w:hAnsi="Arial" w:cs="Arial"/>
          <w:b/>
          <w:bCs/>
          <w:sz w:val="32"/>
          <w:szCs w:val="32"/>
        </w:rPr>
        <w:t>Jowita Nowacka</w:t>
      </w:r>
    </w:p>
    <w:p w14:paraId="27005EB9" w14:textId="00CEAA98" w:rsidR="00833470" w:rsidRPr="006B67A9" w:rsidRDefault="00833470" w:rsidP="00833470">
      <w:pPr>
        <w:tabs>
          <w:tab w:val="left" w:pos="6540"/>
        </w:tabs>
        <w:spacing w:line="360" w:lineRule="auto"/>
        <w:rPr>
          <w:rFonts w:ascii="Arial" w:hAnsi="Arial" w:cs="Arial"/>
          <w:b/>
          <w:bCs/>
          <w:sz w:val="32"/>
          <w:szCs w:val="32"/>
          <w:lang w:val="nl-NL"/>
        </w:rPr>
      </w:pPr>
      <w:r w:rsidRPr="006B67A9">
        <w:rPr>
          <w:rFonts w:ascii="Arial" w:hAnsi="Arial" w:cs="Arial"/>
          <w:b/>
          <w:bCs/>
          <w:sz w:val="32"/>
          <w:szCs w:val="32"/>
          <w:lang w:val="nl-NL"/>
        </w:rPr>
        <w:t>Student ID:</w:t>
      </w:r>
      <w:r w:rsidR="007669D9" w:rsidRPr="006B67A9">
        <w:rPr>
          <w:rFonts w:ascii="Arial" w:hAnsi="Arial" w:cs="Arial"/>
          <w:b/>
          <w:bCs/>
          <w:sz w:val="32"/>
          <w:szCs w:val="32"/>
          <w:lang w:val="nl-NL"/>
        </w:rPr>
        <w:t xml:space="preserve"> 2513429</w:t>
      </w:r>
    </w:p>
    <w:p w14:paraId="543E95E7" w14:textId="76707EE5" w:rsidR="00833470" w:rsidRPr="006B67A9" w:rsidRDefault="00833470" w:rsidP="00833470">
      <w:pPr>
        <w:tabs>
          <w:tab w:val="left" w:pos="6540"/>
        </w:tabs>
        <w:spacing w:line="360" w:lineRule="auto"/>
        <w:rPr>
          <w:rFonts w:ascii="Arial" w:hAnsi="Arial" w:cs="Arial"/>
          <w:b/>
          <w:bCs/>
          <w:sz w:val="32"/>
          <w:szCs w:val="32"/>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F0E1D" w:rsidRPr="006B67A9">
        <w:rPr>
          <w:rFonts w:ascii="Arial" w:hAnsi="Arial" w:cs="Arial"/>
          <w:b/>
          <w:bCs/>
          <w:sz w:val="32"/>
          <w:szCs w:val="32"/>
          <w:lang w:val="nl-NL"/>
        </w:rPr>
        <w:t>I</w:t>
      </w:r>
      <w:r w:rsidR="00102313" w:rsidRPr="006B67A9">
        <w:rPr>
          <w:rFonts w:ascii="Arial" w:hAnsi="Arial" w:cs="Arial"/>
          <w:b/>
          <w:bCs/>
          <w:sz w:val="32"/>
          <w:szCs w:val="32"/>
          <w:lang w:val="nl-NL"/>
        </w:rPr>
        <w:t>ntroduction to Health</w:t>
      </w:r>
      <w:r w:rsidR="00B3786A" w:rsidRPr="006B67A9">
        <w:rPr>
          <w:rFonts w:ascii="Arial" w:hAnsi="Arial" w:cs="Arial"/>
          <w:b/>
          <w:bCs/>
          <w:sz w:val="32"/>
          <w:szCs w:val="32"/>
          <w:lang w:val="nl-NL"/>
        </w:rPr>
        <w:t xml:space="preserve"> and Social Care</w:t>
      </w:r>
    </w:p>
    <w:p w14:paraId="0009AFB0" w14:textId="174CFBD4" w:rsidR="00833470" w:rsidRPr="006B67A9" w:rsidRDefault="00833470" w:rsidP="00833470">
      <w:pPr>
        <w:tabs>
          <w:tab w:val="left" w:pos="6540"/>
        </w:tabs>
        <w:spacing w:line="360" w:lineRule="auto"/>
        <w:rPr>
          <w:rFonts w:ascii="Arial" w:hAnsi="Arial" w:cs="Arial"/>
          <w:b/>
          <w:bCs/>
          <w:sz w:val="32"/>
          <w:szCs w:val="32"/>
        </w:rPr>
      </w:pPr>
      <w:r w:rsidRPr="006B67A9">
        <w:rPr>
          <w:rFonts w:ascii="Arial" w:hAnsi="Arial" w:cs="Arial"/>
          <w:b/>
          <w:bCs/>
          <w:sz w:val="32"/>
          <w:szCs w:val="32"/>
        </w:rPr>
        <w:t xml:space="preserve">Module </w:t>
      </w:r>
      <w:r w:rsidR="006B67A9" w:rsidRPr="006B67A9">
        <w:rPr>
          <w:rFonts w:ascii="Arial" w:hAnsi="Arial" w:cs="Arial"/>
          <w:b/>
          <w:bCs/>
          <w:sz w:val="32"/>
          <w:szCs w:val="32"/>
        </w:rPr>
        <w:t>code:</w:t>
      </w:r>
      <w:r w:rsidR="006B67A9">
        <w:rPr>
          <w:rFonts w:ascii="Arial" w:hAnsi="Arial" w:cs="Arial"/>
          <w:b/>
          <w:bCs/>
          <w:sz w:val="32"/>
          <w:szCs w:val="32"/>
        </w:rPr>
        <w:t xml:space="preserve"> </w:t>
      </w:r>
      <w:r w:rsidR="0003632C" w:rsidRPr="006B67A9">
        <w:rPr>
          <w:rFonts w:ascii="Arial" w:hAnsi="Arial" w:cs="Arial"/>
          <w:b/>
          <w:bCs/>
          <w:sz w:val="32"/>
          <w:szCs w:val="32"/>
        </w:rPr>
        <w:t>LCHS4003</w:t>
      </w:r>
    </w:p>
    <w:p w14:paraId="6C1309AE" w14:textId="7729DC28" w:rsidR="00925D5E" w:rsidRDefault="00833470">
      <w:pPr>
        <w:rPr>
          <w:rFonts w:ascii="Arial" w:hAnsi="Arial" w:cs="Arial"/>
          <w:b/>
          <w:bCs/>
          <w:sz w:val="28"/>
          <w:szCs w:val="28"/>
        </w:rPr>
      </w:pPr>
      <w:r w:rsidRPr="0020413D">
        <w:rPr>
          <w:rFonts w:ascii="Arial" w:hAnsi="Arial" w:cs="Arial"/>
          <w:b/>
          <w:bCs/>
          <w:sz w:val="28"/>
          <w:szCs w:val="28"/>
        </w:rPr>
        <w:t xml:space="preserve">Lecturer </w:t>
      </w:r>
      <w:bookmarkEnd w:id="0"/>
      <w:r w:rsidR="006B67A9" w:rsidRPr="0020413D">
        <w:rPr>
          <w:rFonts w:ascii="Arial" w:hAnsi="Arial" w:cs="Arial"/>
          <w:b/>
          <w:bCs/>
          <w:sz w:val="28"/>
          <w:szCs w:val="28"/>
        </w:rPr>
        <w:t>nam</w:t>
      </w:r>
      <w:r w:rsidR="006B67A9">
        <w:rPr>
          <w:rFonts w:ascii="Arial" w:hAnsi="Arial" w:cs="Arial"/>
          <w:b/>
          <w:bCs/>
          <w:sz w:val="28"/>
          <w:szCs w:val="28"/>
        </w:rPr>
        <w:t xml:space="preserve">e: </w:t>
      </w:r>
      <w:r w:rsidR="00A1153F">
        <w:rPr>
          <w:rFonts w:ascii="Arial" w:hAnsi="Arial" w:cs="Arial"/>
          <w:b/>
          <w:bCs/>
          <w:sz w:val="28"/>
          <w:szCs w:val="28"/>
        </w:rPr>
        <w:t xml:space="preserve">MUHAMMAD </w:t>
      </w:r>
      <w:r w:rsidR="006B67A9">
        <w:rPr>
          <w:rFonts w:ascii="Arial" w:hAnsi="Arial" w:cs="Arial"/>
          <w:b/>
          <w:bCs/>
          <w:sz w:val="28"/>
          <w:szCs w:val="28"/>
        </w:rPr>
        <w:t>ALIYU</w:t>
      </w:r>
    </w:p>
    <w:p w14:paraId="64A7DCED" w14:textId="77777777" w:rsidR="00D730A9" w:rsidRDefault="00D730A9">
      <w:pPr>
        <w:rPr>
          <w:rFonts w:ascii="Arial" w:hAnsi="Arial" w:cs="Arial"/>
          <w:b/>
          <w:bCs/>
          <w:sz w:val="28"/>
          <w:szCs w:val="28"/>
        </w:rPr>
      </w:pPr>
    </w:p>
    <w:p w14:paraId="46A24180" w14:textId="77777777" w:rsidR="00D730A9" w:rsidRDefault="00D730A9">
      <w:pPr>
        <w:rPr>
          <w:rFonts w:ascii="Arial" w:hAnsi="Arial" w:cs="Arial"/>
          <w:b/>
          <w:bCs/>
          <w:sz w:val="28"/>
          <w:szCs w:val="28"/>
        </w:rPr>
      </w:pPr>
    </w:p>
    <w:p w14:paraId="7620A2D5" w14:textId="77777777" w:rsidR="00D730A9" w:rsidRDefault="00D730A9">
      <w:pPr>
        <w:rPr>
          <w:rFonts w:ascii="Arial" w:hAnsi="Arial" w:cs="Arial"/>
          <w:b/>
          <w:bCs/>
          <w:sz w:val="28"/>
          <w:szCs w:val="28"/>
        </w:rPr>
      </w:pPr>
    </w:p>
    <w:p w14:paraId="5B674D40" w14:textId="77777777" w:rsidR="00D730A9" w:rsidRDefault="00D730A9">
      <w:pPr>
        <w:rPr>
          <w:rFonts w:ascii="Arial" w:hAnsi="Arial" w:cs="Arial"/>
          <w:b/>
          <w:bCs/>
          <w:sz w:val="28"/>
          <w:szCs w:val="28"/>
        </w:rPr>
      </w:pPr>
    </w:p>
    <w:p w14:paraId="43A3D280" w14:textId="77777777" w:rsidR="00D730A9" w:rsidRDefault="00D730A9">
      <w:pPr>
        <w:rPr>
          <w:rFonts w:ascii="Arial" w:hAnsi="Arial" w:cs="Arial"/>
          <w:b/>
          <w:bCs/>
          <w:sz w:val="28"/>
          <w:szCs w:val="28"/>
        </w:rPr>
      </w:pPr>
    </w:p>
    <w:p w14:paraId="714094AA" w14:textId="77777777" w:rsidR="00D730A9" w:rsidRDefault="00D730A9">
      <w:pPr>
        <w:rPr>
          <w:rFonts w:ascii="Arial" w:hAnsi="Arial" w:cs="Arial"/>
          <w:b/>
          <w:bCs/>
          <w:sz w:val="28"/>
          <w:szCs w:val="28"/>
        </w:rPr>
      </w:pPr>
    </w:p>
    <w:p w14:paraId="31CC671E" w14:textId="77777777" w:rsidR="00D730A9" w:rsidRDefault="00D730A9">
      <w:pPr>
        <w:rPr>
          <w:rFonts w:ascii="Arial" w:hAnsi="Arial" w:cs="Arial"/>
          <w:b/>
          <w:bCs/>
          <w:sz w:val="28"/>
          <w:szCs w:val="28"/>
        </w:rPr>
      </w:pPr>
    </w:p>
    <w:p w14:paraId="5BEEB3C6" w14:textId="77777777" w:rsidR="00D730A9" w:rsidRDefault="00D730A9">
      <w:pPr>
        <w:rPr>
          <w:rFonts w:ascii="Arial" w:hAnsi="Arial" w:cs="Arial"/>
          <w:b/>
          <w:bCs/>
          <w:sz w:val="28"/>
          <w:szCs w:val="28"/>
        </w:rPr>
      </w:pPr>
    </w:p>
    <w:p w14:paraId="40987FF8" w14:textId="77777777" w:rsidR="00D730A9" w:rsidRDefault="00D730A9">
      <w:pPr>
        <w:rPr>
          <w:rFonts w:ascii="Arial" w:hAnsi="Arial" w:cs="Arial"/>
          <w:b/>
          <w:bCs/>
          <w:sz w:val="28"/>
          <w:szCs w:val="28"/>
        </w:rPr>
      </w:pPr>
    </w:p>
    <w:p w14:paraId="77357187" w14:textId="77777777" w:rsidR="00D730A9" w:rsidRDefault="00D730A9">
      <w:pPr>
        <w:rPr>
          <w:rFonts w:ascii="Arial" w:hAnsi="Arial" w:cs="Arial"/>
          <w:b/>
          <w:bCs/>
          <w:sz w:val="28"/>
          <w:szCs w:val="28"/>
        </w:rPr>
      </w:pPr>
    </w:p>
    <w:p w14:paraId="406D34B9" w14:textId="77777777" w:rsidR="00D730A9" w:rsidRDefault="00D730A9">
      <w:pPr>
        <w:rPr>
          <w:rFonts w:ascii="Arial" w:hAnsi="Arial" w:cs="Arial"/>
          <w:b/>
          <w:bCs/>
          <w:sz w:val="28"/>
          <w:szCs w:val="28"/>
        </w:rPr>
      </w:pPr>
    </w:p>
    <w:p w14:paraId="7D27D6E7" w14:textId="77777777" w:rsidR="00D730A9" w:rsidRDefault="00D730A9">
      <w:pPr>
        <w:rPr>
          <w:rFonts w:ascii="Arial" w:hAnsi="Arial" w:cs="Arial"/>
          <w:b/>
          <w:bCs/>
          <w:sz w:val="28"/>
          <w:szCs w:val="28"/>
        </w:rPr>
      </w:pPr>
    </w:p>
    <w:p w14:paraId="62F49025" w14:textId="77777777" w:rsidR="00D730A9" w:rsidRDefault="00D730A9">
      <w:pPr>
        <w:rPr>
          <w:rFonts w:ascii="Arial" w:hAnsi="Arial" w:cs="Arial"/>
          <w:b/>
          <w:bCs/>
          <w:sz w:val="28"/>
          <w:szCs w:val="28"/>
        </w:rPr>
      </w:pPr>
    </w:p>
    <w:p w14:paraId="5D444F60" w14:textId="77777777" w:rsidR="00D730A9" w:rsidRDefault="00D730A9">
      <w:pPr>
        <w:rPr>
          <w:rFonts w:ascii="Arial" w:hAnsi="Arial" w:cs="Arial"/>
          <w:b/>
          <w:bCs/>
          <w:sz w:val="28"/>
          <w:szCs w:val="28"/>
        </w:rPr>
      </w:pPr>
    </w:p>
    <w:p w14:paraId="1D9B9B19" w14:textId="77777777" w:rsidR="00D730A9" w:rsidRDefault="00D730A9">
      <w:pPr>
        <w:rPr>
          <w:rFonts w:ascii="Arial" w:hAnsi="Arial" w:cs="Arial"/>
          <w:b/>
          <w:bCs/>
          <w:sz w:val="28"/>
          <w:szCs w:val="28"/>
        </w:rPr>
      </w:pPr>
    </w:p>
    <w:p w14:paraId="2721D6EF" w14:textId="77777777" w:rsidR="00D730A9" w:rsidRDefault="00D730A9">
      <w:pPr>
        <w:rPr>
          <w:rFonts w:ascii="Arial" w:hAnsi="Arial" w:cs="Arial"/>
          <w:b/>
          <w:bCs/>
          <w:sz w:val="28"/>
          <w:szCs w:val="28"/>
        </w:rPr>
      </w:pPr>
    </w:p>
    <w:p w14:paraId="69A4719A" w14:textId="77777777" w:rsidR="00D730A9" w:rsidRPr="006B67A9" w:rsidRDefault="00D730A9">
      <w:pPr>
        <w:rPr>
          <w:b/>
          <w:bCs/>
          <w:sz w:val="32"/>
          <w:szCs w:val="32"/>
        </w:rPr>
      </w:pPr>
      <w:r w:rsidRPr="006B67A9">
        <w:rPr>
          <w:b/>
          <w:bCs/>
          <w:sz w:val="32"/>
          <w:szCs w:val="32"/>
        </w:rPr>
        <w:t>TABLE OF CONTENTS:</w:t>
      </w:r>
    </w:p>
    <w:p w14:paraId="7AD4DECB" w14:textId="77777777" w:rsidR="00D730A9" w:rsidRPr="006B67A9" w:rsidRDefault="00D730A9">
      <w:pPr>
        <w:rPr>
          <w:b/>
          <w:bCs/>
          <w:sz w:val="32"/>
          <w:szCs w:val="32"/>
        </w:rPr>
      </w:pPr>
    </w:p>
    <w:p w14:paraId="2488A421" w14:textId="77777777" w:rsidR="00D730A9" w:rsidRPr="006B67A9" w:rsidRDefault="00D730A9">
      <w:pPr>
        <w:rPr>
          <w:b/>
          <w:bCs/>
          <w:sz w:val="32"/>
          <w:szCs w:val="32"/>
        </w:rPr>
      </w:pPr>
    </w:p>
    <w:p w14:paraId="4EACDABE" w14:textId="5D2FAA13" w:rsidR="00D730A9" w:rsidRPr="006B67A9" w:rsidRDefault="00D730A9">
      <w:pPr>
        <w:rPr>
          <w:b/>
          <w:bCs/>
          <w:sz w:val="32"/>
          <w:szCs w:val="32"/>
        </w:rPr>
      </w:pPr>
      <w:r w:rsidRPr="006B67A9">
        <w:rPr>
          <w:b/>
          <w:bCs/>
          <w:sz w:val="32"/>
          <w:szCs w:val="32"/>
        </w:rPr>
        <w:t>COMMUNITY HEALTH SERVICES ……………………………………………………………… 3</w:t>
      </w:r>
    </w:p>
    <w:p w14:paraId="42F7B565" w14:textId="77777777" w:rsidR="00D730A9" w:rsidRPr="006B67A9" w:rsidRDefault="00D730A9">
      <w:pPr>
        <w:rPr>
          <w:b/>
          <w:bCs/>
          <w:sz w:val="32"/>
          <w:szCs w:val="32"/>
        </w:rPr>
      </w:pPr>
    </w:p>
    <w:p w14:paraId="7098526F" w14:textId="2F5EF865" w:rsidR="00D730A9" w:rsidRPr="006B67A9" w:rsidRDefault="00455EBF">
      <w:pPr>
        <w:rPr>
          <w:b/>
          <w:bCs/>
          <w:sz w:val="32"/>
          <w:szCs w:val="32"/>
        </w:rPr>
      </w:pPr>
      <w:r w:rsidRPr="006B67A9">
        <w:rPr>
          <w:b/>
          <w:bCs/>
          <w:sz w:val="32"/>
          <w:szCs w:val="32"/>
        </w:rPr>
        <w:t>PHARMARCY</w:t>
      </w:r>
      <w:r w:rsidR="006B67A9">
        <w:rPr>
          <w:b/>
          <w:bCs/>
          <w:sz w:val="32"/>
          <w:szCs w:val="32"/>
        </w:rPr>
        <w:t xml:space="preserve"> </w:t>
      </w:r>
      <w:r w:rsidRPr="006B67A9">
        <w:rPr>
          <w:b/>
          <w:bCs/>
          <w:sz w:val="32"/>
          <w:szCs w:val="32"/>
        </w:rPr>
        <w:t>SERVICES ……………</w:t>
      </w:r>
      <w:r w:rsidR="006B67A9">
        <w:rPr>
          <w:b/>
          <w:bCs/>
          <w:sz w:val="32"/>
          <w:szCs w:val="32"/>
        </w:rPr>
        <w:t>….</w:t>
      </w:r>
      <w:r w:rsidRPr="006B67A9">
        <w:rPr>
          <w:b/>
          <w:bCs/>
          <w:sz w:val="32"/>
          <w:szCs w:val="32"/>
        </w:rPr>
        <w:t>………………………..4</w:t>
      </w:r>
    </w:p>
    <w:p w14:paraId="656C64DB" w14:textId="77777777" w:rsidR="00455EBF" w:rsidRPr="006B67A9" w:rsidRDefault="00455EBF">
      <w:pPr>
        <w:rPr>
          <w:b/>
          <w:bCs/>
          <w:sz w:val="32"/>
          <w:szCs w:val="32"/>
        </w:rPr>
      </w:pPr>
    </w:p>
    <w:p w14:paraId="02673891" w14:textId="18983DC0" w:rsidR="00455EBF" w:rsidRPr="006B67A9" w:rsidRDefault="001E191A">
      <w:pPr>
        <w:rPr>
          <w:b/>
          <w:bCs/>
          <w:sz w:val="32"/>
          <w:szCs w:val="32"/>
        </w:rPr>
      </w:pPr>
      <w:r w:rsidRPr="006B67A9">
        <w:rPr>
          <w:b/>
          <w:bCs/>
          <w:sz w:val="32"/>
          <w:szCs w:val="32"/>
        </w:rPr>
        <w:t>CRITICAL EVALUATION ………………</w:t>
      </w:r>
      <w:r w:rsidR="006B67A9">
        <w:rPr>
          <w:b/>
          <w:bCs/>
          <w:sz w:val="32"/>
          <w:szCs w:val="32"/>
        </w:rPr>
        <w:t>.</w:t>
      </w:r>
      <w:r w:rsidRPr="006B67A9">
        <w:rPr>
          <w:b/>
          <w:bCs/>
          <w:sz w:val="32"/>
          <w:szCs w:val="32"/>
        </w:rPr>
        <w:t>…………………………5</w:t>
      </w:r>
    </w:p>
    <w:p w14:paraId="76EAB336" w14:textId="77777777" w:rsidR="001E191A" w:rsidRPr="006B67A9" w:rsidRDefault="001E191A">
      <w:pPr>
        <w:rPr>
          <w:b/>
          <w:bCs/>
          <w:sz w:val="32"/>
          <w:szCs w:val="32"/>
        </w:rPr>
      </w:pPr>
    </w:p>
    <w:p w14:paraId="02D2936D" w14:textId="1E6A9B9C" w:rsidR="001E191A" w:rsidRPr="006B67A9" w:rsidRDefault="006B67A9">
      <w:pPr>
        <w:rPr>
          <w:b/>
          <w:bCs/>
          <w:sz w:val="32"/>
          <w:szCs w:val="32"/>
        </w:rPr>
      </w:pPr>
      <w:r w:rsidRPr="006B67A9">
        <w:rPr>
          <w:b/>
          <w:bCs/>
          <w:sz w:val="32"/>
          <w:szCs w:val="32"/>
        </w:rPr>
        <w:t>IMPACT ON</w:t>
      </w:r>
      <w:r w:rsidR="0050468D" w:rsidRPr="006B67A9">
        <w:rPr>
          <w:b/>
          <w:bCs/>
          <w:sz w:val="32"/>
          <w:szCs w:val="32"/>
        </w:rPr>
        <w:t xml:space="preserve"> QUALITY OF LIFE ……………………</w:t>
      </w:r>
      <w:r w:rsidR="00C549C4">
        <w:rPr>
          <w:b/>
          <w:bCs/>
          <w:sz w:val="32"/>
          <w:szCs w:val="32"/>
        </w:rPr>
        <w:t>.</w:t>
      </w:r>
      <w:r w:rsidR="0050468D" w:rsidRPr="006B67A9">
        <w:rPr>
          <w:b/>
          <w:bCs/>
          <w:sz w:val="32"/>
          <w:szCs w:val="32"/>
        </w:rPr>
        <w:t>………….6</w:t>
      </w:r>
    </w:p>
    <w:p w14:paraId="204CA961" w14:textId="77777777" w:rsidR="0050468D" w:rsidRPr="006B67A9" w:rsidRDefault="0050468D">
      <w:pPr>
        <w:rPr>
          <w:b/>
          <w:bCs/>
          <w:sz w:val="32"/>
          <w:szCs w:val="32"/>
        </w:rPr>
      </w:pPr>
    </w:p>
    <w:p w14:paraId="3077782B" w14:textId="08625A75" w:rsidR="0050468D" w:rsidRPr="006B67A9" w:rsidRDefault="0050468D">
      <w:pPr>
        <w:rPr>
          <w:b/>
          <w:bCs/>
          <w:sz w:val="32"/>
          <w:szCs w:val="32"/>
        </w:rPr>
      </w:pPr>
      <w:r w:rsidRPr="006B67A9">
        <w:rPr>
          <w:b/>
          <w:bCs/>
          <w:sz w:val="32"/>
          <w:szCs w:val="32"/>
        </w:rPr>
        <w:t>CONCLUSION………………………………………………………….6</w:t>
      </w:r>
    </w:p>
    <w:p w14:paraId="159CCF14" w14:textId="77777777" w:rsidR="0050468D" w:rsidRPr="006B67A9" w:rsidRDefault="0050468D">
      <w:pPr>
        <w:rPr>
          <w:b/>
          <w:bCs/>
          <w:sz w:val="32"/>
          <w:szCs w:val="32"/>
        </w:rPr>
      </w:pPr>
    </w:p>
    <w:p w14:paraId="7553D800" w14:textId="77777777" w:rsidR="0050468D" w:rsidRPr="006B67A9" w:rsidRDefault="0050468D">
      <w:pPr>
        <w:rPr>
          <w:b/>
          <w:bCs/>
          <w:sz w:val="32"/>
          <w:szCs w:val="32"/>
        </w:rPr>
      </w:pPr>
    </w:p>
    <w:p w14:paraId="410C101D" w14:textId="618F5949" w:rsidR="0050468D" w:rsidRPr="006B67A9" w:rsidRDefault="0050468D">
      <w:pPr>
        <w:rPr>
          <w:b/>
          <w:bCs/>
          <w:sz w:val="32"/>
          <w:szCs w:val="32"/>
        </w:rPr>
        <w:sectPr w:rsidR="0050468D" w:rsidRPr="006B67A9">
          <w:headerReference w:type="default" r:id="rId9"/>
          <w:footerReference w:type="default" r:id="rId10"/>
          <w:pgSz w:w="11906" w:h="16838"/>
          <w:pgMar w:top="1440" w:right="1440" w:bottom="1440" w:left="1440" w:header="708" w:footer="708" w:gutter="0"/>
          <w:cols w:space="708"/>
          <w:docGrid w:linePitch="360"/>
        </w:sectPr>
      </w:pPr>
      <w:r w:rsidRPr="006B67A9">
        <w:rPr>
          <w:b/>
          <w:bCs/>
          <w:sz w:val="32"/>
          <w:szCs w:val="32"/>
        </w:rPr>
        <w:t xml:space="preserve">REFERENCES ………………………………………………………….7 </w:t>
      </w:r>
    </w:p>
    <w:p w14:paraId="2F2D77A8" w14:textId="1D1AF719" w:rsidR="00D730A9" w:rsidRPr="00D730A9" w:rsidRDefault="00D730A9" w:rsidP="00833470">
      <w:pPr>
        <w:rPr>
          <w:rFonts w:ascii="Arial" w:hAnsi="Arial" w:cs="Arial"/>
          <w:b/>
          <w:bCs/>
          <w:sz w:val="28"/>
          <w:szCs w:val="28"/>
        </w:rPr>
        <w:sectPr w:rsidR="00D730A9" w:rsidRPr="00D730A9" w:rsidSect="00925D5E">
          <w:pgSz w:w="11906" w:h="16838"/>
          <w:pgMar w:top="1440" w:right="1440" w:bottom="1440" w:left="1440" w:header="708" w:footer="708" w:gutter="0"/>
          <w:cols w:space="708"/>
          <w:docGrid w:linePitch="360"/>
        </w:sectPr>
      </w:pPr>
      <w:r>
        <w:rPr>
          <w:rFonts w:ascii="Arial" w:hAnsi="Arial" w:cs="Arial"/>
          <w:b/>
          <w:bCs/>
          <w:noProof/>
          <w:sz w:val="28"/>
          <w:szCs w:val="28"/>
        </w:rPr>
        <w:lastRenderedPageBreak/>
        <w:drawing>
          <wp:anchor distT="0" distB="0" distL="114300" distR="114300" simplePos="0" relativeHeight="251678720" behindDoc="1" locked="0" layoutInCell="1" allowOverlap="1" wp14:anchorId="7CAD9C71" wp14:editId="71F95795">
            <wp:simplePos x="0" y="0"/>
            <wp:positionH relativeFrom="page">
              <wp:align>right</wp:align>
            </wp:positionH>
            <wp:positionV relativeFrom="page">
              <wp:align>top</wp:align>
            </wp:positionV>
            <wp:extent cx="7559675" cy="10514330"/>
            <wp:effectExtent l="0" t="0" r="3175" b="1270"/>
            <wp:wrapTight wrapText="bothSides">
              <wp:wrapPolygon edited="0">
                <wp:start x="0" y="0"/>
                <wp:lineTo x="0" y="21563"/>
                <wp:lineTo x="21555" y="21563"/>
                <wp:lineTo x="21555" y="0"/>
                <wp:lineTo x="0" y="0"/>
              </wp:wrapPolygon>
            </wp:wrapTight>
            <wp:docPr id="708927923" name="Picture 9" descr="A poster with text and graph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927923" name="Picture 9" descr="A poster with text and graphic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59675" cy="10514330"/>
                    </a:xfrm>
                    <a:prstGeom prst="rect">
                      <a:avLst/>
                    </a:prstGeom>
                    <a:noFill/>
                  </pic:spPr>
                </pic:pic>
              </a:graphicData>
            </a:graphic>
            <wp14:sizeRelH relativeFrom="margin">
              <wp14:pctWidth>0</wp14:pctWidth>
            </wp14:sizeRelH>
            <wp14:sizeRelV relativeFrom="margin">
              <wp14:pctHeight>0</wp14:pctHeight>
            </wp14:sizeRelV>
          </wp:anchor>
        </w:drawing>
      </w:r>
    </w:p>
    <w:p w14:paraId="5AFFC33B" w14:textId="5B0D442F" w:rsidR="003A000F" w:rsidRDefault="003A000F">
      <w:pPr>
        <w:sectPr w:rsidR="003A000F" w:rsidSect="00A6161B">
          <w:type w:val="continuous"/>
          <w:pgSz w:w="11906" w:h="16838"/>
          <w:pgMar w:top="1440" w:right="1440" w:bottom="1440" w:left="1440" w:header="708" w:footer="708" w:gutter="0"/>
          <w:cols w:space="708"/>
          <w:docGrid w:linePitch="360"/>
        </w:sectPr>
      </w:pPr>
    </w:p>
    <w:p w14:paraId="5F4DF1EF" w14:textId="4AC51BD9" w:rsidR="003F6E9C" w:rsidRPr="00805552" w:rsidRDefault="003F6E9C">
      <w:pPr>
        <w:rPr>
          <w:rFonts w:ascii="Arial" w:hAnsi="Arial" w:cs="Arial"/>
          <w:b/>
          <w:bCs/>
          <w:sz w:val="32"/>
          <w:szCs w:val="32"/>
        </w:rPr>
      </w:pPr>
    </w:p>
    <w:p w14:paraId="4B23E60A" w14:textId="77777777" w:rsidR="003F6E9C" w:rsidRPr="00805552" w:rsidRDefault="003F6E9C" w:rsidP="00805552">
      <w:pPr>
        <w:spacing w:line="360" w:lineRule="auto"/>
        <w:jc w:val="center"/>
        <w:rPr>
          <w:rFonts w:ascii="Arial" w:hAnsi="Arial" w:cs="Arial"/>
          <w:b/>
          <w:bCs/>
          <w:sz w:val="32"/>
          <w:szCs w:val="32"/>
        </w:rPr>
      </w:pPr>
      <w:r w:rsidRPr="00805552">
        <w:rPr>
          <w:rFonts w:ascii="Arial" w:hAnsi="Arial" w:cs="Arial"/>
          <w:b/>
          <w:bCs/>
          <w:sz w:val="32"/>
          <w:szCs w:val="32"/>
        </w:rPr>
        <w:t>Pharmacy Services: origins, current functioning and impact on quality of life</w:t>
      </w:r>
    </w:p>
    <w:p w14:paraId="2B9152BC" w14:textId="011FADD3" w:rsidR="003F6E9C" w:rsidRPr="00805552" w:rsidRDefault="003F6E9C" w:rsidP="000D4921">
      <w:pPr>
        <w:spacing w:line="360" w:lineRule="auto"/>
        <w:rPr>
          <w:rFonts w:ascii="Arial" w:hAnsi="Arial" w:cs="Arial"/>
          <w:b/>
          <w:bCs/>
          <w:sz w:val="28"/>
          <w:szCs w:val="28"/>
        </w:rPr>
      </w:pPr>
      <w:r w:rsidRPr="00805552">
        <w:rPr>
          <w:rFonts w:ascii="Arial" w:hAnsi="Arial" w:cs="Arial"/>
          <w:b/>
          <w:bCs/>
          <w:sz w:val="28"/>
          <w:szCs w:val="28"/>
        </w:rPr>
        <w:t xml:space="preserve">Introduction </w:t>
      </w:r>
    </w:p>
    <w:p w14:paraId="00B932E3" w14:textId="2AD56487" w:rsidR="003F6E9C" w:rsidRDefault="003F6E9C" w:rsidP="000D4921">
      <w:pPr>
        <w:spacing w:line="360" w:lineRule="auto"/>
        <w:rPr>
          <w:rFonts w:ascii="Arial" w:hAnsi="Arial" w:cs="Arial"/>
          <w:b/>
          <w:bCs/>
          <w:sz w:val="24"/>
          <w:szCs w:val="24"/>
        </w:rPr>
      </w:pPr>
      <w:r>
        <w:rPr>
          <w:rFonts w:ascii="Arial" w:hAnsi="Arial" w:cs="Arial"/>
          <w:b/>
          <w:bCs/>
          <w:sz w:val="24"/>
          <w:szCs w:val="24"/>
        </w:rPr>
        <w:t xml:space="preserve"> </w:t>
      </w:r>
      <w:r w:rsidRPr="003F6E9C">
        <w:rPr>
          <w:rFonts w:ascii="Arial" w:hAnsi="Arial" w:cs="Arial"/>
          <w:b/>
          <w:bCs/>
          <w:sz w:val="24"/>
          <w:szCs w:val="24"/>
        </w:rPr>
        <w:t xml:space="preserve">Pharmacy services form an important part of contemporary healthcare, offering access to medicines, advice and preventative support. Their role has gradually moved beyond dispensing towards more patient-focused and clinical activities. This essay explores how pharmacy services developed, evaluates how they currently operate, and considers their contribution to improving the quality of life of service users. </w:t>
      </w:r>
    </w:p>
    <w:p w14:paraId="0094EF89" w14:textId="77777777" w:rsidR="003F6E9C" w:rsidRPr="00805552" w:rsidRDefault="003F6E9C" w:rsidP="000D4921">
      <w:pPr>
        <w:spacing w:line="360" w:lineRule="auto"/>
        <w:rPr>
          <w:rFonts w:ascii="Arial" w:hAnsi="Arial" w:cs="Arial"/>
          <w:b/>
          <w:bCs/>
          <w:sz w:val="28"/>
          <w:szCs w:val="28"/>
        </w:rPr>
      </w:pPr>
      <w:r w:rsidRPr="00805552">
        <w:rPr>
          <w:rFonts w:ascii="Arial" w:hAnsi="Arial" w:cs="Arial"/>
          <w:b/>
          <w:bCs/>
          <w:sz w:val="28"/>
          <w:szCs w:val="28"/>
        </w:rPr>
        <w:t>Origins and historical development</w:t>
      </w:r>
    </w:p>
    <w:p w14:paraId="1D14322B" w14:textId="2606693C" w:rsidR="003F6E9C" w:rsidRDefault="003F6E9C" w:rsidP="000D4921">
      <w:pPr>
        <w:spacing w:line="360" w:lineRule="auto"/>
        <w:rPr>
          <w:rFonts w:ascii="Arial" w:hAnsi="Arial" w:cs="Arial"/>
          <w:b/>
          <w:bCs/>
          <w:sz w:val="24"/>
          <w:szCs w:val="24"/>
        </w:rPr>
      </w:pPr>
      <w:r>
        <w:rPr>
          <w:rFonts w:ascii="Arial" w:hAnsi="Arial" w:cs="Arial"/>
          <w:b/>
          <w:bCs/>
          <w:sz w:val="24"/>
          <w:szCs w:val="24"/>
        </w:rPr>
        <w:t xml:space="preserve"> </w:t>
      </w:r>
      <w:r w:rsidRPr="003F6E9C">
        <w:rPr>
          <w:rFonts w:ascii="Arial" w:hAnsi="Arial" w:cs="Arial"/>
          <w:b/>
          <w:bCs/>
          <w:sz w:val="24"/>
          <w:szCs w:val="24"/>
        </w:rPr>
        <w:t>In the past, pharmacy services were mainly limited to preparing and supplying medicines prescribed by doctors. The role required accuracy and technical knowledge, but there was little direct involvement in wider patient care. Over time, however, several factors have changed this model. Increasing life expectancy and the growing number of people living with long-term conditions have created greater demand for ongoing support outside hospital settings.</w:t>
      </w:r>
    </w:p>
    <w:p w14:paraId="3017BDDD" w14:textId="77777777" w:rsidR="003F6E9C" w:rsidRDefault="003F6E9C" w:rsidP="000D4921">
      <w:pPr>
        <w:spacing w:line="360" w:lineRule="auto"/>
        <w:rPr>
          <w:rFonts w:ascii="Arial" w:hAnsi="Arial" w:cs="Arial"/>
          <w:b/>
          <w:bCs/>
          <w:sz w:val="24"/>
          <w:szCs w:val="24"/>
        </w:rPr>
      </w:pPr>
      <w:r>
        <w:rPr>
          <w:rFonts w:ascii="Arial" w:hAnsi="Arial" w:cs="Arial"/>
          <w:b/>
          <w:bCs/>
          <w:sz w:val="24"/>
          <w:szCs w:val="24"/>
        </w:rPr>
        <w:t xml:space="preserve"> </w:t>
      </w:r>
      <w:r w:rsidRPr="003F6E9C">
        <w:rPr>
          <w:rFonts w:ascii="Arial" w:hAnsi="Arial" w:cs="Arial"/>
          <w:b/>
          <w:bCs/>
          <w:sz w:val="24"/>
          <w:szCs w:val="24"/>
        </w:rPr>
        <w:t>Recent policy changes in the UK have encouraged the integration of community pharmacies into primary care systems (NHS England, 2024). This reflects a broader shift towards services that are easier to access and closer to where people live. Pharmacists are now involved in activities such as vaccinations, medication reviews and minor illness consultations. This expansion shows how expectations of healthcare professionals have changed, with greater emphasis on prevention and early intervention rather than only treatment.</w:t>
      </w:r>
    </w:p>
    <w:p w14:paraId="17685554" w14:textId="189E3BDA" w:rsidR="003F6E9C" w:rsidRPr="00805552" w:rsidRDefault="003F6E9C" w:rsidP="000D4921">
      <w:pPr>
        <w:spacing w:line="360" w:lineRule="auto"/>
        <w:rPr>
          <w:rFonts w:ascii="Arial" w:hAnsi="Arial" w:cs="Arial"/>
          <w:b/>
          <w:bCs/>
          <w:sz w:val="28"/>
          <w:szCs w:val="28"/>
        </w:rPr>
      </w:pPr>
      <w:r w:rsidRPr="00805552">
        <w:rPr>
          <w:rFonts w:ascii="Arial" w:hAnsi="Arial" w:cs="Arial"/>
          <w:b/>
          <w:bCs/>
          <w:sz w:val="28"/>
          <w:szCs w:val="28"/>
        </w:rPr>
        <w:t>Current functioning of pharmacy services</w:t>
      </w:r>
    </w:p>
    <w:p w14:paraId="6526E5B3" w14:textId="77777777" w:rsidR="003F6E9C"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Pharmacy services now operate across both community and hospital environments, although community pharmacies are often the most accessible. </w:t>
      </w:r>
      <w:r w:rsidRPr="003F6E9C">
        <w:rPr>
          <w:rFonts w:ascii="Arial" w:hAnsi="Arial" w:cs="Arial"/>
          <w:b/>
          <w:bCs/>
          <w:sz w:val="24"/>
          <w:szCs w:val="24"/>
        </w:rPr>
        <w:lastRenderedPageBreak/>
        <w:t>Unlike many other services, patients can usually access advice without an appointment, which makes pharmacies a convenient first point of contact.</w:t>
      </w:r>
    </w:p>
    <w:p w14:paraId="5EDEE416" w14:textId="77777777" w:rsidR="003F6E9C"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Current services include dispensing medicines, supporting patients with long-term conditions and delivering public health interventions such as smoking cessation and vaccination programmes (NHS England, 2024). Pharmacists also provide guidance on safe medication use, helping to reduce risks such as incorrect dosage or harmful interactions.</w:t>
      </w:r>
    </w:p>
    <w:p w14:paraId="1BB162E3"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According to recent data, community pharmacies deliver </w:t>
      </w:r>
      <w:proofErr w:type="gramStart"/>
      <w:r w:rsidRPr="003F6E9C">
        <w:rPr>
          <w:rFonts w:ascii="Arial" w:hAnsi="Arial" w:cs="Arial"/>
          <w:b/>
          <w:bCs/>
          <w:sz w:val="24"/>
          <w:szCs w:val="24"/>
        </w:rPr>
        <w:t>a large number of</w:t>
      </w:r>
      <w:proofErr w:type="gramEnd"/>
      <w:r w:rsidRPr="003F6E9C">
        <w:rPr>
          <w:rFonts w:ascii="Arial" w:hAnsi="Arial" w:cs="Arial"/>
          <w:b/>
          <w:bCs/>
          <w:sz w:val="24"/>
          <w:szCs w:val="24"/>
        </w:rPr>
        <w:t xml:space="preserve"> consultations each year, which helps reduce demand on general practitioners and emergency services (The King’s Fund, 2024). This highlights their role not only in patient care but also in supporting the wider healthcare system. However, despite these developments, many people still associate pharmacies mainly with dispensing prescriptions, which may limit how effectively these services are used.</w:t>
      </w:r>
    </w:p>
    <w:p w14:paraId="3D88C0FE" w14:textId="42609B21" w:rsidR="003617FA" w:rsidRPr="00805552" w:rsidRDefault="003F6E9C" w:rsidP="000D4921">
      <w:pPr>
        <w:spacing w:line="360" w:lineRule="auto"/>
        <w:rPr>
          <w:rFonts w:ascii="Arial" w:hAnsi="Arial" w:cs="Arial"/>
          <w:b/>
          <w:bCs/>
          <w:sz w:val="28"/>
          <w:szCs w:val="28"/>
        </w:rPr>
      </w:pPr>
      <w:r w:rsidRPr="00805552">
        <w:rPr>
          <w:rFonts w:ascii="Arial" w:hAnsi="Arial" w:cs="Arial"/>
          <w:b/>
          <w:bCs/>
          <w:sz w:val="28"/>
          <w:szCs w:val="28"/>
        </w:rPr>
        <w:t>Critical evaluation of current services</w:t>
      </w:r>
    </w:p>
    <w:p w14:paraId="26F1CC83"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Although pharmacy services offer clear benefits, their effectiveness is influenced by several ongoing challenges. One significant issue is the pressure on workforce and funding. Demand for services continues to increase, but resources have not always expanded at the same rate (NHS England, 2023). This can affect waiting times, staff workload and the range of services available.</w:t>
      </w:r>
    </w:p>
    <w:p w14:paraId="12289994"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Another limitation is public awareness. Many individuals are not fully aware of the clinical services pharmacists can provide, which means that pharmacies are sometimes underused. This may indicate that communication between healthcare providers and the public is not always effective.</w:t>
      </w:r>
    </w:p>
    <w:p w14:paraId="06561631"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There are also variations in service provision across different regions. Access to certain services can depend on location, which may create inequalities. This raises concerns about consistency, as patients may not receive the same level of care in all areas. Importantly, these challenges suggest that the potential of pharmacy services is not fully realised in practice. While policies promote expanded roles, the actual delivery of these services depends heavily on </w:t>
      </w:r>
      <w:r w:rsidRPr="003F6E9C">
        <w:rPr>
          <w:rFonts w:ascii="Arial" w:hAnsi="Arial" w:cs="Arial"/>
          <w:b/>
          <w:bCs/>
          <w:sz w:val="24"/>
          <w:szCs w:val="24"/>
        </w:rPr>
        <w:lastRenderedPageBreak/>
        <w:t>resources, staffing and public understanding. This indicates that improving awareness and investment may be just as important as expanding services themselves, as without these changes, the impact of pharmacy services may remain limited.</w:t>
      </w:r>
    </w:p>
    <w:p w14:paraId="5ADFB118" w14:textId="77777777" w:rsidR="003617FA" w:rsidRPr="00805552" w:rsidRDefault="003F6E9C" w:rsidP="000D4921">
      <w:pPr>
        <w:spacing w:line="360" w:lineRule="auto"/>
        <w:rPr>
          <w:rFonts w:ascii="Arial" w:hAnsi="Arial" w:cs="Arial"/>
          <w:b/>
          <w:bCs/>
          <w:sz w:val="28"/>
          <w:szCs w:val="28"/>
        </w:rPr>
      </w:pPr>
      <w:r w:rsidRPr="003F6E9C">
        <w:rPr>
          <w:rFonts w:ascii="Arial" w:hAnsi="Arial" w:cs="Arial"/>
          <w:b/>
          <w:bCs/>
          <w:sz w:val="24"/>
          <w:szCs w:val="24"/>
        </w:rPr>
        <w:t xml:space="preserve"> </w:t>
      </w:r>
      <w:r w:rsidRPr="00805552">
        <w:rPr>
          <w:rFonts w:ascii="Arial" w:hAnsi="Arial" w:cs="Arial"/>
          <w:b/>
          <w:bCs/>
          <w:sz w:val="28"/>
          <w:szCs w:val="28"/>
        </w:rPr>
        <w:t>Impact on quality of life</w:t>
      </w:r>
    </w:p>
    <w:p w14:paraId="73DD0E80"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Pharmacy services can have a direct positive effect on the quality of life of service users. Their accessibility allows individuals to receive help quickly, which may prevent conditions from worsening. This is particularly important for people managing long-term conditions, who may require ongoing support.</w:t>
      </w:r>
    </w:p>
    <w:p w14:paraId="58D4F31B"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Pharmacists also play a role in improving medication safety. Through medication reviews, they can identify potential issues and help patients use medicines more effectively (Royal Pharmaceutical Society, 2024). This can reduce side effects and improve treatment outcomes.</w:t>
      </w:r>
    </w:p>
    <w:p w14:paraId="398CBAB1"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In addition, pharmacy services support public health initiatives, encouraging healthier behaviours such as quitting smoking or receiving vaccinations. These interventions can benefit both individuals and the wider community.</w:t>
      </w:r>
    </w:p>
    <w:p w14:paraId="29483995" w14:textId="77777777" w:rsidR="003617FA" w:rsidRDefault="003F6E9C" w:rsidP="000D4921">
      <w:pPr>
        <w:spacing w:line="360" w:lineRule="auto"/>
        <w:rPr>
          <w:rFonts w:ascii="Arial" w:hAnsi="Arial" w:cs="Arial"/>
          <w:b/>
          <w:bCs/>
          <w:sz w:val="24"/>
          <w:szCs w:val="24"/>
        </w:rPr>
      </w:pPr>
      <w:r w:rsidRPr="003F6E9C">
        <w:rPr>
          <w:rFonts w:ascii="Arial" w:hAnsi="Arial" w:cs="Arial"/>
          <w:b/>
          <w:bCs/>
          <w:sz w:val="24"/>
          <w:szCs w:val="24"/>
        </w:rPr>
        <w:t xml:space="preserve"> Furthermore, by reducing pressure on GPs and hospitals, pharmacy services contribute to a more efficient healthcare system. This means that patients can receive appropriate care more quickly, which can improve overall wellbeing.</w:t>
      </w:r>
    </w:p>
    <w:p w14:paraId="7037EF5F" w14:textId="77777777" w:rsidR="003617FA" w:rsidRPr="00805552" w:rsidRDefault="003F6E9C" w:rsidP="000D4921">
      <w:pPr>
        <w:spacing w:line="360" w:lineRule="auto"/>
        <w:rPr>
          <w:rFonts w:ascii="Arial" w:hAnsi="Arial" w:cs="Arial"/>
          <w:b/>
          <w:bCs/>
          <w:sz w:val="28"/>
          <w:szCs w:val="28"/>
        </w:rPr>
      </w:pPr>
      <w:r w:rsidRPr="00805552">
        <w:rPr>
          <w:rFonts w:ascii="Arial" w:hAnsi="Arial" w:cs="Arial"/>
          <w:b/>
          <w:bCs/>
          <w:sz w:val="28"/>
          <w:szCs w:val="28"/>
        </w:rPr>
        <w:t xml:space="preserve"> Conclusion</w:t>
      </w:r>
    </w:p>
    <w:p w14:paraId="20F1A3B3" w14:textId="52D5D422" w:rsidR="003F6E9C" w:rsidRPr="003F6E9C" w:rsidRDefault="003F6E9C" w:rsidP="000D4921">
      <w:pPr>
        <w:spacing w:line="360" w:lineRule="auto"/>
        <w:rPr>
          <w:rFonts w:ascii="Arial" w:hAnsi="Arial" w:cs="Arial"/>
          <w:b/>
          <w:bCs/>
          <w:sz w:val="24"/>
          <w:szCs w:val="24"/>
        </w:rPr>
        <w:sectPr w:rsidR="003F6E9C" w:rsidRPr="003F6E9C" w:rsidSect="003A000F">
          <w:pgSz w:w="11906" w:h="16838"/>
          <w:pgMar w:top="1440" w:right="1440" w:bottom="1440" w:left="1440" w:header="708" w:footer="708" w:gutter="0"/>
          <w:cols w:space="708"/>
          <w:docGrid w:linePitch="360"/>
        </w:sectPr>
      </w:pPr>
      <w:r w:rsidRPr="003F6E9C">
        <w:rPr>
          <w:rFonts w:ascii="Arial" w:hAnsi="Arial" w:cs="Arial"/>
          <w:b/>
          <w:bCs/>
          <w:sz w:val="24"/>
          <w:szCs w:val="24"/>
        </w:rPr>
        <w:t xml:space="preserve"> Pharmacy services have developed from a limited dispensing role into an essential part of modern healthcare. They now provide accessible and increasingly clinical support within the community. Although challenges such as workforce pressures, funding limitations and public awareness remain, these services play a vital role in improving quality of life. Future progress will depend on strengthening resources, improving consistency and increasing awareness of the full range of services available.</w:t>
      </w:r>
    </w:p>
    <w:p w14:paraId="78FA8EBE" w14:textId="77777777" w:rsidR="00805552" w:rsidRPr="00805552" w:rsidRDefault="00805552" w:rsidP="00833470">
      <w:pPr>
        <w:rPr>
          <w:rFonts w:ascii="Arial" w:hAnsi="Arial" w:cs="Arial"/>
          <w:b/>
          <w:bCs/>
          <w:sz w:val="28"/>
          <w:szCs w:val="28"/>
        </w:rPr>
      </w:pPr>
      <w:r w:rsidRPr="00805552">
        <w:rPr>
          <w:rFonts w:ascii="Arial" w:hAnsi="Arial" w:cs="Arial"/>
          <w:b/>
          <w:bCs/>
          <w:sz w:val="28"/>
          <w:szCs w:val="28"/>
        </w:rPr>
        <w:lastRenderedPageBreak/>
        <w:t>Reference List (Harvard style)</w:t>
      </w:r>
    </w:p>
    <w:p w14:paraId="0AFBFF3B" w14:textId="77777777" w:rsidR="00805552" w:rsidRDefault="00805552" w:rsidP="00833470">
      <w:pPr>
        <w:rPr>
          <w:rFonts w:ascii="Arial" w:hAnsi="Arial" w:cs="Arial"/>
          <w:b/>
          <w:bCs/>
          <w:sz w:val="24"/>
          <w:szCs w:val="24"/>
        </w:rPr>
      </w:pPr>
      <w:r w:rsidRPr="00805552">
        <w:rPr>
          <w:rFonts w:ascii="Arial" w:hAnsi="Arial" w:cs="Arial"/>
          <w:b/>
          <w:bCs/>
          <w:sz w:val="24"/>
          <w:szCs w:val="24"/>
        </w:rPr>
        <w:t xml:space="preserve"> Department of Health and Social Care (2024) Primary care and community health policy. Available at: </w:t>
      </w:r>
      <w:hyperlink r:id="rId12" w:tgtFrame="_blank" w:history="1">
        <w:r w:rsidRPr="00805552">
          <w:rPr>
            <w:rStyle w:val="Hyperlink"/>
            <w:rFonts w:ascii="Arial" w:hAnsi="Arial" w:cs="Arial"/>
            <w:b/>
            <w:bCs/>
            <w:sz w:val="24"/>
            <w:szCs w:val="24"/>
          </w:rPr>
          <w:t>https://www.gov.uk</w:t>
        </w:r>
      </w:hyperlink>
      <w:r w:rsidRPr="00805552">
        <w:rPr>
          <w:rFonts w:ascii="Segoe UI Symbol" w:hAnsi="Segoe UI Symbol" w:cs="Segoe UI Symbol"/>
          <w:b/>
          <w:bCs/>
          <w:sz w:val="24"/>
          <w:szCs w:val="24"/>
        </w:rPr>
        <w:t>⁠</w:t>
      </w:r>
      <w:r w:rsidRPr="00805552">
        <w:rPr>
          <w:rFonts w:ascii="Arial" w:hAnsi="Arial" w:cs="Arial"/>
          <w:b/>
          <w:bCs/>
          <w:sz w:val="24"/>
          <w:szCs w:val="24"/>
        </w:rPr>
        <w:t xml:space="preserve">� (Accessed: 18 March 2026). </w:t>
      </w:r>
    </w:p>
    <w:p w14:paraId="0C4FA2F0" w14:textId="662A9752" w:rsidR="00805552" w:rsidRDefault="00805552" w:rsidP="00833470">
      <w:pPr>
        <w:rPr>
          <w:rFonts w:ascii="Arial" w:hAnsi="Arial" w:cs="Arial"/>
          <w:b/>
          <w:bCs/>
          <w:sz w:val="24"/>
          <w:szCs w:val="24"/>
        </w:rPr>
      </w:pPr>
      <w:r w:rsidRPr="00805552">
        <w:rPr>
          <w:rFonts w:ascii="Arial" w:hAnsi="Arial" w:cs="Arial"/>
          <w:b/>
          <w:bCs/>
          <w:sz w:val="24"/>
          <w:szCs w:val="24"/>
        </w:rPr>
        <w:t xml:space="preserve">General Pharmaceutical Council (2023) Standards for pharmacy professionals. Available at: </w:t>
      </w:r>
      <w:hyperlink r:id="rId13" w:tgtFrame="_blank" w:history="1">
        <w:r w:rsidRPr="00805552">
          <w:rPr>
            <w:rStyle w:val="Hyperlink"/>
            <w:rFonts w:ascii="Arial" w:hAnsi="Arial" w:cs="Arial"/>
            <w:b/>
            <w:bCs/>
            <w:sz w:val="24"/>
            <w:szCs w:val="24"/>
          </w:rPr>
          <w:t>https://www.pharmacyregulation.org</w:t>
        </w:r>
      </w:hyperlink>
      <w:r w:rsidRPr="00805552">
        <w:rPr>
          <w:rFonts w:ascii="Segoe UI Symbol" w:hAnsi="Segoe UI Symbol" w:cs="Segoe UI Symbol"/>
          <w:b/>
          <w:bCs/>
          <w:sz w:val="24"/>
          <w:szCs w:val="24"/>
        </w:rPr>
        <w:t>⁠</w:t>
      </w:r>
      <w:r w:rsidRPr="00805552">
        <w:rPr>
          <w:rFonts w:ascii="Arial" w:hAnsi="Arial" w:cs="Arial"/>
          <w:b/>
          <w:bCs/>
          <w:sz w:val="24"/>
          <w:szCs w:val="24"/>
        </w:rPr>
        <w:t xml:space="preserve">� (Accessed: 18 March 2026). </w:t>
      </w:r>
    </w:p>
    <w:p w14:paraId="6D28BD97" w14:textId="77777777" w:rsidR="00805552" w:rsidRDefault="00805552" w:rsidP="00833470">
      <w:pPr>
        <w:rPr>
          <w:rFonts w:ascii="Arial" w:hAnsi="Arial" w:cs="Arial"/>
          <w:b/>
          <w:bCs/>
          <w:sz w:val="24"/>
          <w:szCs w:val="24"/>
        </w:rPr>
      </w:pPr>
      <w:r w:rsidRPr="00805552">
        <w:rPr>
          <w:rFonts w:ascii="Arial" w:hAnsi="Arial" w:cs="Arial"/>
          <w:b/>
          <w:bCs/>
          <w:sz w:val="24"/>
          <w:szCs w:val="24"/>
        </w:rPr>
        <w:t xml:space="preserve">NHS England (2023) NHS Long Term Workforce Plan. Available at: </w:t>
      </w:r>
      <w:hyperlink r:id="rId14" w:tgtFrame="_blank" w:history="1">
        <w:r w:rsidRPr="00805552">
          <w:rPr>
            <w:rStyle w:val="Hyperlink"/>
            <w:rFonts w:ascii="Arial" w:hAnsi="Arial" w:cs="Arial"/>
            <w:b/>
            <w:bCs/>
            <w:sz w:val="24"/>
            <w:szCs w:val="24"/>
          </w:rPr>
          <w:t>https://www.england.nhs.uk</w:t>
        </w:r>
      </w:hyperlink>
      <w:r w:rsidRPr="00805552">
        <w:rPr>
          <w:rFonts w:ascii="Segoe UI Symbol" w:hAnsi="Segoe UI Symbol" w:cs="Segoe UI Symbol"/>
          <w:b/>
          <w:bCs/>
          <w:sz w:val="24"/>
          <w:szCs w:val="24"/>
        </w:rPr>
        <w:t>⁠</w:t>
      </w:r>
      <w:r w:rsidRPr="00805552">
        <w:rPr>
          <w:rFonts w:ascii="Arial" w:hAnsi="Arial" w:cs="Arial"/>
          <w:b/>
          <w:bCs/>
          <w:sz w:val="24"/>
          <w:szCs w:val="24"/>
        </w:rPr>
        <w:t xml:space="preserve">� (Accessed: 18 March 2026). </w:t>
      </w:r>
    </w:p>
    <w:p w14:paraId="11FEA56A" w14:textId="711C7E5E" w:rsidR="00805552" w:rsidRDefault="00805552" w:rsidP="00833470">
      <w:pPr>
        <w:rPr>
          <w:rFonts w:ascii="Arial" w:hAnsi="Arial" w:cs="Arial"/>
          <w:b/>
          <w:bCs/>
          <w:sz w:val="24"/>
          <w:szCs w:val="24"/>
        </w:rPr>
      </w:pPr>
      <w:r w:rsidRPr="00805552">
        <w:rPr>
          <w:rFonts w:ascii="Arial" w:hAnsi="Arial" w:cs="Arial"/>
          <w:b/>
          <w:bCs/>
          <w:sz w:val="24"/>
          <w:szCs w:val="24"/>
        </w:rPr>
        <w:t xml:space="preserve">NHS England (2024) Community pharmacy services. Available at: </w:t>
      </w:r>
      <w:hyperlink r:id="rId15" w:tgtFrame="_blank" w:history="1">
        <w:r w:rsidRPr="00805552">
          <w:rPr>
            <w:rStyle w:val="Hyperlink"/>
            <w:rFonts w:ascii="Arial" w:hAnsi="Arial" w:cs="Arial"/>
            <w:b/>
            <w:bCs/>
            <w:sz w:val="24"/>
            <w:szCs w:val="24"/>
          </w:rPr>
          <w:t>https://www.england.nhs.uk</w:t>
        </w:r>
      </w:hyperlink>
      <w:r w:rsidRPr="00805552">
        <w:rPr>
          <w:rFonts w:ascii="Segoe UI Symbol" w:hAnsi="Segoe UI Symbol" w:cs="Segoe UI Symbol"/>
          <w:b/>
          <w:bCs/>
          <w:sz w:val="24"/>
          <w:szCs w:val="24"/>
        </w:rPr>
        <w:t>⁠</w:t>
      </w:r>
      <w:r w:rsidRPr="00805552">
        <w:rPr>
          <w:rFonts w:ascii="Arial" w:hAnsi="Arial" w:cs="Arial"/>
          <w:b/>
          <w:bCs/>
          <w:sz w:val="24"/>
          <w:szCs w:val="24"/>
        </w:rPr>
        <w:t xml:space="preserve">� (Accessed: 18 March 2026). </w:t>
      </w:r>
    </w:p>
    <w:p w14:paraId="0AD9854E" w14:textId="77777777" w:rsidR="00805552" w:rsidRDefault="00805552" w:rsidP="00833470">
      <w:pPr>
        <w:rPr>
          <w:rFonts w:ascii="Arial" w:hAnsi="Arial" w:cs="Arial"/>
          <w:b/>
          <w:bCs/>
          <w:sz w:val="24"/>
          <w:szCs w:val="24"/>
        </w:rPr>
      </w:pPr>
      <w:r w:rsidRPr="00805552">
        <w:rPr>
          <w:rFonts w:ascii="Arial" w:hAnsi="Arial" w:cs="Arial"/>
          <w:b/>
          <w:bCs/>
          <w:sz w:val="24"/>
          <w:szCs w:val="24"/>
        </w:rPr>
        <w:t xml:space="preserve">Royal Pharmaceutical Society (2024) The role of pharmacists in healthcare. Available at: </w:t>
      </w:r>
      <w:hyperlink r:id="rId16" w:tgtFrame="_blank" w:history="1">
        <w:r w:rsidRPr="00805552">
          <w:rPr>
            <w:rStyle w:val="Hyperlink"/>
            <w:rFonts w:ascii="Arial" w:hAnsi="Arial" w:cs="Arial"/>
            <w:b/>
            <w:bCs/>
            <w:sz w:val="24"/>
            <w:szCs w:val="24"/>
          </w:rPr>
          <w:t>https://www.rpharms.com</w:t>
        </w:r>
      </w:hyperlink>
      <w:r w:rsidRPr="00805552">
        <w:rPr>
          <w:rFonts w:ascii="Segoe UI Symbol" w:hAnsi="Segoe UI Symbol" w:cs="Segoe UI Symbol"/>
          <w:b/>
          <w:bCs/>
          <w:sz w:val="24"/>
          <w:szCs w:val="24"/>
        </w:rPr>
        <w:t>⁠</w:t>
      </w:r>
      <w:r w:rsidRPr="00805552">
        <w:rPr>
          <w:rFonts w:ascii="Arial" w:hAnsi="Arial" w:cs="Arial"/>
          <w:b/>
          <w:bCs/>
          <w:sz w:val="24"/>
          <w:szCs w:val="24"/>
        </w:rPr>
        <w:t xml:space="preserve">� (Accessed: 18 March 2026). </w:t>
      </w:r>
    </w:p>
    <w:p w14:paraId="23578436" w14:textId="4EFE3F91" w:rsidR="00833470" w:rsidRPr="003F6E9C" w:rsidRDefault="00805552" w:rsidP="00833470">
      <w:pPr>
        <w:rPr>
          <w:rFonts w:ascii="Arial" w:hAnsi="Arial" w:cs="Arial"/>
          <w:b/>
          <w:bCs/>
          <w:sz w:val="24"/>
          <w:szCs w:val="24"/>
        </w:rPr>
      </w:pPr>
      <w:r w:rsidRPr="00805552">
        <w:rPr>
          <w:rFonts w:ascii="Arial" w:hAnsi="Arial" w:cs="Arial"/>
          <w:b/>
          <w:bCs/>
          <w:sz w:val="24"/>
          <w:szCs w:val="24"/>
        </w:rPr>
        <w:t xml:space="preserve">The King’s Fund (2024) Community pharmacy explained. Available at: </w:t>
      </w:r>
      <w:hyperlink r:id="rId17" w:tgtFrame="_blank" w:history="1">
        <w:r w:rsidRPr="00805552">
          <w:rPr>
            <w:rStyle w:val="Hyperlink"/>
            <w:rFonts w:ascii="Arial" w:hAnsi="Arial" w:cs="Arial"/>
            <w:b/>
            <w:bCs/>
            <w:sz w:val="24"/>
            <w:szCs w:val="24"/>
          </w:rPr>
          <w:t>https://www.kingsfund.org.uk</w:t>
        </w:r>
      </w:hyperlink>
      <w:r w:rsidRPr="00805552">
        <w:rPr>
          <w:rFonts w:ascii="Segoe UI Symbol" w:hAnsi="Segoe UI Symbol" w:cs="Segoe UI Symbol"/>
          <w:b/>
          <w:bCs/>
          <w:sz w:val="24"/>
          <w:szCs w:val="24"/>
        </w:rPr>
        <w:t>⁠</w:t>
      </w:r>
      <w:r w:rsidRPr="00805552">
        <w:rPr>
          <w:rFonts w:ascii="Arial" w:hAnsi="Arial" w:cs="Arial"/>
          <w:b/>
          <w:bCs/>
          <w:sz w:val="24"/>
          <w:szCs w:val="24"/>
        </w:rPr>
        <w:t>� (Accessed: 18 March 2026).</w:t>
      </w:r>
    </w:p>
    <w:p w14:paraId="27EBF8A3" w14:textId="77777777" w:rsidR="00EF3E35" w:rsidRPr="003F6E9C" w:rsidRDefault="00EF3E35">
      <w:pPr>
        <w:rPr>
          <w:sz w:val="24"/>
          <w:szCs w:val="24"/>
        </w:rPr>
      </w:pPr>
    </w:p>
    <w:p w14:paraId="150E9E72" w14:textId="77777777" w:rsidR="00EF3E35" w:rsidRPr="003F6E9C" w:rsidRDefault="00EF3E35">
      <w:pPr>
        <w:rPr>
          <w:sz w:val="24"/>
          <w:szCs w:val="24"/>
        </w:rPr>
      </w:pPr>
    </w:p>
    <w:p w14:paraId="14ED9CB8" w14:textId="77777777" w:rsidR="00EF3E35" w:rsidRPr="003F6E9C" w:rsidRDefault="00EF3E35">
      <w:pPr>
        <w:rPr>
          <w:sz w:val="24"/>
          <w:szCs w:val="24"/>
        </w:rPr>
      </w:pPr>
    </w:p>
    <w:p w14:paraId="349765E8" w14:textId="77777777" w:rsidR="00EF3E35" w:rsidRPr="003F6E9C" w:rsidRDefault="00EF3E35">
      <w:pPr>
        <w:rPr>
          <w:sz w:val="24"/>
          <w:szCs w:val="24"/>
        </w:rPr>
      </w:pPr>
    </w:p>
    <w:sectPr w:rsidR="00EF3E35" w:rsidRPr="003F6E9C"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590CC" w14:textId="77777777" w:rsidR="002E284D" w:rsidRDefault="002E284D" w:rsidP="00BE6BE0">
      <w:pPr>
        <w:spacing w:after="0" w:line="240" w:lineRule="auto"/>
      </w:pPr>
      <w:r>
        <w:separator/>
      </w:r>
    </w:p>
  </w:endnote>
  <w:endnote w:type="continuationSeparator" w:id="0">
    <w:p w14:paraId="4D4D3B8F" w14:textId="77777777" w:rsidR="002E284D" w:rsidRDefault="002E284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C87FE" w14:textId="77777777" w:rsidR="002E284D" w:rsidRDefault="002E284D" w:rsidP="00BE6BE0">
      <w:pPr>
        <w:spacing w:after="0" w:line="240" w:lineRule="auto"/>
      </w:pPr>
      <w:r>
        <w:separator/>
      </w:r>
    </w:p>
  </w:footnote>
  <w:footnote w:type="continuationSeparator" w:id="0">
    <w:p w14:paraId="6ABDD318" w14:textId="77777777" w:rsidR="002E284D" w:rsidRDefault="002E284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632C"/>
    <w:rsid w:val="000464A0"/>
    <w:rsid w:val="00056EB1"/>
    <w:rsid w:val="000D4921"/>
    <w:rsid w:val="00102313"/>
    <w:rsid w:val="00115EC9"/>
    <w:rsid w:val="001734FD"/>
    <w:rsid w:val="001D5444"/>
    <w:rsid w:val="001E191A"/>
    <w:rsid w:val="002767BF"/>
    <w:rsid w:val="002E284D"/>
    <w:rsid w:val="002F5071"/>
    <w:rsid w:val="003617FA"/>
    <w:rsid w:val="003A000F"/>
    <w:rsid w:val="003C48C5"/>
    <w:rsid w:val="003E0DCB"/>
    <w:rsid w:val="003F6E9C"/>
    <w:rsid w:val="00455EBF"/>
    <w:rsid w:val="004F4DA1"/>
    <w:rsid w:val="0050468D"/>
    <w:rsid w:val="006A6816"/>
    <w:rsid w:val="006B67A9"/>
    <w:rsid w:val="00710CFC"/>
    <w:rsid w:val="007669D9"/>
    <w:rsid w:val="00804A7F"/>
    <w:rsid w:val="00805552"/>
    <w:rsid w:val="00833470"/>
    <w:rsid w:val="00876911"/>
    <w:rsid w:val="00925D5E"/>
    <w:rsid w:val="009474AE"/>
    <w:rsid w:val="009E257B"/>
    <w:rsid w:val="00A1153F"/>
    <w:rsid w:val="00A572AD"/>
    <w:rsid w:val="00A6161B"/>
    <w:rsid w:val="00A6165E"/>
    <w:rsid w:val="00A82690"/>
    <w:rsid w:val="00A82696"/>
    <w:rsid w:val="00B3786A"/>
    <w:rsid w:val="00B642EF"/>
    <w:rsid w:val="00BE6BE0"/>
    <w:rsid w:val="00C36E38"/>
    <w:rsid w:val="00C549C4"/>
    <w:rsid w:val="00C83A82"/>
    <w:rsid w:val="00D730A9"/>
    <w:rsid w:val="00DF0E1D"/>
    <w:rsid w:val="00EA030E"/>
    <w:rsid w:val="00ED0D33"/>
    <w:rsid w:val="00EF3E35"/>
    <w:rsid w:val="00F36D02"/>
    <w:rsid w:val="00F64FBC"/>
    <w:rsid w:val="00FC62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805552"/>
    <w:rPr>
      <w:color w:val="0563C1" w:themeColor="hyperlink"/>
      <w:u w:val="single"/>
    </w:rPr>
  </w:style>
  <w:style w:type="character" w:styleId="UnresolvedMention">
    <w:name w:val="Unresolved Mention"/>
    <w:basedOn w:val="DefaultParagraphFont"/>
    <w:uiPriority w:val="99"/>
    <w:semiHidden/>
    <w:unhideWhenUsed/>
    <w:rsid w:val="008055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pharmacyregulation.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 TargetMode="External"/><Relationship Id="rId17" Type="http://schemas.openxmlformats.org/officeDocument/2006/relationships/hyperlink" Target="https://www.kingsfund.org.uk/" TargetMode="External"/><Relationship Id="rId2" Type="http://schemas.openxmlformats.org/officeDocument/2006/relationships/styles" Target="styles.xml"/><Relationship Id="rId16" Type="http://schemas.openxmlformats.org/officeDocument/2006/relationships/hyperlink" Target="https://www.rpharms.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england.nhs.uk/"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england.nhs.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4271</TotalTime>
  <Pages>7</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jowita.nowacka50@gmail.com</cp:lastModifiedBy>
  <cp:revision>22</cp:revision>
  <dcterms:created xsi:type="dcterms:W3CDTF">2026-03-19T13:02:00Z</dcterms:created>
  <dcterms:modified xsi:type="dcterms:W3CDTF">2026-03-22T12:16:00Z</dcterms:modified>
</cp:coreProperties>
</file>