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25C47" w14:textId="77777777" w:rsidR="00543274" w:rsidRDefault="00543274" w:rsidP="00543274">
      <w:pPr>
        <w:jc w:val="center"/>
        <w:rPr>
          <w:rFonts w:ascii="Times New Roman" w:hAnsi="Times New Roman" w:cs="Times New Roman"/>
          <w:sz w:val="32"/>
          <w:szCs w:val="32"/>
        </w:rPr>
      </w:pPr>
    </w:p>
    <w:p w14:paraId="19BA1C6D" w14:textId="7AE0EFF4" w:rsidR="00543274" w:rsidRPr="00641783" w:rsidRDefault="00543274" w:rsidP="00543274">
      <w:pPr>
        <w:jc w:val="center"/>
        <w:rPr>
          <w:rFonts w:ascii="Times New Roman" w:hAnsi="Times New Roman" w:cs="Times New Roman"/>
          <w:sz w:val="32"/>
          <w:szCs w:val="32"/>
        </w:rPr>
      </w:pPr>
      <w:r w:rsidRPr="00641783">
        <w:rPr>
          <w:rFonts w:ascii="Times New Roman" w:hAnsi="Times New Roman" w:cs="Times New Roman"/>
          <w:sz w:val="32"/>
          <w:szCs w:val="32"/>
        </w:rPr>
        <w:t>Living Well the Older Person</w:t>
      </w:r>
    </w:p>
    <w:p w14:paraId="13E14AF5" w14:textId="77777777" w:rsidR="00543274" w:rsidRPr="00641783" w:rsidRDefault="00543274" w:rsidP="00543274">
      <w:pPr>
        <w:jc w:val="center"/>
        <w:rPr>
          <w:rFonts w:ascii="Times New Roman" w:hAnsi="Times New Roman" w:cs="Times New Roman"/>
          <w:sz w:val="32"/>
          <w:szCs w:val="32"/>
        </w:rPr>
      </w:pPr>
    </w:p>
    <w:p w14:paraId="450545D0" w14:textId="7E0A8689" w:rsidR="00543274" w:rsidRPr="00641783" w:rsidRDefault="00543274" w:rsidP="00543274">
      <w:pPr>
        <w:jc w:val="center"/>
        <w:rPr>
          <w:rFonts w:ascii="Times New Roman" w:hAnsi="Times New Roman" w:cs="Times New Roman"/>
          <w:sz w:val="32"/>
          <w:szCs w:val="32"/>
        </w:rPr>
      </w:pPr>
      <w:r w:rsidRPr="00641783">
        <w:rPr>
          <w:rFonts w:ascii="Times New Roman" w:hAnsi="Times New Roman" w:cs="Times New Roman"/>
          <w:sz w:val="32"/>
          <w:szCs w:val="32"/>
        </w:rPr>
        <w:t>By</w:t>
      </w:r>
      <w:r w:rsidRPr="00641783">
        <w:rPr>
          <w:rFonts w:ascii="Times New Roman" w:hAnsi="Times New Roman" w:cs="Times New Roman"/>
          <w:sz w:val="32"/>
          <w:szCs w:val="32"/>
        </w:rPr>
        <w:br/>
        <w:t>Courtney-Leigh Partridge</w:t>
      </w:r>
      <w:r w:rsidR="002D4397">
        <w:rPr>
          <w:rFonts w:ascii="Times New Roman" w:hAnsi="Times New Roman" w:cs="Times New Roman"/>
          <w:sz w:val="32"/>
          <w:szCs w:val="32"/>
        </w:rPr>
        <w:br/>
        <w:t>2210044</w:t>
      </w:r>
    </w:p>
    <w:p w14:paraId="765407DD" w14:textId="77777777" w:rsidR="00543274" w:rsidRDefault="00543274" w:rsidP="00543274">
      <w:pPr>
        <w:jc w:val="center"/>
        <w:rPr>
          <w:rFonts w:ascii="Times New Roman" w:hAnsi="Times New Roman" w:cs="Times New Roman"/>
        </w:rPr>
      </w:pPr>
    </w:p>
    <w:p w14:paraId="2D316241" w14:textId="77777777" w:rsidR="00543274" w:rsidRDefault="00543274" w:rsidP="00543274">
      <w:pPr>
        <w:jc w:val="center"/>
        <w:rPr>
          <w:rFonts w:ascii="Times New Roman" w:hAnsi="Times New Roman" w:cs="Times New Roman"/>
        </w:rPr>
      </w:pPr>
    </w:p>
    <w:p w14:paraId="58F7622D" w14:textId="77777777" w:rsidR="00543274" w:rsidRDefault="00543274" w:rsidP="00543274">
      <w:pPr>
        <w:jc w:val="center"/>
        <w:rPr>
          <w:rFonts w:ascii="Times New Roman" w:hAnsi="Times New Roman" w:cs="Times New Roman"/>
        </w:rPr>
      </w:pPr>
    </w:p>
    <w:p w14:paraId="7962FE8D" w14:textId="77777777" w:rsidR="00543274" w:rsidRDefault="00543274" w:rsidP="00543274">
      <w:pPr>
        <w:jc w:val="center"/>
        <w:rPr>
          <w:rFonts w:ascii="Times New Roman" w:hAnsi="Times New Roman" w:cs="Times New Roman"/>
        </w:rPr>
      </w:pPr>
    </w:p>
    <w:p w14:paraId="69BA7F9B" w14:textId="77777777" w:rsidR="00543274" w:rsidRDefault="00543274" w:rsidP="00543274">
      <w:pPr>
        <w:jc w:val="center"/>
        <w:rPr>
          <w:rFonts w:ascii="Times New Roman" w:hAnsi="Times New Roman" w:cs="Times New Roman"/>
        </w:rPr>
      </w:pPr>
    </w:p>
    <w:p w14:paraId="4AC02BA7" w14:textId="77777777" w:rsidR="00543274" w:rsidRDefault="00543274" w:rsidP="00543274">
      <w:pPr>
        <w:jc w:val="center"/>
        <w:rPr>
          <w:rFonts w:ascii="Times New Roman" w:hAnsi="Times New Roman" w:cs="Times New Roman"/>
        </w:rPr>
      </w:pPr>
    </w:p>
    <w:p w14:paraId="3B731F08" w14:textId="77777777" w:rsidR="00543274" w:rsidRDefault="00543274" w:rsidP="00543274">
      <w:pPr>
        <w:jc w:val="center"/>
        <w:rPr>
          <w:rFonts w:ascii="Times New Roman" w:hAnsi="Times New Roman" w:cs="Times New Roman"/>
        </w:rPr>
      </w:pPr>
    </w:p>
    <w:p w14:paraId="4EC5A16A" w14:textId="77777777" w:rsidR="00543274" w:rsidRDefault="00543274" w:rsidP="00543274">
      <w:pPr>
        <w:jc w:val="center"/>
        <w:rPr>
          <w:rFonts w:ascii="Times New Roman" w:hAnsi="Times New Roman" w:cs="Times New Roman"/>
        </w:rPr>
      </w:pPr>
    </w:p>
    <w:p w14:paraId="1A9FE44E" w14:textId="77777777" w:rsidR="00543274" w:rsidRDefault="00543274" w:rsidP="00543274">
      <w:pPr>
        <w:jc w:val="center"/>
        <w:rPr>
          <w:rFonts w:ascii="Times New Roman" w:hAnsi="Times New Roman" w:cs="Times New Roman"/>
        </w:rPr>
      </w:pPr>
    </w:p>
    <w:p w14:paraId="234CB912" w14:textId="77777777" w:rsidR="00543274" w:rsidRDefault="00543274" w:rsidP="00543274">
      <w:pPr>
        <w:jc w:val="center"/>
        <w:rPr>
          <w:rFonts w:ascii="Times New Roman" w:hAnsi="Times New Roman" w:cs="Times New Roman"/>
        </w:rPr>
      </w:pPr>
    </w:p>
    <w:p w14:paraId="1C2E6A89" w14:textId="77777777" w:rsidR="00543274" w:rsidRDefault="00543274" w:rsidP="00543274">
      <w:pPr>
        <w:jc w:val="center"/>
        <w:rPr>
          <w:rFonts w:ascii="Times New Roman" w:hAnsi="Times New Roman" w:cs="Times New Roman"/>
        </w:rPr>
      </w:pPr>
    </w:p>
    <w:p w14:paraId="61305974" w14:textId="77777777" w:rsidR="00543274" w:rsidRDefault="00543274" w:rsidP="00543274">
      <w:pPr>
        <w:jc w:val="center"/>
        <w:rPr>
          <w:rFonts w:ascii="Times New Roman" w:hAnsi="Times New Roman" w:cs="Times New Roman"/>
        </w:rPr>
      </w:pPr>
    </w:p>
    <w:p w14:paraId="59500237" w14:textId="77777777" w:rsidR="00543274" w:rsidRDefault="00543274" w:rsidP="00543274">
      <w:pPr>
        <w:jc w:val="center"/>
        <w:rPr>
          <w:rFonts w:ascii="Times New Roman" w:hAnsi="Times New Roman" w:cs="Times New Roman"/>
        </w:rPr>
      </w:pPr>
    </w:p>
    <w:p w14:paraId="4709033B" w14:textId="77777777" w:rsidR="00543274" w:rsidRDefault="00543274" w:rsidP="00543274">
      <w:pPr>
        <w:jc w:val="center"/>
        <w:rPr>
          <w:rFonts w:ascii="Times New Roman" w:hAnsi="Times New Roman" w:cs="Times New Roman"/>
        </w:rPr>
      </w:pPr>
    </w:p>
    <w:p w14:paraId="54AB758C" w14:textId="77777777" w:rsidR="00543274" w:rsidRDefault="00543274" w:rsidP="00543274">
      <w:pPr>
        <w:jc w:val="center"/>
        <w:rPr>
          <w:rFonts w:ascii="Times New Roman" w:hAnsi="Times New Roman" w:cs="Times New Roman"/>
        </w:rPr>
      </w:pPr>
    </w:p>
    <w:p w14:paraId="5AEE9766" w14:textId="77777777" w:rsidR="00543274" w:rsidRDefault="00543274" w:rsidP="00543274">
      <w:pPr>
        <w:jc w:val="center"/>
        <w:rPr>
          <w:rFonts w:ascii="Times New Roman" w:hAnsi="Times New Roman" w:cs="Times New Roman"/>
        </w:rPr>
      </w:pPr>
    </w:p>
    <w:p w14:paraId="5850E8AF" w14:textId="77777777" w:rsidR="00543274" w:rsidRDefault="00543274" w:rsidP="00543274">
      <w:pPr>
        <w:jc w:val="center"/>
        <w:rPr>
          <w:rFonts w:ascii="Times New Roman" w:hAnsi="Times New Roman" w:cs="Times New Roman"/>
        </w:rPr>
      </w:pPr>
    </w:p>
    <w:p w14:paraId="745B5039" w14:textId="77777777" w:rsidR="00543274" w:rsidRDefault="00543274" w:rsidP="00543274">
      <w:pPr>
        <w:jc w:val="center"/>
        <w:rPr>
          <w:rFonts w:ascii="Times New Roman" w:hAnsi="Times New Roman" w:cs="Times New Roman"/>
        </w:rPr>
      </w:pPr>
    </w:p>
    <w:p w14:paraId="185244A3" w14:textId="77777777" w:rsidR="00543274" w:rsidRDefault="00543274" w:rsidP="00543274">
      <w:pPr>
        <w:jc w:val="center"/>
        <w:rPr>
          <w:rFonts w:ascii="Times New Roman" w:hAnsi="Times New Roman" w:cs="Times New Roman"/>
        </w:rPr>
      </w:pPr>
    </w:p>
    <w:p w14:paraId="0EE9B10A" w14:textId="77777777" w:rsidR="00543274" w:rsidRDefault="00543274" w:rsidP="00543274">
      <w:pPr>
        <w:jc w:val="center"/>
        <w:rPr>
          <w:rFonts w:ascii="Times New Roman" w:hAnsi="Times New Roman" w:cs="Times New Roman"/>
        </w:rPr>
      </w:pPr>
    </w:p>
    <w:p w14:paraId="58D1AE60" w14:textId="77777777" w:rsidR="00543274" w:rsidRDefault="00543274" w:rsidP="00543274">
      <w:pPr>
        <w:jc w:val="center"/>
        <w:rPr>
          <w:rFonts w:ascii="Times New Roman" w:hAnsi="Times New Roman" w:cs="Times New Roman"/>
        </w:rPr>
      </w:pPr>
    </w:p>
    <w:p w14:paraId="5BF29DCE" w14:textId="77777777" w:rsidR="00543274" w:rsidRDefault="00543274" w:rsidP="00543274">
      <w:pPr>
        <w:jc w:val="center"/>
        <w:rPr>
          <w:rFonts w:ascii="Times New Roman" w:hAnsi="Times New Roman" w:cs="Times New Roman"/>
        </w:rPr>
      </w:pPr>
    </w:p>
    <w:p w14:paraId="6C094122" w14:textId="77777777" w:rsidR="00543274" w:rsidRDefault="00543274" w:rsidP="00543274">
      <w:pPr>
        <w:jc w:val="center"/>
        <w:rPr>
          <w:rFonts w:ascii="Times New Roman" w:hAnsi="Times New Roman" w:cs="Times New Roman"/>
        </w:rPr>
      </w:pPr>
    </w:p>
    <w:p w14:paraId="47F3156B" w14:textId="77777777" w:rsidR="00543274" w:rsidRDefault="00543274" w:rsidP="00543274">
      <w:pPr>
        <w:jc w:val="center"/>
        <w:rPr>
          <w:rFonts w:ascii="Times New Roman" w:hAnsi="Times New Roman" w:cs="Times New Roman"/>
        </w:rPr>
      </w:pPr>
    </w:p>
    <w:p w14:paraId="5E1008F8" w14:textId="77777777" w:rsidR="00543274" w:rsidRDefault="00543274" w:rsidP="00543274">
      <w:pPr>
        <w:jc w:val="center"/>
        <w:rPr>
          <w:rFonts w:ascii="Times New Roman" w:hAnsi="Times New Roman" w:cs="Times New Roman"/>
        </w:rPr>
      </w:pPr>
    </w:p>
    <w:p w14:paraId="122F1748" w14:textId="77777777" w:rsidR="00543274" w:rsidRDefault="00543274" w:rsidP="00543274">
      <w:pPr>
        <w:jc w:val="center"/>
        <w:rPr>
          <w:rFonts w:ascii="Times New Roman" w:hAnsi="Times New Roman" w:cs="Times New Roman"/>
        </w:rPr>
      </w:pPr>
    </w:p>
    <w:sdt>
      <w:sdtPr>
        <w:rPr>
          <w:rFonts w:asciiTheme="minorHAnsi" w:eastAsiaTheme="minorHAnsi" w:hAnsiTheme="minorHAnsi" w:cstheme="minorBidi"/>
          <w:color w:val="auto"/>
          <w:kern w:val="2"/>
          <w:sz w:val="22"/>
          <w:szCs w:val="22"/>
          <w:lang w:eastAsia="en-US"/>
          <w14:ligatures w14:val="standardContextual"/>
        </w:rPr>
        <w:id w:val="944656340"/>
        <w:docPartObj>
          <w:docPartGallery w:val="Table of Contents"/>
          <w:docPartUnique/>
        </w:docPartObj>
      </w:sdtPr>
      <w:sdtEndPr>
        <w:rPr>
          <w:b/>
          <w:bCs/>
        </w:rPr>
      </w:sdtEndPr>
      <w:sdtContent>
        <w:p w14:paraId="1CB9512B" w14:textId="2E6D869E" w:rsidR="00473DB4" w:rsidRDefault="00473DB4">
          <w:pPr>
            <w:pStyle w:val="TOCHeading"/>
          </w:pPr>
          <w:r>
            <w:t>Table of Contents</w:t>
          </w:r>
        </w:p>
        <w:p w14:paraId="0D955FDE" w14:textId="142A1783" w:rsidR="003A13CF" w:rsidRDefault="00473DB4">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423549" w:history="1">
            <w:r w:rsidR="003A13CF" w:rsidRPr="00502F0C">
              <w:rPr>
                <w:rStyle w:val="Hyperlink"/>
                <w:noProof/>
              </w:rPr>
              <w:t>Abstract</w:t>
            </w:r>
            <w:r w:rsidR="003A13CF">
              <w:rPr>
                <w:noProof/>
                <w:webHidden/>
              </w:rPr>
              <w:tab/>
            </w:r>
            <w:r w:rsidR="003A13CF">
              <w:rPr>
                <w:noProof/>
                <w:webHidden/>
              </w:rPr>
              <w:fldChar w:fldCharType="begin"/>
            </w:r>
            <w:r w:rsidR="003A13CF">
              <w:rPr>
                <w:noProof/>
                <w:webHidden/>
              </w:rPr>
              <w:instrText xml:space="preserve"> PAGEREF _Toc165423549 \h </w:instrText>
            </w:r>
            <w:r w:rsidR="003A13CF">
              <w:rPr>
                <w:noProof/>
                <w:webHidden/>
              </w:rPr>
            </w:r>
            <w:r w:rsidR="003A13CF">
              <w:rPr>
                <w:noProof/>
                <w:webHidden/>
              </w:rPr>
              <w:fldChar w:fldCharType="separate"/>
            </w:r>
            <w:r w:rsidR="003A13CF">
              <w:rPr>
                <w:noProof/>
                <w:webHidden/>
              </w:rPr>
              <w:t>3</w:t>
            </w:r>
            <w:r w:rsidR="003A13CF">
              <w:rPr>
                <w:noProof/>
                <w:webHidden/>
              </w:rPr>
              <w:fldChar w:fldCharType="end"/>
            </w:r>
          </w:hyperlink>
        </w:p>
        <w:p w14:paraId="368B7D4C" w14:textId="0F33036B" w:rsidR="003A13CF" w:rsidRDefault="00000000">
          <w:pPr>
            <w:pStyle w:val="TOC2"/>
            <w:tabs>
              <w:tab w:val="right" w:leader="dot" w:pos="9016"/>
            </w:tabs>
            <w:rPr>
              <w:rFonts w:eastAsiaTheme="minorEastAsia"/>
              <w:noProof/>
              <w:sz w:val="24"/>
              <w:szCs w:val="24"/>
              <w:lang w:eastAsia="en-GB"/>
            </w:rPr>
          </w:pPr>
          <w:hyperlink w:anchor="_Toc165423550" w:history="1">
            <w:r w:rsidR="003A13CF" w:rsidRPr="00502F0C">
              <w:rPr>
                <w:rStyle w:val="Hyperlink"/>
                <w:noProof/>
              </w:rPr>
              <w:t>Introduction</w:t>
            </w:r>
            <w:r w:rsidR="003A13CF">
              <w:rPr>
                <w:noProof/>
                <w:webHidden/>
              </w:rPr>
              <w:tab/>
            </w:r>
            <w:r w:rsidR="003A13CF">
              <w:rPr>
                <w:noProof/>
                <w:webHidden/>
              </w:rPr>
              <w:fldChar w:fldCharType="begin"/>
            </w:r>
            <w:r w:rsidR="003A13CF">
              <w:rPr>
                <w:noProof/>
                <w:webHidden/>
              </w:rPr>
              <w:instrText xml:space="preserve"> PAGEREF _Toc165423550 \h </w:instrText>
            </w:r>
            <w:r w:rsidR="003A13CF">
              <w:rPr>
                <w:noProof/>
                <w:webHidden/>
              </w:rPr>
            </w:r>
            <w:r w:rsidR="003A13CF">
              <w:rPr>
                <w:noProof/>
                <w:webHidden/>
              </w:rPr>
              <w:fldChar w:fldCharType="separate"/>
            </w:r>
            <w:r w:rsidR="003A13CF">
              <w:rPr>
                <w:noProof/>
                <w:webHidden/>
              </w:rPr>
              <w:t>4</w:t>
            </w:r>
            <w:r w:rsidR="003A13CF">
              <w:rPr>
                <w:noProof/>
                <w:webHidden/>
              </w:rPr>
              <w:fldChar w:fldCharType="end"/>
            </w:r>
          </w:hyperlink>
        </w:p>
        <w:p w14:paraId="2052A88C" w14:textId="0441AAA4" w:rsidR="003A13CF" w:rsidRDefault="00000000">
          <w:pPr>
            <w:pStyle w:val="TOC2"/>
            <w:tabs>
              <w:tab w:val="right" w:leader="dot" w:pos="9016"/>
            </w:tabs>
            <w:rPr>
              <w:rFonts w:eastAsiaTheme="minorEastAsia"/>
              <w:noProof/>
              <w:sz w:val="24"/>
              <w:szCs w:val="24"/>
              <w:lang w:eastAsia="en-GB"/>
            </w:rPr>
          </w:pPr>
          <w:hyperlink w:anchor="_Toc165423551" w:history="1">
            <w:r w:rsidR="003A13CF" w:rsidRPr="00502F0C">
              <w:rPr>
                <w:rStyle w:val="Hyperlink"/>
                <w:noProof/>
              </w:rPr>
              <w:t>An Ageing Population</w:t>
            </w:r>
            <w:r w:rsidR="003A13CF">
              <w:rPr>
                <w:noProof/>
                <w:webHidden/>
              </w:rPr>
              <w:tab/>
            </w:r>
            <w:r w:rsidR="003A13CF">
              <w:rPr>
                <w:noProof/>
                <w:webHidden/>
              </w:rPr>
              <w:fldChar w:fldCharType="begin"/>
            </w:r>
            <w:r w:rsidR="003A13CF">
              <w:rPr>
                <w:noProof/>
                <w:webHidden/>
              </w:rPr>
              <w:instrText xml:space="preserve"> PAGEREF _Toc165423551 \h </w:instrText>
            </w:r>
            <w:r w:rsidR="003A13CF">
              <w:rPr>
                <w:noProof/>
                <w:webHidden/>
              </w:rPr>
            </w:r>
            <w:r w:rsidR="003A13CF">
              <w:rPr>
                <w:noProof/>
                <w:webHidden/>
              </w:rPr>
              <w:fldChar w:fldCharType="separate"/>
            </w:r>
            <w:r w:rsidR="003A13CF">
              <w:rPr>
                <w:noProof/>
                <w:webHidden/>
              </w:rPr>
              <w:t>4</w:t>
            </w:r>
            <w:r w:rsidR="003A13CF">
              <w:rPr>
                <w:noProof/>
                <w:webHidden/>
              </w:rPr>
              <w:fldChar w:fldCharType="end"/>
            </w:r>
          </w:hyperlink>
        </w:p>
        <w:p w14:paraId="1E18D7D5" w14:textId="4175C948" w:rsidR="003A13CF" w:rsidRDefault="00000000">
          <w:pPr>
            <w:pStyle w:val="TOC2"/>
            <w:tabs>
              <w:tab w:val="right" w:leader="dot" w:pos="9016"/>
            </w:tabs>
            <w:rPr>
              <w:rFonts w:eastAsiaTheme="minorEastAsia"/>
              <w:noProof/>
              <w:sz w:val="24"/>
              <w:szCs w:val="24"/>
              <w:lang w:eastAsia="en-GB"/>
            </w:rPr>
          </w:pPr>
          <w:hyperlink w:anchor="_Toc165423552" w:history="1">
            <w:r w:rsidR="003A13CF" w:rsidRPr="00502F0C">
              <w:rPr>
                <w:rStyle w:val="Hyperlink"/>
                <w:noProof/>
              </w:rPr>
              <w:t>Living Well</w:t>
            </w:r>
            <w:r w:rsidR="003A13CF">
              <w:rPr>
                <w:noProof/>
                <w:webHidden/>
              </w:rPr>
              <w:tab/>
            </w:r>
            <w:r w:rsidR="003A13CF">
              <w:rPr>
                <w:noProof/>
                <w:webHidden/>
              </w:rPr>
              <w:fldChar w:fldCharType="begin"/>
            </w:r>
            <w:r w:rsidR="003A13CF">
              <w:rPr>
                <w:noProof/>
                <w:webHidden/>
              </w:rPr>
              <w:instrText xml:space="preserve"> PAGEREF _Toc165423552 \h </w:instrText>
            </w:r>
            <w:r w:rsidR="003A13CF">
              <w:rPr>
                <w:noProof/>
                <w:webHidden/>
              </w:rPr>
            </w:r>
            <w:r w:rsidR="003A13CF">
              <w:rPr>
                <w:noProof/>
                <w:webHidden/>
              </w:rPr>
              <w:fldChar w:fldCharType="separate"/>
            </w:r>
            <w:r w:rsidR="003A13CF">
              <w:rPr>
                <w:noProof/>
                <w:webHidden/>
              </w:rPr>
              <w:t>5</w:t>
            </w:r>
            <w:r w:rsidR="003A13CF">
              <w:rPr>
                <w:noProof/>
                <w:webHidden/>
              </w:rPr>
              <w:fldChar w:fldCharType="end"/>
            </w:r>
          </w:hyperlink>
        </w:p>
        <w:p w14:paraId="3A1CB91B" w14:textId="7C93C712" w:rsidR="003A13CF" w:rsidRDefault="00000000">
          <w:pPr>
            <w:pStyle w:val="TOC2"/>
            <w:tabs>
              <w:tab w:val="right" w:leader="dot" w:pos="9016"/>
            </w:tabs>
            <w:rPr>
              <w:rFonts w:eastAsiaTheme="minorEastAsia"/>
              <w:noProof/>
              <w:sz w:val="24"/>
              <w:szCs w:val="24"/>
              <w:lang w:eastAsia="en-GB"/>
            </w:rPr>
          </w:pPr>
          <w:hyperlink w:anchor="_Toc165423553" w:history="1">
            <w:r w:rsidR="003A13CF" w:rsidRPr="00502F0C">
              <w:rPr>
                <w:rStyle w:val="Hyperlink"/>
                <w:noProof/>
              </w:rPr>
              <w:t>Falls and Prevention</w:t>
            </w:r>
            <w:r w:rsidR="003A13CF">
              <w:rPr>
                <w:noProof/>
                <w:webHidden/>
              </w:rPr>
              <w:tab/>
            </w:r>
            <w:r w:rsidR="003A13CF">
              <w:rPr>
                <w:noProof/>
                <w:webHidden/>
              </w:rPr>
              <w:fldChar w:fldCharType="begin"/>
            </w:r>
            <w:r w:rsidR="003A13CF">
              <w:rPr>
                <w:noProof/>
                <w:webHidden/>
              </w:rPr>
              <w:instrText xml:space="preserve"> PAGEREF _Toc165423553 \h </w:instrText>
            </w:r>
            <w:r w:rsidR="003A13CF">
              <w:rPr>
                <w:noProof/>
                <w:webHidden/>
              </w:rPr>
            </w:r>
            <w:r w:rsidR="003A13CF">
              <w:rPr>
                <w:noProof/>
                <w:webHidden/>
              </w:rPr>
              <w:fldChar w:fldCharType="separate"/>
            </w:r>
            <w:r w:rsidR="003A13CF">
              <w:rPr>
                <w:noProof/>
                <w:webHidden/>
              </w:rPr>
              <w:t>6</w:t>
            </w:r>
            <w:r w:rsidR="003A13CF">
              <w:rPr>
                <w:noProof/>
                <w:webHidden/>
              </w:rPr>
              <w:fldChar w:fldCharType="end"/>
            </w:r>
          </w:hyperlink>
        </w:p>
        <w:p w14:paraId="7AF61985" w14:textId="7E3B32CA" w:rsidR="003A13CF" w:rsidRDefault="00000000">
          <w:pPr>
            <w:pStyle w:val="TOC2"/>
            <w:tabs>
              <w:tab w:val="right" w:leader="dot" w:pos="9016"/>
            </w:tabs>
            <w:rPr>
              <w:rFonts w:eastAsiaTheme="minorEastAsia"/>
              <w:noProof/>
              <w:sz w:val="24"/>
              <w:szCs w:val="24"/>
              <w:lang w:eastAsia="en-GB"/>
            </w:rPr>
          </w:pPr>
          <w:hyperlink w:anchor="_Toc165423554" w:history="1">
            <w:r w:rsidR="003A13CF" w:rsidRPr="00502F0C">
              <w:rPr>
                <w:rStyle w:val="Hyperlink"/>
                <w:noProof/>
              </w:rPr>
              <w:t>Recommendations</w:t>
            </w:r>
            <w:r w:rsidR="003A13CF">
              <w:rPr>
                <w:noProof/>
                <w:webHidden/>
              </w:rPr>
              <w:tab/>
            </w:r>
            <w:r w:rsidR="003A13CF">
              <w:rPr>
                <w:noProof/>
                <w:webHidden/>
              </w:rPr>
              <w:fldChar w:fldCharType="begin"/>
            </w:r>
            <w:r w:rsidR="003A13CF">
              <w:rPr>
                <w:noProof/>
                <w:webHidden/>
              </w:rPr>
              <w:instrText xml:space="preserve"> PAGEREF _Toc165423554 \h </w:instrText>
            </w:r>
            <w:r w:rsidR="003A13CF">
              <w:rPr>
                <w:noProof/>
                <w:webHidden/>
              </w:rPr>
            </w:r>
            <w:r w:rsidR="003A13CF">
              <w:rPr>
                <w:noProof/>
                <w:webHidden/>
              </w:rPr>
              <w:fldChar w:fldCharType="separate"/>
            </w:r>
            <w:r w:rsidR="003A13CF">
              <w:rPr>
                <w:noProof/>
                <w:webHidden/>
              </w:rPr>
              <w:t>9</w:t>
            </w:r>
            <w:r w:rsidR="003A13CF">
              <w:rPr>
                <w:noProof/>
                <w:webHidden/>
              </w:rPr>
              <w:fldChar w:fldCharType="end"/>
            </w:r>
          </w:hyperlink>
        </w:p>
        <w:p w14:paraId="4E3E05EA" w14:textId="4329D7DB" w:rsidR="003A13CF" w:rsidRDefault="00000000">
          <w:pPr>
            <w:pStyle w:val="TOC2"/>
            <w:tabs>
              <w:tab w:val="right" w:leader="dot" w:pos="9016"/>
            </w:tabs>
            <w:rPr>
              <w:rFonts w:eastAsiaTheme="minorEastAsia"/>
              <w:noProof/>
              <w:sz w:val="24"/>
              <w:szCs w:val="24"/>
              <w:lang w:eastAsia="en-GB"/>
            </w:rPr>
          </w:pPr>
          <w:hyperlink w:anchor="_Toc165423555" w:history="1">
            <w:r w:rsidR="003A13CF" w:rsidRPr="00502F0C">
              <w:rPr>
                <w:rStyle w:val="Hyperlink"/>
                <w:noProof/>
              </w:rPr>
              <w:t>Conclusion</w:t>
            </w:r>
            <w:r w:rsidR="003A13CF">
              <w:rPr>
                <w:noProof/>
                <w:webHidden/>
              </w:rPr>
              <w:tab/>
            </w:r>
            <w:r w:rsidR="003A13CF">
              <w:rPr>
                <w:noProof/>
                <w:webHidden/>
              </w:rPr>
              <w:fldChar w:fldCharType="begin"/>
            </w:r>
            <w:r w:rsidR="003A13CF">
              <w:rPr>
                <w:noProof/>
                <w:webHidden/>
              </w:rPr>
              <w:instrText xml:space="preserve"> PAGEREF _Toc165423555 \h </w:instrText>
            </w:r>
            <w:r w:rsidR="003A13CF">
              <w:rPr>
                <w:noProof/>
                <w:webHidden/>
              </w:rPr>
            </w:r>
            <w:r w:rsidR="003A13CF">
              <w:rPr>
                <w:noProof/>
                <w:webHidden/>
              </w:rPr>
              <w:fldChar w:fldCharType="separate"/>
            </w:r>
            <w:r w:rsidR="003A13CF">
              <w:rPr>
                <w:noProof/>
                <w:webHidden/>
              </w:rPr>
              <w:t>10</w:t>
            </w:r>
            <w:r w:rsidR="003A13CF">
              <w:rPr>
                <w:noProof/>
                <w:webHidden/>
              </w:rPr>
              <w:fldChar w:fldCharType="end"/>
            </w:r>
          </w:hyperlink>
        </w:p>
        <w:p w14:paraId="3C75D2ED" w14:textId="03A81DF2" w:rsidR="003A13CF" w:rsidRDefault="00000000">
          <w:pPr>
            <w:pStyle w:val="TOC2"/>
            <w:tabs>
              <w:tab w:val="right" w:leader="dot" w:pos="9016"/>
            </w:tabs>
            <w:rPr>
              <w:rFonts w:eastAsiaTheme="minorEastAsia"/>
              <w:noProof/>
              <w:sz w:val="24"/>
              <w:szCs w:val="24"/>
              <w:lang w:eastAsia="en-GB"/>
            </w:rPr>
          </w:pPr>
          <w:hyperlink w:anchor="_Toc165423556" w:history="1">
            <w:r w:rsidR="003A13CF" w:rsidRPr="00502F0C">
              <w:rPr>
                <w:rStyle w:val="Hyperlink"/>
                <w:noProof/>
              </w:rPr>
              <w:t>Reference List</w:t>
            </w:r>
            <w:r w:rsidR="003A13CF">
              <w:rPr>
                <w:noProof/>
                <w:webHidden/>
              </w:rPr>
              <w:tab/>
            </w:r>
            <w:r w:rsidR="003A13CF">
              <w:rPr>
                <w:noProof/>
                <w:webHidden/>
              </w:rPr>
              <w:fldChar w:fldCharType="begin"/>
            </w:r>
            <w:r w:rsidR="003A13CF">
              <w:rPr>
                <w:noProof/>
                <w:webHidden/>
              </w:rPr>
              <w:instrText xml:space="preserve"> PAGEREF _Toc165423556 \h </w:instrText>
            </w:r>
            <w:r w:rsidR="003A13CF">
              <w:rPr>
                <w:noProof/>
                <w:webHidden/>
              </w:rPr>
            </w:r>
            <w:r w:rsidR="003A13CF">
              <w:rPr>
                <w:noProof/>
                <w:webHidden/>
              </w:rPr>
              <w:fldChar w:fldCharType="separate"/>
            </w:r>
            <w:r w:rsidR="003A13CF">
              <w:rPr>
                <w:noProof/>
                <w:webHidden/>
              </w:rPr>
              <w:t>11</w:t>
            </w:r>
            <w:r w:rsidR="003A13CF">
              <w:rPr>
                <w:noProof/>
                <w:webHidden/>
              </w:rPr>
              <w:fldChar w:fldCharType="end"/>
            </w:r>
          </w:hyperlink>
        </w:p>
        <w:p w14:paraId="0C6B9B8B" w14:textId="0F299DAD" w:rsidR="00473DB4" w:rsidRDefault="00473DB4">
          <w:r>
            <w:rPr>
              <w:b/>
              <w:bCs/>
            </w:rPr>
            <w:fldChar w:fldCharType="end"/>
          </w:r>
        </w:p>
      </w:sdtContent>
    </w:sdt>
    <w:p w14:paraId="636CA5EF" w14:textId="77777777" w:rsidR="00543274" w:rsidRDefault="00543274" w:rsidP="00473DB4">
      <w:pPr>
        <w:rPr>
          <w:rFonts w:ascii="Times New Roman" w:hAnsi="Times New Roman" w:cs="Times New Roman"/>
        </w:rPr>
      </w:pPr>
    </w:p>
    <w:p w14:paraId="1A6489EF" w14:textId="77777777" w:rsidR="00543274" w:rsidRDefault="00543274" w:rsidP="00543274">
      <w:pPr>
        <w:jc w:val="center"/>
        <w:rPr>
          <w:rFonts w:ascii="Times New Roman" w:hAnsi="Times New Roman" w:cs="Times New Roman"/>
        </w:rPr>
      </w:pPr>
    </w:p>
    <w:p w14:paraId="5C7291F5" w14:textId="77777777" w:rsidR="00543274" w:rsidRDefault="00543274" w:rsidP="00543274">
      <w:pPr>
        <w:jc w:val="center"/>
        <w:rPr>
          <w:rFonts w:ascii="Times New Roman" w:hAnsi="Times New Roman" w:cs="Times New Roman"/>
        </w:rPr>
      </w:pPr>
    </w:p>
    <w:p w14:paraId="32C2EB4E" w14:textId="77777777" w:rsidR="00543274" w:rsidRDefault="00543274" w:rsidP="00543274">
      <w:pPr>
        <w:jc w:val="center"/>
        <w:rPr>
          <w:rFonts w:ascii="Times New Roman" w:hAnsi="Times New Roman" w:cs="Times New Roman"/>
        </w:rPr>
      </w:pPr>
    </w:p>
    <w:p w14:paraId="2C1AB684" w14:textId="77777777" w:rsidR="00543274" w:rsidRDefault="00543274" w:rsidP="00543274">
      <w:pPr>
        <w:jc w:val="center"/>
        <w:rPr>
          <w:rFonts w:ascii="Times New Roman" w:hAnsi="Times New Roman" w:cs="Times New Roman"/>
        </w:rPr>
      </w:pPr>
    </w:p>
    <w:p w14:paraId="702EACD5" w14:textId="77777777" w:rsidR="00543274" w:rsidRDefault="00543274" w:rsidP="00543274">
      <w:pPr>
        <w:jc w:val="center"/>
        <w:rPr>
          <w:rFonts w:ascii="Times New Roman" w:hAnsi="Times New Roman" w:cs="Times New Roman"/>
        </w:rPr>
      </w:pPr>
    </w:p>
    <w:p w14:paraId="7EF27F2C" w14:textId="77777777" w:rsidR="00543274" w:rsidRDefault="00543274" w:rsidP="00543274">
      <w:pPr>
        <w:jc w:val="center"/>
        <w:rPr>
          <w:rFonts w:ascii="Times New Roman" w:hAnsi="Times New Roman" w:cs="Times New Roman"/>
        </w:rPr>
      </w:pPr>
    </w:p>
    <w:p w14:paraId="4CC5EACF" w14:textId="77777777" w:rsidR="00543274" w:rsidRDefault="00543274" w:rsidP="00543274">
      <w:pPr>
        <w:jc w:val="center"/>
        <w:rPr>
          <w:rFonts w:ascii="Times New Roman" w:hAnsi="Times New Roman" w:cs="Times New Roman"/>
        </w:rPr>
      </w:pPr>
    </w:p>
    <w:p w14:paraId="7B278CCE" w14:textId="77777777" w:rsidR="00543274" w:rsidRDefault="00543274" w:rsidP="00543274">
      <w:pPr>
        <w:jc w:val="center"/>
        <w:rPr>
          <w:rFonts w:ascii="Times New Roman" w:hAnsi="Times New Roman" w:cs="Times New Roman"/>
        </w:rPr>
      </w:pPr>
    </w:p>
    <w:p w14:paraId="56759550" w14:textId="77777777" w:rsidR="00543274" w:rsidRDefault="00543274" w:rsidP="00543274">
      <w:pPr>
        <w:jc w:val="center"/>
        <w:rPr>
          <w:rFonts w:ascii="Times New Roman" w:hAnsi="Times New Roman" w:cs="Times New Roman"/>
        </w:rPr>
      </w:pPr>
    </w:p>
    <w:p w14:paraId="7E7A5407" w14:textId="77777777" w:rsidR="00543274" w:rsidRDefault="00543274" w:rsidP="00543274">
      <w:pPr>
        <w:jc w:val="center"/>
        <w:rPr>
          <w:rFonts w:ascii="Times New Roman" w:hAnsi="Times New Roman" w:cs="Times New Roman"/>
        </w:rPr>
      </w:pPr>
    </w:p>
    <w:p w14:paraId="4E248C41" w14:textId="77777777" w:rsidR="00543274" w:rsidRDefault="00543274" w:rsidP="00543274">
      <w:pPr>
        <w:jc w:val="center"/>
        <w:rPr>
          <w:rFonts w:ascii="Times New Roman" w:hAnsi="Times New Roman" w:cs="Times New Roman"/>
        </w:rPr>
      </w:pPr>
    </w:p>
    <w:p w14:paraId="1923BFC9" w14:textId="77777777" w:rsidR="00543274" w:rsidRDefault="00543274" w:rsidP="00543274">
      <w:pPr>
        <w:jc w:val="center"/>
        <w:rPr>
          <w:rFonts w:ascii="Times New Roman" w:hAnsi="Times New Roman" w:cs="Times New Roman"/>
        </w:rPr>
      </w:pPr>
    </w:p>
    <w:p w14:paraId="7A07771D" w14:textId="77777777" w:rsidR="00543274" w:rsidRDefault="00543274" w:rsidP="00543274">
      <w:pPr>
        <w:jc w:val="center"/>
        <w:rPr>
          <w:rFonts w:ascii="Times New Roman" w:hAnsi="Times New Roman" w:cs="Times New Roman"/>
        </w:rPr>
      </w:pPr>
    </w:p>
    <w:p w14:paraId="1B71F71F" w14:textId="77777777" w:rsidR="00543274" w:rsidRDefault="00543274" w:rsidP="00543274">
      <w:pPr>
        <w:jc w:val="center"/>
        <w:rPr>
          <w:rFonts w:ascii="Times New Roman" w:hAnsi="Times New Roman" w:cs="Times New Roman"/>
        </w:rPr>
      </w:pPr>
    </w:p>
    <w:p w14:paraId="7F1C4BA5" w14:textId="77777777" w:rsidR="00543274" w:rsidRDefault="00543274" w:rsidP="00543274">
      <w:pPr>
        <w:jc w:val="center"/>
        <w:rPr>
          <w:rFonts w:ascii="Times New Roman" w:hAnsi="Times New Roman" w:cs="Times New Roman"/>
        </w:rPr>
      </w:pPr>
    </w:p>
    <w:p w14:paraId="3515E7EA" w14:textId="77777777" w:rsidR="00543274" w:rsidRDefault="00543274" w:rsidP="00543274">
      <w:pPr>
        <w:jc w:val="center"/>
        <w:rPr>
          <w:rFonts w:ascii="Times New Roman" w:hAnsi="Times New Roman" w:cs="Times New Roman"/>
        </w:rPr>
      </w:pPr>
    </w:p>
    <w:p w14:paraId="4C50A905" w14:textId="77777777" w:rsidR="00543274" w:rsidRDefault="00543274" w:rsidP="00543274">
      <w:pPr>
        <w:jc w:val="center"/>
        <w:rPr>
          <w:rFonts w:ascii="Times New Roman" w:hAnsi="Times New Roman" w:cs="Times New Roman"/>
        </w:rPr>
      </w:pPr>
    </w:p>
    <w:p w14:paraId="02A7078D" w14:textId="77777777" w:rsidR="00543274" w:rsidRDefault="00543274" w:rsidP="00543274">
      <w:pPr>
        <w:jc w:val="center"/>
        <w:rPr>
          <w:rFonts w:ascii="Times New Roman" w:hAnsi="Times New Roman" w:cs="Times New Roman"/>
        </w:rPr>
      </w:pPr>
    </w:p>
    <w:p w14:paraId="1C3E906D" w14:textId="77777777" w:rsidR="00543274" w:rsidRDefault="00543274" w:rsidP="00543274">
      <w:pPr>
        <w:jc w:val="center"/>
        <w:rPr>
          <w:rFonts w:ascii="Times New Roman" w:hAnsi="Times New Roman" w:cs="Times New Roman"/>
        </w:rPr>
      </w:pPr>
    </w:p>
    <w:p w14:paraId="12D3CEE5" w14:textId="77777777" w:rsidR="00543274" w:rsidRDefault="00543274" w:rsidP="00543274">
      <w:pPr>
        <w:jc w:val="center"/>
        <w:rPr>
          <w:rFonts w:ascii="Times New Roman" w:hAnsi="Times New Roman" w:cs="Times New Roman"/>
        </w:rPr>
      </w:pPr>
    </w:p>
    <w:p w14:paraId="4FF63B21" w14:textId="77777777" w:rsidR="00543274" w:rsidRDefault="00543274" w:rsidP="00543274">
      <w:pPr>
        <w:jc w:val="center"/>
        <w:rPr>
          <w:rFonts w:ascii="Times New Roman" w:hAnsi="Times New Roman" w:cs="Times New Roman"/>
        </w:rPr>
      </w:pPr>
    </w:p>
    <w:p w14:paraId="2A751687" w14:textId="77777777" w:rsidR="00543274" w:rsidRDefault="00543274" w:rsidP="00543274">
      <w:pPr>
        <w:jc w:val="center"/>
        <w:rPr>
          <w:rFonts w:ascii="Times New Roman" w:hAnsi="Times New Roman" w:cs="Times New Roman"/>
        </w:rPr>
      </w:pPr>
    </w:p>
    <w:p w14:paraId="55458EC7" w14:textId="4E284CB4" w:rsidR="00543274" w:rsidRDefault="00543274" w:rsidP="00543274">
      <w:pPr>
        <w:pStyle w:val="NoSpacing"/>
        <w:spacing w:line="360" w:lineRule="auto"/>
        <w:rPr>
          <w:rFonts w:ascii="Times New Roman" w:hAnsi="Times New Roman" w:cs="Times New Roman"/>
          <w:sz w:val="24"/>
          <w:szCs w:val="24"/>
        </w:rPr>
      </w:pPr>
      <w:bookmarkStart w:id="0" w:name="_Toc165423549"/>
      <w:r w:rsidRPr="00BF4388">
        <w:rPr>
          <w:rStyle w:val="Heading2Char"/>
        </w:rPr>
        <w:t>Abstract</w:t>
      </w:r>
      <w:bookmarkEnd w:id="0"/>
      <w:r>
        <w:rPr>
          <w:rFonts w:ascii="Times New Roman" w:hAnsi="Times New Roman" w:cs="Times New Roman"/>
          <w:sz w:val="24"/>
          <w:szCs w:val="24"/>
        </w:rPr>
        <w:br/>
      </w:r>
      <w:r>
        <w:rPr>
          <w:rFonts w:ascii="Times New Roman" w:hAnsi="Times New Roman" w:cs="Times New Roman"/>
          <w:sz w:val="24"/>
          <w:szCs w:val="24"/>
        </w:rPr>
        <w:br/>
      </w:r>
      <w:r w:rsidR="002F6285" w:rsidRPr="002F6285">
        <w:rPr>
          <w:rFonts w:ascii="Times New Roman" w:hAnsi="Times New Roman" w:cs="Times New Roman"/>
          <w:sz w:val="24"/>
          <w:szCs w:val="24"/>
        </w:rPr>
        <w:t xml:space="preserve">As people age, maintaining independence and freedom becomes crucial. Falls are a major issue among older adults, affecting their physical and emotional well-being. This report focuses on the importance of living well in later life, </w:t>
      </w:r>
      <w:r w:rsidR="00F61F44">
        <w:rPr>
          <w:rFonts w:ascii="Times New Roman" w:hAnsi="Times New Roman" w:cs="Times New Roman"/>
          <w:sz w:val="24"/>
          <w:szCs w:val="24"/>
        </w:rPr>
        <w:t>emphasising</w:t>
      </w:r>
      <w:r w:rsidR="002F6285" w:rsidRPr="002F6285">
        <w:rPr>
          <w:rFonts w:ascii="Times New Roman" w:hAnsi="Times New Roman" w:cs="Times New Roman"/>
          <w:sz w:val="24"/>
          <w:szCs w:val="24"/>
        </w:rPr>
        <w:t xml:space="preserve"> </w:t>
      </w:r>
      <w:r w:rsidR="002F6285">
        <w:rPr>
          <w:rFonts w:ascii="Times New Roman" w:hAnsi="Times New Roman" w:cs="Times New Roman"/>
          <w:sz w:val="24"/>
          <w:szCs w:val="24"/>
        </w:rPr>
        <w:t>fall</w:t>
      </w:r>
      <w:r w:rsidR="002F6285" w:rsidRPr="002F6285">
        <w:rPr>
          <w:rFonts w:ascii="Times New Roman" w:hAnsi="Times New Roman" w:cs="Times New Roman"/>
          <w:sz w:val="24"/>
          <w:szCs w:val="24"/>
        </w:rPr>
        <w:t xml:space="preserve"> prevention. It highlights the risks and potential consequences of falls</w:t>
      </w:r>
      <w:r w:rsidR="00F61F44">
        <w:rPr>
          <w:rFonts w:ascii="Times New Roman" w:hAnsi="Times New Roman" w:cs="Times New Roman"/>
          <w:sz w:val="24"/>
          <w:szCs w:val="24"/>
        </w:rPr>
        <w:t xml:space="preserve"> and</w:t>
      </w:r>
      <w:r w:rsidR="002F6285" w:rsidRPr="002F6285">
        <w:rPr>
          <w:rFonts w:ascii="Times New Roman" w:hAnsi="Times New Roman" w:cs="Times New Roman"/>
          <w:sz w:val="24"/>
          <w:szCs w:val="24"/>
        </w:rPr>
        <w:t xml:space="preserve"> interventions to </w:t>
      </w:r>
      <w:r w:rsidR="00F61F44">
        <w:rPr>
          <w:rFonts w:ascii="Times New Roman" w:hAnsi="Times New Roman" w:cs="Times New Roman"/>
          <w:sz w:val="24"/>
          <w:szCs w:val="24"/>
        </w:rPr>
        <w:t>minimise</w:t>
      </w:r>
      <w:r w:rsidR="002F6285" w:rsidRPr="002F6285">
        <w:rPr>
          <w:rFonts w:ascii="Times New Roman" w:hAnsi="Times New Roman" w:cs="Times New Roman"/>
          <w:sz w:val="24"/>
          <w:szCs w:val="24"/>
        </w:rPr>
        <w:t xml:space="preserve"> the risk. Proactive measures can promote the well-being of older individuals and maintain their independence.</w:t>
      </w:r>
    </w:p>
    <w:p w14:paraId="2F4A143D" w14:textId="77777777" w:rsidR="00543274" w:rsidRDefault="00543274" w:rsidP="00543274">
      <w:pPr>
        <w:pStyle w:val="NoSpacing"/>
        <w:spacing w:line="360" w:lineRule="auto"/>
        <w:rPr>
          <w:rFonts w:ascii="Times New Roman" w:hAnsi="Times New Roman" w:cs="Times New Roman"/>
          <w:sz w:val="24"/>
          <w:szCs w:val="24"/>
        </w:rPr>
      </w:pPr>
    </w:p>
    <w:p w14:paraId="6EFD2199" w14:textId="77777777" w:rsidR="00543274" w:rsidRDefault="00543274" w:rsidP="00543274">
      <w:pPr>
        <w:pStyle w:val="NoSpacing"/>
        <w:spacing w:line="360" w:lineRule="auto"/>
        <w:rPr>
          <w:rFonts w:ascii="Times New Roman" w:hAnsi="Times New Roman" w:cs="Times New Roman"/>
          <w:sz w:val="24"/>
          <w:szCs w:val="24"/>
        </w:rPr>
      </w:pPr>
    </w:p>
    <w:p w14:paraId="7042E10B" w14:textId="77777777" w:rsidR="00543274" w:rsidRDefault="00543274" w:rsidP="00543274">
      <w:pPr>
        <w:pStyle w:val="NoSpacing"/>
        <w:spacing w:line="360" w:lineRule="auto"/>
        <w:rPr>
          <w:rFonts w:ascii="Times New Roman" w:hAnsi="Times New Roman" w:cs="Times New Roman"/>
          <w:sz w:val="24"/>
          <w:szCs w:val="24"/>
        </w:rPr>
      </w:pPr>
    </w:p>
    <w:p w14:paraId="7F2BF2F6" w14:textId="77777777" w:rsidR="00543274" w:rsidRDefault="00543274" w:rsidP="00543274">
      <w:pPr>
        <w:pStyle w:val="NoSpacing"/>
        <w:spacing w:line="360" w:lineRule="auto"/>
        <w:rPr>
          <w:rFonts w:ascii="Times New Roman" w:hAnsi="Times New Roman" w:cs="Times New Roman"/>
          <w:sz w:val="24"/>
          <w:szCs w:val="24"/>
        </w:rPr>
      </w:pPr>
    </w:p>
    <w:p w14:paraId="3BA0A4B7" w14:textId="77777777" w:rsidR="00543274" w:rsidRDefault="00543274" w:rsidP="00543274">
      <w:pPr>
        <w:pStyle w:val="NoSpacing"/>
        <w:spacing w:line="360" w:lineRule="auto"/>
        <w:rPr>
          <w:rFonts w:ascii="Times New Roman" w:hAnsi="Times New Roman" w:cs="Times New Roman"/>
          <w:sz w:val="24"/>
          <w:szCs w:val="24"/>
        </w:rPr>
      </w:pPr>
    </w:p>
    <w:p w14:paraId="39956A7D" w14:textId="77777777" w:rsidR="00543274" w:rsidRDefault="00543274" w:rsidP="00543274">
      <w:pPr>
        <w:pStyle w:val="NoSpacing"/>
        <w:spacing w:line="360" w:lineRule="auto"/>
        <w:rPr>
          <w:rFonts w:ascii="Times New Roman" w:hAnsi="Times New Roman" w:cs="Times New Roman"/>
          <w:sz w:val="24"/>
          <w:szCs w:val="24"/>
        </w:rPr>
      </w:pPr>
    </w:p>
    <w:p w14:paraId="3E79C3DE" w14:textId="77777777" w:rsidR="00543274" w:rsidRDefault="00543274" w:rsidP="00543274">
      <w:pPr>
        <w:pStyle w:val="NoSpacing"/>
        <w:spacing w:line="360" w:lineRule="auto"/>
        <w:rPr>
          <w:rFonts w:ascii="Times New Roman" w:hAnsi="Times New Roman" w:cs="Times New Roman"/>
          <w:sz w:val="24"/>
          <w:szCs w:val="24"/>
        </w:rPr>
      </w:pPr>
    </w:p>
    <w:p w14:paraId="40254DC4" w14:textId="77777777" w:rsidR="00543274" w:rsidRDefault="00543274" w:rsidP="00543274">
      <w:pPr>
        <w:pStyle w:val="NoSpacing"/>
        <w:spacing w:line="360" w:lineRule="auto"/>
        <w:rPr>
          <w:rFonts w:ascii="Times New Roman" w:hAnsi="Times New Roman" w:cs="Times New Roman"/>
          <w:sz w:val="24"/>
          <w:szCs w:val="24"/>
        </w:rPr>
      </w:pPr>
    </w:p>
    <w:p w14:paraId="19C0ED5E" w14:textId="77777777" w:rsidR="00543274" w:rsidRDefault="00543274" w:rsidP="00543274">
      <w:pPr>
        <w:pStyle w:val="NoSpacing"/>
        <w:spacing w:line="360" w:lineRule="auto"/>
        <w:rPr>
          <w:rFonts w:ascii="Times New Roman" w:hAnsi="Times New Roman" w:cs="Times New Roman"/>
          <w:sz w:val="24"/>
          <w:szCs w:val="24"/>
        </w:rPr>
      </w:pPr>
    </w:p>
    <w:p w14:paraId="68E0DD85" w14:textId="77777777" w:rsidR="00543274" w:rsidRDefault="00543274" w:rsidP="00543274">
      <w:pPr>
        <w:pStyle w:val="NoSpacing"/>
        <w:spacing w:line="360" w:lineRule="auto"/>
        <w:rPr>
          <w:rFonts w:ascii="Times New Roman" w:hAnsi="Times New Roman" w:cs="Times New Roman"/>
          <w:sz w:val="24"/>
          <w:szCs w:val="24"/>
        </w:rPr>
      </w:pPr>
    </w:p>
    <w:p w14:paraId="1308B5B5" w14:textId="77777777" w:rsidR="00543274" w:rsidRDefault="00543274" w:rsidP="00543274">
      <w:pPr>
        <w:pStyle w:val="NoSpacing"/>
        <w:spacing w:line="360" w:lineRule="auto"/>
        <w:rPr>
          <w:rFonts w:ascii="Times New Roman" w:hAnsi="Times New Roman" w:cs="Times New Roman"/>
          <w:sz w:val="24"/>
          <w:szCs w:val="24"/>
        </w:rPr>
      </w:pPr>
    </w:p>
    <w:p w14:paraId="4AF1FD24" w14:textId="77777777" w:rsidR="00543274" w:rsidRDefault="00543274" w:rsidP="00543274">
      <w:pPr>
        <w:pStyle w:val="NoSpacing"/>
        <w:spacing w:line="360" w:lineRule="auto"/>
        <w:rPr>
          <w:rFonts w:ascii="Times New Roman" w:hAnsi="Times New Roman" w:cs="Times New Roman"/>
          <w:sz w:val="24"/>
          <w:szCs w:val="24"/>
        </w:rPr>
      </w:pPr>
    </w:p>
    <w:p w14:paraId="6A935F9B" w14:textId="77777777" w:rsidR="00543274" w:rsidRDefault="00543274" w:rsidP="00543274">
      <w:pPr>
        <w:pStyle w:val="NoSpacing"/>
        <w:spacing w:line="360" w:lineRule="auto"/>
        <w:rPr>
          <w:rFonts w:ascii="Times New Roman" w:hAnsi="Times New Roman" w:cs="Times New Roman"/>
          <w:sz w:val="24"/>
          <w:szCs w:val="24"/>
        </w:rPr>
      </w:pPr>
    </w:p>
    <w:p w14:paraId="33D51B3A" w14:textId="77777777" w:rsidR="00543274" w:rsidRDefault="00543274" w:rsidP="00543274">
      <w:pPr>
        <w:pStyle w:val="NoSpacing"/>
        <w:spacing w:line="360" w:lineRule="auto"/>
        <w:rPr>
          <w:rFonts w:ascii="Times New Roman" w:hAnsi="Times New Roman" w:cs="Times New Roman"/>
          <w:sz w:val="24"/>
          <w:szCs w:val="24"/>
        </w:rPr>
      </w:pPr>
    </w:p>
    <w:p w14:paraId="517DC8C8" w14:textId="77777777" w:rsidR="00543274" w:rsidRDefault="00543274" w:rsidP="00543274">
      <w:pPr>
        <w:pStyle w:val="NoSpacing"/>
        <w:spacing w:line="360" w:lineRule="auto"/>
        <w:rPr>
          <w:rFonts w:ascii="Times New Roman" w:hAnsi="Times New Roman" w:cs="Times New Roman"/>
          <w:sz w:val="24"/>
          <w:szCs w:val="24"/>
        </w:rPr>
      </w:pPr>
    </w:p>
    <w:p w14:paraId="64AEB288" w14:textId="77777777" w:rsidR="00543274" w:rsidRDefault="00543274" w:rsidP="00543274">
      <w:pPr>
        <w:pStyle w:val="NoSpacing"/>
        <w:spacing w:line="360" w:lineRule="auto"/>
        <w:rPr>
          <w:rFonts w:ascii="Times New Roman" w:hAnsi="Times New Roman" w:cs="Times New Roman"/>
          <w:sz w:val="24"/>
          <w:szCs w:val="24"/>
        </w:rPr>
      </w:pPr>
    </w:p>
    <w:p w14:paraId="3CCB8D8A" w14:textId="77777777" w:rsidR="00543274" w:rsidRDefault="00543274" w:rsidP="00543274">
      <w:pPr>
        <w:pStyle w:val="NoSpacing"/>
        <w:spacing w:line="360" w:lineRule="auto"/>
        <w:rPr>
          <w:rFonts w:ascii="Times New Roman" w:hAnsi="Times New Roman" w:cs="Times New Roman"/>
          <w:sz w:val="24"/>
          <w:szCs w:val="24"/>
        </w:rPr>
      </w:pPr>
    </w:p>
    <w:p w14:paraId="22EB0972" w14:textId="77777777" w:rsidR="00543274" w:rsidRDefault="00543274" w:rsidP="00543274">
      <w:pPr>
        <w:pStyle w:val="NoSpacing"/>
        <w:spacing w:line="360" w:lineRule="auto"/>
        <w:rPr>
          <w:rFonts w:ascii="Times New Roman" w:hAnsi="Times New Roman" w:cs="Times New Roman"/>
          <w:sz w:val="24"/>
          <w:szCs w:val="24"/>
        </w:rPr>
      </w:pPr>
    </w:p>
    <w:p w14:paraId="0B944AD3" w14:textId="77777777" w:rsidR="00543274" w:rsidRDefault="00543274" w:rsidP="00543274">
      <w:pPr>
        <w:pStyle w:val="NoSpacing"/>
        <w:spacing w:line="360" w:lineRule="auto"/>
        <w:rPr>
          <w:rFonts w:ascii="Times New Roman" w:hAnsi="Times New Roman" w:cs="Times New Roman"/>
          <w:sz w:val="24"/>
          <w:szCs w:val="24"/>
        </w:rPr>
      </w:pPr>
    </w:p>
    <w:p w14:paraId="598103F7" w14:textId="77777777" w:rsidR="00543274" w:rsidRDefault="00543274" w:rsidP="00543274">
      <w:pPr>
        <w:pStyle w:val="NoSpacing"/>
        <w:spacing w:line="360" w:lineRule="auto"/>
        <w:rPr>
          <w:rFonts w:ascii="Times New Roman" w:hAnsi="Times New Roman" w:cs="Times New Roman"/>
          <w:sz w:val="24"/>
          <w:szCs w:val="24"/>
        </w:rPr>
      </w:pPr>
    </w:p>
    <w:p w14:paraId="27848036" w14:textId="77777777" w:rsidR="00543274" w:rsidRDefault="00543274" w:rsidP="00543274">
      <w:pPr>
        <w:pStyle w:val="NoSpacing"/>
        <w:spacing w:line="360" w:lineRule="auto"/>
        <w:rPr>
          <w:rFonts w:ascii="Times New Roman" w:hAnsi="Times New Roman" w:cs="Times New Roman"/>
          <w:sz w:val="24"/>
          <w:szCs w:val="24"/>
        </w:rPr>
      </w:pPr>
    </w:p>
    <w:p w14:paraId="62FD95BB" w14:textId="77777777" w:rsidR="00543274" w:rsidRDefault="00543274" w:rsidP="00543274">
      <w:pPr>
        <w:pStyle w:val="NoSpacing"/>
        <w:spacing w:line="360" w:lineRule="auto"/>
        <w:rPr>
          <w:rFonts w:ascii="Times New Roman" w:hAnsi="Times New Roman" w:cs="Times New Roman"/>
          <w:sz w:val="24"/>
          <w:szCs w:val="24"/>
        </w:rPr>
      </w:pPr>
    </w:p>
    <w:p w14:paraId="18F46AB0" w14:textId="77777777" w:rsidR="00543274" w:rsidRPr="00B06BBA" w:rsidRDefault="00543274" w:rsidP="00543274">
      <w:pPr>
        <w:pStyle w:val="NoSpacing"/>
        <w:spacing w:line="360" w:lineRule="auto"/>
        <w:rPr>
          <w:rFonts w:ascii="Times New Roman" w:hAnsi="Times New Roman" w:cs="Times New Roman"/>
          <w:sz w:val="24"/>
          <w:szCs w:val="24"/>
        </w:rPr>
      </w:pPr>
    </w:p>
    <w:p w14:paraId="023E7BFC" w14:textId="77777777" w:rsidR="002F6285" w:rsidRDefault="002F6285" w:rsidP="002F6285">
      <w:pPr>
        <w:spacing w:line="360" w:lineRule="auto"/>
        <w:rPr>
          <w:rFonts w:ascii="Times New Roman" w:hAnsi="Times New Roman" w:cs="Times New Roman"/>
          <w:b/>
          <w:bCs/>
          <w:sz w:val="24"/>
          <w:szCs w:val="24"/>
        </w:rPr>
      </w:pPr>
    </w:p>
    <w:p w14:paraId="0A860FD4" w14:textId="0FB43F64" w:rsidR="00543274" w:rsidRPr="00543274" w:rsidRDefault="00543274" w:rsidP="002F6285">
      <w:pPr>
        <w:spacing w:line="360" w:lineRule="auto"/>
        <w:rPr>
          <w:rFonts w:ascii="Times New Roman" w:hAnsi="Times New Roman" w:cs="Times New Roman"/>
          <w:sz w:val="24"/>
          <w:szCs w:val="24"/>
        </w:rPr>
      </w:pPr>
      <w:bookmarkStart w:id="1" w:name="_Toc165423550"/>
      <w:r w:rsidRPr="00BF4388">
        <w:rPr>
          <w:rStyle w:val="Heading2Char"/>
        </w:rPr>
        <w:t>Introduction</w:t>
      </w:r>
      <w:bookmarkEnd w:id="1"/>
      <w:r w:rsidRPr="00543274">
        <w:rPr>
          <w:rFonts w:ascii="Times New Roman" w:hAnsi="Times New Roman" w:cs="Times New Roman"/>
          <w:sz w:val="24"/>
          <w:szCs w:val="24"/>
        </w:rPr>
        <w:br/>
      </w:r>
      <w:r w:rsidRPr="00543274">
        <w:rPr>
          <w:rFonts w:ascii="Times New Roman" w:hAnsi="Times New Roman" w:cs="Times New Roman"/>
          <w:sz w:val="24"/>
          <w:szCs w:val="24"/>
        </w:rPr>
        <w:br/>
      </w:r>
      <w:r w:rsidR="007472A5">
        <w:rPr>
          <w:rFonts w:ascii="Times New Roman" w:hAnsi="Times New Roman" w:cs="Times New Roman"/>
          <w:sz w:val="24"/>
          <w:szCs w:val="24"/>
        </w:rPr>
        <w:t>In an ageing population</w:t>
      </w:r>
      <w:r w:rsidR="002F6285" w:rsidRPr="002F6285">
        <w:rPr>
          <w:rFonts w:ascii="Times New Roman" w:hAnsi="Times New Roman" w:cs="Times New Roman"/>
          <w:sz w:val="24"/>
          <w:szCs w:val="24"/>
        </w:rPr>
        <w:t>, it is crucial to consider how older individuals can live well, and maintain their independence, freedom and ability to make choices</w:t>
      </w:r>
      <w:r w:rsidR="00EB224C">
        <w:rPr>
          <w:rFonts w:ascii="Times New Roman" w:hAnsi="Times New Roman" w:cs="Times New Roman"/>
          <w:sz w:val="24"/>
          <w:szCs w:val="24"/>
        </w:rPr>
        <w:t xml:space="preserve"> (Lopez-Hartmann </w:t>
      </w:r>
      <w:r w:rsidR="00EB224C" w:rsidRPr="00EB224C">
        <w:rPr>
          <w:rFonts w:ascii="Times New Roman" w:hAnsi="Times New Roman" w:cs="Times New Roman"/>
          <w:i/>
          <w:iCs/>
          <w:sz w:val="24"/>
          <w:szCs w:val="24"/>
        </w:rPr>
        <w:t>et al</w:t>
      </w:r>
      <w:r w:rsidR="00EB224C">
        <w:rPr>
          <w:rFonts w:ascii="Times New Roman" w:hAnsi="Times New Roman" w:cs="Times New Roman"/>
          <w:sz w:val="24"/>
          <w:szCs w:val="24"/>
        </w:rPr>
        <w:t xml:space="preserve">., 2021).  </w:t>
      </w:r>
      <w:r w:rsidR="002F6285" w:rsidRPr="002F6285">
        <w:rPr>
          <w:rFonts w:ascii="Times New Roman" w:hAnsi="Times New Roman" w:cs="Times New Roman"/>
          <w:sz w:val="24"/>
          <w:szCs w:val="24"/>
        </w:rPr>
        <w:t>Ageing is a natural process yet can be challenging in many aspects</w:t>
      </w:r>
      <w:r w:rsidR="00EB224C">
        <w:rPr>
          <w:rFonts w:ascii="Times New Roman" w:hAnsi="Times New Roman" w:cs="Times New Roman"/>
          <w:sz w:val="24"/>
          <w:szCs w:val="24"/>
        </w:rPr>
        <w:t>, as p</w:t>
      </w:r>
      <w:r w:rsidR="002F6285" w:rsidRPr="002F6285">
        <w:rPr>
          <w:rFonts w:ascii="Times New Roman" w:hAnsi="Times New Roman" w:cs="Times New Roman"/>
          <w:sz w:val="24"/>
          <w:szCs w:val="24"/>
        </w:rPr>
        <w:t>hysically, falls are responsible for a significant number of injuries among the older population and play a part in damaging their emotional and mental well-being</w:t>
      </w:r>
      <w:r w:rsidR="00BF4388">
        <w:rPr>
          <w:rFonts w:ascii="Times New Roman" w:hAnsi="Times New Roman" w:cs="Times New Roman"/>
          <w:sz w:val="24"/>
          <w:szCs w:val="24"/>
        </w:rPr>
        <w:t xml:space="preserve"> (Vaishya and Vaish, 2020)</w:t>
      </w:r>
      <w:r w:rsidR="002F6285" w:rsidRPr="002F6285">
        <w:rPr>
          <w:rFonts w:ascii="Times New Roman" w:hAnsi="Times New Roman" w:cs="Times New Roman"/>
          <w:sz w:val="24"/>
          <w:szCs w:val="24"/>
        </w:rPr>
        <w:t xml:space="preserve">.  This report explores the importance of living well as an older person, with a particular emphasis on falls and prevention methods.  By examining the latest research, this paper highlights the risks associated with falls among older adults, the potential consequences of such injuries, and the interventions that can be implemented to </w:t>
      </w:r>
      <w:r w:rsidR="007472A5">
        <w:rPr>
          <w:rFonts w:ascii="Times New Roman" w:hAnsi="Times New Roman" w:cs="Times New Roman"/>
          <w:sz w:val="24"/>
          <w:szCs w:val="24"/>
        </w:rPr>
        <w:t>minimise</w:t>
      </w:r>
      <w:r w:rsidR="002F6285" w:rsidRPr="002F6285">
        <w:rPr>
          <w:rFonts w:ascii="Times New Roman" w:hAnsi="Times New Roman" w:cs="Times New Roman"/>
          <w:sz w:val="24"/>
          <w:szCs w:val="24"/>
        </w:rPr>
        <w:t xml:space="preserve"> the risk of falling.  Overall, this paper emphasizes the importance of proactive measures to promote the well-being of older individuals and maintain their independence in later life.</w:t>
      </w:r>
    </w:p>
    <w:p w14:paraId="59AE639D" w14:textId="77777777" w:rsidR="00543274" w:rsidRDefault="00543274" w:rsidP="00543274">
      <w:pPr>
        <w:rPr>
          <w:rFonts w:ascii="Times New Roman" w:hAnsi="Times New Roman" w:cs="Times New Roman"/>
        </w:rPr>
      </w:pPr>
    </w:p>
    <w:p w14:paraId="67BB861A" w14:textId="051D17FF" w:rsidR="00543274" w:rsidRPr="00543274" w:rsidRDefault="00543274" w:rsidP="00BF4388">
      <w:pPr>
        <w:pStyle w:val="Heading2"/>
      </w:pPr>
      <w:bookmarkStart w:id="2" w:name="_Toc165423551"/>
      <w:r w:rsidRPr="00543274">
        <w:t>An Ageing Population</w:t>
      </w:r>
      <w:bookmarkEnd w:id="2"/>
    </w:p>
    <w:p w14:paraId="170634CB" w14:textId="3A785C63" w:rsidR="00543274" w:rsidRPr="00E25F50"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br/>
      </w:r>
      <w:r w:rsidRPr="00E25F50">
        <w:rPr>
          <w:rFonts w:ascii="Times New Roman" w:hAnsi="Times New Roman" w:cs="Times New Roman"/>
          <w:sz w:val="24"/>
          <w:szCs w:val="24"/>
        </w:rPr>
        <w:t>The Older People’s Commissioner for Wales (2022) brings forth evidence that the population of the United Kingdom is getting older and predicts this trend will continue to grow, specifically, in Wales it is estimated that 31% of the population will be over the age of 60 by 2031</w:t>
      </w:r>
      <w:r w:rsidR="009267E7">
        <w:rPr>
          <w:rFonts w:ascii="Times New Roman" w:hAnsi="Times New Roman" w:cs="Times New Roman"/>
          <w:sz w:val="24"/>
          <w:szCs w:val="24"/>
        </w:rPr>
        <w:t xml:space="preserve">.  The UK Parliament (2024) goes further and </w:t>
      </w:r>
      <w:r w:rsidR="0020327E">
        <w:rPr>
          <w:rFonts w:ascii="Times New Roman" w:hAnsi="Times New Roman" w:cs="Times New Roman"/>
          <w:sz w:val="24"/>
          <w:szCs w:val="24"/>
        </w:rPr>
        <w:t>calculates</w:t>
      </w:r>
      <w:r w:rsidR="009267E7">
        <w:rPr>
          <w:rFonts w:ascii="Times New Roman" w:hAnsi="Times New Roman" w:cs="Times New Roman"/>
          <w:sz w:val="24"/>
          <w:szCs w:val="24"/>
        </w:rPr>
        <w:t xml:space="preserve"> that one in four people will be over the age of 65 by 2050, implying that the population will experience a societal change explain</w:t>
      </w:r>
      <w:r w:rsidR="0020327E">
        <w:rPr>
          <w:rFonts w:ascii="Times New Roman" w:hAnsi="Times New Roman" w:cs="Times New Roman"/>
          <w:sz w:val="24"/>
          <w:szCs w:val="24"/>
        </w:rPr>
        <w:t>ing if this projection comes to fruition,</w:t>
      </w:r>
      <w:r w:rsidR="009267E7">
        <w:rPr>
          <w:rFonts w:ascii="Times New Roman" w:hAnsi="Times New Roman" w:cs="Times New Roman"/>
          <w:sz w:val="24"/>
          <w:szCs w:val="24"/>
        </w:rPr>
        <w:t xml:space="preserve"> </w:t>
      </w:r>
      <w:r w:rsidR="0020327E">
        <w:rPr>
          <w:rFonts w:ascii="Times New Roman" w:hAnsi="Times New Roman" w:cs="Times New Roman"/>
          <w:sz w:val="24"/>
          <w:szCs w:val="24"/>
        </w:rPr>
        <w:t>the government must take</w:t>
      </w:r>
      <w:r w:rsidR="009267E7">
        <w:rPr>
          <w:rFonts w:ascii="Times New Roman" w:hAnsi="Times New Roman" w:cs="Times New Roman"/>
          <w:sz w:val="24"/>
          <w:szCs w:val="24"/>
        </w:rPr>
        <w:t xml:space="preserve"> precautions to address the sudden shift and avoid any inequalities. </w:t>
      </w:r>
      <w:r w:rsidR="0020327E">
        <w:rPr>
          <w:rFonts w:ascii="Times New Roman" w:hAnsi="Times New Roman" w:cs="Times New Roman"/>
          <w:sz w:val="24"/>
          <w:szCs w:val="24"/>
        </w:rPr>
        <w:t>Whereas, i</w:t>
      </w:r>
      <w:r w:rsidRPr="00E25F50">
        <w:rPr>
          <w:rFonts w:ascii="Times New Roman" w:hAnsi="Times New Roman" w:cs="Times New Roman"/>
          <w:sz w:val="24"/>
          <w:szCs w:val="24"/>
        </w:rPr>
        <w:t>t is recognised by the Government Office for Science (2024) the achievement of people living longer, yet also acknowledges the potential challenges posed by an ageing population, especially for the National Health Service (NHS), highlighting the organisation's struggles with financial funding and ability to retain staff against the increasing demand for medical interventions related to, chronic illnesses, cognitive, diseases and disabilities.</w:t>
      </w:r>
    </w:p>
    <w:p w14:paraId="3115C71B" w14:textId="77777777" w:rsidR="00543274" w:rsidRPr="00543274" w:rsidRDefault="00543274" w:rsidP="00543274">
      <w:pPr>
        <w:rPr>
          <w:rFonts w:ascii="Times New Roman" w:hAnsi="Times New Roman" w:cs="Times New Roman"/>
          <w:b/>
          <w:bCs/>
        </w:rPr>
      </w:pPr>
    </w:p>
    <w:p w14:paraId="00268D5E" w14:textId="77777777" w:rsidR="00E96E8F" w:rsidRDefault="00E96E8F" w:rsidP="0053456F">
      <w:pPr>
        <w:spacing w:line="360" w:lineRule="auto"/>
        <w:rPr>
          <w:rStyle w:val="Heading2Char"/>
        </w:rPr>
      </w:pPr>
    </w:p>
    <w:p w14:paraId="2FD271AF" w14:textId="0E842FB3" w:rsidR="00543274" w:rsidRDefault="00543274" w:rsidP="0053456F">
      <w:pPr>
        <w:spacing w:line="360" w:lineRule="auto"/>
      </w:pPr>
      <w:bookmarkStart w:id="3" w:name="_Toc165423552"/>
      <w:r w:rsidRPr="00BF4388">
        <w:rPr>
          <w:rStyle w:val="Heading2Char"/>
        </w:rPr>
        <w:t>Living Well</w:t>
      </w:r>
      <w:bookmarkEnd w:id="3"/>
      <w:r w:rsidRPr="00543274">
        <w:rPr>
          <w:rFonts w:ascii="Times New Roman" w:hAnsi="Times New Roman" w:cs="Times New Roman"/>
          <w:b/>
          <w:bCs/>
        </w:rPr>
        <w:t xml:space="preserve"> </w:t>
      </w:r>
      <w:r>
        <w:rPr>
          <w:rFonts w:ascii="Times New Roman" w:hAnsi="Times New Roman" w:cs="Times New Roman"/>
          <w:b/>
          <w:bCs/>
        </w:rPr>
        <w:br/>
      </w:r>
      <w:r>
        <w:rPr>
          <w:rFonts w:ascii="Times New Roman" w:hAnsi="Times New Roman" w:cs="Times New Roman"/>
          <w:b/>
          <w:bCs/>
        </w:rPr>
        <w:br/>
      </w:r>
      <w:r w:rsidRPr="00264105">
        <w:rPr>
          <w:rFonts w:ascii="Times New Roman" w:hAnsi="Times New Roman" w:cs="Times New Roman"/>
          <w:sz w:val="24"/>
          <w:szCs w:val="24"/>
        </w:rPr>
        <w:t xml:space="preserve">Palsgaard </w:t>
      </w:r>
      <w:r w:rsidRPr="00264105">
        <w:rPr>
          <w:rFonts w:ascii="Times New Roman" w:hAnsi="Times New Roman" w:cs="Times New Roman"/>
          <w:i/>
          <w:iCs/>
          <w:sz w:val="24"/>
          <w:szCs w:val="24"/>
        </w:rPr>
        <w:t>et al</w:t>
      </w:r>
      <w:r>
        <w:rPr>
          <w:rFonts w:ascii="Times New Roman" w:hAnsi="Times New Roman" w:cs="Times New Roman"/>
          <w:sz w:val="24"/>
          <w:szCs w:val="24"/>
        </w:rPr>
        <w:t xml:space="preserve">. </w:t>
      </w:r>
      <w:r w:rsidRPr="00264105">
        <w:rPr>
          <w:rFonts w:ascii="Times New Roman" w:hAnsi="Times New Roman" w:cs="Times New Roman"/>
          <w:sz w:val="24"/>
          <w:szCs w:val="24"/>
        </w:rPr>
        <w:t xml:space="preserve">(2022) </w:t>
      </w:r>
      <w:r>
        <w:rPr>
          <w:rFonts w:ascii="Times New Roman" w:hAnsi="Times New Roman" w:cs="Times New Roman"/>
          <w:sz w:val="24"/>
          <w:szCs w:val="24"/>
        </w:rPr>
        <w:t xml:space="preserve">emphasize how a valued part of the healthcare profession is to address the </w:t>
      </w:r>
      <w:r w:rsidRPr="00264105">
        <w:rPr>
          <w:rFonts w:ascii="Times New Roman" w:hAnsi="Times New Roman" w:cs="Times New Roman"/>
          <w:sz w:val="24"/>
          <w:szCs w:val="24"/>
        </w:rPr>
        <w:t>psychosocial, mental and physical well-being</w:t>
      </w:r>
      <w:r>
        <w:rPr>
          <w:rFonts w:ascii="Times New Roman" w:hAnsi="Times New Roman" w:cs="Times New Roman"/>
          <w:sz w:val="24"/>
          <w:szCs w:val="24"/>
        </w:rPr>
        <w:t xml:space="preserve"> and how important it is to tend to and explain how these three states are interlinked together.  </w:t>
      </w:r>
      <w:r w:rsidRPr="00264105">
        <w:rPr>
          <w:rFonts w:ascii="Times New Roman" w:hAnsi="Times New Roman" w:cs="Times New Roman"/>
          <w:sz w:val="24"/>
          <w:szCs w:val="24"/>
        </w:rPr>
        <w:t xml:space="preserve">Perez, Perez, and </w:t>
      </w:r>
      <w:proofErr w:type="spellStart"/>
      <w:r w:rsidRPr="00264105">
        <w:rPr>
          <w:rFonts w:ascii="Times New Roman" w:hAnsi="Times New Roman" w:cs="Times New Roman"/>
          <w:sz w:val="24"/>
          <w:szCs w:val="24"/>
        </w:rPr>
        <w:t>Chumbiaucia</w:t>
      </w:r>
      <w:proofErr w:type="spellEnd"/>
      <w:r w:rsidRPr="00264105">
        <w:rPr>
          <w:rFonts w:ascii="Times New Roman" w:hAnsi="Times New Roman" w:cs="Times New Roman"/>
          <w:sz w:val="24"/>
          <w:szCs w:val="24"/>
        </w:rPr>
        <w:t xml:space="preserve"> (2022) </w:t>
      </w:r>
      <w:r>
        <w:rPr>
          <w:rFonts w:ascii="Times New Roman" w:hAnsi="Times New Roman" w:cs="Times New Roman"/>
          <w:sz w:val="24"/>
          <w:szCs w:val="24"/>
        </w:rPr>
        <w:t xml:space="preserve">consider how the three are connected and imply that these factors may have a significant influence on the overall health of older individuals, and go on to </w:t>
      </w:r>
      <w:r w:rsidRPr="00264105">
        <w:rPr>
          <w:rFonts w:ascii="Times New Roman" w:hAnsi="Times New Roman" w:cs="Times New Roman"/>
          <w:sz w:val="24"/>
          <w:szCs w:val="24"/>
        </w:rPr>
        <w:t xml:space="preserve">suggest that health boards should reconsider how medical conditions in older individuals are approached within the healthcare industry, encompassing clinical settings, local community care, social services, and third-sector organizations that support those in need, </w:t>
      </w:r>
      <w:r>
        <w:rPr>
          <w:rFonts w:ascii="Times New Roman" w:hAnsi="Times New Roman" w:cs="Times New Roman"/>
          <w:sz w:val="24"/>
          <w:szCs w:val="24"/>
        </w:rPr>
        <w:t>to</w:t>
      </w:r>
      <w:r w:rsidRPr="00264105">
        <w:rPr>
          <w:rFonts w:ascii="Times New Roman" w:hAnsi="Times New Roman" w:cs="Times New Roman"/>
          <w:sz w:val="24"/>
          <w:szCs w:val="24"/>
        </w:rPr>
        <w:t xml:space="preserve"> prevent ageism, medical discrimination, and any form of abuse.</w:t>
      </w:r>
      <w:r w:rsidR="0053456F" w:rsidRPr="0053456F">
        <w:t xml:space="preserve"> </w:t>
      </w:r>
    </w:p>
    <w:p w14:paraId="11D1C275" w14:textId="1BF7FF77" w:rsidR="00B41995" w:rsidRDefault="00AF2A68" w:rsidP="0053456F">
      <w:pPr>
        <w:spacing w:line="360" w:lineRule="auto"/>
        <w:rPr>
          <w:rFonts w:ascii="Times New Roman" w:hAnsi="Times New Roman" w:cs="Times New Roman"/>
          <w:sz w:val="24"/>
          <w:szCs w:val="24"/>
        </w:rPr>
      </w:pPr>
      <w:r>
        <w:rPr>
          <w:rFonts w:ascii="Times New Roman" w:hAnsi="Times New Roman" w:cs="Times New Roman"/>
          <w:sz w:val="24"/>
          <w:szCs w:val="24"/>
        </w:rPr>
        <w:t xml:space="preserve">Leung, </w:t>
      </w:r>
      <w:proofErr w:type="spellStart"/>
      <w:r>
        <w:rPr>
          <w:rFonts w:ascii="Times New Roman" w:hAnsi="Times New Roman" w:cs="Times New Roman"/>
          <w:sz w:val="24"/>
          <w:szCs w:val="24"/>
        </w:rPr>
        <w:t>Molassiotis</w:t>
      </w:r>
      <w:proofErr w:type="spellEnd"/>
      <w:r>
        <w:rPr>
          <w:rFonts w:ascii="Times New Roman" w:hAnsi="Times New Roman" w:cs="Times New Roman"/>
          <w:sz w:val="24"/>
          <w:szCs w:val="24"/>
        </w:rPr>
        <w:t xml:space="preserve"> and Carino (2021) consider the implications that ageing presents, claiming it is inevitable for individuals to adapt to life changes that are outside their control, </w:t>
      </w:r>
      <w:r w:rsidR="00643C2C">
        <w:rPr>
          <w:rFonts w:ascii="Times New Roman" w:hAnsi="Times New Roman" w:cs="Times New Roman"/>
          <w:sz w:val="24"/>
          <w:szCs w:val="24"/>
        </w:rPr>
        <w:t>such as experiencing a decline in their physical health as well as the likelihood of disengaging from society, either because it</w:t>
      </w:r>
      <w:r w:rsidR="00946DC0">
        <w:rPr>
          <w:rFonts w:ascii="Times New Roman" w:hAnsi="Times New Roman" w:cs="Times New Roman"/>
          <w:sz w:val="24"/>
          <w:szCs w:val="24"/>
        </w:rPr>
        <w:t xml:space="preserve"> is</w:t>
      </w:r>
      <w:r w:rsidR="00643C2C">
        <w:rPr>
          <w:rFonts w:ascii="Times New Roman" w:hAnsi="Times New Roman" w:cs="Times New Roman"/>
          <w:sz w:val="24"/>
          <w:szCs w:val="24"/>
        </w:rPr>
        <w:t xml:space="preserve"> too physically difficult, or because they think themselves as too much of a burden to ask for help. </w:t>
      </w:r>
    </w:p>
    <w:p w14:paraId="07DFC57A" w14:textId="63E01980" w:rsidR="00D3742F" w:rsidRDefault="0069000F" w:rsidP="00EC4631">
      <w:pPr>
        <w:pStyle w:val="NoSpacing"/>
        <w:spacing w:line="360" w:lineRule="auto"/>
        <w:rPr>
          <w:rFonts w:ascii="Times New Roman" w:hAnsi="Times New Roman" w:cs="Times New Roman"/>
          <w:sz w:val="24"/>
          <w:szCs w:val="24"/>
        </w:rPr>
      </w:pPr>
      <w:r w:rsidRPr="00B908D4">
        <w:rPr>
          <w:rFonts w:ascii="Times New Roman" w:hAnsi="Times New Roman" w:cs="Times New Roman"/>
          <w:sz w:val="24"/>
          <w:szCs w:val="24"/>
        </w:rPr>
        <w:t xml:space="preserve">According to Nilsson, H., Bülow, P.H. and Kazemi (2015), the disengagement theory is a controversial theory regarding the ageing process, suggesting that older people naturally withdraw from social activities, leading to a decrease in social interactions and an increase in isolation.  Disengagement can also lead to a lack </w:t>
      </w:r>
      <w:r>
        <w:rPr>
          <w:rFonts w:ascii="Times New Roman" w:hAnsi="Times New Roman" w:cs="Times New Roman"/>
          <w:sz w:val="24"/>
          <w:szCs w:val="24"/>
        </w:rPr>
        <w:t>of activity</w:t>
      </w:r>
      <w:r w:rsidRPr="00B908D4">
        <w:rPr>
          <w:rFonts w:ascii="Times New Roman" w:hAnsi="Times New Roman" w:cs="Times New Roman"/>
          <w:sz w:val="24"/>
          <w:szCs w:val="24"/>
        </w:rPr>
        <w:t>, which can result in a loss of mobility, strength, and balance, making the older person more susceptible to falls and injur</w:t>
      </w:r>
      <w:r>
        <w:rPr>
          <w:rFonts w:ascii="Times New Roman" w:hAnsi="Times New Roman" w:cs="Times New Roman"/>
          <w:sz w:val="24"/>
          <w:szCs w:val="24"/>
        </w:rPr>
        <w:t>y, furthermore</w:t>
      </w:r>
      <w:r w:rsidRPr="00B908D4">
        <w:rPr>
          <w:rFonts w:ascii="Times New Roman" w:hAnsi="Times New Roman" w:cs="Times New Roman"/>
          <w:sz w:val="24"/>
          <w:szCs w:val="24"/>
        </w:rPr>
        <w:t>, disengagement can cause a decline in cognitive function, as older people who do not engage in mentally stimulating activities may experience a decline in memory and other cognitive abilities</w:t>
      </w:r>
      <w:r>
        <w:rPr>
          <w:rFonts w:ascii="Times New Roman" w:hAnsi="Times New Roman" w:cs="Times New Roman"/>
          <w:sz w:val="24"/>
          <w:szCs w:val="24"/>
        </w:rPr>
        <w:t xml:space="preserve">, (Ejiri </w:t>
      </w:r>
      <w:r w:rsidRPr="00CD04D8">
        <w:rPr>
          <w:rFonts w:ascii="Times New Roman" w:hAnsi="Times New Roman" w:cs="Times New Roman"/>
          <w:i/>
          <w:iCs/>
          <w:sz w:val="24"/>
          <w:szCs w:val="24"/>
        </w:rPr>
        <w:t>et al</w:t>
      </w:r>
      <w:r>
        <w:rPr>
          <w:rFonts w:ascii="Times New Roman" w:hAnsi="Times New Roman" w:cs="Times New Roman"/>
          <w:sz w:val="24"/>
          <w:szCs w:val="24"/>
        </w:rPr>
        <w:t>., 2022)</w:t>
      </w:r>
      <w:r w:rsidR="003A13CF">
        <w:rPr>
          <w:rFonts w:ascii="Times New Roman" w:hAnsi="Times New Roman" w:cs="Times New Roman"/>
          <w:sz w:val="24"/>
          <w:szCs w:val="24"/>
        </w:rPr>
        <w:t>.</w:t>
      </w:r>
      <w:r w:rsidR="003A13CF">
        <w:rPr>
          <w:rFonts w:ascii="Times New Roman" w:hAnsi="Times New Roman" w:cs="Times New Roman"/>
          <w:sz w:val="24"/>
          <w:szCs w:val="24"/>
        </w:rPr>
        <w:br/>
      </w:r>
      <w:r w:rsidR="003A13CF">
        <w:rPr>
          <w:rFonts w:ascii="Times New Roman" w:hAnsi="Times New Roman" w:cs="Times New Roman"/>
          <w:sz w:val="24"/>
          <w:szCs w:val="24"/>
        </w:rPr>
        <w:br/>
      </w:r>
      <w:r w:rsidRPr="00CD04D8">
        <w:rPr>
          <w:rFonts w:ascii="Times New Roman" w:hAnsi="Times New Roman" w:cs="Times New Roman"/>
          <w:sz w:val="24"/>
          <w:szCs w:val="24"/>
        </w:rPr>
        <w:t xml:space="preserve">In the 1960s, </w:t>
      </w:r>
      <w:r w:rsidR="00EC4631">
        <w:rPr>
          <w:rFonts w:ascii="Times New Roman" w:hAnsi="Times New Roman" w:cs="Times New Roman"/>
          <w:sz w:val="24"/>
          <w:szCs w:val="24"/>
        </w:rPr>
        <w:t>a</w:t>
      </w:r>
      <w:r w:rsidRPr="00CD04D8">
        <w:rPr>
          <w:rFonts w:ascii="Times New Roman" w:hAnsi="Times New Roman" w:cs="Times New Roman"/>
          <w:sz w:val="24"/>
          <w:szCs w:val="24"/>
        </w:rPr>
        <w:t xml:space="preserve"> </w:t>
      </w:r>
      <w:r w:rsidR="00EC4631">
        <w:rPr>
          <w:rFonts w:ascii="Times New Roman" w:hAnsi="Times New Roman" w:cs="Times New Roman"/>
          <w:sz w:val="24"/>
          <w:szCs w:val="24"/>
        </w:rPr>
        <w:t xml:space="preserve">common </w:t>
      </w:r>
      <w:r w:rsidRPr="00CD04D8">
        <w:rPr>
          <w:rFonts w:ascii="Times New Roman" w:hAnsi="Times New Roman" w:cs="Times New Roman"/>
          <w:sz w:val="24"/>
          <w:szCs w:val="24"/>
        </w:rPr>
        <w:t xml:space="preserve">belief was that </w:t>
      </w:r>
      <w:r>
        <w:rPr>
          <w:rFonts w:ascii="Times New Roman" w:hAnsi="Times New Roman" w:cs="Times New Roman"/>
          <w:sz w:val="24"/>
          <w:szCs w:val="24"/>
        </w:rPr>
        <w:t>ageing</w:t>
      </w:r>
      <w:r w:rsidRPr="00CD04D8">
        <w:rPr>
          <w:rFonts w:ascii="Times New Roman" w:hAnsi="Times New Roman" w:cs="Times New Roman"/>
          <w:sz w:val="24"/>
          <w:szCs w:val="24"/>
        </w:rPr>
        <w:t xml:space="preserve"> was a natural process of decline, which led to the acceptance of the disengagement theory</w:t>
      </w:r>
      <w:r>
        <w:rPr>
          <w:rFonts w:ascii="Times New Roman" w:hAnsi="Times New Roman" w:cs="Times New Roman"/>
          <w:sz w:val="24"/>
          <w:szCs w:val="24"/>
        </w:rPr>
        <w:t xml:space="preserve">, (Cumming </w:t>
      </w:r>
      <w:r w:rsidRPr="00CD04D8">
        <w:rPr>
          <w:rFonts w:ascii="Times New Roman" w:hAnsi="Times New Roman" w:cs="Times New Roman"/>
          <w:i/>
          <w:iCs/>
          <w:sz w:val="24"/>
          <w:szCs w:val="24"/>
        </w:rPr>
        <w:t>et al</w:t>
      </w:r>
      <w:r>
        <w:rPr>
          <w:rFonts w:ascii="Times New Roman" w:hAnsi="Times New Roman" w:cs="Times New Roman"/>
          <w:sz w:val="24"/>
          <w:szCs w:val="24"/>
        </w:rPr>
        <w:t xml:space="preserve">., 1960).  However, </w:t>
      </w:r>
      <w:r w:rsidRPr="005B3114">
        <w:rPr>
          <w:rFonts w:ascii="Times New Roman" w:hAnsi="Times New Roman" w:cs="Times New Roman"/>
          <w:sz w:val="24"/>
          <w:szCs w:val="24"/>
        </w:rPr>
        <w:t>Asiamah</w:t>
      </w:r>
      <w:r>
        <w:rPr>
          <w:rFonts w:ascii="Times New Roman" w:hAnsi="Times New Roman" w:cs="Times New Roman"/>
          <w:sz w:val="24"/>
          <w:szCs w:val="24"/>
        </w:rPr>
        <w:t xml:space="preserve"> </w:t>
      </w:r>
      <w:r w:rsidRPr="005B3114">
        <w:rPr>
          <w:rFonts w:ascii="Times New Roman" w:hAnsi="Times New Roman" w:cs="Times New Roman"/>
          <w:sz w:val="24"/>
          <w:szCs w:val="24"/>
        </w:rPr>
        <w:t>(2017</w:t>
      </w:r>
      <w:r>
        <w:rPr>
          <w:rFonts w:ascii="Times New Roman" w:hAnsi="Times New Roman" w:cs="Times New Roman"/>
          <w:sz w:val="24"/>
          <w:szCs w:val="24"/>
        </w:rPr>
        <w:t xml:space="preserve">) advocates </w:t>
      </w:r>
      <w:r w:rsidRPr="005B3114">
        <w:rPr>
          <w:rFonts w:ascii="Times New Roman" w:hAnsi="Times New Roman" w:cs="Times New Roman"/>
          <w:sz w:val="24"/>
          <w:szCs w:val="24"/>
        </w:rPr>
        <w:t>the importance of social engagement, physical activity, and mental stimulation in promoting</w:t>
      </w:r>
      <w:r>
        <w:rPr>
          <w:rFonts w:ascii="Times New Roman" w:hAnsi="Times New Roman" w:cs="Times New Roman"/>
          <w:sz w:val="24"/>
          <w:szCs w:val="24"/>
        </w:rPr>
        <w:t xml:space="preserve"> well-being, suggesting attitudes have since changed. </w:t>
      </w:r>
      <w:r w:rsidR="003A13CF">
        <w:rPr>
          <w:rFonts w:ascii="Times New Roman" w:hAnsi="Times New Roman" w:cs="Times New Roman"/>
          <w:sz w:val="24"/>
          <w:szCs w:val="24"/>
        </w:rPr>
        <w:t xml:space="preserve">  </w:t>
      </w:r>
      <w:r w:rsidR="003A13CF">
        <w:rPr>
          <w:rFonts w:ascii="Times New Roman" w:hAnsi="Times New Roman" w:cs="Times New Roman"/>
          <w:sz w:val="24"/>
          <w:szCs w:val="24"/>
        </w:rPr>
        <w:br/>
        <w:t xml:space="preserve">                                                                                                                                                     </w:t>
      </w:r>
      <w:r w:rsidR="00034806">
        <w:rPr>
          <w:rFonts w:ascii="Times New Roman" w:hAnsi="Times New Roman" w:cs="Times New Roman"/>
          <w:sz w:val="24"/>
          <w:szCs w:val="24"/>
        </w:rPr>
        <w:t xml:space="preserve">In addition to the willingness to withdraw from society, Kang and Kim (2022) also factor in ageism, acknowledging stereotypes can lead to negative attitudes </w:t>
      </w:r>
      <w:r w:rsidR="0020327E">
        <w:rPr>
          <w:rFonts w:ascii="Times New Roman" w:hAnsi="Times New Roman" w:cs="Times New Roman"/>
          <w:sz w:val="24"/>
          <w:szCs w:val="24"/>
        </w:rPr>
        <w:t>toward</w:t>
      </w:r>
      <w:r w:rsidR="00034806">
        <w:rPr>
          <w:rFonts w:ascii="Times New Roman" w:hAnsi="Times New Roman" w:cs="Times New Roman"/>
          <w:sz w:val="24"/>
          <w:szCs w:val="24"/>
        </w:rPr>
        <w:t xml:space="preserve"> the older person which may lead to mistreatment in all areas of life, such as employment, healthcare and housin</w:t>
      </w:r>
      <w:r w:rsidR="0020327E">
        <w:rPr>
          <w:rFonts w:ascii="Times New Roman" w:hAnsi="Times New Roman" w:cs="Times New Roman"/>
          <w:sz w:val="24"/>
          <w:szCs w:val="24"/>
        </w:rPr>
        <w:t>g.</w:t>
      </w:r>
      <w:r w:rsidR="00EC4631">
        <w:rPr>
          <w:rFonts w:ascii="Times New Roman" w:hAnsi="Times New Roman" w:cs="Times New Roman"/>
          <w:sz w:val="24"/>
          <w:szCs w:val="24"/>
        </w:rPr>
        <w:t xml:space="preserve">  </w:t>
      </w:r>
      <w:r w:rsidR="00D3742F">
        <w:rPr>
          <w:rFonts w:ascii="Times New Roman" w:hAnsi="Times New Roman" w:cs="Times New Roman"/>
          <w:sz w:val="24"/>
          <w:szCs w:val="24"/>
        </w:rPr>
        <w:t xml:space="preserve">Ageism in healthcare </w:t>
      </w:r>
      <w:r w:rsidR="00910D64">
        <w:rPr>
          <w:rFonts w:ascii="Times New Roman" w:hAnsi="Times New Roman" w:cs="Times New Roman"/>
          <w:sz w:val="24"/>
          <w:szCs w:val="24"/>
        </w:rPr>
        <w:t xml:space="preserve">may </w:t>
      </w:r>
      <w:r w:rsidR="00D3742F">
        <w:rPr>
          <w:rFonts w:ascii="Times New Roman" w:hAnsi="Times New Roman" w:cs="Times New Roman"/>
          <w:sz w:val="24"/>
          <w:szCs w:val="24"/>
        </w:rPr>
        <w:t xml:space="preserve">refer to </w:t>
      </w:r>
      <w:r w:rsidR="00910D64">
        <w:rPr>
          <w:rFonts w:ascii="Times New Roman" w:hAnsi="Times New Roman" w:cs="Times New Roman"/>
          <w:sz w:val="24"/>
          <w:szCs w:val="24"/>
        </w:rPr>
        <w:t>prejudiced</w:t>
      </w:r>
      <w:r w:rsidR="00D3742F">
        <w:rPr>
          <w:rFonts w:ascii="Times New Roman" w:hAnsi="Times New Roman" w:cs="Times New Roman"/>
          <w:sz w:val="24"/>
          <w:szCs w:val="24"/>
        </w:rPr>
        <w:t xml:space="preserve"> behaviour towards older individuals </w:t>
      </w:r>
      <w:r w:rsidR="00910D64">
        <w:rPr>
          <w:rFonts w:ascii="Times New Roman" w:hAnsi="Times New Roman" w:cs="Times New Roman"/>
          <w:sz w:val="24"/>
          <w:szCs w:val="24"/>
        </w:rPr>
        <w:t>seeking or needing care, as Kydd and Flemming (2015) bring forth that unwarranted assumptions can lead to inadequate care being provided, with practitioners assuming the older patients' symptoms are simply a result of ageing poorly rather than investigating further</w:t>
      </w:r>
      <w:r w:rsidR="007E438A">
        <w:rPr>
          <w:rFonts w:ascii="Times New Roman" w:hAnsi="Times New Roman" w:cs="Times New Roman"/>
          <w:sz w:val="24"/>
          <w:szCs w:val="24"/>
        </w:rPr>
        <w:t xml:space="preserve"> for more serious health complications. </w:t>
      </w:r>
    </w:p>
    <w:p w14:paraId="43360672" w14:textId="7A45FDDD" w:rsidR="00910D64" w:rsidRPr="00910D64" w:rsidRDefault="00EC4631" w:rsidP="00B41995">
      <w:pPr>
        <w:spacing w:line="360" w:lineRule="auto"/>
        <w:rPr>
          <w:rFonts w:ascii="Times New Roman" w:hAnsi="Times New Roman" w:cs="Times New Roman"/>
          <w:sz w:val="24"/>
          <w:szCs w:val="24"/>
        </w:rPr>
      </w:pPr>
      <w:r>
        <w:rPr>
          <w:rFonts w:ascii="Times New Roman" w:hAnsi="Times New Roman" w:cs="Times New Roman"/>
          <w:sz w:val="24"/>
          <w:szCs w:val="24"/>
        </w:rPr>
        <w:br/>
      </w:r>
      <w:r w:rsidR="00910D64" w:rsidRPr="00910D64">
        <w:rPr>
          <w:rFonts w:ascii="Times New Roman" w:hAnsi="Times New Roman" w:cs="Times New Roman"/>
          <w:sz w:val="24"/>
          <w:szCs w:val="24"/>
        </w:rPr>
        <w:t>The Department of Health</w:t>
      </w:r>
      <w:r w:rsidR="00910D64">
        <w:rPr>
          <w:rFonts w:ascii="Times New Roman" w:hAnsi="Times New Roman" w:cs="Times New Roman"/>
          <w:sz w:val="24"/>
          <w:szCs w:val="24"/>
        </w:rPr>
        <w:t xml:space="preserve"> (2012) published that the British government has passed several laws to combat ageism, such as the Equality Act 2010, which prohibits all forms of discrimination, making it illegal to be prejudiced against someone based on their age, sex, religion, </w:t>
      </w:r>
      <w:r w:rsidR="00E52B50">
        <w:rPr>
          <w:rFonts w:ascii="Times New Roman" w:hAnsi="Times New Roman" w:cs="Times New Roman"/>
          <w:sz w:val="24"/>
          <w:szCs w:val="24"/>
        </w:rPr>
        <w:t xml:space="preserve">or </w:t>
      </w:r>
      <w:r w:rsidR="00910D64">
        <w:rPr>
          <w:rFonts w:ascii="Times New Roman" w:hAnsi="Times New Roman" w:cs="Times New Roman"/>
          <w:sz w:val="24"/>
          <w:szCs w:val="24"/>
        </w:rPr>
        <w:t>ethnicit</w:t>
      </w:r>
      <w:r w:rsidR="00E52B50">
        <w:rPr>
          <w:rFonts w:ascii="Times New Roman" w:hAnsi="Times New Roman" w:cs="Times New Roman"/>
          <w:sz w:val="24"/>
          <w:szCs w:val="24"/>
        </w:rPr>
        <w:t>y.  These law aims to prevent ageism from manifesting in healthcare and ensure healthcare providers treat every single patient with a satisfactory amount of dignity, empathy and respect and deem such violations of the act dehumanising</w:t>
      </w:r>
      <w:r w:rsidR="00B41995">
        <w:rPr>
          <w:rFonts w:ascii="Times New Roman" w:hAnsi="Times New Roman" w:cs="Times New Roman"/>
          <w:sz w:val="24"/>
          <w:szCs w:val="24"/>
        </w:rPr>
        <w:t xml:space="preserve"> (Sayer and Nesbitt, 2002). </w:t>
      </w:r>
    </w:p>
    <w:p w14:paraId="1AA73633" w14:textId="6E76C29F" w:rsidR="00543274" w:rsidRPr="00BF4388" w:rsidRDefault="00543274" w:rsidP="00BF4388">
      <w:pPr>
        <w:spacing w:line="360" w:lineRule="auto"/>
        <w:rPr>
          <w:rFonts w:ascii="Times New Roman" w:hAnsi="Times New Roman" w:cs="Times New Roman"/>
          <w:b/>
          <w:bCs/>
          <w:sz w:val="24"/>
          <w:szCs w:val="24"/>
        </w:rPr>
      </w:pPr>
      <w:bookmarkStart w:id="4" w:name="_Toc165423553"/>
      <w:r w:rsidRPr="00BF4388">
        <w:rPr>
          <w:rStyle w:val="Heading2Char"/>
        </w:rPr>
        <w:t xml:space="preserve">Falls </w:t>
      </w:r>
      <w:r w:rsidR="00FA572F">
        <w:rPr>
          <w:rStyle w:val="Heading2Char"/>
        </w:rPr>
        <w:t>and</w:t>
      </w:r>
      <w:r w:rsidRPr="00BF4388">
        <w:rPr>
          <w:rStyle w:val="Heading2Char"/>
        </w:rPr>
        <w:t xml:space="preserve"> Prevention</w:t>
      </w:r>
      <w:bookmarkEnd w:id="4"/>
      <w:r w:rsidR="00BF4388">
        <w:rPr>
          <w:rFonts w:ascii="Times New Roman" w:hAnsi="Times New Roman" w:cs="Times New Roman"/>
          <w:b/>
          <w:bCs/>
          <w:sz w:val="24"/>
          <w:szCs w:val="24"/>
        </w:rPr>
        <w:br/>
      </w:r>
      <w:r w:rsidR="00BF4388">
        <w:rPr>
          <w:rFonts w:ascii="Times New Roman" w:hAnsi="Times New Roman" w:cs="Times New Roman"/>
          <w:b/>
          <w:bCs/>
          <w:sz w:val="24"/>
          <w:szCs w:val="24"/>
        </w:rPr>
        <w:br/>
      </w:r>
      <w:r w:rsidRPr="003939F8">
        <w:rPr>
          <w:rFonts w:ascii="Times New Roman" w:hAnsi="Times New Roman" w:cs="Times New Roman"/>
          <w:sz w:val="24"/>
          <w:szCs w:val="24"/>
        </w:rPr>
        <w:t>As per the latest data from the Centres for Disease Control and Prevention</w:t>
      </w:r>
      <w:r>
        <w:rPr>
          <w:rFonts w:ascii="Times New Roman" w:hAnsi="Times New Roman" w:cs="Times New Roman"/>
          <w:sz w:val="24"/>
          <w:szCs w:val="24"/>
        </w:rPr>
        <w:t xml:space="preserve"> (2024)</w:t>
      </w:r>
      <w:r w:rsidRPr="003939F8">
        <w:rPr>
          <w:rFonts w:ascii="Times New Roman" w:hAnsi="Times New Roman" w:cs="Times New Roman"/>
          <w:sz w:val="24"/>
          <w:szCs w:val="24"/>
        </w:rPr>
        <w:t xml:space="preserve">, hospitals annually </w:t>
      </w:r>
      <w:r w:rsidR="00B41995">
        <w:rPr>
          <w:rFonts w:ascii="Times New Roman" w:hAnsi="Times New Roman" w:cs="Times New Roman"/>
          <w:sz w:val="24"/>
          <w:szCs w:val="24"/>
        </w:rPr>
        <w:t xml:space="preserve">witness </w:t>
      </w:r>
      <w:r>
        <w:rPr>
          <w:rFonts w:ascii="Times New Roman" w:hAnsi="Times New Roman" w:cs="Times New Roman"/>
          <w:sz w:val="24"/>
          <w:szCs w:val="24"/>
        </w:rPr>
        <w:t xml:space="preserve">and tend to, </w:t>
      </w:r>
      <w:r w:rsidRPr="003939F8">
        <w:rPr>
          <w:rFonts w:ascii="Times New Roman" w:hAnsi="Times New Roman" w:cs="Times New Roman"/>
          <w:sz w:val="24"/>
          <w:szCs w:val="24"/>
        </w:rPr>
        <w:t>three million individuals aged 65 and above who have sustained injuries due to falls</w:t>
      </w:r>
      <w:r>
        <w:rPr>
          <w:rFonts w:ascii="Times New Roman" w:hAnsi="Times New Roman" w:cs="Times New Roman"/>
          <w:sz w:val="24"/>
          <w:szCs w:val="24"/>
        </w:rPr>
        <w:t xml:space="preserve">.  </w:t>
      </w:r>
      <w:r w:rsidRPr="003939F8">
        <w:rPr>
          <w:rFonts w:ascii="Times New Roman" w:hAnsi="Times New Roman" w:cs="Times New Roman"/>
          <w:sz w:val="24"/>
          <w:szCs w:val="24"/>
        </w:rPr>
        <w:t xml:space="preserve">Among them, a staggering 800,000 require </w:t>
      </w:r>
      <w:r>
        <w:rPr>
          <w:rFonts w:ascii="Times New Roman" w:hAnsi="Times New Roman" w:cs="Times New Roman"/>
          <w:sz w:val="24"/>
          <w:szCs w:val="24"/>
        </w:rPr>
        <w:t>hospitalisation</w:t>
      </w:r>
      <w:r w:rsidRPr="003939F8">
        <w:rPr>
          <w:rFonts w:ascii="Times New Roman" w:hAnsi="Times New Roman" w:cs="Times New Roman"/>
          <w:sz w:val="24"/>
          <w:szCs w:val="24"/>
        </w:rPr>
        <w:t xml:space="preserve"> due to fractured hips, and falls are responsible for 95% of hip fractures in </w:t>
      </w:r>
      <w:r>
        <w:rPr>
          <w:rFonts w:ascii="Times New Roman" w:hAnsi="Times New Roman" w:cs="Times New Roman"/>
          <w:sz w:val="24"/>
          <w:szCs w:val="24"/>
        </w:rPr>
        <w:t>older p</w:t>
      </w:r>
      <w:r w:rsidR="00BF4388">
        <w:rPr>
          <w:rFonts w:ascii="Times New Roman" w:hAnsi="Times New Roman" w:cs="Times New Roman"/>
          <w:sz w:val="24"/>
          <w:szCs w:val="24"/>
        </w:rPr>
        <w:t>eople</w:t>
      </w:r>
      <w:r>
        <w:rPr>
          <w:rFonts w:ascii="Times New Roman" w:hAnsi="Times New Roman" w:cs="Times New Roman"/>
          <w:sz w:val="24"/>
          <w:szCs w:val="24"/>
        </w:rPr>
        <w:t xml:space="preserve">.  Additionally, </w:t>
      </w:r>
      <w:proofErr w:type="spellStart"/>
      <w:r>
        <w:rPr>
          <w:rFonts w:ascii="Times New Roman" w:hAnsi="Times New Roman" w:cs="Times New Roman"/>
          <w:sz w:val="24"/>
          <w:szCs w:val="24"/>
        </w:rPr>
        <w:t>Dhalwani</w:t>
      </w:r>
      <w:proofErr w:type="spellEnd"/>
      <w:r>
        <w:rPr>
          <w:rFonts w:ascii="Times New Roman" w:hAnsi="Times New Roman" w:cs="Times New Roman"/>
          <w:sz w:val="24"/>
          <w:szCs w:val="24"/>
        </w:rPr>
        <w:t xml:space="preserve"> </w:t>
      </w:r>
      <w:r w:rsidRPr="00AE2CA5">
        <w:rPr>
          <w:rFonts w:ascii="Times New Roman" w:hAnsi="Times New Roman" w:cs="Times New Roman"/>
          <w:i/>
          <w:iCs/>
          <w:sz w:val="24"/>
          <w:szCs w:val="24"/>
        </w:rPr>
        <w:t>et al</w:t>
      </w:r>
      <w:r>
        <w:rPr>
          <w:rFonts w:ascii="Times New Roman" w:hAnsi="Times New Roman" w:cs="Times New Roman"/>
          <w:sz w:val="24"/>
          <w:szCs w:val="24"/>
        </w:rPr>
        <w:t xml:space="preserve">. (2017) claim that falls </w:t>
      </w:r>
      <w:r w:rsidRPr="00AE2CA5">
        <w:rPr>
          <w:rFonts w:ascii="Times New Roman" w:hAnsi="Times New Roman" w:cs="Times New Roman"/>
          <w:sz w:val="24"/>
          <w:szCs w:val="24"/>
        </w:rPr>
        <w:t xml:space="preserve">account for more than 80% of injury-related </w:t>
      </w:r>
      <w:r>
        <w:rPr>
          <w:rFonts w:ascii="Times New Roman" w:hAnsi="Times New Roman" w:cs="Times New Roman"/>
          <w:sz w:val="24"/>
          <w:szCs w:val="24"/>
        </w:rPr>
        <w:t>hospital admissions</w:t>
      </w:r>
      <w:r w:rsidRPr="00AE2CA5">
        <w:rPr>
          <w:rFonts w:ascii="Times New Roman" w:hAnsi="Times New Roman" w:cs="Times New Roman"/>
          <w:sz w:val="24"/>
          <w:szCs w:val="24"/>
        </w:rPr>
        <w:t xml:space="preserve"> for people aged 65 years and older</w:t>
      </w:r>
      <w:r>
        <w:rPr>
          <w:rFonts w:ascii="Times New Roman" w:hAnsi="Times New Roman" w:cs="Times New Roman"/>
          <w:sz w:val="24"/>
          <w:szCs w:val="24"/>
        </w:rPr>
        <w:t xml:space="preserve"> and can cost the NHS and social care services an astonishing £6 million per day, or 2.3 billion annually. </w:t>
      </w:r>
    </w:p>
    <w:p w14:paraId="1BD7013F" w14:textId="61BB4B2A"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Falls and injury among the older person can greatly affect their emotional and social well-being, as their injuries may cause them to become more isolated from their family, friends and community, which may lead to feelings of anxiety, depression and loneliness, (Public Health England, 2023).  Moreover, the fear of falling may cause older people to be anxious to carry out their usual routine and become physically inactive, which can worsen their social isolation and lead to a decline in their ability to physically function and mobility, (</w:t>
      </w:r>
      <w:r w:rsidRPr="007F03A3">
        <w:rPr>
          <w:rFonts w:ascii="Times New Roman" w:hAnsi="Times New Roman" w:cs="Times New Roman"/>
          <w:sz w:val="24"/>
          <w:szCs w:val="24"/>
        </w:rPr>
        <w:t xml:space="preserve">Nyqvist, </w:t>
      </w:r>
      <w:r w:rsidRPr="00605753">
        <w:rPr>
          <w:rFonts w:ascii="Times New Roman" w:hAnsi="Times New Roman" w:cs="Times New Roman"/>
          <w:i/>
          <w:iCs/>
          <w:sz w:val="24"/>
          <w:szCs w:val="24"/>
        </w:rPr>
        <w:t>et al</w:t>
      </w:r>
      <w:r w:rsidRPr="007F03A3">
        <w:rPr>
          <w:rFonts w:ascii="Times New Roman" w:hAnsi="Times New Roman" w:cs="Times New Roman"/>
          <w:sz w:val="24"/>
          <w:szCs w:val="24"/>
        </w:rPr>
        <w:t>. 2023</w:t>
      </w:r>
      <w:r>
        <w:rPr>
          <w:rFonts w:ascii="Times New Roman" w:hAnsi="Times New Roman" w:cs="Times New Roman"/>
          <w:sz w:val="24"/>
          <w:szCs w:val="24"/>
        </w:rPr>
        <w:t xml:space="preserve">).  Engaging in physical activity and regular exercise can help older people maintain their strength </w:t>
      </w:r>
      <w:r w:rsidRPr="007F03A3">
        <w:rPr>
          <w:rFonts w:ascii="Times New Roman" w:hAnsi="Times New Roman" w:cs="Times New Roman"/>
          <w:sz w:val="24"/>
          <w:szCs w:val="24"/>
        </w:rPr>
        <w:t>balance, and flexibility, which can reduce their risk of falling and lower their likelihood of experiencing mental health issues, joint pain, and developing cardiovascular diseases or cancers (Action for Elders, 2024).</w:t>
      </w:r>
      <w:r>
        <w:rPr>
          <w:rFonts w:ascii="Times New Roman" w:hAnsi="Times New Roman" w:cs="Times New Roman"/>
          <w:sz w:val="24"/>
          <w:szCs w:val="24"/>
        </w:rPr>
        <w:t xml:space="preserve">  </w:t>
      </w:r>
    </w:p>
    <w:p w14:paraId="225782A3" w14:textId="77777777"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Beam and Kim's (2020) concern that when the older person withdraws from society due to physical inactivity or their fragile mental state, it ironically increases their chances of falling and causing harm to themselves, both of which affect their capacity to live independently and freely. </w:t>
      </w:r>
    </w:p>
    <w:p w14:paraId="123B7C43" w14:textId="77777777" w:rsidR="00543274" w:rsidRDefault="00543274" w:rsidP="00543274">
      <w:pPr>
        <w:spacing w:line="360" w:lineRule="auto"/>
        <w:rPr>
          <w:rFonts w:ascii="Times New Roman" w:hAnsi="Times New Roman" w:cs="Times New Roman"/>
          <w:sz w:val="24"/>
          <w:szCs w:val="24"/>
        </w:rPr>
      </w:pPr>
      <w:r w:rsidRPr="009476EA">
        <w:rPr>
          <w:rFonts w:ascii="Times New Roman" w:hAnsi="Times New Roman" w:cs="Times New Roman"/>
          <w:sz w:val="24"/>
          <w:szCs w:val="24"/>
        </w:rPr>
        <w:t xml:space="preserve">When older people fall, their physical health can be significantly impacted. Falls can result in injuries such as fractures, head traumas, and even death. </w:t>
      </w:r>
      <w:r>
        <w:rPr>
          <w:rFonts w:ascii="Times New Roman" w:hAnsi="Times New Roman" w:cs="Times New Roman"/>
          <w:sz w:val="24"/>
          <w:szCs w:val="24"/>
        </w:rPr>
        <w:t xml:space="preserve"> </w:t>
      </w:r>
      <w:r w:rsidRPr="009476EA">
        <w:rPr>
          <w:rFonts w:ascii="Times New Roman" w:hAnsi="Times New Roman" w:cs="Times New Roman"/>
          <w:sz w:val="24"/>
          <w:szCs w:val="24"/>
        </w:rPr>
        <w:t>In addition, falls can lead to a loss of mobility and independence, as well as an increased risk of future falls.  The recovery process can also be longer and more difficult for older adults who experience falls, (Centres for Disease Control and Prevention, 2024).</w:t>
      </w:r>
    </w:p>
    <w:p w14:paraId="0F1AD00A" w14:textId="6CEB820B" w:rsidR="00543274" w:rsidRDefault="00543274" w:rsidP="00543274">
      <w:pPr>
        <w:spacing w:line="360" w:lineRule="auto"/>
        <w:rPr>
          <w:rFonts w:ascii="Times New Roman" w:hAnsi="Times New Roman" w:cs="Times New Roman"/>
          <w:sz w:val="24"/>
          <w:szCs w:val="24"/>
        </w:rPr>
      </w:pPr>
      <w:r w:rsidRPr="00FA65B5">
        <w:rPr>
          <w:rFonts w:ascii="Times New Roman" w:hAnsi="Times New Roman" w:cs="Times New Roman"/>
          <w:sz w:val="24"/>
          <w:szCs w:val="24"/>
        </w:rPr>
        <w:t>Park (2018) has issued a warning stating that the incidents of injuries due to falls will increase twofold by 2030 if an effective fall prevention plan is not implemented shortly, implying the current prevention methods are not effective enough</w:t>
      </w:r>
      <w:bookmarkStart w:id="5" w:name="_Hlk165297488"/>
      <w:r>
        <w:rPr>
          <w:rFonts w:ascii="Times New Roman" w:hAnsi="Times New Roman" w:cs="Times New Roman"/>
          <w:sz w:val="24"/>
          <w:szCs w:val="24"/>
        </w:rPr>
        <w:t xml:space="preserve">.  As individuals grow older, injury from falls can have a negative impact on their daily activities and overall independence, to prevent such incidents from occurring, it is crucial to take proactive measures to minimise the risk of falls (Kannus </w:t>
      </w:r>
      <w:r w:rsidRPr="00E12319">
        <w:rPr>
          <w:rFonts w:ascii="Times New Roman" w:hAnsi="Times New Roman" w:cs="Times New Roman"/>
          <w:i/>
          <w:iCs/>
          <w:sz w:val="24"/>
          <w:szCs w:val="24"/>
        </w:rPr>
        <w:t>et al</w:t>
      </w:r>
      <w:r>
        <w:rPr>
          <w:rFonts w:ascii="Times New Roman" w:hAnsi="Times New Roman" w:cs="Times New Roman"/>
          <w:sz w:val="24"/>
          <w:szCs w:val="24"/>
        </w:rPr>
        <w:t xml:space="preserve">., 2007).  Due to increased statistics of health deterioration in older </w:t>
      </w:r>
      <w:r w:rsidR="002F6285">
        <w:rPr>
          <w:rFonts w:ascii="Times New Roman" w:hAnsi="Times New Roman" w:cs="Times New Roman"/>
          <w:sz w:val="24"/>
          <w:szCs w:val="24"/>
        </w:rPr>
        <w:t>people</w:t>
      </w:r>
      <w:r>
        <w:rPr>
          <w:rFonts w:ascii="Times New Roman" w:hAnsi="Times New Roman" w:cs="Times New Roman"/>
          <w:sz w:val="24"/>
          <w:szCs w:val="24"/>
        </w:rPr>
        <w:t xml:space="preserve">, the NHS (2024) has outlined various interventions to promote fall prevention in senior individuals, enabling them to retain their independence, choice and freedom.  </w:t>
      </w:r>
    </w:p>
    <w:p w14:paraId="12ABBDDE" w14:textId="493667C4"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Firstly, these interventions promote preventive measures, such as maintaining a regular exercise routine, consuming a balanced and nutritious diet, and keeping a healthy weight, as Jackson </w:t>
      </w:r>
      <w:r w:rsidRPr="00D403F5">
        <w:rPr>
          <w:rFonts w:ascii="Times New Roman" w:hAnsi="Times New Roman" w:cs="Times New Roman"/>
          <w:i/>
          <w:iCs/>
          <w:sz w:val="24"/>
          <w:szCs w:val="24"/>
        </w:rPr>
        <w:t>et al</w:t>
      </w:r>
      <w:r>
        <w:rPr>
          <w:rFonts w:ascii="Times New Roman" w:hAnsi="Times New Roman" w:cs="Times New Roman"/>
          <w:sz w:val="24"/>
          <w:szCs w:val="24"/>
        </w:rPr>
        <w:t xml:space="preserve">. (2016) proclaim by adhering to these measures, the older person can enjoy an improved quality of life and fend off the development of chronic conditions.  Langhammer, Bergland and </w:t>
      </w:r>
      <w:proofErr w:type="spellStart"/>
      <w:r>
        <w:rPr>
          <w:rFonts w:ascii="Times New Roman" w:hAnsi="Times New Roman" w:cs="Times New Roman"/>
          <w:sz w:val="24"/>
          <w:szCs w:val="24"/>
        </w:rPr>
        <w:t>Rydwik</w:t>
      </w:r>
      <w:proofErr w:type="spellEnd"/>
      <w:r>
        <w:rPr>
          <w:rFonts w:ascii="Times New Roman" w:hAnsi="Times New Roman" w:cs="Times New Roman"/>
          <w:sz w:val="24"/>
          <w:szCs w:val="24"/>
        </w:rPr>
        <w:t xml:space="preserve"> (2018) reason that preventive measures are the most effective, as physical</w:t>
      </w:r>
      <w:r w:rsidRPr="002D0C9E">
        <w:rPr>
          <w:rFonts w:ascii="Times New Roman" w:hAnsi="Times New Roman" w:cs="Times New Roman"/>
          <w:sz w:val="24"/>
          <w:szCs w:val="24"/>
        </w:rPr>
        <w:t xml:space="preserve"> activity can help maintain muscle mass and strength, improve balance and flexibility, and reduce the risk of chronic diseases such as diabetes, heart disease, and strok</w:t>
      </w:r>
      <w:r>
        <w:rPr>
          <w:rFonts w:ascii="Times New Roman" w:hAnsi="Times New Roman" w:cs="Times New Roman"/>
          <w:sz w:val="24"/>
          <w:szCs w:val="24"/>
        </w:rPr>
        <w:t>e.  Furthermore, Boulton, Horne and Todd (2018) suggest</w:t>
      </w:r>
      <w:r w:rsidRPr="002D0C9E">
        <w:t xml:space="preserve"> </w:t>
      </w:r>
      <w:r w:rsidRPr="002D0C9E">
        <w:rPr>
          <w:rFonts w:ascii="Times New Roman" w:hAnsi="Times New Roman" w:cs="Times New Roman"/>
          <w:sz w:val="24"/>
          <w:szCs w:val="24"/>
        </w:rPr>
        <w:t>exercise can promote social engagement and interaction, which is particularly important for older individuals who may experience social isolation or loneliness.</w:t>
      </w:r>
      <w:r>
        <w:rPr>
          <w:rFonts w:ascii="Times New Roman" w:hAnsi="Times New Roman" w:cs="Times New Roman"/>
          <w:sz w:val="24"/>
          <w:szCs w:val="24"/>
        </w:rPr>
        <w:t xml:space="preserve"> </w:t>
      </w:r>
      <w:r w:rsidRPr="002D0C9E">
        <w:rPr>
          <w:rFonts w:ascii="Times New Roman" w:hAnsi="Times New Roman" w:cs="Times New Roman"/>
          <w:sz w:val="24"/>
          <w:szCs w:val="24"/>
        </w:rPr>
        <w:t xml:space="preserve"> Group exercise classes or activities can provide opportunities for social interaction and support, which can </w:t>
      </w:r>
      <w:r>
        <w:rPr>
          <w:rFonts w:ascii="Times New Roman" w:hAnsi="Times New Roman" w:cs="Times New Roman"/>
          <w:sz w:val="24"/>
          <w:szCs w:val="24"/>
        </w:rPr>
        <w:t>positively impact</w:t>
      </w:r>
      <w:r w:rsidRPr="002D0C9E">
        <w:rPr>
          <w:rFonts w:ascii="Times New Roman" w:hAnsi="Times New Roman" w:cs="Times New Roman"/>
          <w:sz w:val="24"/>
          <w:szCs w:val="24"/>
        </w:rPr>
        <w:t xml:space="preserve"> mental well-being</w:t>
      </w:r>
      <w:r>
        <w:rPr>
          <w:rFonts w:ascii="Times New Roman" w:hAnsi="Times New Roman" w:cs="Times New Roman"/>
          <w:sz w:val="24"/>
          <w:szCs w:val="24"/>
        </w:rPr>
        <w:t xml:space="preserve"> as they are not isolated within their home environment (Mehra </w:t>
      </w:r>
      <w:r w:rsidRPr="00D97C69">
        <w:rPr>
          <w:rFonts w:ascii="Times New Roman" w:hAnsi="Times New Roman" w:cs="Times New Roman"/>
          <w:i/>
          <w:iCs/>
          <w:sz w:val="24"/>
          <w:szCs w:val="24"/>
        </w:rPr>
        <w:t>et al</w:t>
      </w:r>
      <w:r>
        <w:rPr>
          <w:rFonts w:ascii="Times New Roman" w:hAnsi="Times New Roman" w:cs="Times New Roman"/>
          <w:sz w:val="24"/>
          <w:szCs w:val="24"/>
        </w:rPr>
        <w:t>.</w:t>
      </w:r>
      <w:r w:rsidR="00680F67">
        <w:rPr>
          <w:rFonts w:ascii="Times New Roman" w:hAnsi="Times New Roman" w:cs="Times New Roman"/>
          <w:sz w:val="24"/>
          <w:szCs w:val="24"/>
        </w:rPr>
        <w:t xml:space="preserve"> </w:t>
      </w:r>
      <w:r>
        <w:rPr>
          <w:rFonts w:ascii="Times New Roman" w:hAnsi="Times New Roman" w:cs="Times New Roman"/>
          <w:sz w:val="24"/>
          <w:szCs w:val="24"/>
        </w:rPr>
        <w:t xml:space="preserve">2016).  It is upheld that exercise is a crucial component of a healthy lifestyle for older individuals, as it was observed by Snowhill </w:t>
      </w:r>
      <w:r w:rsidRPr="00BA0C5B">
        <w:rPr>
          <w:rFonts w:ascii="Times New Roman" w:hAnsi="Times New Roman" w:cs="Times New Roman"/>
          <w:i/>
          <w:iCs/>
          <w:sz w:val="24"/>
          <w:szCs w:val="24"/>
        </w:rPr>
        <w:t>et al</w:t>
      </w:r>
      <w:r>
        <w:rPr>
          <w:rFonts w:ascii="Times New Roman" w:hAnsi="Times New Roman" w:cs="Times New Roman"/>
          <w:sz w:val="24"/>
          <w:szCs w:val="24"/>
        </w:rPr>
        <w:t xml:space="preserve">. (2022) that those to engaged in regular routine of exercise relied less on health and social care services as they can retain their independence.  </w:t>
      </w:r>
    </w:p>
    <w:p w14:paraId="619FA3E5" w14:textId="0961F49B"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bookmarkEnd w:id="5"/>
      <w:r>
        <w:rPr>
          <w:rFonts w:ascii="Times New Roman" w:hAnsi="Times New Roman" w:cs="Times New Roman"/>
          <w:sz w:val="24"/>
          <w:szCs w:val="24"/>
        </w:rPr>
        <w:br/>
        <w:t xml:space="preserve">Secondly, as people age, they become more susceptible to developing worrisome health conditions that can affect their ability to live a healthy lifestyle, </w:t>
      </w:r>
      <w:r w:rsidRPr="001B6BCC">
        <w:rPr>
          <w:rFonts w:ascii="Times New Roman" w:hAnsi="Times New Roman" w:cs="Times New Roman"/>
          <w:sz w:val="24"/>
          <w:szCs w:val="24"/>
        </w:rPr>
        <w:t>and therefore they should prioritise regular medical examinations with their GP, to keep track of all health problems and to quickly address any issues that may arise</w:t>
      </w:r>
      <w:r>
        <w:rPr>
          <w:rFonts w:ascii="Times New Roman" w:hAnsi="Times New Roman" w:cs="Times New Roman"/>
          <w:sz w:val="24"/>
          <w:szCs w:val="24"/>
        </w:rPr>
        <w:t xml:space="preserve">, (National Institute on Ageing, 2024: Wilson, Kuh and Stafford, 2019).  It is McKelvie </w:t>
      </w:r>
      <w:r w:rsidRPr="001B6BCC">
        <w:rPr>
          <w:rFonts w:ascii="Times New Roman" w:hAnsi="Times New Roman" w:cs="Times New Roman"/>
          <w:i/>
          <w:iCs/>
          <w:sz w:val="24"/>
          <w:szCs w:val="24"/>
        </w:rPr>
        <w:t>et al</w:t>
      </w:r>
      <w:r>
        <w:rPr>
          <w:rFonts w:ascii="Times New Roman" w:hAnsi="Times New Roman" w:cs="Times New Roman"/>
          <w:sz w:val="24"/>
          <w:szCs w:val="24"/>
        </w:rPr>
        <w:t xml:space="preserve">. (2019) belief that making accurate diagnoses for serious infections is difficult for general practitioners and recommend regular screening for vulnerable individuals may reduce an older person's chances of being admitted to the hospital if it is identified earlier on.  A systematic review carried out by </w:t>
      </w:r>
      <w:r w:rsidRPr="008B0456">
        <w:rPr>
          <w:rFonts w:ascii="Times New Roman" w:hAnsi="Times New Roman" w:cs="Times New Roman"/>
          <w:sz w:val="24"/>
          <w:szCs w:val="24"/>
        </w:rPr>
        <w:t xml:space="preserve">Krogsbøll </w:t>
      </w:r>
      <w:r w:rsidRPr="008B0456">
        <w:rPr>
          <w:rFonts w:ascii="Times New Roman" w:hAnsi="Times New Roman" w:cs="Times New Roman"/>
          <w:i/>
          <w:iCs/>
          <w:sz w:val="24"/>
          <w:szCs w:val="24"/>
        </w:rPr>
        <w:t>et al.</w:t>
      </w:r>
      <w:r w:rsidRPr="008B0456">
        <w:rPr>
          <w:rFonts w:ascii="Times New Roman" w:hAnsi="Times New Roman" w:cs="Times New Roman"/>
          <w:sz w:val="24"/>
          <w:szCs w:val="24"/>
        </w:rPr>
        <w:t xml:space="preserve"> (2012</w:t>
      </w:r>
      <w:r>
        <w:rPr>
          <w:rFonts w:ascii="Times New Roman" w:hAnsi="Times New Roman" w:cs="Times New Roman"/>
          <w:sz w:val="24"/>
          <w:szCs w:val="24"/>
        </w:rPr>
        <w:t xml:space="preserve">) investigated the outcomes of regular health checks in adults regarding morbidity and mortality and revealed regular </w:t>
      </w:r>
      <w:r w:rsidRPr="008B0456">
        <w:rPr>
          <w:rFonts w:ascii="Times New Roman" w:hAnsi="Times New Roman" w:cs="Times New Roman"/>
          <w:sz w:val="24"/>
          <w:szCs w:val="24"/>
        </w:rPr>
        <w:t xml:space="preserve">screenings resulted in a noteworthy 20% rise in diagnoses per participant over </w:t>
      </w:r>
      <w:r>
        <w:rPr>
          <w:rFonts w:ascii="Times New Roman" w:hAnsi="Times New Roman" w:cs="Times New Roman"/>
          <w:sz w:val="24"/>
          <w:szCs w:val="24"/>
        </w:rPr>
        <w:t xml:space="preserve">six years.  Paterick </w:t>
      </w:r>
      <w:r w:rsidRPr="007D5C8C">
        <w:rPr>
          <w:rFonts w:ascii="Times New Roman" w:hAnsi="Times New Roman" w:cs="Times New Roman"/>
          <w:i/>
          <w:iCs/>
          <w:sz w:val="24"/>
          <w:szCs w:val="24"/>
        </w:rPr>
        <w:t>et al.</w:t>
      </w:r>
      <w:r>
        <w:rPr>
          <w:rFonts w:ascii="Times New Roman" w:hAnsi="Times New Roman" w:cs="Times New Roman"/>
          <w:sz w:val="24"/>
          <w:szCs w:val="24"/>
        </w:rPr>
        <w:t xml:space="preserve"> (2017) </w:t>
      </w:r>
      <w:r w:rsidR="00BF4388">
        <w:rPr>
          <w:rFonts w:ascii="Times New Roman" w:hAnsi="Times New Roman" w:cs="Times New Roman"/>
          <w:sz w:val="24"/>
          <w:szCs w:val="24"/>
        </w:rPr>
        <w:t>imply</w:t>
      </w:r>
      <w:r>
        <w:rPr>
          <w:rFonts w:ascii="Times New Roman" w:hAnsi="Times New Roman" w:cs="Times New Roman"/>
          <w:sz w:val="24"/>
          <w:szCs w:val="24"/>
        </w:rPr>
        <w:t xml:space="preserve"> identifying health concerns earlier allows general practitioners to communicate to their patients the potential risk their health condition presents, allowing their patients the choice to make informed decisions about their health, however, also note the outcome of their health depends on their patients' ability to change their lifestyle.</w:t>
      </w:r>
    </w:p>
    <w:p w14:paraId="445F7583" w14:textId="716B0A08"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Thirdly, modifications to the older person’s home, such as installing handrails or stair lifts can improve the older person’s ability to be mobile in their own home</w:t>
      </w:r>
      <w:r w:rsidR="00E220FB">
        <w:rPr>
          <w:rFonts w:ascii="Times New Roman" w:hAnsi="Times New Roman" w:cs="Times New Roman"/>
          <w:sz w:val="24"/>
          <w:szCs w:val="24"/>
        </w:rPr>
        <w:t>,</w:t>
      </w:r>
      <w:r>
        <w:rPr>
          <w:rFonts w:ascii="Times New Roman" w:hAnsi="Times New Roman" w:cs="Times New Roman"/>
          <w:sz w:val="24"/>
          <w:szCs w:val="24"/>
        </w:rPr>
        <w:t xml:space="preserve"> as well as retain their </w:t>
      </w:r>
      <w:r w:rsidR="00E220FB">
        <w:rPr>
          <w:rFonts w:ascii="Times New Roman" w:hAnsi="Times New Roman" w:cs="Times New Roman"/>
          <w:sz w:val="24"/>
          <w:szCs w:val="24"/>
        </w:rPr>
        <w:t>ability to be independent and live safely in an environment they are comfortable in (</w:t>
      </w:r>
      <w:proofErr w:type="spellStart"/>
      <w:r w:rsidR="00E220FB">
        <w:rPr>
          <w:rFonts w:ascii="Times New Roman" w:hAnsi="Times New Roman" w:cs="Times New Roman"/>
          <w:sz w:val="24"/>
          <w:szCs w:val="24"/>
        </w:rPr>
        <w:t>Fotteler</w:t>
      </w:r>
      <w:proofErr w:type="spellEnd"/>
      <w:r w:rsidR="00E220FB">
        <w:rPr>
          <w:rFonts w:ascii="Times New Roman" w:hAnsi="Times New Roman" w:cs="Times New Roman"/>
          <w:sz w:val="24"/>
          <w:szCs w:val="24"/>
        </w:rPr>
        <w:t xml:space="preserve"> </w:t>
      </w:r>
      <w:r w:rsidR="00E220FB" w:rsidRPr="00E220FB">
        <w:rPr>
          <w:rFonts w:ascii="Times New Roman" w:hAnsi="Times New Roman" w:cs="Times New Roman"/>
          <w:i/>
          <w:iCs/>
          <w:sz w:val="24"/>
          <w:szCs w:val="24"/>
        </w:rPr>
        <w:t>et al</w:t>
      </w:r>
      <w:r w:rsidR="00E220FB">
        <w:rPr>
          <w:rFonts w:ascii="Times New Roman" w:hAnsi="Times New Roman" w:cs="Times New Roman"/>
          <w:sz w:val="24"/>
          <w:szCs w:val="24"/>
        </w:rPr>
        <w:t>, 2022: Carnemolla and Bridge, 2019)</w:t>
      </w:r>
      <w:r>
        <w:rPr>
          <w:rFonts w:ascii="Times New Roman" w:hAnsi="Times New Roman" w:cs="Times New Roman"/>
          <w:sz w:val="24"/>
          <w:szCs w:val="24"/>
        </w:rPr>
        <w:t xml:space="preserve">.  There are services provided by the local councils that offer risk assessments to identify and eliminate any potential safety hazards (Strini, </w:t>
      </w:r>
      <w:proofErr w:type="spellStart"/>
      <w:r>
        <w:rPr>
          <w:rFonts w:ascii="Times New Roman" w:hAnsi="Times New Roman" w:cs="Times New Roman"/>
          <w:sz w:val="24"/>
          <w:szCs w:val="24"/>
        </w:rPr>
        <w:t>Schiavolin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Prendin</w:t>
      </w:r>
      <w:proofErr w:type="spellEnd"/>
      <w:r>
        <w:rPr>
          <w:rFonts w:ascii="Times New Roman" w:hAnsi="Times New Roman" w:cs="Times New Roman"/>
          <w:sz w:val="24"/>
          <w:szCs w:val="24"/>
        </w:rPr>
        <w:t xml:space="preserve">, 2021).  These services are vital for the well-being of older individuals with slight mobility issues, to </w:t>
      </w:r>
      <w:r w:rsidR="007E438A">
        <w:rPr>
          <w:rFonts w:ascii="Times New Roman" w:hAnsi="Times New Roman" w:cs="Times New Roman"/>
          <w:sz w:val="24"/>
          <w:szCs w:val="24"/>
        </w:rPr>
        <w:t>allow</w:t>
      </w:r>
      <w:r>
        <w:rPr>
          <w:rFonts w:ascii="Times New Roman" w:hAnsi="Times New Roman" w:cs="Times New Roman"/>
          <w:sz w:val="24"/>
          <w:szCs w:val="24"/>
        </w:rPr>
        <w:t xml:space="preserve"> them to maintain their independence, freedom and choice, as suggested by Motamed-Jahromi and </w:t>
      </w:r>
      <w:proofErr w:type="spellStart"/>
      <w:r>
        <w:rPr>
          <w:rFonts w:ascii="Times New Roman" w:hAnsi="Times New Roman" w:cs="Times New Roman"/>
          <w:sz w:val="24"/>
          <w:szCs w:val="24"/>
        </w:rPr>
        <w:t>Keveh</w:t>
      </w:r>
      <w:proofErr w:type="spellEnd"/>
      <w:r>
        <w:rPr>
          <w:rFonts w:ascii="Times New Roman" w:hAnsi="Times New Roman" w:cs="Times New Roman"/>
          <w:sz w:val="24"/>
          <w:szCs w:val="24"/>
        </w:rPr>
        <w:t xml:space="preserve"> (2020) by a</w:t>
      </w:r>
      <w:r w:rsidRPr="00D10583">
        <w:rPr>
          <w:rFonts w:ascii="Times New Roman" w:hAnsi="Times New Roman" w:cs="Times New Roman"/>
          <w:sz w:val="24"/>
          <w:szCs w:val="24"/>
        </w:rPr>
        <w:t>llowing older adults to make decisions about their lives can aid them in retaining a sense of control and dignity, which can have a positive impact on their mental health and social well-being</w:t>
      </w:r>
      <w:r>
        <w:rPr>
          <w:rFonts w:ascii="Times New Roman" w:hAnsi="Times New Roman" w:cs="Times New Roman"/>
          <w:sz w:val="24"/>
          <w:szCs w:val="24"/>
        </w:rPr>
        <w:t xml:space="preserve">. </w:t>
      </w:r>
    </w:p>
    <w:p w14:paraId="1D2BFCF5" w14:textId="77777777" w:rsidR="00543274" w:rsidRDefault="00543274" w:rsidP="00543274">
      <w:pPr>
        <w:spacing w:line="360" w:lineRule="auto"/>
        <w:rPr>
          <w:rFonts w:ascii="Times New Roman" w:hAnsi="Times New Roman" w:cs="Times New Roman"/>
          <w:sz w:val="24"/>
          <w:szCs w:val="24"/>
        </w:rPr>
      </w:pPr>
      <w:r w:rsidRPr="007931B3">
        <w:rPr>
          <w:rFonts w:ascii="Times New Roman" w:hAnsi="Times New Roman" w:cs="Times New Roman"/>
          <w:sz w:val="24"/>
          <w:szCs w:val="24"/>
        </w:rPr>
        <w:t>Another point to consider is the side effects of the medication prescribed may increase the risk of falls in the older person, with unpleasant experiences of dizziness, drowsiness</w:t>
      </w:r>
      <w:r>
        <w:rPr>
          <w:rFonts w:ascii="Times New Roman" w:hAnsi="Times New Roman" w:cs="Times New Roman"/>
          <w:sz w:val="24"/>
          <w:szCs w:val="24"/>
        </w:rPr>
        <w:t>, sluggishness</w:t>
      </w:r>
      <w:r w:rsidRPr="007931B3">
        <w:rPr>
          <w:rFonts w:ascii="Times New Roman" w:hAnsi="Times New Roman" w:cs="Times New Roman"/>
          <w:sz w:val="24"/>
          <w:szCs w:val="24"/>
        </w:rPr>
        <w:t xml:space="preserve"> and impaired balance, examples of such medications include sedatives, anti-depressants and blood-pressure drugs, (Oxford Health NHS Foundation Trust, 2024</w:t>
      </w:r>
      <w:r>
        <w:rPr>
          <w:rFonts w:ascii="Times New Roman" w:hAnsi="Times New Roman" w:cs="Times New Roman"/>
          <w:sz w:val="24"/>
          <w:szCs w:val="24"/>
        </w:rPr>
        <w:t>).</w:t>
      </w:r>
    </w:p>
    <w:p w14:paraId="3B93F8BA" w14:textId="15598340" w:rsidR="00543274" w:rsidRDefault="00543274" w:rsidP="00543274">
      <w:pPr>
        <w:spacing w:line="360" w:lineRule="auto"/>
        <w:rPr>
          <w:rFonts w:ascii="Times New Roman" w:hAnsi="Times New Roman" w:cs="Times New Roman"/>
          <w:sz w:val="24"/>
          <w:szCs w:val="24"/>
        </w:rPr>
      </w:pPr>
      <w:bookmarkStart w:id="6" w:name="_Hlk165033531"/>
      <w:r>
        <w:rPr>
          <w:rFonts w:ascii="Times New Roman" w:hAnsi="Times New Roman" w:cs="Times New Roman"/>
          <w:sz w:val="24"/>
          <w:szCs w:val="24"/>
        </w:rPr>
        <w:t xml:space="preserve">Jong, Van der Elst and </w:t>
      </w:r>
      <w:proofErr w:type="spellStart"/>
      <w:r>
        <w:rPr>
          <w:rFonts w:ascii="Times New Roman" w:hAnsi="Times New Roman" w:cs="Times New Roman"/>
          <w:sz w:val="24"/>
          <w:szCs w:val="24"/>
        </w:rPr>
        <w:t>Hartholt</w:t>
      </w:r>
      <w:proofErr w:type="spellEnd"/>
      <w:r>
        <w:rPr>
          <w:rFonts w:ascii="Times New Roman" w:hAnsi="Times New Roman" w:cs="Times New Roman"/>
          <w:sz w:val="24"/>
          <w:szCs w:val="24"/>
        </w:rPr>
        <w:t xml:space="preserve"> (2013) </w:t>
      </w:r>
      <w:bookmarkEnd w:id="6"/>
      <w:r>
        <w:rPr>
          <w:rFonts w:ascii="Times New Roman" w:hAnsi="Times New Roman" w:cs="Times New Roman"/>
          <w:sz w:val="24"/>
          <w:szCs w:val="24"/>
        </w:rPr>
        <w:t xml:space="preserve">claim in the past few decades, there has been a significant increase in prescribed medication among the older population, revealing that 72% of people over the age of 55 are at least taking one prescribed drug.  As a result, </w:t>
      </w:r>
      <w:r w:rsidRPr="005A59A6">
        <w:rPr>
          <w:rFonts w:ascii="Times New Roman" w:hAnsi="Times New Roman" w:cs="Times New Roman"/>
          <w:sz w:val="24"/>
          <w:szCs w:val="24"/>
        </w:rPr>
        <w:t xml:space="preserve">Jong, Van der Elst and </w:t>
      </w:r>
      <w:proofErr w:type="spellStart"/>
      <w:r w:rsidRPr="005A59A6">
        <w:rPr>
          <w:rFonts w:ascii="Times New Roman" w:hAnsi="Times New Roman" w:cs="Times New Roman"/>
          <w:sz w:val="24"/>
          <w:szCs w:val="24"/>
        </w:rPr>
        <w:t>Hartholt</w:t>
      </w:r>
      <w:proofErr w:type="spellEnd"/>
      <w:r w:rsidRPr="005A59A6">
        <w:rPr>
          <w:rFonts w:ascii="Times New Roman" w:hAnsi="Times New Roman" w:cs="Times New Roman"/>
          <w:sz w:val="24"/>
          <w:szCs w:val="24"/>
        </w:rPr>
        <w:t xml:space="preserve"> (2013</w:t>
      </w:r>
      <w:r>
        <w:rPr>
          <w:rFonts w:ascii="Times New Roman" w:hAnsi="Times New Roman" w:cs="Times New Roman"/>
          <w:sz w:val="24"/>
          <w:szCs w:val="24"/>
        </w:rPr>
        <w:t>) explain due to an increase in drug taking, there is a likelihood of adverse reactions, which may increase injury, mobility, or extremities mortality among the older p</w:t>
      </w:r>
      <w:r w:rsidR="00E220FB">
        <w:rPr>
          <w:rFonts w:ascii="Times New Roman" w:hAnsi="Times New Roman" w:cs="Times New Roman"/>
          <w:sz w:val="24"/>
          <w:szCs w:val="24"/>
        </w:rPr>
        <w:t xml:space="preserve">opulation. </w:t>
      </w:r>
    </w:p>
    <w:p w14:paraId="36B9DA7A" w14:textId="77777777"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 xml:space="preserve">To reduce the risk of falls, the NHS has provided a list of commonly prescribed medications with adverse side effects to review for their patients and adjust them as needed, this may involve switching to safer alternatives, reducing the patient's dosage, or discounting the medication altogether after deeming the consequences as unnecessary, (NHS Inform, 2024: NHS Somerset, 2011).  </w:t>
      </w:r>
    </w:p>
    <w:p w14:paraId="12FF4B2C" w14:textId="77777777" w:rsidR="00543274" w:rsidRDefault="00543274" w:rsidP="00543274">
      <w:pPr>
        <w:spacing w:line="360" w:lineRule="auto"/>
        <w:rPr>
          <w:rFonts w:ascii="Times New Roman" w:hAnsi="Times New Roman" w:cs="Times New Roman"/>
          <w:sz w:val="24"/>
          <w:szCs w:val="24"/>
        </w:rPr>
      </w:pPr>
      <w:r>
        <w:rPr>
          <w:rFonts w:ascii="Times New Roman" w:hAnsi="Times New Roman" w:cs="Times New Roman"/>
          <w:sz w:val="24"/>
          <w:szCs w:val="24"/>
        </w:rPr>
        <w:t xml:space="preserve">Overall, medication management has been shown to contribute to the likelihood of falls in older people and therefore drug prescriptions for older patients require close attention particularly since reactions from medications vary between each patient, (Kannus </w:t>
      </w:r>
      <w:r w:rsidRPr="00875F6B">
        <w:rPr>
          <w:rFonts w:ascii="Times New Roman" w:hAnsi="Times New Roman" w:cs="Times New Roman"/>
          <w:i/>
          <w:iCs/>
          <w:sz w:val="24"/>
          <w:szCs w:val="24"/>
        </w:rPr>
        <w:t>et al</w:t>
      </w:r>
      <w:r>
        <w:rPr>
          <w:rFonts w:ascii="Times New Roman" w:hAnsi="Times New Roman" w:cs="Times New Roman"/>
          <w:sz w:val="24"/>
          <w:szCs w:val="24"/>
        </w:rPr>
        <w:t xml:space="preserve">., 2005).  </w:t>
      </w:r>
      <w:r w:rsidRPr="00FA0123">
        <w:rPr>
          <w:rFonts w:ascii="Times New Roman" w:hAnsi="Times New Roman" w:cs="Times New Roman"/>
          <w:sz w:val="24"/>
          <w:szCs w:val="24"/>
        </w:rPr>
        <w:t xml:space="preserve">It is necessary to conduct further research to identify the best strategies to prevent the use of multiple drugs and their interactions among the </w:t>
      </w:r>
      <w:r>
        <w:rPr>
          <w:rFonts w:ascii="Times New Roman" w:hAnsi="Times New Roman" w:cs="Times New Roman"/>
          <w:sz w:val="24"/>
          <w:szCs w:val="24"/>
        </w:rPr>
        <w:t>increasingly</w:t>
      </w:r>
      <w:r w:rsidRPr="00FA0123">
        <w:rPr>
          <w:rFonts w:ascii="Times New Roman" w:hAnsi="Times New Roman" w:cs="Times New Roman"/>
          <w:sz w:val="24"/>
          <w:szCs w:val="24"/>
        </w:rPr>
        <w:t xml:space="preserve"> older population, and healthcare professionals should be mindful and considerate of the potential risks associated with certain medications that can contribute to falls</w:t>
      </w:r>
      <w:r>
        <w:rPr>
          <w:rFonts w:ascii="Times New Roman" w:hAnsi="Times New Roman" w:cs="Times New Roman"/>
          <w:sz w:val="24"/>
          <w:szCs w:val="24"/>
        </w:rPr>
        <w:t xml:space="preserve">, (Shuang </w:t>
      </w:r>
      <w:r w:rsidRPr="00FA0123">
        <w:rPr>
          <w:rFonts w:ascii="Times New Roman" w:hAnsi="Times New Roman" w:cs="Times New Roman"/>
          <w:i/>
          <w:iCs/>
          <w:sz w:val="24"/>
          <w:szCs w:val="24"/>
        </w:rPr>
        <w:t>et al</w:t>
      </w:r>
      <w:r>
        <w:rPr>
          <w:rFonts w:ascii="Times New Roman" w:hAnsi="Times New Roman" w:cs="Times New Roman"/>
          <w:sz w:val="24"/>
          <w:szCs w:val="24"/>
        </w:rPr>
        <w:t xml:space="preserve">., 2022). </w:t>
      </w:r>
    </w:p>
    <w:p w14:paraId="6DC2DAC4" w14:textId="7C46E88A" w:rsidR="00473DB4" w:rsidRPr="00473DB4" w:rsidRDefault="00473DB4" w:rsidP="00473DB4">
      <w:pPr>
        <w:pStyle w:val="Heading2"/>
      </w:pPr>
      <w:bookmarkStart w:id="7" w:name="_Toc165423554"/>
      <w:r>
        <w:t>Recommendations</w:t>
      </w:r>
      <w:bookmarkEnd w:id="7"/>
    </w:p>
    <w:p w14:paraId="198D1E05" w14:textId="7FFFE44E" w:rsidR="00473DB4" w:rsidRPr="00BC612C" w:rsidRDefault="005205CA" w:rsidP="00473DB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To combat the challenges that threaten older people’s ability to maintain their freedom and independence, there are several strategies in place to prevent dependency and a loss of autonomy</w:t>
      </w:r>
      <w:r w:rsidR="003E521E">
        <w:rPr>
          <w:rFonts w:ascii="Times New Roman" w:hAnsi="Times New Roman" w:cs="Times New Roman"/>
          <w:sz w:val="24"/>
          <w:szCs w:val="24"/>
        </w:rPr>
        <w:t>.  Firstly, keeping physically active can improve balance, muscle strength, coordination and maintain a healthy weight, which can all help reduce the risk of falling.  Secondly ensuring that people’s homes are free of falling hazards</w:t>
      </w:r>
      <w:r w:rsidR="00BC612C">
        <w:rPr>
          <w:rFonts w:ascii="Times New Roman" w:hAnsi="Times New Roman" w:cs="Times New Roman"/>
          <w:sz w:val="24"/>
          <w:szCs w:val="24"/>
        </w:rPr>
        <w:t xml:space="preserve"> and installing handrails will provide additional support to more vulnerable persons.  Thirdly, regular health checks, including GP and optician’s visits can all aid and address any underlying medical conditions.  Lastly, staying socially active can improve mental well-being as being engaged with the community, </w:t>
      </w:r>
      <w:r w:rsidR="00E96E8F">
        <w:rPr>
          <w:rFonts w:ascii="Times New Roman" w:hAnsi="Times New Roman" w:cs="Times New Roman"/>
          <w:sz w:val="24"/>
          <w:szCs w:val="24"/>
        </w:rPr>
        <w:t xml:space="preserve">and </w:t>
      </w:r>
      <w:r w:rsidR="00BC612C">
        <w:rPr>
          <w:rFonts w:ascii="Times New Roman" w:hAnsi="Times New Roman" w:cs="Times New Roman"/>
          <w:sz w:val="24"/>
          <w:szCs w:val="24"/>
        </w:rPr>
        <w:t xml:space="preserve">third-sector organisations, </w:t>
      </w:r>
      <w:r w:rsidR="00E96E8F">
        <w:rPr>
          <w:rFonts w:ascii="Times New Roman" w:hAnsi="Times New Roman" w:cs="Times New Roman"/>
          <w:sz w:val="24"/>
          <w:szCs w:val="24"/>
        </w:rPr>
        <w:t xml:space="preserve">and </w:t>
      </w:r>
      <w:r w:rsidR="00BC612C">
        <w:rPr>
          <w:rFonts w:ascii="Times New Roman" w:hAnsi="Times New Roman" w:cs="Times New Roman"/>
          <w:sz w:val="24"/>
          <w:szCs w:val="24"/>
        </w:rPr>
        <w:t xml:space="preserve">having hobbies will all contribute to a decrease </w:t>
      </w:r>
      <w:r w:rsidR="00E96E8F">
        <w:rPr>
          <w:rFonts w:ascii="Times New Roman" w:hAnsi="Times New Roman" w:cs="Times New Roman"/>
          <w:sz w:val="24"/>
          <w:szCs w:val="24"/>
        </w:rPr>
        <w:t>in</w:t>
      </w:r>
      <w:r w:rsidR="00BC612C">
        <w:rPr>
          <w:rFonts w:ascii="Times New Roman" w:hAnsi="Times New Roman" w:cs="Times New Roman"/>
          <w:sz w:val="24"/>
          <w:szCs w:val="24"/>
        </w:rPr>
        <w:t xml:space="preserve"> </w:t>
      </w:r>
      <w:r w:rsidR="00E96E8F">
        <w:rPr>
          <w:rFonts w:ascii="Times New Roman" w:hAnsi="Times New Roman" w:cs="Times New Roman"/>
          <w:sz w:val="24"/>
          <w:szCs w:val="24"/>
        </w:rPr>
        <w:t xml:space="preserve">the </w:t>
      </w:r>
      <w:r w:rsidR="00BC612C">
        <w:rPr>
          <w:rFonts w:ascii="Times New Roman" w:hAnsi="Times New Roman" w:cs="Times New Roman"/>
          <w:sz w:val="24"/>
          <w:szCs w:val="24"/>
        </w:rPr>
        <w:t>risk of depression and isolation</w:t>
      </w:r>
      <w:r w:rsidR="00BC612C" w:rsidRPr="00BC612C">
        <w:rPr>
          <w:rFonts w:ascii="Times New Roman" w:hAnsi="Times New Roman" w:cs="Times New Roman"/>
          <w:sz w:val="24"/>
          <w:szCs w:val="24"/>
        </w:rPr>
        <w:t xml:space="preserve">. </w:t>
      </w:r>
    </w:p>
    <w:p w14:paraId="44412699" w14:textId="04F080E2" w:rsidR="000E32C7" w:rsidRDefault="0043362A" w:rsidP="00FA572F">
      <w:pPr>
        <w:pStyle w:val="Heading2"/>
      </w:pPr>
      <w:bookmarkStart w:id="8" w:name="_Toc165423555"/>
      <w:r>
        <w:t>Conclusion</w:t>
      </w:r>
      <w:bookmarkEnd w:id="8"/>
    </w:p>
    <w:p w14:paraId="19BAC959" w14:textId="7F2B5E18" w:rsidR="0043362A" w:rsidRDefault="00FA572F" w:rsidP="00FA572F">
      <w:pPr>
        <w:spacing w:line="360" w:lineRule="auto"/>
        <w:rPr>
          <w:rFonts w:ascii="Times New Roman" w:hAnsi="Times New Roman" w:cs="Times New Roman"/>
          <w:sz w:val="24"/>
          <w:szCs w:val="24"/>
        </w:rPr>
      </w:pPr>
      <w:r w:rsidRPr="00FA572F">
        <w:rPr>
          <w:rFonts w:ascii="Times New Roman" w:hAnsi="Times New Roman" w:cs="Times New Roman"/>
          <w:sz w:val="24"/>
          <w:szCs w:val="24"/>
        </w:rPr>
        <w:t xml:space="preserve">To conclude, it is important to recognise that as individuals age, they may face difficulties in maintaining their independence, living freely, and exercising their autonomy.  Because ageing is a natural process, everyone needs to reflect on these challenges and acknowledge the impact they can have on their health and independence.  As the UK continues to become an ageing population, the government and health care services need to address potential challenges that come alongside </w:t>
      </w:r>
      <w:r w:rsidR="003A13CF">
        <w:rPr>
          <w:rFonts w:ascii="Times New Roman" w:hAnsi="Times New Roman" w:cs="Times New Roman"/>
          <w:sz w:val="24"/>
          <w:szCs w:val="24"/>
        </w:rPr>
        <w:t>it</w:t>
      </w:r>
      <w:r w:rsidRPr="00FA572F">
        <w:rPr>
          <w:rFonts w:ascii="Times New Roman" w:hAnsi="Times New Roman" w:cs="Times New Roman"/>
          <w:sz w:val="24"/>
          <w:szCs w:val="24"/>
        </w:rPr>
        <w:t>.  By implementing fall prevention techniques such as exercise, a healthy diet, regular medical examinations, home modifications, and risk assessments, older adults can maintain their quality of life and independence for longer.  Allowing older adults to make decisions about their lives, can help ensure that older adults can live well and age gracefully.</w:t>
      </w:r>
    </w:p>
    <w:p w14:paraId="3F00E9C3" w14:textId="77777777" w:rsidR="003A13CF" w:rsidRDefault="003A13CF" w:rsidP="00FA572F">
      <w:pPr>
        <w:spacing w:line="360" w:lineRule="auto"/>
        <w:rPr>
          <w:rFonts w:ascii="Times New Roman" w:hAnsi="Times New Roman" w:cs="Times New Roman"/>
          <w:sz w:val="24"/>
          <w:szCs w:val="24"/>
        </w:rPr>
      </w:pPr>
    </w:p>
    <w:p w14:paraId="30257EEC" w14:textId="77777777" w:rsidR="003A13CF" w:rsidRDefault="003A13CF" w:rsidP="00FA572F">
      <w:pPr>
        <w:spacing w:line="360" w:lineRule="auto"/>
        <w:rPr>
          <w:rFonts w:ascii="Times New Roman" w:hAnsi="Times New Roman" w:cs="Times New Roman"/>
          <w:sz w:val="24"/>
          <w:szCs w:val="24"/>
        </w:rPr>
      </w:pPr>
    </w:p>
    <w:p w14:paraId="1FF39156" w14:textId="77777777" w:rsidR="003A13CF" w:rsidRDefault="003A13CF" w:rsidP="00FA572F">
      <w:pPr>
        <w:spacing w:line="360" w:lineRule="auto"/>
        <w:rPr>
          <w:rFonts w:ascii="Times New Roman" w:hAnsi="Times New Roman" w:cs="Times New Roman"/>
          <w:sz w:val="24"/>
          <w:szCs w:val="24"/>
        </w:rPr>
      </w:pPr>
    </w:p>
    <w:p w14:paraId="5AD30F8B" w14:textId="77777777" w:rsidR="003A13CF" w:rsidRDefault="003A13CF" w:rsidP="00FA572F">
      <w:pPr>
        <w:spacing w:line="360" w:lineRule="auto"/>
        <w:rPr>
          <w:rFonts w:ascii="Times New Roman" w:hAnsi="Times New Roman" w:cs="Times New Roman"/>
          <w:sz w:val="24"/>
          <w:szCs w:val="24"/>
        </w:rPr>
      </w:pPr>
    </w:p>
    <w:p w14:paraId="4B9FD322" w14:textId="77777777" w:rsidR="003A13CF" w:rsidRDefault="003A13CF" w:rsidP="00FA572F">
      <w:pPr>
        <w:spacing w:line="360" w:lineRule="auto"/>
        <w:rPr>
          <w:rFonts w:ascii="Times New Roman" w:hAnsi="Times New Roman" w:cs="Times New Roman"/>
          <w:sz w:val="24"/>
          <w:szCs w:val="24"/>
        </w:rPr>
      </w:pPr>
    </w:p>
    <w:p w14:paraId="6935A289" w14:textId="77777777" w:rsidR="003A13CF" w:rsidRDefault="003A13CF" w:rsidP="00FA572F">
      <w:pPr>
        <w:spacing w:line="360" w:lineRule="auto"/>
        <w:rPr>
          <w:rFonts w:ascii="Times New Roman" w:hAnsi="Times New Roman" w:cs="Times New Roman"/>
          <w:sz w:val="24"/>
          <w:szCs w:val="24"/>
        </w:rPr>
      </w:pPr>
    </w:p>
    <w:p w14:paraId="00E42D5C" w14:textId="77777777" w:rsidR="003A13CF" w:rsidRDefault="003A13CF" w:rsidP="00FA572F">
      <w:pPr>
        <w:spacing w:line="360" w:lineRule="auto"/>
        <w:rPr>
          <w:rFonts w:ascii="Times New Roman" w:hAnsi="Times New Roman" w:cs="Times New Roman"/>
          <w:sz w:val="24"/>
          <w:szCs w:val="24"/>
        </w:rPr>
      </w:pPr>
    </w:p>
    <w:p w14:paraId="1C77372A" w14:textId="77777777" w:rsidR="003A13CF" w:rsidRDefault="003A13CF" w:rsidP="00FA572F">
      <w:pPr>
        <w:spacing w:line="360" w:lineRule="auto"/>
        <w:rPr>
          <w:rFonts w:ascii="Times New Roman" w:hAnsi="Times New Roman" w:cs="Times New Roman"/>
          <w:sz w:val="24"/>
          <w:szCs w:val="24"/>
        </w:rPr>
      </w:pPr>
    </w:p>
    <w:p w14:paraId="29239108" w14:textId="77777777" w:rsidR="003A13CF" w:rsidRDefault="003A13CF" w:rsidP="00FA572F">
      <w:pPr>
        <w:spacing w:line="360" w:lineRule="auto"/>
        <w:rPr>
          <w:rFonts w:ascii="Times New Roman" w:hAnsi="Times New Roman" w:cs="Times New Roman"/>
          <w:sz w:val="24"/>
          <w:szCs w:val="24"/>
        </w:rPr>
      </w:pPr>
    </w:p>
    <w:p w14:paraId="3F70AF50" w14:textId="77777777" w:rsidR="003A13CF" w:rsidRDefault="003A13CF" w:rsidP="00FA572F">
      <w:pPr>
        <w:spacing w:line="360" w:lineRule="auto"/>
        <w:rPr>
          <w:rFonts w:ascii="Times New Roman" w:hAnsi="Times New Roman" w:cs="Times New Roman"/>
          <w:sz w:val="24"/>
          <w:szCs w:val="24"/>
        </w:rPr>
      </w:pPr>
    </w:p>
    <w:p w14:paraId="361E23A6" w14:textId="77777777" w:rsidR="003A13CF" w:rsidRDefault="003A13CF" w:rsidP="00FA572F">
      <w:pPr>
        <w:spacing w:line="360" w:lineRule="auto"/>
        <w:rPr>
          <w:rFonts w:ascii="Times New Roman" w:hAnsi="Times New Roman" w:cs="Times New Roman"/>
          <w:sz w:val="24"/>
          <w:szCs w:val="24"/>
        </w:rPr>
      </w:pPr>
    </w:p>
    <w:p w14:paraId="6B67CFAC" w14:textId="77777777" w:rsidR="003A13CF" w:rsidRDefault="003A13CF" w:rsidP="00FA572F">
      <w:pPr>
        <w:spacing w:line="360" w:lineRule="auto"/>
        <w:rPr>
          <w:rFonts w:ascii="Times New Roman" w:hAnsi="Times New Roman" w:cs="Times New Roman"/>
          <w:sz w:val="24"/>
          <w:szCs w:val="24"/>
        </w:rPr>
      </w:pPr>
    </w:p>
    <w:p w14:paraId="20B3E0C2" w14:textId="77777777" w:rsidR="003A13CF" w:rsidRDefault="003A13CF" w:rsidP="00FA572F">
      <w:pPr>
        <w:spacing w:line="360" w:lineRule="auto"/>
        <w:rPr>
          <w:rFonts w:ascii="Times New Roman" w:hAnsi="Times New Roman" w:cs="Times New Roman"/>
          <w:sz w:val="24"/>
          <w:szCs w:val="24"/>
        </w:rPr>
      </w:pPr>
    </w:p>
    <w:p w14:paraId="45E37710" w14:textId="77777777" w:rsidR="003A13CF" w:rsidRDefault="003A13CF" w:rsidP="00FA572F">
      <w:pPr>
        <w:spacing w:line="360" w:lineRule="auto"/>
        <w:rPr>
          <w:rFonts w:ascii="Times New Roman" w:hAnsi="Times New Roman" w:cs="Times New Roman"/>
          <w:sz w:val="24"/>
          <w:szCs w:val="24"/>
        </w:rPr>
      </w:pPr>
    </w:p>
    <w:p w14:paraId="4B15837C" w14:textId="77777777" w:rsidR="003A13CF" w:rsidRDefault="003A13CF" w:rsidP="00FA572F">
      <w:pPr>
        <w:spacing w:line="360" w:lineRule="auto"/>
        <w:rPr>
          <w:rFonts w:ascii="Times New Roman" w:hAnsi="Times New Roman" w:cs="Times New Roman"/>
          <w:sz w:val="24"/>
          <w:szCs w:val="24"/>
        </w:rPr>
      </w:pPr>
    </w:p>
    <w:p w14:paraId="23099308" w14:textId="77777777" w:rsidR="003A13CF" w:rsidRDefault="003A13CF" w:rsidP="00FA572F">
      <w:pPr>
        <w:spacing w:line="360" w:lineRule="auto"/>
        <w:rPr>
          <w:rFonts w:ascii="Times New Roman" w:hAnsi="Times New Roman" w:cs="Times New Roman"/>
          <w:sz w:val="24"/>
          <w:szCs w:val="24"/>
        </w:rPr>
      </w:pPr>
    </w:p>
    <w:p w14:paraId="3E7FADDF" w14:textId="78319AB7" w:rsidR="003A13CF" w:rsidRDefault="003A13CF" w:rsidP="003A13CF">
      <w:pPr>
        <w:rPr>
          <w:rFonts w:ascii="Times New Roman" w:hAnsi="Times New Roman" w:cs="Times New Roman"/>
          <w:sz w:val="24"/>
          <w:szCs w:val="24"/>
        </w:rPr>
      </w:pPr>
      <w:bookmarkStart w:id="9" w:name="_Toc165423556"/>
      <w:bookmarkStart w:id="10" w:name="_Hlk165423318"/>
      <w:r w:rsidRPr="003A13CF">
        <w:rPr>
          <w:rStyle w:val="Heading2Char"/>
        </w:rPr>
        <w:t>Reference List</w:t>
      </w:r>
      <w:bookmarkEnd w:id="9"/>
      <w:r w:rsidRPr="003A13CF">
        <w:rPr>
          <w:rStyle w:val="Heading2Char"/>
        </w:rPr>
        <w:br/>
      </w:r>
      <w:r>
        <w:rPr>
          <w:rFonts w:ascii="Times New Roman" w:hAnsi="Times New Roman" w:cs="Times New Roman"/>
          <w:sz w:val="24"/>
          <w:szCs w:val="24"/>
        </w:rPr>
        <w:br/>
        <w:t>Action for Elders (2024</w:t>
      </w:r>
      <w:r w:rsidRPr="00495C8E">
        <w:rPr>
          <w:rFonts w:ascii="Times New Roman" w:hAnsi="Times New Roman" w:cs="Times New Roman"/>
          <w:i/>
          <w:iCs/>
          <w:sz w:val="24"/>
          <w:szCs w:val="24"/>
        </w:rPr>
        <w:t xml:space="preserve">) The Benefits of </w:t>
      </w:r>
      <w:r>
        <w:rPr>
          <w:rFonts w:ascii="Times New Roman" w:hAnsi="Times New Roman" w:cs="Times New Roman"/>
          <w:i/>
          <w:iCs/>
          <w:sz w:val="24"/>
          <w:szCs w:val="24"/>
        </w:rPr>
        <w:t>Physical Activity</w:t>
      </w:r>
      <w:r w:rsidRPr="00495C8E">
        <w:rPr>
          <w:rFonts w:ascii="Times New Roman" w:hAnsi="Times New Roman" w:cs="Times New Roman"/>
          <w:i/>
          <w:iCs/>
          <w:sz w:val="24"/>
          <w:szCs w:val="24"/>
        </w:rPr>
        <w:t xml:space="preserve"> of any </w:t>
      </w:r>
      <w:r>
        <w:rPr>
          <w:rFonts w:ascii="Times New Roman" w:hAnsi="Times New Roman" w:cs="Times New Roman"/>
          <w:i/>
          <w:iCs/>
          <w:sz w:val="24"/>
          <w:szCs w:val="24"/>
        </w:rPr>
        <w:t>Age</w:t>
      </w:r>
      <w:r w:rsidRPr="00495C8E">
        <w:rPr>
          <w:rFonts w:ascii="Times New Roman" w:hAnsi="Times New Roman" w:cs="Times New Roman"/>
          <w:i/>
          <w:iCs/>
          <w:sz w:val="24"/>
          <w:szCs w:val="24"/>
        </w:rPr>
        <w:t>: Physical activity is good for you</w:t>
      </w:r>
      <w:r>
        <w:rPr>
          <w:rFonts w:ascii="Times New Roman" w:hAnsi="Times New Roman" w:cs="Times New Roman"/>
          <w:sz w:val="24"/>
          <w:szCs w:val="24"/>
        </w:rPr>
        <w:t xml:space="preserve">. Available at: </w:t>
      </w:r>
      <w:hyperlink r:id="rId4" w:history="1">
        <w:r w:rsidRPr="00B07949">
          <w:rPr>
            <w:rStyle w:val="Hyperlink"/>
            <w:rFonts w:ascii="Times New Roman" w:hAnsi="Times New Roman" w:cs="Times New Roman"/>
            <w:sz w:val="24"/>
            <w:szCs w:val="24"/>
          </w:rPr>
          <w:t>https://www.actionforelders.org.uk/the-benefits-of-physical-activity/?gad_source=1&amp;gclid=EAIaIQobChMInsyc09rchAMVWpNQBh20vwWhEAAYASAAEgJhIfD_BwE</w:t>
        </w:r>
      </w:hyperlink>
      <w:r>
        <w:rPr>
          <w:rFonts w:ascii="Times New Roman" w:hAnsi="Times New Roman" w:cs="Times New Roman"/>
          <w:sz w:val="24"/>
          <w:szCs w:val="24"/>
        </w:rPr>
        <w:t xml:space="preserve"> (Accessed: 1</w:t>
      </w:r>
      <w:r w:rsidRPr="00495C8E">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2024). </w:t>
      </w:r>
    </w:p>
    <w:p w14:paraId="433E0D11" w14:textId="77777777" w:rsidR="003A13CF" w:rsidRDefault="003A13CF" w:rsidP="003A13CF">
      <w:pPr>
        <w:rPr>
          <w:rFonts w:ascii="Times New Roman" w:hAnsi="Times New Roman" w:cs="Times New Roman"/>
          <w:sz w:val="24"/>
          <w:szCs w:val="24"/>
        </w:rPr>
      </w:pPr>
      <w:bookmarkStart w:id="11" w:name="_Hlk165423090"/>
      <w:r w:rsidRPr="00FA1230">
        <w:rPr>
          <w:rFonts w:ascii="Times New Roman" w:hAnsi="Times New Roman" w:cs="Times New Roman"/>
          <w:sz w:val="24"/>
          <w:szCs w:val="24"/>
        </w:rPr>
        <w:t>Asiamah, N. (2017</w:t>
      </w:r>
      <w:bookmarkEnd w:id="11"/>
      <w:r w:rsidRPr="00FA1230">
        <w:rPr>
          <w:rFonts w:ascii="Times New Roman" w:hAnsi="Times New Roman" w:cs="Times New Roman"/>
          <w:sz w:val="24"/>
          <w:szCs w:val="24"/>
        </w:rPr>
        <w:t xml:space="preserve">) “Social engagement and physical activity: Commentary on why the activity and disengagement theories of ageing may both be valid,” </w:t>
      </w:r>
      <w:r w:rsidRPr="00FA1230">
        <w:rPr>
          <w:rFonts w:ascii="Times New Roman" w:hAnsi="Times New Roman" w:cs="Times New Roman"/>
          <w:i/>
          <w:iCs/>
          <w:sz w:val="24"/>
          <w:szCs w:val="24"/>
        </w:rPr>
        <w:t>Cogent Medicine</w:t>
      </w:r>
      <w:r w:rsidRPr="00FA1230">
        <w:rPr>
          <w:rFonts w:ascii="Times New Roman" w:hAnsi="Times New Roman" w:cs="Times New Roman"/>
          <w:sz w:val="24"/>
          <w:szCs w:val="24"/>
        </w:rPr>
        <w:t xml:space="preserve">, 4(1), pp. 1289664-. Available at: </w:t>
      </w:r>
      <w:hyperlink r:id="rId5" w:history="1">
        <w:r w:rsidRPr="00AD6BE7">
          <w:rPr>
            <w:rStyle w:val="Hyperlink"/>
            <w:rFonts w:ascii="Times New Roman" w:hAnsi="Times New Roman" w:cs="Times New Roman"/>
            <w:sz w:val="24"/>
            <w:szCs w:val="24"/>
          </w:rPr>
          <w:t>https://doi.org/10.1080/2331205X.2017.1289664</w:t>
        </w:r>
      </w:hyperlink>
      <w:r w:rsidRPr="00FA1230">
        <w:rPr>
          <w:rFonts w:ascii="Times New Roman" w:hAnsi="Times New Roman" w:cs="Times New Roman"/>
          <w:sz w:val="24"/>
          <w:szCs w:val="24"/>
        </w:rPr>
        <w:t>.</w:t>
      </w:r>
      <w:r>
        <w:rPr>
          <w:rFonts w:ascii="Times New Roman" w:hAnsi="Times New Roman" w:cs="Times New Roman"/>
          <w:sz w:val="24"/>
          <w:szCs w:val="24"/>
        </w:rPr>
        <w:t xml:space="preserve"> </w:t>
      </w:r>
    </w:p>
    <w:p w14:paraId="3E8822D6" w14:textId="77777777" w:rsidR="003A13CF"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Beam, C.R. and Kim, A.J. (2020) “Psychological Sequelae of Social Isolation and Loneliness Might Be a Larger Problem in Young Adults Than Older Adults,” </w:t>
      </w:r>
      <w:r w:rsidRPr="00975D61">
        <w:rPr>
          <w:rFonts w:ascii="Times New Roman" w:hAnsi="Times New Roman" w:cs="Times New Roman"/>
          <w:i/>
          <w:iCs/>
          <w:sz w:val="24"/>
          <w:szCs w:val="24"/>
        </w:rPr>
        <w:t>Psychological trauma</w:t>
      </w:r>
      <w:r w:rsidRPr="00495C8E">
        <w:rPr>
          <w:rFonts w:ascii="Times New Roman" w:hAnsi="Times New Roman" w:cs="Times New Roman"/>
          <w:sz w:val="24"/>
          <w:szCs w:val="24"/>
        </w:rPr>
        <w:t xml:space="preserve">, 12(S1), pp. S58–S60. Available at: </w:t>
      </w:r>
      <w:hyperlink r:id="rId6" w:history="1">
        <w:r w:rsidRPr="00495C8E">
          <w:rPr>
            <w:rStyle w:val="Hyperlink"/>
            <w:rFonts w:ascii="Times New Roman" w:hAnsi="Times New Roman" w:cs="Times New Roman"/>
            <w:sz w:val="24"/>
            <w:szCs w:val="24"/>
          </w:rPr>
          <w:t>https://doi.org/10.1037/tra0000774</w:t>
        </w:r>
      </w:hyperlink>
      <w:r w:rsidRPr="00495C8E">
        <w:rPr>
          <w:rFonts w:ascii="Times New Roman" w:hAnsi="Times New Roman" w:cs="Times New Roman"/>
          <w:sz w:val="24"/>
          <w:szCs w:val="24"/>
        </w:rPr>
        <w:t xml:space="preserve">. </w:t>
      </w:r>
    </w:p>
    <w:p w14:paraId="07AD4788" w14:textId="77777777" w:rsidR="003A13CF" w:rsidRDefault="003A13CF" w:rsidP="003A13CF">
      <w:pPr>
        <w:rPr>
          <w:rFonts w:ascii="Times New Roman" w:hAnsi="Times New Roman" w:cs="Times New Roman"/>
          <w:sz w:val="24"/>
          <w:szCs w:val="24"/>
        </w:rPr>
      </w:pPr>
      <w:r w:rsidRPr="002D2088">
        <w:rPr>
          <w:rFonts w:ascii="Times New Roman" w:hAnsi="Times New Roman" w:cs="Times New Roman"/>
          <w:sz w:val="24"/>
          <w:szCs w:val="24"/>
        </w:rPr>
        <w:t xml:space="preserve">Boulton, E.R., Horne, M. and Todd, C. (2018) “Multiple influences on participating in physical activity in older age: Developing a </w:t>
      </w:r>
      <w:r>
        <w:rPr>
          <w:rFonts w:ascii="Times New Roman" w:hAnsi="Times New Roman" w:cs="Times New Roman"/>
          <w:sz w:val="24"/>
          <w:szCs w:val="24"/>
        </w:rPr>
        <w:t>social-ecological</w:t>
      </w:r>
      <w:r w:rsidRPr="002D2088">
        <w:rPr>
          <w:rFonts w:ascii="Times New Roman" w:hAnsi="Times New Roman" w:cs="Times New Roman"/>
          <w:sz w:val="24"/>
          <w:szCs w:val="24"/>
        </w:rPr>
        <w:t xml:space="preserve"> approach</w:t>
      </w:r>
      <w:r w:rsidRPr="002D2088">
        <w:rPr>
          <w:rFonts w:ascii="Times New Roman" w:hAnsi="Times New Roman" w:cs="Times New Roman"/>
          <w:i/>
          <w:iCs/>
          <w:sz w:val="24"/>
          <w:szCs w:val="24"/>
        </w:rPr>
        <w:t>,” Health expectations: an international journal of public participation in health care and health policy</w:t>
      </w:r>
      <w:r w:rsidRPr="002D2088">
        <w:rPr>
          <w:rFonts w:ascii="Times New Roman" w:hAnsi="Times New Roman" w:cs="Times New Roman"/>
          <w:sz w:val="24"/>
          <w:szCs w:val="24"/>
        </w:rPr>
        <w:t xml:space="preserve">, 21(1), pp. 239–248. Available at: </w:t>
      </w:r>
      <w:hyperlink r:id="rId7" w:history="1">
        <w:r w:rsidRPr="000115C3">
          <w:rPr>
            <w:rStyle w:val="Hyperlink"/>
            <w:rFonts w:ascii="Times New Roman" w:hAnsi="Times New Roman" w:cs="Times New Roman"/>
            <w:sz w:val="24"/>
            <w:szCs w:val="24"/>
          </w:rPr>
          <w:t>https://doi.org/10.1111/hex.12608</w:t>
        </w:r>
      </w:hyperlink>
      <w:r w:rsidRPr="002D2088">
        <w:rPr>
          <w:rFonts w:ascii="Times New Roman" w:hAnsi="Times New Roman" w:cs="Times New Roman"/>
          <w:sz w:val="24"/>
          <w:szCs w:val="24"/>
        </w:rPr>
        <w:t>.</w:t>
      </w:r>
      <w:r>
        <w:rPr>
          <w:rFonts w:ascii="Times New Roman" w:hAnsi="Times New Roman" w:cs="Times New Roman"/>
          <w:sz w:val="24"/>
          <w:szCs w:val="24"/>
        </w:rPr>
        <w:t xml:space="preserve"> </w:t>
      </w:r>
    </w:p>
    <w:p w14:paraId="1D9DF371" w14:textId="77777777" w:rsidR="003A13CF" w:rsidRPr="00495C8E" w:rsidRDefault="003A13CF" w:rsidP="003A13CF">
      <w:pPr>
        <w:rPr>
          <w:rFonts w:ascii="Times New Roman" w:hAnsi="Times New Roman" w:cs="Times New Roman"/>
          <w:sz w:val="24"/>
          <w:szCs w:val="24"/>
        </w:rPr>
      </w:pPr>
      <w:r w:rsidRPr="00085FBD">
        <w:rPr>
          <w:rFonts w:ascii="Times New Roman" w:hAnsi="Times New Roman" w:cs="Times New Roman"/>
          <w:sz w:val="24"/>
          <w:szCs w:val="24"/>
        </w:rPr>
        <w:t xml:space="preserve">Carnemolla, P. and Bridge, C. (2019) “Housing Design and Community Care: How Home Modifications Reduce Care Needs of Older People and People with Disability,” </w:t>
      </w:r>
      <w:r w:rsidRPr="00085FBD">
        <w:rPr>
          <w:rFonts w:ascii="Times New Roman" w:hAnsi="Times New Roman" w:cs="Times New Roman"/>
          <w:i/>
          <w:iCs/>
          <w:sz w:val="24"/>
          <w:szCs w:val="24"/>
        </w:rPr>
        <w:t xml:space="preserve">International </w:t>
      </w:r>
      <w:r>
        <w:rPr>
          <w:rFonts w:ascii="Times New Roman" w:hAnsi="Times New Roman" w:cs="Times New Roman"/>
          <w:i/>
          <w:iCs/>
          <w:sz w:val="24"/>
          <w:szCs w:val="24"/>
        </w:rPr>
        <w:t>J</w:t>
      </w:r>
      <w:r w:rsidRPr="00085FBD">
        <w:rPr>
          <w:rFonts w:ascii="Times New Roman" w:hAnsi="Times New Roman" w:cs="Times New Roman"/>
          <w:i/>
          <w:iCs/>
          <w:sz w:val="24"/>
          <w:szCs w:val="24"/>
        </w:rPr>
        <w:t xml:space="preserve">ournal of </w:t>
      </w:r>
      <w:r>
        <w:rPr>
          <w:rFonts w:ascii="Times New Roman" w:hAnsi="Times New Roman" w:cs="Times New Roman"/>
          <w:i/>
          <w:iCs/>
          <w:sz w:val="24"/>
          <w:szCs w:val="24"/>
        </w:rPr>
        <w:t>Environmental Research</w:t>
      </w:r>
      <w:r w:rsidRPr="00085FBD">
        <w:rPr>
          <w:rFonts w:ascii="Times New Roman" w:hAnsi="Times New Roman" w:cs="Times New Roman"/>
          <w:i/>
          <w:iCs/>
          <w:sz w:val="24"/>
          <w:szCs w:val="24"/>
        </w:rPr>
        <w:t xml:space="preserve"> and </w:t>
      </w:r>
      <w:r>
        <w:rPr>
          <w:rFonts w:ascii="Times New Roman" w:hAnsi="Times New Roman" w:cs="Times New Roman"/>
          <w:i/>
          <w:iCs/>
          <w:sz w:val="24"/>
          <w:szCs w:val="24"/>
        </w:rPr>
        <w:t>P</w:t>
      </w:r>
      <w:r w:rsidRPr="00085FBD">
        <w:rPr>
          <w:rFonts w:ascii="Times New Roman" w:hAnsi="Times New Roman" w:cs="Times New Roman"/>
          <w:i/>
          <w:iCs/>
          <w:sz w:val="24"/>
          <w:szCs w:val="24"/>
        </w:rPr>
        <w:t xml:space="preserve">ublic </w:t>
      </w:r>
      <w:r>
        <w:rPr>
          <w:rFonts w:ascii="Times New Roman" w:hAnsi="Times New Roman" w:cs="Times New Roman"/>
          <w:i/>
          <w:iCs/>
          <w:sz w:val="24"/>
          <w:szCs w:val="24"/>
        </w:rPr>
        <w:t>H</w:t>
      </w:r>
      <w:r w:rsidRPr="00085FBD">
        <w:rPr>
          <w:rFonts w:ascii="Times New Roman" w:hAnsi="Times New Roman" w:cs="Times New Roman"/>
          <w:i/>
          <w:iCs/>
          <w:sz w:val="24"/>
          <w:szCs w:val="24"/>
        </w:rPr>
        <w:t>ealth</w:t>
      </w:r>
      <w:r w:rsidRPr="00085FBD">
        <w:rPr>
          <w:rFonts w:ascii="Times New Roman" w:hAnsi="Times New Roman" w:cs="Times New Roman"/>
          <w:sz w:val="24"/>
          <w:szCs w:val="24"/>
        </w:rPr>
        <w:t xml:space="preserve">, 16(11), pp. 1951-. Available at: </w:t>
      </w:r>
      <w:hyperlink r:id="rId8" w:history="1">
        <w:r w:rsidRPr="003B6BD4">
          <w:rPr>
            <w:rStyle w:val="Hyperlink"/>
            <w:rFonts w:ascii="Times New Roman" w:hAnsi="Times New Roman" w:cs="Times New Roman"/>
            <w:sz w:val="24"/>
            <w:szCs w:val="24"/>
          </w:rPr>
          <w:t>https://doi.org/10.3390/ijerph16111951</w:t>
        </w:r>
      </w:hyperlink>
      <w:r w:rsidRPr="00085FBD">
        <w:rPr>
          <w:rFonts w:ascii="Times New Roman" w:hAnsi="Times New Roman" w:cs="Times New Roman"/>
          <w:sz w:val="24"/>
          <w:szCs w:val="24"/>
        </w:rPr>
        <w:t>.</w:t>
      </w:r>
      <w:r>
        <w:rPr>
          <w:rFonts w:ascii="Times New Roman" w:hAnsi="Times New Roman" w:cs="Times New Roman"/>
          <w:sz w:val="24"/>
          <w:szCs w:val="24"/>
        </w:rPr>
        <w:t xml:space="preserve"> </w:t>
      </w:r>
    </w:p>
    <w:p w14:paraId="4F90F105" w14:textId="77777777" w:rsidR="003A13CF"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Centres for Disease Control and Prevention (2024) </w:t>
      </w:r>
      <w:r w:rsidRPr="00EC614F">
        <w:rPr>
          <w:rFonts w:ascii="Times New Roman" w:hAnsi="Times New Roman" w:cs="Times New Roman"/>
          <w:i/>
          <w:iCs/>
          <w:sz w:val="24"/>
          <w:szCs w:val="24"/>
        </w:rPr>
        <w:t>Older Adult Fall Prevention</w:t>
      </w:r>
      <w:r w:rsidRPr="00495C8E">
        <w:rPr>
          <w:rFonts w:ascii="Times New Roman" w:hAnsi="Times New Roman" w:cs="Times New Roman"/>
          <w:sz w:val="24"/>
          <w:szCs w:val="24"/>
        </w:rPr>
        <w:t xml:space="preserve">. Available at: </w:t>
      </w:r>
      <w:hyperlink r:id="rId9" w:history="1">
        <w:r w:rsidRPr="00495C8E">
          <w:rPr>
            <w:rStyle w:val="Hyperlink"/>
            <w:rFonts w:ascii="Times New Roman" w:hAnsi="Times New Roman" w:cs="Times New Roman"/>
            <w:sz w:val="24"/>
            <w:szCs w:val="24"/>
          </w:rPr>
          <w:t>https://www.cdc.gov/falls/facts.html</w:t>
        </w:r>
      </w:hyperlink>
      <w:r w:rsidRPr="00495C8E">
        <w:rPr>
          <w:rFonts w:ascii="Times New Roman" w:hAnsi="Times New Roman" w:cs="Times New Roman"/>
          <w:sz w:val="24"/>
          <w:szCs w:val="24"/>
        </w:rPr>
        <w:t xml:space="preserve"> (Accessed: 28</w:t>
      </w:r>
      <w:r w:rsidRPr="00495C8E">
        <w:rPr>
          <w:rFonts w:ascii="Times New Roman" w:hAnsi="Times New Roman" w:cs="Times New Roman"/>
          <w:sz w:val="24"/>
          <w:szCs w:val="24"/>
          <w:vertAlign w:val="superscript"/>
        </w:rPr>
        <w:t>th</w:t>
      </w:r>
      <w:r w:rsidRPr="00495C8E">
        <w:rPr>
          <w:rFonts w:ascii="Times New Roman" w:hAnsi="Times New Roman" w:cs="Times New Roman"/>
          <w:sz w:val="24"/>
          <w:szCs w:val="24"/>
        </w:rPr>
        <w:t xml:space="preserve"> February 2024). </w:t>
      </w:r>
    </w:p>
    <w:p w14:paraId="067B24C9" w14:textId="77777777" w:rsidR="003A13CF" w:rsidRDefault="003A13CF" w:rsidP="003A13CF">
      <w:pPr>
        <w:rPr>
          <w:rFonts w:ascii="Times New Roman" w:hAnsi="Times New Roman" w:cs="Times New Roman"/>
          <w:sz w:val="24"/>
          <w:szCs w:val="24"/>
        </w:rPr>
      </w:pPr>
      <w:r w:rsidRPr="00DC1C4B">
        <w:rPr>
          <w:rFonts w:ascii="Times New Roman" w:hAnsi="Times New Roman" w:cs="Times New Roman"/>
          <w:sz w:val="24"/>
          <w:szCs w:val="24"/>
        </w:rPr>
        <w:t>Cumming, E.</w:t>
      </w:r>
      <w:r>
        <w:rPr>
          <w:rFonts w:ascii="Times New Roman" w:hAnsi="Times New Roman" w:cs="Times New Roman"/>
          <w:sz w:val="24"/>
          <w:szCs w:val="24"/>
        </w:rPr>
        <w:t xml:space="preserve">, Dean, L.R., Newell, D.S., and McCaffrey, I. </w:t>
      </w:r>
      <w:r w:rsidRPr="00DC1C4B">
        <w:rPr>
          <w:rFonts w:ascii="Times New Roman" w:hAnsi="Times New Roman" w:cs="Times New Roman"/>
          <w:sz w:val="24"/>
          <w:szCs w:val="24"/>
        </w:rPr>
        <w:t xml:space="preserve">(1960) “Disengagement-A Tentative Theory of Aging,” Sociometry, 23(1), pp. 23–35. Available at: </w:t>
      </w:r>
      <w:hyperlink r:id="rId10" w:history="1">
        <w:r w:rsidRPr="00AD6BE7">
          <w:rPr>
            <w:rStyle w:val="Hyperlink"/>
            <w:rFonts w:ascii="Times New Roman" w:hAnsi="Times New Roman" w:cs="Times New Roman"/>
            <w:sz w:val="24"/>
            <w:szCs w:val="24"/>
          </w:rPr>
          <w:t>https://doi.org/10.2307/2786135</w:t>
        </w:r>
      </w:hyperlink>
      <w:r w:rsidRPr="00DC1C4B">
        <w:rPr>
          <w:rFonts w:ascii="Times New Roman" w:hAnsi="Times New Roman" w:cs="Times New Roman"/>
          <w:sz w:val="24"/>
          <w:szCs w:val="24"/>
        </w:rPr>
        <w:t>.</w:t>
      </w:r>
      <w:r>
        <w:rPr>
          <w:rFonts w:ascii="Times New Roman" w:hAnsi="Times New Roman" w:cs="Times New Roman"/>
          <w:sz w:val="24"/>
          <w:szCs w:val="24"/>
        </w:rPr>
        <w:t xml:space="preserve"> </w:t>
      </w:r>
    </w:p>
    <w:p w14:paraId="3D3EEFF0"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Department of Health (2012) </w:t>
      </w:r>
      <w:r w:rsidRPr="00412C2F">
        <w:rPr>
          <w:rFonts w:ascii="Times New Roman" w:hAnsi="Times New Roman" w:cs="Times New Roman"/>
          <w:i/>
          <w:iCs/>
          <w:sz w:val="24"/>
          <w:szCs w:val="24"/>
        </w:rPr>
        <w:t>Implementing a ban on age discrimination in the NHS – making effective, appropriate decisions</w:t>
      </w:r>
      <w:r>
        <w:rPr>
          <w:rFonts w:ascii="Times New Roman" w:hAnsi="Times New Roman" w:cs="Times New Roman"/>
          <w:sz w:val="24"/>
          <w:szCs w:val="24"/>
        </w:rPr>
        <w:t xml:space="preserve">. Available at: </w:t>
      </w:r>
      <w:hyperlink r:id="rId11" w:history="1">
        <w:r w:rsidRPr="001052A7">
          <w:rPr>
            <w:rStyle w:val="Hyperlink"/>
            <w:rFonts w:ascii="Times New Roman" w:hAnsi="Times New Roman" w:cs="Times New Roman"/>
            <w:sz w:val="24"/>
            <w:szCs w:val="24"/>
          </w:rPr>
          <w:t>https://assets.publishing.service.gov.uk/media/5a7c269640f0b61a825d6c57/ban-on-age-discrimination.pdf</w:t>
        </w:r>
      </w:hyperlink>
      <w:r>
        <w:rPr>
          <w:rFonts w:ascii="Times New Roman" w:hAnsi="Times New Roman" w:cs="Times New Roman"/>
          <w:sz w:val="24"/>
          <w:szCs w:val="24"/>
        </w:rPr>
        <w:t xml:space="preserve"> (Accessed: 29</w:t>
      </w:r>
      <w:r w:rsidRPr="00412C2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32879784" w14:textId="77777777" w:rsidR="003A13CF" w:rsidRDefault="003A13CF" w:rsidP="003A13CF">
      <w:pPr>
        <w:rPr>
          <w:rFonts w:ascii="Times New Roman" w:hAnsi="Times New Roman" w:cs="Times New Roman"/>
          <w:sz w:val="24"/>
          <w:szCs w:val="24"/>
        </w:rPr>
      </w:pPr>
      <w:proofErr w:type="spellStart"/>
      <w:r w:rsidRPr="00A82DBE">
        <w:rPr>
          <w:rFonts w:ascii="Times New Roman" w:hAnsi="Times New Roman" w:cs="Times New Roman"/>
          <w:sz w:val="24"/>
          <w:szCs w:val="24"/>
        </w:rPr>
        <w:t>Dhalwani</w:t>
      </w:r>
      <w:proofErr w:type="spellEnd"/>
      <w:r w:rsidRPr="00A82DBE">
        <w:rPr>
          <w:rFonts w:ascii="Times New Roman" w:hAnsi="Times New Roman" w:cs="Times New Roman"/>
          <w:sz w:val="24"/>
          <w:szCs w:val="24"/>
        </w:rPr>
        <w:t>, N.N.</w:t>
      </w:r>
      <w:r>
        <w:rPr>
          <w:rFonts w:ascii="Times New Roman" w:hAnsi="Times New Roman" w:cs="Times New Roman"/>
          <w:sz w:val="24"/>
          <w:szCs w:val="24"/>
        </w:rPr>
        <w:t xml:space="preserve">, </w:t>
      </w:r>
      <w:proofErr w:type="spellStart"/>
      <w:r>
        <w:rPr>
          <w:rFonts w:ascii="Times New Roman" w:hAnsi="Times New Roman" w:cs="Times New Roman"/>
          <w:sz w:val="24"/>
          <w:szCs w:val="24"/>
        </w:rPr>
        <w:t>Fahami</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Sathanapally</w:t>
      </w:r>
      <w:proofErr w:type="spellEnd"/>
      <w:r>
        <w:rPr>
          <w:rFonts w:ascii="Times New Roman" w:hAnsi="Times New Roman" w:cs="Times New Roman"/>
          <w:sz w:val="24"/>
          <w:szCs w:val="24"/>
        </w:rPr>
        <w:t xml:space="preserve">, H., Seidu, A., Davies, M.J., </w:t>
      </w:r>
      <w:proofErr w:type="spellStart"/>
      <w:r>
        <w:rPr>
          <w:rFonts w:ascii="Times New Roman" w:hAnsi="Times New Roman" w:cs="Times New Roman"/>
          <w:sz w:val="24"/>
          <w:szCs w:val="24"/>
        </w:rPr>
        <w:t>Khunti</w:t>
      </w:r>
      <w:proofErr w:type="spellEnd"/>
      <w:r>
        <w:rPr>
          <w:rFonts w:ascii="Times New Roman" w:hAnsi="Times New Roman" w:cs="Times New Roman"/>
          <w:sz w:val="24"/>
          <w:szCs w:val="24"/>
        </w:rPr>
        <w:t xml:space="preserve">, K. </w:t>
      </w:r>
      <w:r w:rsidRPr="00A82DBE">
        <w:rPr>
          <w:rFonts w:ascii="Times New Roman" w:hAnsi="Times New Roman" w:cs="Times New Roman"/>
          <w:sz w:val="24"/>
          <w:szCs w:val="24"/>
        </w:rPr>
        <w:t xml:space="preserve">(2017) “Association between polypharmacy and falls in older adults: a longitudinal study from England,” </w:t>
      </w:r>
      <w:r w:rsidRPr="009467B4">
        <w:rPr>
          <w:rFonts w:ascii="Times New Roman" w:hAnsi="Times New Roman" w:cs="Times New Roman"/>
          <w:i/>
          <w:iCs/>
          <w:sz w:val="24"/>
          <w:szCs w:val="24"/>
        </w:rPr>
        <w:t>BMJ</w:t>
      </w:r>
      <w:r w:rsidRPr="00A82DBE">
        <w:rPr>
          <w:rFonts w:ascii="Times New Roman" w:hAnsi="Times New Roman" w:cs="Times New Roman"/>
          <w:sz w:val="24"/>
          <w:szCs w:val="24"/>
        </w:rPr>
        <w:t xml:space="preserve"> open, 7(10), pp. e016358–e016358. Available at: </w:t>
      </w:r>
      <w:hyperlink r:id="rId12" w:history="1">
        <w:r w:rsidRPr="004B3D9B">
          <w:rPr>
            <w:rStyle w:val="Hyperlink"/>
            <w:rFonts w:ascii="Times New Roman" w:hAnsi="Times New Roman" w:cs="Times New Roman"/>
            <w:sz w:val="24"/>
            <w:szCs w:val="24"/>
          </w:rPr>
          <w:t>https://doi.org/10.1136/bmjopen-2017-016358</w:t>
        </w:r>
      </w:hyperlink>
      <w:r w:rsidRPr="00A82DBE">
        <w:rPr>
          <w:rFonts w:ascii="Times New Roman" w:hAnsi="Times New Roman" w:cs="Times New Roman"/>
          <w:sz w:val="24"/>
          <w:szCs w:val="24"/>
        </w:rPr>
        <w:t>.</w:t>
      </w:r>
      <w:r>
        <w:rPr>
          <w:rFonts w:ascii="Times New Roman" w:hAnsi="Times New Roman" w:cs="Times New Roman"/>
          <w:sz w:val="24"/>
          <w:szCs w:val="24"/>
        </w:rPr>
        <w:t xml:space="preserve"> </w:t>
      </w:r>
    </w:p>
    <w:p w14:paraId="16CC67D1" w14:textId="77777777" w:rsidR="003A13CF" w:rsidRDefault="003A13CF" w:rsidP="003A13CF">
      <w:pPr>
        <w:rPr>
          <w:rFonts w:ascii="Times New Roman" w:hAnsi="Times New Roman" w:cs="Times New Roman"/>
          <w:sz w:val="24"/>
          <w:szCs w:val="24"/>
        </w:rPr>
      </w:pPr>
      <w:r w:rsidRPr="001B6A50">
        <w:rPr>
          <w:rFonts w:ascii="Times New Roman" w:hAnsi="Times New Roman" w:cs="Times New Roman"/>
          <w:sz w:val="24"/>
          <w:szCs w:val="24"/>
        </w:rPr>
        <w:t>Ejiri, M.</w:t>
      </w:r>
      <w:r>
        <w:rPr>
          <w:rFonts w:ascii="Times New Roman" w:hAnsi="Times New Roman" w:cs="Times New Roman"/>
          <w:sz w:val="24"/>
          <w:szCs w:val="24"/>
        </w:rPr>
        <w:t xml:space="preserve">, Kawai, H., Ito, K., Hirano, H., Fujiwara, Y., Ihara, K., Kim, H., and Obuchi, S. </w:t>
      </w:r>
      <w:r w:rsidRPr="001B6A50">
        <w:rPr>
          <w:rFonts w:ascii="Times New Roman" w:hAnsi="Times New Roman" w:cs="Times New Roman"/>
          <w:sz w:val="24"/>
          <w:szCs w:val="24"/>
        </w:rPr>
        <w:t xml:space="preserve">(2022) “Association of </w:t>
      </w:r>
      <w:r>
        <w:rPr>
          <w:rFonts w:ascii="Times New Roman" w:hAnsi="Times New Roman" w:cs="Times New Roman"/>
          <w:sz w:val="24"/>
          <w:szCs w:val="24"/>
        </w:rPr>
        <w:t>Social</w:t>
      </w:r>
      <w:r w:rsidRPr="001B6A50">
        <w:rPr>
          <w:rFonts w:ascii="Times New Roman" w:hAnsi="Times New Roman" w:cs="Times New Roman"/>
          <w:sz w:val="24"/>
          <w:szCs w:val="24"/>
        </w:rPr>
        <w:t xml:space="preserve"> </w:t>
      </w:r>
      <w:r>
        <w:rPr>
          <w:rFonts w:ascii="Times New Roman" w:hAnsi="Times New Roman" w:cs="Times New Roman"/>
          <w:sz w:val="24"/>
          <w:szCs w:val="24"/>
        </w:rPr>
        <w:t>D</w:t>
      </w:r>
      <w:r w:rsidRPr="001B6A50">
        <w:rPr>
          <w:rFonts w:ascii="Times New Roman" w:hAnsi="Times New Roman" w:cs="Times New Roman"/>
          <w:sz w:val="24"/>
          <w:szCs w:val="24"/>
        </w:rPr>
        <w:t xml:space="preserve">isengagement with health status and all-cause mortality among community-dwelling older adults: evidence from the </w:t>
      </w:r>
      <w:proofErr w:type="spellStart"/>
      <w:r w:rsidRPr="001B6A50">
        <w:rPr>
          <w:rFonts w:ascii="Times New Roman" w:hAnsi="Times New Roman" w:cs="Times New Roman"/>
          <w:sz w:val="24"/>
          <w:szCs w:val="24"/>
        </w:rPr>
        <w:t>Otassha</w:t>
      </w:r>
      <w:proofErr w:type="spellEnd"/>
      <w:r w:rsidRPr="001B6A50">
        <w:rPr>
          <w:rFonts w:ascii="Times New Roman" w:hAnsi="Times New Roman" w:cs="Times New Roman"/>
          <w:sz w:val="24"/>
          <w:szCs w:val="24"/>
        </w:rPr>
        <w:t xml:space="preserve"> study,” </w:t>
      </w:r>
      <w:r w:rsidRPr="001B6A50">
        <w:rPr>
          <w:rFonts w:ascii="Times New Roman" w:hAnsi="Times New Roman" w:cs="Times New Roman"/>
          <w:i/>
          <w:iCs/>
          <w:sz w:val="24"/>
          <w:szCs w:val="24"/>
        </w:rPr>
        <w:t>Scientific reports,</w:t>
      </w:r>
      <w:r w:rsidRPr="001B6A50">
        <w:rPr>
          <w:rFonts w:ascii="Times New Roman" w:hAnsi="Times New Roman" w:cs="Times New Roman"/>
          <w:sz w:val="24"/>
          <w:szCs w:val="24"/>
        </w:rPr>
        <w:t xml:space="preserve"> 12(1), pp. 17918–17918. Available at: </w:t>
      </w:r>
      <w:hyperlink r:id="rId13" w:history="1">
        <w:r w:rsidRPr="00AD6BE7">
          <w:rPr>
            <w:rStyle w:val="Hyperlink"/>
            <w:rFonts w:ascii="Times New Roman" w:hAnsi="Times New Roman" w:cs="Times New Roman"/>
            <w:sz w:val="24"/>
            <w:szCs w:val="24"/>
          </w:rPr>
          <w:t>https://doi.org/10.1038/s41598-022-22609-y</w:t>
        </w:r>
      </w:hyperlink>
      <w:r w:rsidRPr="001B6A50">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proofErr w:type="spellStart"/>
      <w:r w:rsidRPr="009F1305">
        <w:rPr>
          <w:rFonts w:ascii="Times New Roman" w:hAnsi="Times New Roman" w:cs="Times New Roman"/>
          <w:sz w:val="24"/>
          <w:szCs w:val="24"/>
        </w:rPr>
        <w:t>Fotteler</w:t>
      </w:r>
      <w:proofErr w:type="spellEnd"/>
      <w:r w:rsidRPr="009F1305">
        <w:rPr>
          <w:rFonts w:ascii="Times New Roman" w:hAnsi="Times New Roman" w:cs="Times New Roman"/>
          <w:sz w:val="24"/>
          <w:szCs w:val="24"/>
        </w:rPr>
        <w:t>, M.L</w:t>
      </w:r>
      <w:r>
        <w:rPr>
          <w:rFonts w:ascii="Times New Roman" w:hAnsi="Times New Roman" w:cs="Times New Roman"/>
          <w:sz w:val="24"/>
          <w:szCs w:val="24"/>
        </w:rPr>
        <w:t xml:space="preserve">., Muhlbauer, V., Brefka, S., Mayer, S., Kohn, B., Holl, F., Swoboda, W., </w:t>
      </w:r>
      <w:proofErr w:type="spellStart"/>
      <w:r>
        <w:rPr>
          <w:rFonts w:ascii="Times New Roman" w:hAnsi="Times New Roman" w:cs="Times New Roman"/>
          <w:sz w:val="24"/>
          <w:szCs w:val="24"/>
        </w:rPr>
        <w:t>Gaugisch</w:t>
      </w:r>
      <w:proofErr w:type="spellEnd"/>
      <w:r>
        <w:rPr>
          <w:rFonts w:ascii="Times New Roman" w:hAnsi="Times New Roman" w:cs="Times New Roman"/>
          <w:sz w:val="24"/>
          <w:szCs w:val="24"/>
        </w:rPr>
        <w:t xml:space="preserve">, P., Risch, B., Denkinger, M., and </w:t>
      </w:r>
      <w:proofErr w:type="spellStart"/>
      <w:r>
        <w:rPr>
          <w:rFonts w:ascii="Times New Roman" w:hAnsi="Times New Roman" w:cs="Times New Roman"/>
          <w:sz w:val="24"/>
          <w:szCs w:val="24"/>
        </w:rPr>
        <w:t>Dellmeier</w:t>
      </w:r>
      <w:proofErr w:type="spellEnd"/>
      <w:r>
        <w:rPr>
          <w:rFonts w:ascii="Times New Roman" w:hAnsi="Times New Roman" w:cs="Times New Roman"/>
          <w:sz w:val="24"/>
          <w:szCs w:val="24"/>
        </w:rPr>
        <w:t>, D.</w:t>
      </w:r>
      <w:r w:rsidRPr="009F1305">
        <w:rPr>
          <w:rFonts w:ascii="Times New Roman" w:hAnsi="Times New Roman" w:cs="Times New Roman"/>
          <w:sz w:val="24"/>
          <w:szCs w:val="24"/>
        </w:rPr>
        <w:t xml:space="preserve"> (2022) “The Effectiveness of Assistive Technologies for Older Adults and the Influence of Frailty: Systematic Literature Review of Randomized Controlled Trials,” </w:t>
      </w:r>
      <w:r w:rsidRPr="009F1305">
        <w:rPr>
          <w:rFonts w:ascii="Times New Roman" w:hAnsi="Times New Roman" w:cs="Times New Roman"/>
          <w:i/>
          <w:iCs/>
          <w:sz w:val="24"/>
          <w:szCs w:val="24"/>
        </w:rPr>
        <w:t>JMIR ageing</w:t>
      </w:r>
      <w:r w:rsidRPr="009F1305">
        <w:rPr>
          <w:rFonts w:ascii="Times New Roman" w:hAnsi="Times New Roman" w:cs="Times New Roman"/>
          <w:sz w:val="24"/>
          <w:szCs w:val="24"/>
        </w:rPr>
        <w:t xml:space="preserve">, 5(2), pp. e31916–e31916. Available at: </w:t>
      </w:r>
      <w:hyperlink r:id="rId14" w:history="1">
        <w:r w:rsidRPr="00AE123B">
          <w:rPr>
            <w:rStyle w:val="Hyperlink"/>
            <w:rFonts w:ascii="Times New Roman" w:hAnsi="Times New Roman" w:cs="Times New Roman"/>
            <w:sz w:val="24"/>
            <w:szCs w:val="24"/>
          </w:rPr>
          <w:t>https://doi.org/10.2196/31916</w:t>
        </w:r>
      </w:hyperlink>
      <w:r w:rsidRPr="009F1305">
        <w:rPr>
          <w:rFonts w:ascii="Times New Roman" w:hAnsi="Times New Roman" w:cs="Times New Roman"/>
          <w:sz w:val="24"/>
          <w:szCs w:val="24"/>
        </w:rPr>
        <w:t>.</w:t>
      </w:r>
      <w:r>
        <w:rPr>
          <w:rFonts w:ascii="Times New Roman" w:hAnsi="Times New Roman" w:cs="Times New Roman"/>
          <w:sz w:val="24"/>
          <w:szCs w:val="24"/>
        </w:rPr>
        <w:t xml:space="preserve"> </w:t>
      </w:r>
    </w:p>
    <w:p w14:paraId="3AB76DA1"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Government Office for Science (2024) </w:t>
      </w:r>
      <w:r w:rsidRPr="00085FBD">
        <w:rPr>
          <w:rFonts w:ascii="Times New Roman" w:hAnsi="Times New Roman" w:cs="Times New Roman"/>
          <w:i/>
          <w:iCs/>
          <w:sz w:val="24"/>
          <w:szCs w:val="24"/>
        </w:rPr>
        <w:t>Future of an Ageing Population</w:t>
      </w:r>
      <w:r>
        <w:rPr>
          <w:rFonts w:ascii="Times New Roman" w:hAnsi="Times New Roman" w:cs="Times New Roman"/>
          <w:sz w:val="24"/>
          <w:szCs w:val="24"/>
        </w:rPr>
        <w:t xml:space="preserve">. Available at: </w:t>
      </w:r>
      <w:hyperlink r:id="rId15" w:history="1">
        <w:r w:rsidRPr="003B6BD4">
          <w:rPr>
            <w:rStyle w:val="Hyperlink"/>
            <w:rFonts w:ascii="Times New Roman" w:hAnsi="Times New Roman" w:cs="Times New Roman"/>
            <w:sz w:val="24"/>
            <w:szCs w:val="24"/>
          </w:rPr>
          <w:t>https://assets.publishing.service.gov.uk/media/5d273adce5274a5862768ff9/future-of-an-ageing-population.pdf</w:t>
        </w:r>
      </w:hyperlink>
      <w:r>
        <w:rPr>
          <w:rFonts w:ascii="Times New Roman" w:hAnsi="Times New Roman" w:cs="Times New Roman"/>
          <w:sz w:val="24"/>
          <w:szCs w:val="24"/>
        </w:rPr>
        <w:t xml:space="preserve"> (Accessed: 29</w:t>
      </w:r>
      <w:r w:rsidRPr="00085FBD">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29F595E0"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J</w:t>
      </w:r>
      <w:r w:rsidRPr="00B650D5">
        <w:rPr>
          <w:rFonts w:ascii="Times New Roman" w:hAnsi="Times New Roman" w:cs="Times New Roman"/>
          <w:sz w:val="24"/>
          <w:szCs w:val="24"/>
        </w:rPr>
        <w:t>ackson, P.A.</w:t>
      </w:r>
      <w:r>
        <w:rPr>
          <w:rFonts w:ascii="Times New Roman" w:hAnsi="Times New Roman" w:cs="Times New Roman"/>
          <w:sz w:val="24"/>
          <w:szCs w:val="24"/>
        </w:rPr>
        <w:t xml:space="preserve">, </w:t>
      </w:r>
      <w:proofErr w:type="spellStart"/>
      <w:r>
        <w:rPr>
          <w:rFonts w:ascii="Times New Roman" w:hAnsi="Times New Roman" w:cs="Times New Roman"/>
          <w:sz w:val="24"/>
          <w:szCs w:val="24"/>
        </w:rPr>
        <w:t>Pialoux</w:t>
      </w:r>
      <w:proofErr w:type="spellEnd"/>
      <w:r>
        <w:rPr>
          <w:rFonts w:ascii="Times New Roman" w:hAnsi="Times New Roman" w:cs="Times New Roman"/>
          <w:sz w:val="24"/>
          <w:szCs w:val="24"/>
        </w:rPr>
        <w:t xml:space="preserve">, V., Corbett, D., Drogos, L., Erickson, K.I., </w:t>
      </w:r>
      <w:proofErr w:type="spellStart"/>
      <w:r>
        <w:rPr>
          <w:rFonts w:ascii="Times New Roman" w:hAnsi="Times New Roman" w:cs="Times New Roman"/>
          <w:sz w:val="24"/>
          <w:szCs w:val="24"/>
        </w:rPr>
        <w:t>Eskes</w:t>
      </w:r>
      <w:proofErr w:type="spellEnd"/>
      <w:r>
        <w:rPr>
          <w:rFonts w:ascii="Times New Roman" w:hAnsi="Times New Roman" w:cs="Times New Roman"/>
          <w:sz w:val="24"/>
          <w:szCs w:val="24"/>
        </w:rPr>
        <w:t>, G.A., and Poulin, M.J.</w:t>
      </w:r>
      <w:r w:rsidRPr="00B650D5">
        <w:rPr>
          <w:rFonts w:ascii="Times New Roman" w:hAnsi="Times New Roman" w:cs="Times New Roman"/>
          <w:sz w:val="24"/>
          <w:szCs w:val="24"/>
        </w:rPr>
        <w:t xml:space="preserve"> (2016) “Promoting brain health through exercise and diet in older adults: a physiological perspective,” </w:t>
      </w:r>
      <w:r w:rsidRPr="00B650D5">
        <w:rPr>
          <w:rFonts w:ascii="Times New Roman" w:hAnsi="Times New Roman" w:cs="Times New Roman"/>
          <w:i/>
          <w:iCs/>
          <w:sz w:val="24"/>
          <w:szCs w:val="24"/>
        </w:rPr>
        <w:t>The Journal of physiology</w:t>
      </w:r>
      <w:r w:rsidRPr="00B650D5">
        <w:rPr>
          <w:rFonts w:ascii="Times New Roman" w:hAnsi="Times New Roman" w:cs="Times New Roman"/>
          <w:sz w:val="24"/>
          <w:szCs w:val="24"/>
        </w:rPr>
        <w:t xml:space="preserve">, 594(16), pp. 4485–4498. Available at: </w:t>
      </w:r>
      <w:hyperlink r:id="rId16" w:history="1">
        <w:r w:rsidRPr="00140E6B">
          <w:rPr>
            <w:rStyle w:val="Hyperlink"/>
            <w:rFonts w:ascii="Times New Roman" w:hAnsi="Times New Roman" w:cs="Times New Roman"/>
            <w:sz w:val="24"/>
            <w:szCs w:val="24"/>
          </w:rPr>
          <w:t>https://doi.org/10.1113/JP271270</w:t>
        </w:r>
      </w:hyperlink>
      <w:r w:rsidRPr="00B650D5">
        <w:rPr>
          <w:rFonts w:ascii="Times New Roman" w:hAnsi="Times New Roman" w:cs="Times New Roman"/>
          <w:sz w:val="24"/>
          <w:szCs w:val="24"/>
        </w:rPr>
        <w:t>.</w:t>
      </w:r>
      <w:r>
        <w:rPr>
          <w:rFonts w:ascii="Times New Roman" w:hAnsi="Times New Roman" w:cs="Times New Roman"/>
          <w:sz w:val="24"/>
          <w:szCs w:val="24"/>
        </w:rPr>
        <w:t xml:space="preserve"> </w:t>
      </w:r>
    </w:p>
    <w:p w14:paraId="4D838ACA" w14:textId="77777777" w:rsidR="003A13CF" w:rsidRDefault="003A13CF" w:rsidP="003A13CF">
      <w:pPr>
        <w:rPr>
          <w:rFonts w:ascii="Times New Roman" w:hAnsi="Times New Roman" w:cs="Times New Roman"/>
          <w:sz w:val="24"/>
          <w:szCs w:val="24"/>
        </w:rPr>
      </w:pPr>
      <w:r w:rsidRPr="003B402B">
        <w:rPr>
          <w:rFonts w:ascii="Times New Roman" w:hAnsi="Times New Roman" w:cs="Times New Roman"/>
          <w:sz w:val="24"/>
          <w:szCs w:val="24"/>
        </w:rPr>
        <w:t xml:space="preserve">Jong, M.R., Van der Elst, M. and </w:t>
      </w:r>
      <w:proofErr w:type="spellStart"/>
      <w:r w:rsidRPr="003B402B">
        <w:rPr>
          <w:rFonts w:ascii="Times New Roman" w:hAnsi="Times New Roman" w:cs="Times New Roman"/>
          <w:sz w:val="24"/>
          <w:szCs w:val="24"/>
        </w:rPr>
        <w:t>Hartholt</w:t>
      </w:r>
      <w:proofErr w:type="spellEnd"/>
      <w:r w:rsidRPr="003B402B">
        <w:rPr>
          <w:rFonts w:ascii="Times New Roman" w:hAnsi="Times New Roman" w:cs="Times New Roman"/>
          <w:sz w:val="24"/>
          <w:szCs w:val="24"/>
        </w:rPr>
        <w:t xml:space="preserve">, K.A. (2013) </w:t>
      </w:r>
      <w:r w:rsidRPr="00975D61">
        <w:rPr>
          <w:rFonts w:ascii="Times New Roman" w:hAnsi="Times New Roman" w:cs="Times New Roman"/>
          <w:sz w:val="24"/>
          <w:szCs w:val="24"/>
        </w:rPr>
        <w:t xml:space="preserve">“Drug-related falls in older patients: implicated drugs, consequences, and possible prevention strategies,” </w:t>
      </w:r>
      <w:r w:rsidRPr="00975D61">
        <w:rPr>
          <w:rFonts w:ascii="Times New Roman" w:hAnsi="Times New Roman" w:cs="Times New Roman"/>
          <w:i/>
          <w:iCs/>
          <w:sz w:val="24"/>
          <w:szCs w:val="24"/>
        </w:rPr>
        <w:t>Therapeutic advances in drug safety</w:t>
      </w:r>
      <w:r w:rsidRPr="00975D61">
        <w:rPr>
          <w:rFonts w:ascii="Times New Roman" w:hAnsi="Times New Roman" w:cs="Times New Roman"/>
          <w:sz w:val="24"/>
          <w:szCs w:val="24"/>
        </w:rPr>
        <w:t xml:space="preserve">, 4(4), pp. 147–154. Available at: </w:t>
      </w:r>
      <w:hyperlink r:id="rId17" w:history="1">
        <w:r w:rsidRPr="008613D9">
          <w:rPr>
            <w:rStyle w:val="Hyperlink"/>
            <w:rFonts w:ascii="Times New Roman" w:hAnsi="Times New Roman" w:cs="Times New Roman"/>
            <w:sz w:val="24"/>
            <w:szCs w:val="24"/>
          </w:rPr>
          <w:t>https://doi.org/10.1177/2042098613486829</w:t>
        </w:r>
      </w:hyperlink>
      <w:r w:rsidRPr="00975D61">
        <w:rPr>
          <w:rFonts w:ascii="Times New Roman" w:hAnsi="Times New Roman" w:cs="Times New Roman"/>
          <w:sz w:val="24"/>
          <w:szCs w:val="24"/>
        </w:rPr>
        <w:t>.</w:t>
      </w:r>
      <w:r>
        <w:rPr>
          <w:rFonts w:ascii="Times New Roman" w:hAnsi="Times New Roman" w:cs="Times New Roman"/>
          <w:sz w:val="24"/>
          <w:szCs w:val="24"/>
        </w:rPr>
        <w:t xml:space="preserve"> </w:t>
      </w:r>
    </w:p>
    <w:p w14:paraId="4A704E1C" w14:textId="77777777" w:rsidR="003A13CF" w:rsidRDefault="003A13CF" w:rsidP="003A13CF">
      <w:pPr>
        <w:rPr>
          <w:rFonts w:ascii="Times New Roman" w:hAnsi="Times New Roman" w:cs="Times New Roman"/>
          <w:sz w:val="24"/>
          <w:szCs w:val="24"/>
        </w:rPr>
      </w:pPr>
      <w:r w:rsidRPr="00E85CCA">
        <w:rPr>
          <w:rFonts w:ascii="Times New Roman" w:hAnsi="Times New Roman" w:cs="Times New Roman"/>
          <w:sz w:val="24"/>
          <w:szCs w:val="24"/>
        </w:rPr>
        <w:t xml:space="preserve">Kang, H. and Kim, H. (2022) “Ageism and Psychological Well-Being Among Older Adults: A Systematic Review,” </w:t>
      </w:r>
      <w:r w:rsidRPr="00E85CCA">
        <w:rPr>
          <w:rFonts w:ascii="Times New Roman" w:hAnsi="Times New Roman" w:cs="Times New Roman"/>
          <w:i/>
          <w:iCs/>
          <w:sz w:val="24"/>
          <w:szCs w:val="24"/>
        </w:rPr>
        <w:t>Gerontology and Geriatric Medicine</w:t>
      </w:r>
      <w:r w:rsidRPr="00E85CCA">
        <w:rPr>
          <w:rFonts w:ascii="Times New Roman" w:hAnsi="Times New Roman" w:cs="Times New Roman"/>
          <w:sz w:val="24"/>
          <w:szCs w:val="24"/>
        </w:rPr>
        <w:t xml:space="preserve">, 8, pp. 23337214221087023–23337214221087023. Available at: </w:t>
      </w:r>
      <w:hyperlink r:id="rId18" w:history="1">
        <w:r w:rsidRPr="001052A7">
          <w:rPr>
            <w:rStyle w:val="Hyperlink"/>
            <w:rFonts w:ascii="Times New Roman" w:hAnsi="Times New Roman" w:cs="Times New Roman"/>
            <w:sz w:val="24"/>
            <w:szCs w:val="24"/>
          </w:rPr>
          <w:t>https://doi.org/10.1177/23337214221087023</w:t>
        </w:r>
      </w:hyperlink>
      <w:r w:rsidRPr="00E85CCA">
        <w:rPr>
          <w:rFonts w:ascii="Times New Roman" w:hAnsi="Times New Roman" w:cs="Times New Roman"/>
          <w:sz w:val="24"/>
          <w:szCs w:val="24"/>
        </w:rPr>
        <w:t>.</w:t>
      </w:r>
      <w:r>
        <w:rPr>
          <w:rFonts w:ascii="Times New Roman" w:hAnsi="Times New Roman" w:cs="Times New Roman"/>
          <w:sz w:val="24"/>
          <w:szCs w:val="24"/>
        </w:rPr>
        <w:t xml:space="preserve"> </w:t>
      </w:r>
    </w:p>
    <w:p w14:paraId="51716322" w14:textId="77777777" w:rsidR="003A13CF" w:rsidRDefault="003A13CF" w:rsidP="003A13CF">
      <w:pPr>
        <w:rPr>
          <w:rFonts w:ascii="Times New Roman" w:hAnsi="Times New Roman" w:cs="Times New Roman"/>
          <w:sz w:val="24"/>
          <w:szCs w:val="24"/>
        </w:rPr>
      </w:pPr>
      <w:r w:rsidRPr="00D77E29">
        <w:rPr>
          <w:rFonts w:ascii="Times New Roman" w:hAnsi="Times New Roman" w:cs="Times New Roman"/>
          <w:sz w:val="24"/>
          <w:szCs w:val="24"/>
        </w:rPr>
        <w:t>Kannus, P.</w:t>
      </w:r>
      <w:r>
        <w:rPr>
          <w:rFonts w:ascii="Times New Roman" w:hAnsi="Times New Roman" w:cs="Times New Roman"/>
          <w:sz w:val="24"/>
          <w:szCs w:val="24"/>
        </w:rPr>
        <w:t xml:space="preserve">, </w:t>
      </w:r>
      <w:proofErr w:type="spellStart"/>
      <w:r>
        <w:rPr>
          <w:rFonts w:ascii="Times New Roman" w:hAnsi="Times New Roman" w:cs="Times New Roman"/>
          <w:sz w:val="24"/>
          <w:szCs w:val="24"/>
        </w:rPr>
        <w:t>Parkkari</w:t>
      </w:r>
      <w:proofErr w:type="spellEnd"/>
      <w:r>
        <w:rPr>
          <w:rFonts w:ascii="Times New Roman" w:hAnsi="Times New Roman" w:cs="Times New Roman"/>
          <w:sz w:val="24"/>
          <w:szCs w:val="24"/>
        </w:rPr>
        <w:t xml:space="preserve">, J., Niemi, S., and </w:t>
      </w:r>
      <w:proofErr w:type="spellStart"/>
      <w:r>
        <w:rPr>
          <w:rFonts w:ascii="Times New Roman" w:hAnsi="Times New Roman" w:cs="Times New Roman"/>
          <w:sz w:val="24"/>
          <w:szCs w:val="24"/>
        </w:rPr>
        <w:t>Palvanen</w:t>
      </w:r>
      <w:proofErr w:type="spellEnd"/>
      <w:r>
        <w:rPr>
          <w:rFonts w:ascii="Times New Roman" w:hAnsi="Times New Roman" w:cs="Times New Roman"/>
          <w:sz w:val="24"/>
          <w:szCs w:val="24"/>
        </w:rPr>
        <w:t>, M.</w:t>
      </w:r>
      <w:r w:rsidRPr="00D77E29">
        <w:rPr>
          <w:rFonts w:ascii="Times New Roman" w:hAnsi="Times New Roman" w:cs="Times New Roman"/>
          <w:sz w:val="24"/>
          <w:szCs w:val="24"/>
        </w:rPr>
        <w:t xml:space="preserve"> (2005) “Fall-Induced Deaths Among Elderly People,” </w:t>
      </w:r>
      <w:r w:rsidRPr="00D77E29">
        <w:rPr>
          <w:rFonts w:ascii="Times New Roman" w:hAnsi="Times New Roman" w:cs="Times New Roman"/>
          <w:i/>
          <w:iCs/>
          <w:sz w:val="24"/>
          <w:szCs w:val="24"/>
        </w:rPr>
        <w:t>American Journal of public health</w:t>
      </w:r>
      <w:r w:rsidRPr="00D77E29">
        <w:rPr>
          <w:rFonts w:ascii="Times New Roman" w:hAnsi="Times New Roman" w:cs="Times New Roman"/>
          <w:sz w:val="24"/>
          <w:szCs w:val="24"/>
        </w:rPr>
        <w:t xml:space="preserve"> (1971), 95(3), pp. 422–424. Available at: </w:t>
      </w:r>
      <w:hyperlink r:id="rId19" w:history="1">
        <w:r w:rsidRPr="004B3D9B">
          <w:rPr>
            <w:rStyle w:val="Hyperlink"/>
            <w:rFonts w:ascii="Times New Roman" w:hAnsi="Times New Roman" w:cs="Times New Roman"/>
            <w:sz w:val="24"/>
            <w:szCs w:val="24"/>
          </w:rPr>
          <w:t>https://doi.org/10.2105/AJPH.2004.047779</w:t>
        </w:r>
      </w:hyperlink>
      <w:r w:rsidRPr="00D77E29">
        <w:rPr>
          <w:rFonts w:ascii="Times New Roman" w:hAnsi="Times New Roman" w:cs="Times New Roman"/>
          <w:sz w:val="24"/>
          <w:szCs w:val="24"/>
        </w:rPr>
        <w:t>.</w:t>
      </w:r>
      <w:r>
        <w:rPr>
          <w:rFonts w:ascii="Times New Roman" w:hAnsi="Times New Roman" w:cs="Times New Roman"/>
          <w:sz w:val="24"/>
          <w:szCs w:val="24"/>
        </w:rPr>
        <w:t xml:space="preserve"> </w:t>
      </w:r>
    </w:p>
    <w:p w14:paraId="05F4FCD3"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Kannus, P., </w:t>
      </w:r>
      <w:proofErr w:type="spellStart"/>
      <w:r>
        <w:rPr>
          <w:rFonts w:ascii="Times New Roman" w:hAnsi="Times New Roman" w:cs="Times New Roman"/>
          <w:sz w:val="24"/>
          <w:szCs w:val="24"/>
        </w:rPr>
        <w:t>Palvanen</w:t>
      </w:r>
      <w:proofErr w:type="spellEnd"/>
      <w:r>
        <w:rPr>
          <w:rFonts w:ascii="Times New Roman" w:hAnsi="Times New Roman" w:cs="Times New Roman"/>
          <w:sz w:val="24"/>
          <w:szCs w:val="24"/>
        </w:rPr>
        <w:t xml:space="preserve">, M., Niemi., and </w:t>
      </w:r>
      <w:proofErr w:type="spellStart"/>
      <w:r>
        <w:rPr>
          <w:rFonts w:ascii="Times New Roman" w:hAnsi="Times New Roman" w:cs="Times New Roman"/>
          <w:sz w:val="24"/>
          <w:szCs w:val="24"/>
        </w:rPr>
        <w:t>Parkkari</w:t>
      </w:r>
      <w:proofErr w:type="spellEnd"/>
      <w:r>
        <w:rPr>
          <w:rFonts w:ascii="Times New Roman" w:hAnsi="Times New Roman" w:cs="Times New Roman"/>
          <w:sz w:val="24"/>
          <w:szCs w:val="24"/>
        </w:rPr>
        <w:t>, J. (2007) “</w:t>
      </w:r>
      <w:r w:rsidRPr="000E1568">
        <w:rPr>
          <w:rFonts w:ascii="Times New Roman" w:hAnsi="Times New Roman" w:cs="Times New Roman"/>
          <w:sz w:val="24"/>
          <w:szCs w:val="24"/>
        </w:rPr>
        <w:t>Alarming rise in the number and incidence of fall-induced cervical spine injuries among older adults</w:t>
      </w:r>
      <w:r>
        <w:rPr>
          <w:rFonts w:ascii="Times New Roman" w:hAnsi="Times New Roman" w:cs="Times New Roman"/>
          <w:sz w:val="24"/>
          <w:szCs w:val="24"/>
        </w:rPr>
        <w:t xml:space="preserve">,” The Journals of Gerontology. </w:t>
      </w:r>
      <w:r w:rsidRPr="00085FBD">
        <w:rPr>
          <w:rFonts w:ascii="Times New Roman" w:hAnsi="Times New Roman" w:cs="Times New Roman"/>
          <w:sz w:val="24"/>
          <w:szCs w:val="24"/>
        </w:rPr>
        <w:t>62(2):180-3.</w:t>
      </w:r>
      <w:r>
        <w:rPr>
          <w:rFonts w:ascii="Times New Roman" w:hAnsi="Times New Roman" w:cs="Times New Roman"/>
          <w:sz w:val="24"/>
          <w:szCs w:val="24"/>
        </w:rPr>
        <w:t xml:space="preserve"> </w:t>
      </w:r>
      <w:r w:rsidRPr="00085FBD">
        <w:rPr>
          <w:rFonts w:ascii="Times New Roman" w:hAnsi="Times New Roman" w:cs="Times New Roman"/>
          <w:sz w:val="24"/>
          <w:szCs w:val="24"/>
        </w:rPr>
        <w:t xml:space="preserve">DOI: </w:t>
      </w:r>
      <w:hyperlink r:id="rId20" w:history="1">
        <w:r w:rsidRPr="00D4067D">
          <w:rPr>
            <w:rStyle w:val="Hyperlink"/>
            <w:rFonts w:ascii="Times New Roman" w:hAnsi="Times New Roman" w:cs="Times New Roman"/>
            <w:sz w:val="24"/>
            <w:szCs w:val="24"/>
          </w:rPr>
          <w:t>https://doi.org/10.1093/gerona/62.2.180</w:t>
        </w:r>
      </w:hyperlink>
      <w:r>
        <w:rPr>
          <w:rFonts w:ascii="Times New Roman" w:hAnsi="Times New Roman" w:cs="Times New Roman"/>
          <w:sz w:val="24"/>
          <w:szCs w:val="24"/>
        </w:rPr>
        <w:t xml:space="preserve">. </w:t>
      </w:r>
    </w:p>
    <w:p w14:paraId="2293EC97" w14:textId="77777777" w:rsidR="003A13CF" w:rsidRDefault="003A13CF" w:rsidP="003A13CF">
      <w:pPr>
        <w:rPr>
          <w:rFonts w:ascii="Times New Roman" w:hAnsi="Times New Roman" w:cs="Times New Roman"/>
          <w:sz w:val="24"/>
          <w:szCs w:val="24"/>
        </w:rPr>
      </w:pPr>
      <w:bookmarkStart w:id="12" w:name="_Hlk164944591"/>
      <w:r w:rsidRPr="00A050EC">
        <w:rPr>
          <w:rFonts w:ascii="Times New Roman" w:hAnsi="Times New Roman" w:cs="Times New Roman"/>
          <w:sz w:val="24"/>
          <w:szCs w:val="24"/>
        </w:rPr>
        <w:t>Krogsbøll</w:t>
      </w:r>
      <w:bookmarkEnd w:id="12"/>
      <w:r w:rsidRPr="00A050EC">
        <w:rPr>
          <w:rFonts w:ascii="Times New Roman" w:hAnsi="Times New Roman" w:cs="Times New Roman"/>
          <w:sz w:val="24"/>
          <w:szCs w:val="24"/>
        </w:rPr>
        <w:t>, L.T.</w:t>
      </w:r>
      <w:r>
        <w:rPr>
          <w:rFonts w:ascii="Times New Roman" w:hAnsi="Times New Roman" w:cs="Times New Roman"/>
          <w:sz w:val="24"/>
          <w:szCs w:val="24"/>
        </w:rPr>
        <w:t>,</w:t>
      </w:r>
      <w:r w:rsidRPr="00A050EC">
        <w:t xml:space="preserve"> </w:t>
      </w:r>
      <w:r w:rsidRPr="00A050EC">
        <w:rPr>
          <w:rFonts w:ascii="Times New Roman" w:hAnsi="Times New Roman" w:cs="Times New Roman"/>
          <w:sz w:val="24"/>
          <w:szCs w:val="24"/>
        </w:rPr>
        <w:t>Jørgensen</w:t>
      </w:r>
      <w:r>
        <w:rPr>
          <w:rFonts w:ascii="Times New Roman" w:hAnsi="Times New Roman" w:cs="Times New Roman"/>
          <w:sz w:val="24"/>
          <w:szCs w:val="24"/>
        </w:rPr>
        <w:t xml:space="preserve">, K.J, </w:t>
      </w:r>
      <w:r w:rsidRPr="00A050EC">
        <w:rPr>
          <w:rFonts w:ascii="Times New Roman" w:hAnsi="Times New Roman" w:cs="Times New Roman"/>
          <w:sz w:val="24"/>
          <w:szCs w:val="24"/>
        </w:rPr>
        <w:t xml:space="preserve">Larsen, </w:t>
      </w:r>
      <w:r>
        <w:rPr>
          <w:rFonts w:ascii="Times New Roman" w:hAnsi="Times New Roman" w:cs="Times New Roman"/>
          <w:sz w:val="24"/>
          <w:szCs w:val="24"/>
        </w:rPr>
        <w:t>C.J., and Gøtzsche</w:t>
      </w:r>
      <w:r w:rsidRPr="00A050EC">
        <w:rPr>
          <w:rFonts w:ascii="Times New Roman" w:hAnsi="Times New Roman" w:cs="Times New Roman"/>
          <w:sz w:val="24"/>
          <w:szCs w:val="24"/>
        </w:rPr>
        <w:t>, P</w:t>
      </w:r>
      <w:r>
        <w:rPr>
          <w:rFonts w:ascii="Times New Roman" w:hAnsi="Times New Roman" w:cs="Times New Roman"/>
          <w:sz w:val="24"/>
          <w:szCs w:val="24"/>
        </w:rPr>
        <w:t>.</w:t>
      </w:r>
      <w:r w:rsidRPr="00A050EC">
        <w:rPr>
          <w:rFonts w:ascii="Times New Roman" w:hAnsi="Times New Roman" w:cs="Times New Roman"/>
          <w:sz w:val="24"/>
          <w:szCs w:val="24"/>
        </w:rPr>
        <w:t>C</w:t>
      </w:r>
      <w:r>
        <w:rPr>
          <w:rFonts w:ascii="Times New Roman" w:hAnsi="Times New Roman" w:cs="Times New Roman"/>
          <w:sz w:val="24"/>
          <w:szCs w:val="24"/>
        </w:rPr>
        <w:t xml:space="preserve">. </w:t>
      </w:r>
      <w:r w:rsidRPr="00A050EC">
        <w:rPr>
          <w:rFonts w:ascii="Times New Roman" w:hAnsi="Times New Roman" w:cs="Times New Roman"/>
          <w:sz w:val="24"/>
          <w:szCs w:val="24"/>
        </w:rPr>
        <w:t xml:space="preserve">(2012) “General health checks in adults for reducing morbidity and mortality from disease: Cochrane systematic review and meta-analysis,” </w:t>
      </w:r>
      <w:r w:rsidRPr="00A050EC">
        <w:rPr>
          <w:rFonts w:ascii="Times New Roman" w:hAnsi="Times New Roman" w:cs="Times New Roman"/>
          <w:i/>
          <w:iCs/>
          <w:sz w:val="24"/>
          <w:szCs w:val="24"/>
        </w:rPr>
        <w:t>BMJ</w:t>
      </w:r>
      <w:r w:rsidRPr="00A050EC">
        <w:rPr>
          <w:rFonts w:ascii="Times New Roman" w:hAnsi="Times New Roman" w:cs="Times New Roman"/>
          <w:sz w:val="24"/>
          <w:szCs w:val="24"/>
        </w:rPr>
        <w:t xml:space="preserve"> (Online), 345(7884), pp. 14–14. Available at: </w:t>
      </w:r>
      <w:hyperlink r:id="rId21" w:history="1">
        <w:r w:rsidRPr="00140E6B">
          <w:rPr>
            <w:rStyle w:val="Hyperlink"/>
            <w:rFonts w:ascii="Times New Roman" w:hAnsi="Times New Roman" w:cs="Times New Roman"/>
            <w:sz w:val="24"/>
            <w:szCs w:val="24"/>
          </w:rPr>
          <w:t>https://doi.org/10.1136/bmj.e7191</w:t>
        </w:r>
      </w:hyperlink>
      <w:r w:rsidRPr="00A050EC">
        <w:rPr>
          <w:rFonts w:ascii="Times New Roman" w:hAnsi="Times New Roman" w:cs="Times New Roman"/>
          <w:sz w:val="24"/>
          <w:szCs w:val="24"/>
        </w:rPr>
        <w:t>.</w:t>
      </w:r>
      <w:r>
        <w:rPr>
          <w:rFonts w:ascii="Times New Roman" w:hAnsi="Times New Roman" w:cs="Times New Roman"/>
          <w:sz w:val="24"/>
          <w:szCs w:val="24"/>
        </w:rPr>
        <w:t xml:space="preserve"> </w:t>
      </w:r>
    </w:p>
    <w:p w14:paraId="1FE830B4" w14:textId="77777777" w:rsidR="003A13CF" w:rsidRDefault="003A13CF" w:rsidP="003A13CF">
      <w:pPr>
        <w:rPr>
          <w:rFonts w:ascii="Times New Roman" w:hAnsi="Times New Roman" w:cs="Times New Roman"/>
          <w:sz w:val="24"/>
          <w:szCs w:val="24"/>
        </w:rPr>
      </w:pPr>
      <w:r w:rsidRPr="00AA7B0A">
        <w:rPr>
          <w:rFonts w:ascii="Times New Roman" w:hAnsi="Times New Roman" w:cs="Times New Roman"/>
          <w:sz w:val="24"/>
          <w:szCs w:val="24"/>
        </w:rPr>
        <w:t xml:space="preserve">Kydd, A. and Fleming, A. (2015) “Ageism and age discrimination in health care: Fact or fiction? A narrative review of the literature,” </w:t>
      </w:r>
      <w:proofErr w:type="spellStart"/>
      <w:r w:rsidRPr="00AA7B0A">
        <w:rPr>
          <w:rFonts w:ascii="Times New Roman" w:hAnsi="Times New Roman" w:cs="Times New Roman"/>
          <w:i/>
          <w:iCs/>
          <w:sz w:val="24"/>
          <w:szCs w:val="24"/>
        </w:rPr>
        <w:t>Maturitas</w:t>
      </w:r>
      <w:proofErr w:type="spellEnd"/>
      <w:r w:rsidRPr="00AA7B0A">
        <w:rPr>
          <w:rFonts w:ascii="Times New Roman" w:hAnsi="Times New Roman" w:cs="Times New Roman"/>
          <w:sz w:val="24"/>
          <w:szCs w:val="24"/>
        </w:rPr>
        <w:t xml:space="preserve">, 81(4), pp. 432–438. Available at: </w:t>
      </w:r>
      <w:hyperlink r:id="rId22" w:history="1">
        <w:r w:rsidRPr="001052A7">
          <w:rPr>
            <w:rStyle w:val="Hyperlink"/>
            <w:rFonts w:ascii="Times New Roman" w:hAnsi="Times New Roman" w:cs="Times New Roman"/>
            <w:sz w:val="24"/>
            <w:szCs w:val="24"/>
          </w:rPr>
          <w:t>https://doi.org/10.1016/j.maturitas.2015.05.002</w:t>
        </w:r>
      </w:hyperlink>
      <w:r w:rsidRPr="00AA7B0A">
        <w:rPr>
          <w:rFonts w:ascii="Times New Roman" w:hAnsi="Times New Roman" w:cs="Times New Roman"/>
          <w:sz w:val="24"/>
          <w:szCs w:val="24"/>
        </w:rPr>
        <w:t>.</w:t>
      </w:r>
      <w:r>
        <w:rPr>
          <w:rFonts w:ascii="Times New Roman" w:hAnsi="Times New Roman" w:cs="Times New Roman"/>
          <w:sz w:val="24"/>
          <w:szCs w:val="24"/>
        </w:rPr>
        <w:t xml:space="preserve"> </w:t>
      </w:r>
    </w:p>
    <w:p w14:paraId="29A126AF" w14:textId="77777777" w:rsidR="003A13CF" w:rsidRDefault="003A13CF" w:rsidP="003A13CF">
      <w:pPr>
        <w:rPr>
          <w:rFonts w:ascii="Times New Roman" w:hAnsi="Times New Roman" w:cs="Times New Roman"/>
          <w:sz w:val="24"/>
          <w:szCs w:val="24"/>
        </w:rPr>
      </w:pPr>
      <w:r w:rsidRPr="00433D1B">
        <w:rPr>
          <w:rFonts w:ascii="Times New Roman" w:hAnsi="Times New Roman" w:cs="Times New Roman"/>
          <w:sz w:val="24"/>
          <w:szCs w:val="24"/>
        </w:rPr>
        <w:t xml:space="preserve">Langhammer, B., Bergland, A. and </w:t>
      </w:r>
      <w:proofErr w:type="spellStart"/>
      <w:r w:rsidRPr="00433D1B">
        <w:rPr>
          <w:rFonts w:ascii="Times New Roman" w:hAnsi="Times New Roman" w:cs="Times New Roman"/>
          <w:sz w:val="24"/>
          <w:szCs w:val="24"/>
        </w:rPr>
        <w:t>Rydwik</w:t>
      </w:r>
      <w:proofErr w:type="spellEnd"/>
      <w:r w:rsidRPr="00433D1B">
        <w:rPr>
          <w:rFonts w:ascii="Times New Roman" w:hAnsi="Times New Roman" w:cs="Times New Roman"/>
          <w:sz w:val="24"/>
          <w:szCs w:val="24"/>
        </w:rPr>
        <w:t xml:space="preserve">, E. (2018) “The Importance of Physical Activity Exercise among Older People,” </w:t>
      </w:r>
      <w:r w:rsidRPr="00AA3632">
        <w:rPr>
          <w:rFonts w:ascii="Times New Roman" w:hAnsi="Times New Roman" w:cs="Times New Roman"/>
          <w:i/>
          <w:iCs/>
          <w:sz w:val="24"/>
          <w:szCs w:val="24"/>
        </w:rPr>
        <w:t xml:space="preserve">BioMed </w:t>
      </w:r>
      <w:r>
        <w:rPr>
          <w:rFonts w:ascii="Times New Roman" w:hAnsi="Times New Roman" w:cs="Times New Roman"/>
          <w:i/>
          <w:iCs/>
          <w:sz w:val="24"/>
          <w:szCs w:val="24"/>
        </w:rPr>
        <w:t>Research</w:t>
      </w:r>
      <w:r w:rsidRPr="00AA3632">
        <w:rPr>
          <w:rFonts w:ascii="Times New Roman" w:hAnsi="Times New Roman" w:cs="Times New Roman"/>
          <w:i/>
          <w:iCs/>
          <w:sz w:val="24"/>
          <w:szCs w:val="24"/>
        </w:rPr>
        <w:t xml:space="preserve"> </w:t>
      </w:r>
      <w:r>
        <w:rPr>
          <w:rFonts w:ascii="Times New Roman" w:hAnsi="Times New Roman" w:cs="Times New Roman"/>
          <w:i/>
          <w:iCs/>
          <w:sz w:val="24"/>
          <w:szCs w:val="24"/>
        </w:rPr>
        <w:t>I</w:t>
      </w:r>
      <w:r w:rsidRPr="00AA3632">
        <w:rPr>
          <w:rFonts w:ascii="Times New Roman" w:hAnsi="Times New Roman" w:cs="Times New Roman"/>
          <w:i/>
          <w:iCs/>
          <w:sz w:val="24"/>
          <w:szCs w:val="24"/>
        </w:rPr>
        <w:t>nternational</w:t>
      </w:r>
      <w:r w:rsidRPr="00433D1B">
        <w:rPr>
          <w:rFonts w:ascii="Times New Roman" w:hAnsi="Times New Roman" w:cs="Times New Roman"/>
          <w:sz w:val="24"/>
          <w:szCs w:val="24"/>
        </w:rPr>
        <w:t xml:space="preserve">, 2018, pp. 7856823–3. Available at: </w:t>
      </w:r>
      <w:hyperlink r:id="rId23" w:history="1">
        <w:r w:rsidRPr="000115C3">
          <w:rPr>
            <w:rStyle w:val="Hyperlink"/>
            <w:rFonts w:ascii="Times New Roman" w:hAnsi="Times New Roman" w:cs="Times New Roman"/>
            <w:sz w:val="24"/>
            <w:szCs w:val="24"/>
          </w:rPr>
          <w:t>https://doi.org/10.1155/2018/7856823</w:t>
        </w:r>
      </w:hyperlink>
      <w:r w:rsidRPr="00433D1B">
        <w:rPr>
          <w:rFonts w:ascii="Times New Roman" w:hAnsi="Times New Roman" w:cs="Times New Roman"/>
          <w:sz w:val="24"/>
          <w:szCs w:val="24"/>
        </w:rPr>
        <w:t>.</w:t>
      </w:r>
      <w:r>
        <w:rPr>
          <w:rFonts w:ascii="Times New Roman" w:hAnsi="Times New Roman" w:cs="Times New Roman"/>
          <w:sz w:val="24"/>
          <w:szCs w:val="24"/>
        </w:rPr>
        <w:t xml:space="preserve"> </w:t>
      </w:r>
    </w:p>
    <w:p w14:paraId="2655D161"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Leung, A.Y.M., </w:t>
      </w:r>
      <w:proofErr w:type="spellStart"/>
      <w:r>
        <w:rPr>
          <w:rFonts w:ascii="Times New Roman" w:hAnsi="Times New Roman" w:cs="Times New Roman"/>
          <w:sz w:val="24"/>
          <w:szCs w:val="24"/>
        </w:rPr>
        <w:t>Molasiotis</w:t>
      </w:r>
      <w:proofErr w:type="spellEnd"/>
      <w:r>
        <w:rPr>
          <w:rFonts w:ascii="Times New Roman" w:hAnsi="Times New Roman" w:cs="Times New Roman"/>
          <w:sz w:val="24"/>
          <w:szCs w:val="24"/>
        </w:rPr>
        <w:t>, A., and Carino, D.A., (2021) “</w:t>
      </w:r>
      <w:r w:rsidRPr="00620BD4">
        <w:rPr>
          <w:rFonts w:ascii="Times New Roman" w:hAnsi="Times New Roman" w:cs="Times New Roman"/>
          <w:sz w:val="24"/>
          <w:szCs w:val="24"/>
        </w:rPr>
        <w:t>A Challenge to Healthy Aging: Limited Social Participation in Old Age</w:t>
      </w:r>
      <w:r>
        <w:rPr>
          <w:rFonts w:ascii="Times New Roman" w:hAnsi="Times New Roman" w:cs="Times New Roman"/>
          <w:sz w:val="24"/>
          <w:szCs w:val="24"/>
        </w:rPr>
        <w:t xml:space="preserve">,” </w:t>
      </w:r>
      <w:r w:rsidRPr="00620BD4">
        <w:rPr>
          <w:rFonts w:ascii="Times New Roman" w:hAnsi="Times New Roman" w:cs="Times New Roman"/>
          <w:i/>
          <w:iCs/>
          <w:sz w:val="24"/>
          <w:szCs w:val="24"/>
        </w:rPr>
        <w:t>Ageing and Disease</w:t>
      </w:r>
      <w:r>
        <w:rPr>
          <w:rFonts w:ascii="Times New Roman" w:hAnsi="Times New Roman" w:cs="Times New Roman"/>
          <w:sz w:val="24"/>
          <w:szCs w:val="24"/>
        </w:rPr>
        <w:t xml:space="preserve">. 12(7): 1536-1538. </w:t>
      </w:r>
      <w:hyperlink r:id="rId24" w:history="1">
        <w:r w:rsidRPr="001052A7">
          <w:rPr>
            <w:rStyle w:val="Hyperlink"/>
            <w:rFonts w:ascii="Times New Roman" w:hAnsi="Times New Roman" w:cs="Times New Roman"/>
            <w:sz w:val="24"/>
            <w:szCs w:val="24"/>
          </w:rPr>
          <w:t>https://doi.org/10.14336%2FAD.2021.02018</w:t>
        </w:r>
      </w:hyperlink>
      <w:r>
        <w:rPr>
          <w:rFonts w:ascii="Times New Roman" w:hAnsi="Times New Roman" w:cs="Times New Roman"/>
          <w:sz w:val="24"/>
          <w:szCs w:val="24"/>
        </w:rPr>
        <w:t xml:space="preserve"> </w:t>
      </w:r>
    </w:p>
    <w:p w14:paraId="454E4CDB" w14:textId="77777777" w:rsidR="003A13CF" w:rsidRDefault="003A13CF" w:rsidP="003A13CF">
      <w:pPr>
        <w:rPr>
          <w:rFonts w:ascii="Times New Roman" w:hAnsi="Times New Roman" w:cs="Times New Roman"/>
          <w:sz w:val="24"/>
          <w:szCs w:val="24"/>
        </w:rPr>
      </w:pPr>
      <w:r w:rsidRPr="00601E8E">
        <w:rPr>
          <w:rFonts w:ascii="Times New Roman" w:hAnsi="Times New Roman" w:cs="Times New Roman"/>
          <w:sz w:val="24"/>
          <w:szCs w:val="24"/>
        </w:rPr>
        <w:t>Lopez-Hartmann, M.</w:t>
      </w:r>
      <w:r>
        <w:rPr>
          <w:rFonts w:ascii="Times New Roman" w:hAnsi="Times New Roman" w:cs="Times New Roman"/>
          <w:sz w:val="24"/>
          <w:szCs w:val="24"/>
        </w:rPr>
        <w:t xml:space="preserve">, Wens, J., Verhoeven, V., and Remmen, R. </w:t>
      </w:r>
      <w:r w:rsidRPr="00601E8E">
        <w:rPr>
          <w:rFonts w:ascii="Times New Roman" w:hAnsi="Times New Roman" w:cs="Times New Roman"/>
          <w:sz w:val="24"/>
          <w:szCs w:val="24"/>
        </w:rPr>
        <w:t xml:space="preserve">(2012) “The effect of caregiver support interventions for informal caregivers of community-dwelling frail elderly: a systematic review,” </w:t>
      </w:r>
      <w:r w:rsidRPr="00601E8E">
        <w:rPr>
          <w:rFonts w:ascii="Times New Roman" w:hAnsi="Times New Roman" w:cs="Times New Roman"/>
          <w:i/>
          <w:iCs/>
          <w:sz w:val="24"/>
          <w:szCs w:val="24"/>
        </w:rPr>
        <w:t xml:space="preserve">International </w:t>
      </w:r>
      <w:r>
        <w:rPr>
          <w:rFonts w:ascii="Times New Roman" w:hAnsi="Times New Roman" w:cs="Times New Roman"/>
          <w:i/>
          <w:iCs/>
          <w:sz w:val="24"/>
          <w:szCs w:val="24"/>
        </w:rPr>
        <w:t>Journal</w:t>
      </w:r>
      <w:r w:rsidRPr="00601E8E">
        <w:rPr>
          <w:rFonts w:ascii="Times New Roman" w:hAnsi="Times New Roman" w:cs="Times New Roman"/>
          <w:i/>
          <w:iCs/>
          <w:sz w:val="24"/>
          <w:szCs w:val="24"/>
        </w:rPr>
        <w:t xml:space="preserve"> of integrated care</w:t>
      </w:r>
      <w:r w:rsidRPr="00601E8E">
        <w:rPr>
          <w:rFonts w:ascii="Times New Roman" w:hAnsi="Times New Roman" w:cs="Times New Roman"/>
          <w:sz w:val="24"/>
          <w:szCs w:val="24"/>
        </w:rPr>
        <w:t xml:space="preserve">, 12(5), pp. e133–e133. Available at: </w:t>
      </w:r>
      <w:hyperlink r:id="rId25" w:history="1">
        <w:r w:rsidRPr="001052A7">
          <w:rPr>
            <w:rStyle w:val="Hyperlink"/>
            <w:rFonts w:ascii="Times New Roman" w:hAnsi="Times New Roman" w:cs="Times New Roman"/>
            <w:sz w:val="24"/>
            <w:szCs w:val="24"/>
          </w:rPr>
          <w:t>https://doi.org/10.5334/ijic.845</w:t>
        </w:r>
      </w:hyperlink>
      <w:r w:rsidRPr="00601E8E">
        <w:rPr>
          <w:rFonts w:ascii="Times New Roman" w:hAnsi="Times New Roman" w:cs="Times New Roman"/>
          <w:sz w:val="24"/>
          <w:szCs w:val="24"/>
        </w:rPr>
        <w:t>.</w:t>
      </w:r>
      <w:r>
        <w:rPr>
          <w:rFonts w:ascii="Times New Roman" w:hAnsi="Times New Roman" w:cs="Times New Roman"/>
          <w:sz w:val="24"/>
          <w:szCs w:val="24"/>
        </w:rPr>
        <w:t xml:space="preserve"> </w:t>
      </w:r>
    </w:p>
    <w:p w14:paraId="67E7467F" w14:textId="77777777" w:rsidR="003A13CF" w:rsidRDefault="003A13CF" w:rsidP="003A13CF">
      <w:pPr>
        <w:rPr>
          <w:rFonts w:ascii="Times New Roman" w:hAnsi="Times New Roman" w:cs="Times New Roman"/>
          <w:sz w:val="24"/>
          <w:szCs w:val="24"/>
        </w:rPr>
      </w:pPr>
      <w:r w:rsidRPr="00A050EC">
        <w:rPr>
          <w:rFonts w:ascii="Times New Roman" w:hAnsi="Times New Roman" w:cs="Times New Roman"/>
          <w:sz w:val="24"/>
          <w:szCs w:val="24"/>
        </w:rPr>
        <w:t>McKelvie, S</w:t>
      </w:r>
      <w:r>
        <w:rPr>
          <w:rFonts w:ascii="Times New Roman" w:hAnsi="Times New Roman" w:cs="Times New Roman"/>
          <w:sz w:val="24"/>
          <w:szCs w:val="24"/>
        </w:rPr>
        <w:t xml:space="preserve">., Moore, A., </w:t>
      </w:r>
      <w:proofErr w:type="spellStart"/>
      <w:r>
        <w:rPr>
          <w:rFonts w:ascii="Times New Roman" w:hAnsi="Times New Roman" w:cs="Times New Roman"/>
          <w:sz w:val="24"/>
          <w:szCs w:val="24"/>
        </w:rPr>
        <w:t>Crozson</w:t>
      </w:r>
      <w:proofErr w:type="spellEnd"/>
      <w:r>
        <w:rPr>
          <w:rFonts w:ascii="Times New Roman" w:hAnsi="Times New Roman" w:cs="Times New Roman"/>
          <w:sz w:val="24"/>
          <w:szCs w:val="24"/>
        </w:rPr>
        <w:t xml:space="preserve">, C., </w:t>
      </w:r>
      <w:proofErr w:type="spellStart"/>
      <w:r>
        <w:rPr>
          <w:rFonts w:ascii="Times New Roman" w:hAnsi="Times New Roman" w:cs="Times New Roman"/>
          <w:sz w:val="24"/>
          <w:szCs w:val="24"/>
        </w:rPr>
        <w:t>Lasserson</w:t>
      </w:r>
      <w:proofErr w:type="spellEnd"/>
      <w:r>
        <w:rPr>
          <w:rFonts w:ascii="Times New Roman" w:hAnsi="Times New Roman" w:cs="Times New Roman"/>
          <w:sz w:val="24"/>
          <w:szCs w:val="24"/>
        </w:rPr>
        <w:t xml:space="preserve">, D.S., and Hayward, G.N. </w:t>
      </w:r>
      <w:r w:rsidRPr="00A050EC">
        <w:rPr>
          <w:rFonts w:ascii="Times New Roman" w:hAnsi="Times New Roman" w:cs="Times New Roman"/>
          <w:sz w:val="24"/>
          <w:szCs w:val="24"/>
        </w:rPr>
        <w:t xml:space="preserve">(2019) “Challenges and strategies for general practitioners diagnosing serious infections in older adults: a UK qualitative interview study,” </w:t>
      </w:r>
      <w:r w:rsidRPr="00A050EC">
        <w:rPr>
          <w:rFonts w:ascii="Times New Roman" w:hAnsi="Times New Roman" w:cs="Times New Roman"/>
          <w:i/>
          <w:iCs/>
          <w:sz w:val="24"/>
          <w:szCs w:val="24"/>
        </w:rPr>
        <w:t>BMC Family Practice</w:t>
      </w:r>
      <w:r w:rsidRPr="00A050EC">
        <w:rPr>
          <w:rFonts w:ascii="Times New Roman" w:hAnsi="Times New Roman" w:cs="Times New Roman"/>
          <w:sz w:val="24"/>
          <w:szCs w:val="24"/>
        </w:rPr>
        <w:t xml:space="preserve">, 20(1), pp. 56–56. Available at: </w:t>
      </w:r>
      <w:hyperlink r:id="rId26" w:history="1">
        <w:r w:rsidRPr="00140E6B">
          <w:rPr>
            <w:rStyle w:val="Hyperlink"/>
            <w:rFonts w:ascii="Times New Roman" w:hAnsi="Times New Roman" w:cs="Times New Roman"/>
            <w:sz w:val="24"/>
            <w:szCs w:val="24"/>
          </w:rPr>
          <w:t>https://doi.org/10.1186/s12875-019-0941-8</w:t>
        </w:r>
      </w:hyperlink>
      <w:r w:rsidRPr="00A050EC">
        <w:rPr>
          <w:rFonts w:ascii="Times New Roman" w:hAnsi="Times New Roman" w:cs="Times New Roman"/>
          <w:sz w:val="24"/>
          <w:szCs w:val="24"/>
        </w:rPr>
        <w:t>.</w:t>
      </w:r>
      <w:r>
        <w:rPr>
          <w:rFonts w:ascii="Times New Roman" w:hAnsi="Times New Roman" w:cs="Times New Roman"/>
          <w:sz w:val="24"/>
          <w:szCs w:val="24"/>
        </w:rPr>
        <w:t xml:space="preserve"> </w:t>
      </w:r>
    </w:p>
    <w:p w14:paraId="2E886748"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Mehra, S., </w:t>
      </w:r>
      <w:proofErr w:type="spellStart"/>
      <w:r>
        <w:rPr>
          <w:rFonts w:ascii="Times New Roman" w:hAnsi="Times New Roman" w:cs="Times New Roman"/>
          <w:sz w:val="24"/>
          <w:szCs w:val="24"/>
        </w:rPr>
        <w:t>Dadema</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Krose</w:t>
      </w:r>
      <w:proofErr w:type="spellEnd"/>
      <w:r>
        <w:rPr>
          <w:rFonts w:ascii="Times New Roman" w:hAnsi="Times New Roman" w:cs="Times New Roman"/>
          <w:sz w:val="24"/>
          <w:szCs w:val="24"/>
        </w:rPr>
        <w:t xml:space="preserve">, B.J.A., Visser, B., Engelbert, R.H.H., Helder, J.V.D., and </w:t>
      </w:r>
      <w:proofErr w:type="spellStart"/>
      <w:r>
        <w:rPr>
          <w:rFonts w:ascii="Times New Roman" w:hAnsi="Times New Roman" w:cs="Times New Roman"/>
          <w:sz w:val="24"/>
          <w:szCs w:val="24"/>
        </w:rPr>
        <w:t>Weijs</w:t>
      </w:r>
      <w:proofErr w:type="spellEnd"/>
      <w:r>
        <w:rPr>
          <w:rFonts w:ascii="Times New Roman" w:hAnsi="Times New Roman" w:cs="Times New Roman"/>
          <w:sz w:val="24"/>
          <w:szCs w:val="24"/>
        </w:rPr>
        <w:t xml:space="preserve">, P.J.M. </w:t>
      </w:r>
      <w:r w:rsidRPr="002D2088">
        <w:rPr>
          <w:rFonts w:ascii="Times New Roman" w:hAnsi="Times New Roman" w:cs="Times New Roman"/>
          <w:sz w:val="24"/>
          <w:szCs w:val="24"/>
        </w:rPr>
        <w:t xml:space="preserve">(2016) “Attitudes of older adults in a group-based exercise program towards a blended intervention; a focus-group study,” </w:t>
      </w:r>
      <w:r w:rsidRPr="002D2088">
        <w:rPr>
          <w:rFonts w:ascii="Times New Roman" w:hAnsi="Times New Roman" w:cs="Times New Roman"/>
          <w:i/>
          <w:iCs/>
          <w:sz w:val="24"/>
          <w:szCs w:val="24"/>
        </w:rPr>
        <w:t>Frontiers in psychology</w:t>
      </w:r>
      <w:r w:rsidRPr="002D2088">
        <w:rPr>
          <w:rFonts w:ascii="Times New Roman" w:hAnsi="Times New Roman" w:cs="Times New Roman"/>
          <w:sz w:val="24"/>
          <w:szCs w:val="24"/>
        </w:rPr>
        <w:t xml:space="preserve">, 7. Available at: </w:t>
      </w:r>
      <w:hyperlink r:id="rId27" w:history="1">
        <w:r w:rsidRPr="000115C3">
          <w:rPr>
            <w:rStyle w:val="Hyperlink"/>
            <w:rFonts w:ascii="Times New Roman" w:hAnsi="Times New Roman" w:cs="Times New Roman"/>
            <w:sz w:val="24"/>
            <w:szCs w:val="24"/>
          </w:rPr>
          <w:t>https://doi.org/10.3389/fpsyg.2016.01827</w:t>
        </w:r>
      </w:hyperlink>
      <w:r w:rsidRPr="002D2088">
        <w:rPr>
          <w:rFonts w:ascii="Times New Roman" w:hAnsi="Times New Roman" w:cs="Times New Roman"/>
          <w:sz w:val="24"/>
          <w:szCs w:val="24"/>
        </w:rPr>
        <w:t>.</w:t>
      </w:r>
      <w:r>
        <w:rPr>
          <w:rFonts w:ascii="Times New Roman" w:hAnsi="Times New Roman" w:cs="Times New Roman"/>
          <w:sz w:val="24"/>
          <w:szCs w:val="24"/>
        </w:rPr>
        <w:t xml:space="preserve"> </w:t>
      </w:r>
    </w:p>
    <w:p w14:paraId="41EEF346" w14:textId="77777777" w:rsidR="003A13CF" w:rsidRDefault="003A13CF" w:rsidP="003A13CF">
      <w:pPr>
        <w:rPr>
          <w:rFonts w:ascii="Times New Roman" w:hAnsi="Times New Roman" w:cs="Times New Roman"/>
          <w:sz w:val="24"/>
          <w:szCs w:val="24"/>
        </w:rPr>
      </w:pPr>
      <w:r w:rsidRPr="00624B66">
        <w:rPr>
          <w:rFonts w:ascii="Times New Roman" w:hAnsi="Times New Roman" w:cs="Times New Roman"/>
          <w:sz w:val="24"/>
          <w:szCs w:val="24"/>
        </w:rPr>
        <w:t xml:space="preserve">Mohadeseh Motamed-Jahromi and Mohammad Hossein Kaveh (2021) “Effective Interventions on Improving Elderly’s Independence in Activity of Daily Living: A Systematic Review and Logic Model,” </w:t>
      </w:r>
      <w:r w:rsidRPr="00624B66">
        <w:rPr>
          <w:rFonts w:ascii="Times New Roman" w:hAnsi="Times New Roman" w:cs="Times New Roman"/>
          <w:i/>
          <w:iCs/>
          <w:sz w:val="24"/>
          <w:szCs w:val="24"/>
        </w:rPr>
        <w:t>Frontiers in Public Health</w:t>
      </w:r>
      <w:r w:rsidRPr="00624B66">
        <w:rPr>
          <w:rFonts w:ascii="Times New Roman" w:hAnsi="Times New Roman" w:cs="Times New Roman"/>
          <w:sz w:val="24"/>
          <w:szCs w:val="24"/>
        </w:rPr>
        <w:t xml:space="preserve">, 8. Available at: </w:t>
      </w:r>
      <w:hyperlink r:id="rId28" w:history="1">
        <w:r w:rsidRPr="00B07949">
          <w:rPr>
            <w:rStyle w:val="Hyperlink"/>
            <w:rFonts w:ascii="Times New Roman" w:hAnsi="Times New Roman" w:cs="Times New Roman"/>
            <w:sz w:val="24"/>
            <w:szCs w:val="24"/>
          </w:rPr>
          <w:t>https://doi.org/10.3389/fpubh.2020.516151</w:t>
        </w:r>
      </w:hyperlink>
      <w:r w:rsidRPr="00624B66">
        <w:rPr>
          <w:rFonts w:ascii="Times New Roman" w:hAnsi="Times New Roman" w:cs="Times New Roman"/>
          <w:sz w:val="24"/>
          <w:szCs w:val="24"/>
        </w:rPr>
        <w:t>.</w:t>
      </w:r>
      <w:r>
        <w:rPr>
          <w:rFonts w:ascii="Times New Roman" w:hAnsi="Times New Roman" w:cs="Times New Roman"/>
          <w:sz w:val="24"/>
          <w:szCs w:val="24"/>
        </w:rPr>
        <w:t xml:space="preserve"> </w:t>
      </w:r>
    </w:p>
    <w:p w14:paraId="06F78E2A"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National Institute on Ageing (2024) </w:t>
      </w:r>
      <w:r w:rsidRPr="00EC614F">
        <w:rPr>
          <w:rFonts w:ascii="Times New Roman" w:hAnsi="Times New Roman" w:cs="Times New Roman"/>
          <w:i/>
          <w:iCs/>
          <w:sz w:val="24"/>
          <w:szCs w:val="24"/>
        </w:rPr>
        <w:t>Maintaining a Healthy Weight</w:t>
      </w:r>
      <w:r>
        <w:rPr>
          <w:rFonts w:ascii="Times New Roman" w:hAnsi="Times New Roman" w:cs="Times New Roman"/>
          <w:sz w:val="24"/>
          <w:szCs w:val="24"/>
        </w:rPr>
        <w:t xml:space="preserve">. Available at: </w:t>
      </w:r>
      <w:hyperlink r:id="rId29" w:history="1">
        <w:r w:rsidRPr="00B07949">
          <w:rPr>
            <w:rStyle w:val="Hyperlink"/>
            <w:rFonts w:ascii="Times New Roman" w:hAnsi="Times New Roman" w:cs="Times New Roman"/>
            <w:sz w:val="24"/>
            <w:szCs w:val="24"/>
          </w:rPr>
          <w:t>https://www.nia.nih.gov/health/healthy-eating-nutrition-and-diet/maintaining-healthy-weight</w:t>
        </w:r>
      </w:hyperlink>
      <w:r>
        <w:rPr>
          <w:rFonts w:ascii="Times New Roman" w:hAnsi="Times New Roman" w:cs="Times New Roman"/>
          <w:sz w:val="24"/>
          <w:szCs w:val="24"/>
        </w:rPr>
        <w:t xml:space="preserve"> (Accessed: 1</w:t>
      </w:r>
      <w:r w:rsidRPr="00EC614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2024). </w:t>
      </w:r>
    </w:p>
    <w:p w14:paraId="62158A8B"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NHS (2024) </w:t>
      </w:r>
      <w:r w:rsidRPr="00D12631">
        <w:rPr>
          <w:rFonts w:ascii="Times New Roman" w:hAnsi="Times New Roman" w:cs="Times New Roman"/>
          <w:i/>
          <w:iCs/>
          <w:sz w:val="24"/>
          <w:szCs w:val="24"/>
        </w:rPr>
        <w:t>Prevention: Falls</w:t>
      </w:r>
      <w:r>
        <w:rPr>
          <w:rFonts w:ascii="Times New Roman" w:hAnsi="Times New Roman" w:cs="Times New Roman"/>
          <w:sz w:val="24"/>
          <w:szCs w:val="24"/>
        </w:rPr>
        <w:t xml:space="preserve">. Available at: </w:t>
      </w:r>
      <w:hyperlink r:id="rId30" w:history="1">
        <w:r w:rsidRPr="008C52C1">
          <w:rPr>
            <w:rStyle w:val="Hyperlink"/>
            <w:rFonts w:ascii="Times New Roman" w:hAnsi="Times New Roman" w:cs="Times New Roman"/>
            <w:sz w:val="24"/>
            <w:szCs w:val="24"/>
          </w:rPr>
          <w:t>https://www.nhs.uk/conditions/falls/prevention/</w:t>
        </w:r>
      </w:hyperlink>
      <w:r>
        <w:rPr>
          <w:rFonts w:ascii="Times New Roman" w:hAnsi="Times New Roman" w:cs="Times New Roman"/>
          <w:sz w:val="24"/>
          <w:szCs w:val="24"/>
        </w:rPr>
        <w:t xml:space="preserve"> (Accessed: 27</w:t>
      </w:r>
      <w:r w:rsidRPr="00D1263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6F70D38E"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NHS Inform (2024) </w:t>
      </w:r>
      <w:r w:rsidRPr="00D12631">
        <w:rPr>
          <w:rFonts w:ascii="Times New Roman" w:hAnsi="Times New Roman" w:cs="Times New Roman"/>
          <w:sz w:val="24"/>
          <w:szCs w:val="24"/>
        </w:rPr>
        <w:t>How to manage your medication to help prevent falls</w:t>
      </w:r>
      <w:r>
        <w:rPr>
          <w:rFonts w:ascii="Times New Roman" w:hAnsi="Times New Roman" w:cs="Times New Roman"/>
          <w:sz w:val="24"/>
          <w:szCs w:val="24"/>
        </w:rPr>
        <w:t xml:space="preserve">. Available at: </w:t>
      </w:r>
      <w:hyperlink r:id="rId31" w:history="1">
        <w:r w:rsidRPr="008C52C1">
          <w:rPr>
            <w:rStyle w:val="Hyperlink"/>
            <w:rFonts w:ascii="Times New Roman" w:hAnsi="Times New Roman" w:cs="Times New Roman"/>
            <w:sz w:val="24"/>
            <w:szCs w:val="24"/>
          </w:rPr>
          <w:t>https://www.nhsinform.scot/healthy-living/preventing-falls/keeping-well/how-to-manage-your-medication-to-help-prevent-falls/</w:t>
        </w:r>
      </w:hyperlink>
      <w:r>
        <w:rPr>
          <w:rFonts w:ascii="Times New Roman" w:hAnsi="Times New Roman" w:cs="Times New Roman"/>
          <w:sz w:val="24"/>
          <w:szCs w:val="24"/>
        </w:rPr>
        <w:t xml:space="preserve"> (Accessed: 27</w:t>
      </w:r>
      <w:r w:rsidRPr="00D1263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5670DF5A"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NHS Somerset (2011) </w:t>
      </w:r>
      <w:r w:rsidRPr="00D12631">
        <w:rPr>
          <w:rFonts w:ascii="Times New Roman" w:hAnsi="Times New Roman" w:cs="Times New Roman"/>
          <w:sz w:val="24"/>
          <w:szCs w:val="24"/>
        </w:rPr>
        <w:t>Medication and falls risk classification guid</w:t>
      </w:r>
      <w:r>
        <w:rPr>
          <w:rFonts w:ascii="Times New Roman" w:hAnsi="Times New Roman" w:cs="Times New Roman"/>
          <w:sz w:val="24"/>
          <w:szCs w:val="24"/>
        </w:rPr>
        <w:t>e. Available at:</w:t>
      </w:r>
      <w:r w:rsidRPr="00D12631">
        <w:t xml:space="preserve"> </w:t>
      </w:r>
      <w:hyperlink r:id="rId32" w:history="1">
        <w:r w:rsidRPr="008C52C1">
          <w:rPr>
            <w:rStyle w:val="Hyperlink"/>
            <w:rFonts w:ascii="Times New Roman" w:hAnsi="Times New Roman" w:cs="Times New Roman"/>
            <w:sz w:val="24"/>
            <w:szCs w:val="24"/>
          </w:rPr>
          <w:t>https://nhssomerset.nhs.uk/wp-content/uploads/sites/2/Attachment-1-Medication-and-falls-risks-classification-guide.pdf</w:t>
        </w:r>
      </w:hyperlink>
      <w:r>
        <w:rPr>
          <w:rFonts w:ascii="Times New Roman" w:hAnsi="Times New Roman" w:cs="Times New Roman"/>
          <w:sz w:val="24"/>
          <w:szCs w:val="24"/>
        </w:rPr>
        <w:t xml:space="preserve">  (Accessed 27</w:t>
      </w:r>
      <w:r w:rsidRPr="00D1263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433567C5" w14:textId="77777777" w:rsidR="003A13CF" w:rsidRPr="00495C8E" w:rsidRDefault="003A13CF" w:rsidP="003A13CF">
      <w:pPr>
        <w:rPr>
          <w:rFonts w:ascii="Times New Roman" w:hAnsi="Times New Roman" w:cs="Times New Roman"/>
          <w:sz w:val="24"/>
          <w:szCs w:val="24"/>
        </w:rPr>
      </w:pPr>
      <w:bookmarkStart w:id="13" w:name="_Hlk165418708"/>
      <w:r w:rsidRPr="008A7453">
        <w:rPr>
          <w:rFonts w:ascii="Times New Roman" w:hAnsi="Times New Roman" w:cs="Times New Roman"/>
          <w:sz w:val="24"/>
          <w:szCs w:val="24"/>
        </w:rPr>
        <w:t>Nilsson, H., Bülow, P.H. and Kazemi</w:t>
      </w:r>
      <w:bookmarkEnd w:id="13"/>
      <w:r w:rsidRPr="008A7453">
        <w:rPr>
          <w:rFonts w:ascii="Times New Roman" w:hAnsi="Times New Roman" w:cs="Times New Roman"/>
          <w:sz w:val="24"/>
          <w:szCs w:val="24"/>
        </w:rPr>
        <w:t xml:space="preserve">, A. (2015) “Mindful Sustainable Aging: Advancing a Comprehensive Approach to the Challenges and Opportunities of Old Age,” </w:t>
      </w:r>
      <w:r w:rsidRPr="008A7453">
        <w:rPr>
          <w:rFonts w:ascii="Times New Roman" w:hAnsi="Times New Roman" w:cs="Times New Roman"/>
          <w:i/>
          <w:iCs/>
          <w:sz w:val="24"/>
          <w:szCs w:val="24"/>
        </w:rPr>
        <w:t>Europe’s Journal of Psychology</w:t>
      </w:r>
      <w:r w:rsidRPr="008A7453">
        <w:rPr>
          <w:rFonts w:ascii="Times New Roman" w:hAnsi="Times New Roman" w:cs="Times New Roman"/>
          <w:sz w:val="24"/>
          <w:szCs w:val="24"/>
        </w:rPr>
        <w:t xml:space="preserve">, 11(3), pp. 494–508. Available at: </w:t>
      </w:r>
      <w:hyperlink r:id="rId33" w:history="1">
        <w:r w:rsidRPr="00AD6BE7">
          <w:rPr>
            <w:rStyle w:val="Hyperlink"/>
            <w:rFonts w:ascii="Times New Roman" w:hAnsi="Times New Roman" w:cs="Times New Roman"/>
            <w:sz w:val="24"/>
            <w:szCs w:val="24"/>
          </w:rPr>
          <w:t>https://doi.org/10.5964/ejop.v11i3.949</w:t>
        </w:r>
      </w:hyperlink>
      <w:r w:rsidRPr="008A7453">
        <w:rPr>
          <w:rFonts w:ascii="Times New Roman" w:hAnsi="Times New Roman" w:cs="Times New Roman"/>
          <w:sz w:val="24"/>
          <w:szCs w:val="24"/>
        </w:rPr>
        <w:t>.</w:t>
      </w:r>
      <w:r>
        <w:rPr>
          <w:rFonts w:ascii="Times New Roman" w:hAnsi="Times New Roman" w:cs="Times New Roman"/>
          <w:sz w:val="24"/>
          <w:szCs w:val="24"/>
        </w:rPr>
        <w:t xml:space="preserve"> </w:t>
      </w:r>
    </w:p>
    <w:p w14:paraId="72DAD5DE" w14:textId="77777777" w:rsidR="003A13CF" w:rsidRPr="00495C8E"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Nyqvist, F., Nasman, M., Hemberg, J., and Nygard, M. (2023) “Risk factors for loneliness among older people in a Nordic regional context – a longitudinal study,” </w:t>
      </w:r>
      <w:r w:rsidRPr="00495C8E">
        <w:rPr>
          <w:rFonts w:ascii="Times New Roman" w:hAnsi="Times New Roman" w:cs="Times New Roman"/>
          <w:i/>
          <w:iCs/>
          <w:sz w:val="24"/>
          <w:szCs w:val="24"/>
        </w:rPr>
        <w:t>Ageing and Society</w:t>
      </w:r>
      <w:r w:rsidRPr="00495C8E">
        <w:rPr>
          <w:rFonts w:ascii="Times New Roman" w:hAnsi="Times New Roman" w:cs="Times New Roman"/>
          <w:sz w:val="24"/>
          <w:szCs w:val="24"/>
        </w:rPr>
        <w:t xml:space="preserve">, 43(10), pp. 2372–2393. Available at: </w:t>
      </w:r>
      <w:hyperlink r:id="rId34" w:history="1">
        <w:r w:rsidRPr="00495C8E">
          <w:rPr>
            <w:rStyle w:val="Hyperlink"/>
            <w:rFonts w:ascii="Times New Roman" w:hAnsi="Times New Roman" w:cs="Times New Roman"/>
            <w:sz w:val="24"/>
            <w:szCs w:val="24"/>
          </w:rPr>
          <w:t>https://doi.org/10.1017/S0144686X21001707</w:t>
        </w:r>
      </w:hyperlink>
      <w:r w:rsidRPr="00495C8E">
        <w:rPr>
          <w:rFonts w:ascii="Times New Roman" w:hAnsi="Times New Roman" w:cs="Times New Roman"/>
          <w:sz w:val="24"/>
          <w:szCs w:val="24"/>
        </w:rPr>
        <w:t xml:space="preserve">. </w:t>
      </w:r>
    </w:p>
    <w:p w14:paraId="504B95AA" w14:textId="77777777" w:rsidR="003A13CF"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Older People’s Commissioners for Wales (2022) Understand Wales’s ageing population: key statistics. Available at: </w:t>
      </w:r>
      <w:hyperlink r:id="rId35" w:history="1">
        <w:r w:rsidRPr="00495C8E">
          <w:rPr>
            <w:rStyle w:val="Hyperlink"/>
            <w:rFonts w:ascii="Times New Roman" w:hAnsi="Times New Roman" w:cs="Times New Roman"/>
            <w:sz w:val="24"/>
            <w:szCs w:val="24"/>
          </w:rPr>
          <w:t>https://olderpeople.wales/wp-content/uploads/2023/01/221222-Understanding-Wales-ageing-population-24-November.pdf</w:t>
        </w:r>
      </w:hyperlink>
      <w:r w:rsidRPr="00495C8E">
        <w:rPr>
          <w:rFonts w:ascii="Times New Roman" w:hAnsi="Times New Roman" w:cs="Times New Roman"/>
          <w:sz w:val="24"/>
          <w:szCs w:val="24"/>
        </w:rPr>
        <w:t xml:space="preserve"> (Accessed: 28</w:t>
      </w:r>
      <w:r w:rsidRPr="00495C8E">
        <w:rPr>
          <w:rFonts w:ascii="Times New Roman" w:hAnsi="Times New Roman" w:cs="Times New Roman"/>
          <w:sz w:val="24"/>
          <w:szCs w:val="24"/>
          <w:vertAlign w:val="superscript"/>
        </w:rPr>
        <w:t>th</w:t>
      </w:r>
      <w:r w:rsidRPr="00495C8E">
        <w:rPr>
          <w:rFonts w:ascii="Times New Roman" w:hAnsi="Times New Roman" w:cs="Times New Roman"/>
          <w:sz w:val="24"/>
          <w:szCs w:val="24"/>
        </w:rPr>
        <w:t xml:space="preserve"> February 2024). </w:t>
      </w:r>
    </w:p>
    <w:p w14:paraId="7EB989DF" w14:textId="77777777" w:rsidR="003A13CF" w:rsidRPr="00495C8E"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Oxford Health NHS Foundation Trust (2024) </w:t>
      </w:r>
      <w:r w:rsidRPr="003B402B">
        <w:rPr>
          <w:rFonts w:ascii="Times New Roman" w:hAnsi="Times New Roman" w:cs="Times New Roman"/>
          <w:i/>
          <w:iCs/>
          <w:sz w:val="24"/>
          <w:szCs w:val="24"/>
        </w:rPr>
        <w:t>Medicines can cause falls.</w:t>
      </w:r>
      <w:r>
        <w:rPr>
          <w:rFonts w:ascii="Times New Roman" w:hAnsi="Times New Roman" w:cs="Times New Roman"/>
          <w:sz w:val="24"/>
          <w:szCs w:val="24"/>
        </w:rPr>
        <w:t xml:space="preserve"> Available at: </w:t>
      </w:r>
      <w:hyperlink r:id="rId36" w:history="1">
        <w:r w:rsidRPr="004B3D9B">
          <w:rPr>
            <w:rStyle w:val="Hyperlink"/>
            <w:rFonts w:ascii="Times New Roman" w:hAnsi="Times New Roman" w:cs="Times New Roman"/>
            <w:sz w:val="24"/>
            <w:szCs w:val="24"/>
          </w:rPr>
          <w:t>https://www.oxfordhealth.nhs.uk/wp-content/uploads/2011/03/OH-221.20-Medicines-can-cause-falls.pdf</w:t>
        </w:r>
      </w:hyperlink>
      <w:r>
        <w:rPr>
          <w:rFonts w:ascii="Times New Roman" w:hAnsi="Times New Roman" w:cs="Times New Roman"/>
          <w:sz w:val="24"/>
          <w:szCs w:val="24"/>
        </w:rPr>
        <w:t>. (Accessed: 25</w:t>
      </w:r>
      <w:r w:rsidRPr="003B402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2EEB3E87" w14:textId="77777777" w:rsidR="003A13CF"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Palsgaard, P., Maino-</w:t>
      </w:r>
      <w:proofErr w:type="spellStart"/>
      <w:r w:rsidRPr="00495C8E">
        <w:rPr>
          <w:rFonts w:ascii="Times New Roman" w:hAnsi="Times New Roman" w:cs="Times New Roman"/>
          <w:sz w:val="24"/>
          <w:szCs w:val="24"/>
        </w:rPr>
        <w:t>Vieytes</w:t>
      </w:r>
      <w:proofErr w:type="spellEnd"/>
      <w:r w:rsidRPr="00495C8E">
        <w:rPr>
          <w:rFonts w:ascii="Times New Roman" w:hAnsi="Times New Roman" w:cs="Times New Roman"/>
          <w:sz w:val="24"/>
          <w:szCs w:val="24"/>
        </w:rPr>
        <w:t xml:space="preserve">, C.A., Peterson, N., Francis, S.L., Monroe-Lord, L., Sahyoun, N.R., Ventura-Marra, M., Weidauer, L., Xu, F., and Arthur, A.E. (2022) “Healthcare Professionals’ Views and Perspectives towards Aging,” </w:t>
      </w:r>
      <w:r w:rsidRPr="00495C8E">
        <w:rPr>
          <w:rFonts w:ascii="Times New Roman" w:hAnsi="Times New Roman" w:cs="Times New Roman"/>
          <w:i/>
          <w:iCs/>
          <w:sz w:val="24"/>
          <w:szCs w:val="24"/>
        </w:rPr>
        <w:t>International Journal of Environmental Research and Public Health</w:t>
      </w:r>
      <w:r w:rsidRPr="00495C8E">
        <w:rPr>
          <w:rFonts w:ascii="Times New Roman" w:hAnsi="Times New Roman" w:cs="Times New Roman"/>
          <w:sz w:val="24"/>
          <w:szCs w:val="24"/>
        </w:rPr>
        <w:t xml:space="preserve">, 19(23), pp. 15870-. Available at: </w:t>
      </w:r>
      <w:hyperlink r:id="rId37" w:history="1">
        <w:r w:rsidRPr="00495C8E">
          <w:rPr>
            <w:rStyle w:val="Hyperlink"/>
            <w:rFonts w:ascii="Times New Roman" w:hAnsi="Times New Roman" w:cs="Times New Roman"/>
            <w:sz w:val="24"/>
            <w:szCs w:val="24"/>
          </w:rPr>
          <w:t>https://doi.org/10.3390/ijerph192315870</w:t>
        </w:r>
      </w:hyperlink>
      <w:r w:rsidRPr="00495C8E">
        <w:rPr>
          <w:rFonts w:ascii="Times New Roman" w:hAnsi="Times New Roman" w:cs="Times New Roman"/>
          <w:sz w:val="24"/>
          <w:szCs w:val="24"/>
        </w:rPr>
        <w:t xml:space="preserve">. </w:t>
      </w:r>
    </w:p>
    <w:p w14:paraId="11CA871B" w14:textId="77777777" w:rsidR="003A13CF" w:rsidRDefault="003A13CF" w:rsidP="003A13CF">
      <w:pPr>
        <w:rPr>
          <w:rFonts w:ascii="Times New Roman" w:hAnsi="Times New Roman" w:cs="Times New Roman"/>
          <w:sz w:val="24"/>
          <w:szCs w:val="24"/>
        </w:rPr>
      </w:pPr>
      <w:r w:rsidRPr="000E1568">
        <w:rPr>
          <w:rFonts w:ascii="Times New Roman" w:hAnsi="Times New Roman" w:cs="Times New Roman"/>
          <w:sz w:val="24"/>
          <w:szCs w:val="24"/>
        </w:rPr>
        <w:t xml:space="preserve">Park, S.-H. (2018) “Tools for assessing fall risk in the elderly: a systematic review and meta-analysis,” </w:t>
      </w:r>
      <w:r w:rsidRPr="00CB430B">
        <w:rPr>
          <w:rFonts w:ascii="Times New Roman" w:hAnsi="Times New Roman" w:cs="Times New Roman"/>
          <w:i/>
          <w:iCs/>
          <w:sz w:val="24"/>
          <w:szCs w:val="24"/>
        </w:rPr>
        <w:t>Aging clinical and experimental research</w:t>
      </w:r>
      <w:r w:rsidRPr="000E1568">
        <w:rPr>
          <w:rFonts w:ascii="Times New Roman" w:hAnsi="Times New Roman" w:cs="Times New Roman"/>
          <w:sz w:val="24"/>
          <w:szCs w:val="24"/>
        </w:rPr>
        <w:t xml:space="preserve">, 30(1), pp. 1–16. Available at: </w:t>
      </w:r>
      <w:hyperlink r:id="rId38" w:history="1">
        <w:r w:rsidRPr="000115C3">
          <w:rPr>
            <w:rStyle w:val="Hyperlink"/>
            <w:rFonts w:ascii="Times New Roman" w:hAnsi="Times New Roman" w:cs="Times New Roman"/>
            <w:sz w:val="24"/>
            <w:szCs w:val="24"/>
          </w:rPr>
          <w:t>https://doi.org/10.1007/s40520-017-0749-0</w:t>
        </w:r>
      </w:hyperlink>
      <w:r w:rsidRPr="000E1568">
        <w:rPr>
          <w:rFonts w:ascii="Times New Roman" w:hAnsi="Times New Roman" w:cs="Times New Roman"/>
          <w:sz w:val="24"/>
          <w:szCs w:val="24"/>
        </w:rPr>
        <w:t>.</w:t>
      </w:r>
      <w:r>
        <w:rPr>
          <w:rFonts w:ascii="Times New Roman" w:hAnsi="Times New Roman" w:cs="Times New Roman"/>
          <w:sz w:val="24"/>
          <w:szCs w:val="24"/>
        </w:rPr>
        <w:t xml:space="preserve"> </w:t>
      </w:r>
    </w:p>
    <w:p w14:paraId="21ADC3EB" w14:textId="77777777" w:rsidR="003A13CF" w:rsidRPr="00495C8E" w:rsidRDefault="003A13CF" w:rsidP="003A13CF">
      <w:pPr>
        <w:rPr>
          <w:rFonts w:ascii="Times New Roman" w:hAnsi="Times New Roman" w:cs="Times New Roman"/>
          <w:sz w:val="24"/>
          <w:szCs w:val="24"/>
        </w:rPr>
      </w:pPr>
      <w:r w:rsidRPr="007E7B65">
        <w:rPr>
          <w:rFonts w:ascii="Times New Roman" w:hAnsi="Times New Roman" w:cs="Times New Roman"/>
          <w:sz w:val="24"/>
          <w:szCs w:val="24"/>
        </w:rPr>
        <w:t>Paterick, T.E</w:t>
      </w:r>
      <w:r>
        <w:rPr>
          <w:rFonts w:ascii="Times New Roman" w:hAnsi="Times New Roman" w:cs="Times New Roman"/>
          <w:sz w:val="24"/>
          <w:szCs w:val="24"/>
        </w:rPr>
        <w:t>, Patel, N., Tajik, A.J., and Chandrasekaran, K.</w:t>
      </w:r>
      <w:r w:rsidRPr="007E7B65">
        <w:rPr>
          <w:rFonts w:ascii="Times New Roman" w:hAnsi="Times New Roman" w:cs="Times New Roman"/>
          <w:sz w:val="24"/>
          <w:szCs w:val="24"/>
        </w:rPr>
        <w:t xml:space="preserve"> (2017) “Improving Health Outcomes Through Patient Education and Partnerships with Patients,” </w:t>
      </w:r>
      <w:r w:rsidRPr="00CB430B">
        <w:rPr>
          <w:rFonts w:ascii="Times New Roman" w:hAnsi="Times New Roman" w:cs="Times New Roman"/>
          <w:i/>
          <w:iCs/>
          <w:sz w:val="24"/>
          <w:szCs w:val="24"/>
        </w:rPr>
        <w:t xml:space="preserve">Baylor University Medical </w:t>
      </w:r>
      <w:proofErr w:type="spellStart"/>
      <w:r w:rsidRPr="00CB430B">
        <w:rPr>
          <w:rFonts w:ascii="Times New Roman" w:hAnsi="Times New Roman" w:cs="Times New Roman"/>
          <w:i/>
          <w:iCs/>
          <w:sz w:val="24"/>
          <w:szCs w:val="24"/>
        </w:rPr>
        <w:t>Center</w:t>
      </w:r>
      <w:proofErr w:type="spellEnd"/>
      <w:r w:rsidRPr="007E7B65">
        <w:rPr>
          <w:rFonts w:ascii="Times New Roman" w:hAnsi="Times New Roman" w:cs="Times New Roman"/>
          <w:sz w:val="24"/>
          <w:szCs w:val="24"/>
        </w:rPr>
        <w:t xml:space="preserve"> Proceedings, 30(1), pp. 112–113. Available at: </w:t>
      </w:r>
      <w:hyperlink r:id="rId39" w:history="1">
        <w:r w:rsidRPr="00140E6B">
          <w:rPr>
            <w:rStyle w:val="Hyperlink"/>
            <w:rFonts w:ascii="Times New Roman" w:hAnsi="Times New Roman" w:cs="Times New Roman"/>
            <w:sz w:val="24"/>
            <w:szCs w:val="24"/>
          </w:rPr>
          <w:t>https://doi.org/10.1080/08998280.2017.11929552</w:t>
        </w:r>
      </w:hyperlink>
      <w:r w:rsidRPr="007E7B65">
        <w:rPr>
          <w:rFonts w:ascii="Times New Roman" w:hAnsi="Times New Roman" w:cs="Times New Roman"/>
          <w:sz w:val="24"/>
          <w:szCs w:val="24"/>
        </w:rPr>
        <w:t>.</w:t>
      </w:r>
      <w:r>
        <w:rPr>
          <w:rFonts w:ascii="Times New Roman" w:hAnsi="Times New Roman" w:cs="Times New Roman"/>
          <w:sz w:val="24"/>
          <w:szCs w:val="24"/>
        </w:rPr>
        <w:t xml:space="preserve"> </w:t>
      </w:r>
    </w:p>
    <w:p w14:paraId="2241CF30" w14:textId="77777777" w:rsidR="003A13CF" w:rsidRPr="00495C8E"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Perez, F.P., Perez, C.A., and </w:t>
      </w:r>
      <w:proofErr w:type="spellStart"/>
      <w:r w:rsidRPr="00495C8E">
        <w:rPr>
          <w:rFonts w:ascii="Times New Roman" w:hAnsi="Times New Roman" w:cs="Times New Roman"/>
          <w:sz w:val="24"/>
          <w:szCs w:val="24"/>
        </w:rPr>
        <w:t>Chumbiauca</w:t>
      </w:r>
      <w:proofErr w:type="spellEnd"/>
      <w:r w:rsidRPr="00495C8E">
        <w:rPr>
          <w:rFonts w:ascii="Times New Roman" w:hAnsi="Times New Roman" w:cs="Times New Roman"/>
          <w:sz w:val="24"/>
          <w:szCs w:val="24"/>
        </w:rPr>
        <w:t xml:space="preserve">, M.N. (2022) ‘Insights into the Social Determinants of Health in Older Adults’, </w:t>
      </w:r>
      <w:r w:rsidRPr="00495C8E">
        <w:rPr>
          <w:rFonts w:ascii="Times New Roman" w:hAnsi="Times New Roman" w:cs="Times New Roman"/>
          <w:i/>
          <w:iCs/>
          <w:sz w:val="24"/>
          <w:szCs w:val="24"/>
        </w:rPr>
        <w:t>Journal of Biomedical Science and Engineering</w:t>
      </w:r>
      <w:r w:rsidRPr="00495C8E">
        <w:rPr>
          <w:rFonts w:ascii="Times New Roman" w:hAnsi="Times New Roman" w:cs="Times New Roman"/>
          <w:sz w:val="24"/>
          <w:szCs w:val="24"/>
        </w:rPr>
        <w:t xml:space="preserve">. Vol. 15. No. 11. Pp 261-268. Doi:  </w:t>
      </w:r>
      <w:hyperlink r:id="rId40" w:history="1">
        <w:r w:rsidRPr="00495C8E">
          <w:rPr>
            <w:rStyle w:val="Hyperlink"/>
            <w:rFonts w:ascii="Times New Roman" w:hAnsi="Times New Roman" w:cs="Times New Roman"/>
            <w:sz w:val="24"/>
            <w:szCs w:val="24"/>
          </w:rPr>
          <w:t>https://doi.org/10.4236%2Fjbise.2022.1511023</w:t>
        </w:r>
      </w:hyperlink>
      <w:r w:rsidRPr="00495C8E">
        <w:rPr>
          <w:rFonts w:ascii="Times New Roman" w:hAnsi="Times New Roman" w:cs="Times New Roman"/>
          <w:sz w:val="24"/>
          <w:szCs w:val="24"/>
        </w:rPr>
        <w:t xml:space="preserve">. </w:t>
      </w:r>
    </w:p>
    <w:p w14:paraId="51B61C7C" w14:textId="77777777" w:rsidR="003A13CF" w:rsidRDefault="003A13CF" w:rsidP="003A13CF">
      <w:pPr>
        <w:rPr>
          <w:rFonts w:ascii="Times New Roman" w:hAnsi="Times New Roman" w:cs="Times New Roman"/>
          <w:sz w:val="24"/>
          <w:szCs w:val="24"/>
        </w:rPr>
      </w:pPr>
      <w:r w:rsidRPr="00495C8E">
        <w:rPr>
          <w:rFonts w:ascii="Times New Roman" w:hAnsi="Times New Roman" w:cs="Times New Roman"/>
          <w:sz w:val="24"/>
          <w:szCs w:val="24"/>
        </w:rPr>
        <w:t xml:space="preserve">Public Health England (2024) </w:t>
      </w:r>
      <w:r w:rsidRPr="00495C8E">
        <w:rPr>
          <w:rFonts w:ascii="Times New Roman" w:hAnsi="Times New Roman" w:cs="Times New Roman"/>
          <w:i/>
          <w:iCs/>
          <w:sz w:val="24"/>
          <w:szCs w:val="24"/>
        </w:rPr>
        <w:t>Caring as a social determinant of health: Finds from a rapid review of reviews and analysis of the GP Patient Survey</w:t>
      </w:r>
      <w:r w:rsidRPr="00495C8E">
        <w:rPr>
          <w:rFonts w:ascii="Times New Roman" w:hAnsi="Times New Roman" w:cs="Times New Roman"/>
          <w:sz w:val="24"/>
          <w:szCs w:val="24"/>
        </w:rPr>
        <w:t xml:space="preserve">. Available at: </w:t>
      </w:r>
      <w:hyperlink r:id="rId41" w:history="1">
        <w:r w:rsidRPr="00495C8E">
          <w:rPr>
            <w:rStyle w:val="Hyperlink"/>
            <w:rFonts w:ascii="Times New Roman" w:hAnsi="Times New Roman" w:cs="Times New Roman"/>
            <w:sz w:val="24"/>
            <w:szCs w:val="24"/>
          </w:rPr>
          <w:t>https://assets.publishing.service.gov.uk/media/60547266d3bf7f2f14694965/Caring_as_a_social_determinant_report.pdf</w:t>
        </w:r>
      </w:hyperlink>
      <w:r w:rsidRPr="00495C8E">
        <w:rPr>
          <w:rFonts w:ascii="Times New Roman" w:hAnsi="Times New Roman" w:cs="Times New Roman"/>
          <w:sz w:val="24"/>
          <w:szCs w:val="24"/>
        </w:rPr>
        <w:t xml:space="preserve"> (Accessed: 5</w:t>
      </w:r>
      <w:r w:rsidRPr="00495C8E">
        <w:rPr>
          <w:rFonts w:ascii="Times New Roman" w:hAnsi="Times New Roman" w:cs="Times New Roman"/>
          <w:sz w:val="24"/>
          <w:szCs w:val="24"/>
          <w:vertAlign w:val="superscript"/>
        </w:rPr>
        <w:t>th</w:t>
      </w:r>
      <w:r w:rsidRPr="00495C8E">
        <w:rPr>
          <w:rFonts w:ascii="Times New Roman" w:hAnsi="Times New Roman" w:cs="Times New Roman"/>
          <w:sz w:val="24"/>
          <w:szCs w:val="24"/>
        </w:rPr>
        <w:t xml:space="preserve"> March 2024). </w:t>
      </w:r>
    </w:p>
    <w:p w14:paraId="526F95CA" w14:textId="77777777" w:rsidR="003A13CF" w:rsidRDefault="003A13CF" w:rsidP="003A13CF">
      <w:pPr>
        <w:rPr>
          <w:rFonts w:ascii="Times New Roman" w:hAnsi="Times New Roman" w:cs="Times New Roman"/>
          <w:sz w:val="24"/>
          <w:szCs w:val="24"/>
        </w:rPr>
      </w:pPr>
      <w:r w:rsidRPr="0055628B">
        <w:rPr>
          <w:rFonts w:ascii="Times New Roman" w:hAnsi="Times New Roman" w:cs="Times New Roman"/>
          <w:sz w:val="24"/>
          <w:szCs w:val="24"/>
        </w:rPr>
        <w:t>S</w:t>
      </w:r>
      <w:r>
        <w:rPr>
          <w:rFonts w:ascii="Times New Roman" w:hAnsi="Times New Roman" w:cs="Times New Roman"/>
          <w:sz w:val="24"/>
          <w:szCs w:val="24"/>
        </w:rPr>
        <w:t xml:space="preserve">ayers, G.M., and Nesbitt, T. (2002) </w:t>
      </w:r>
      <w:r w:rsidRPr="0055628B">
        <w:rPr>
          <w:rFonts w:ascii="Times New Roman" w:hAnsi="Times New Roman" w:cs="Times New Roman"/>
          <w:sz w:val="24"/>
          <w:szCs w:val="24"/>
        </w:rPr>
        <w:t xml:space="preserve">“Ageism in the NHS and the Human Rights Act 1998: An Ethical and Legal Enquiry,” </w:t>
      </w:r>
      <w:r w:rsidRPr="0055628B">
        <w:rPr>
          <w:rFonts w:ascii="Times New Roman" w:hAnsi="Times New Roman" w:cs="Times New Roman"/>
          <w:i/>
          <w:iCs/>
          <w:sz w:val="24"/>
          <w:szCs w:val="24"/>
        </w:rPr>
        <w:t xml:space="preserve">European </w:t>
      </w:r>
      <w:r>
        <w:rPr>
          <w:rFonts w:ascii="Times New Roman" w:hAnsi="Times New Roman" w:cs="Times New Roman"/>
          <w:i/>
          <w:iCs/>
          <w:sz w:val="24"/>
          <w:szCs w:val="24"/>
        </w:rPr>
        <w:t>Journal</w:t>
      </w:r>
      <w:r w:rsidRPr="0055628B">
        <w:rPr>
          <w:rFonts w:ascii="Times New Roman" w:hAnsi="Times New Roman" w:cs="Times New Roman"/>
          <w:i/>
          <w:iCs/>
          <w:sz w:val="24"/>
          <w:szCs w:val="24"/>
        </w:rPr>
        <w:t xml:space="preserve"> of</w:t>
      </w:r>
      <w:r>
        <w:rPr>
          <w:rFonts w:ascii="Times New Roman" w:hAnsi="Times New Roman" w:cs="Times New Roman"/>
          <w:i/>
          <w:iCs/>
          <w:sz w:val="24"/>
          <w:szCs w:val="24"/>
        </w:rPr>
        <w:t xml:space="preserve"> H</w:t>
      </w:r>
      <w:r w:rsidRPr="0055628B">
        <w:rPr>
          <w:rFonts w:ascii="Times New Roman" w:hAnsi="Times New Roman" w:cs="Times New Roman"/>
          <w:i/>
          <w:iCs/>
          <w:sz w:val="24"/>
          <w:szCs w:val="24"/>
        </w:rPr>
        <w:t xml:space="preserve">ealth </w:t>
      </w:r>
      <w:r>
        <w:rPr>
          <w:rFonts w:ascii="Times New Roman" w:hAnsi="Times New Roman" w:cs="Times New Roman"/>
          <w:i/>
          <w:iCs/>
          <w:sz w:val="24"/>
          <w:szCs w:val="24"/>
        </w:rPr>
        <w:t>L</w:t>
      </w:r>
      <w:r w:rsidRPr="0055628B">
        <w:rPr>
          <w:rFonts w:ascii="Times New Roman" w:hAnsi="Times New Roman" w:cs="Times New Roman"/>
          <w:i/>
          <w:iCs/>
          <w:sz w:val="24"/>
          <w:szCs w:val="24"/>
        </w:rPr>
        <w:t>aw</w:t>
      </w:r>
      <w:r w:rsidRPr="0055628B">
        <w:rPr>
          <w:rFonts w:ascii="Times New Roman" w:hAnsi="Times New Roman" w:cs="Times New Roman"/>
          <w:sz w:val="24"/>
          <w:szCs w:val="24"/>
        </w:rPr>
        <w:t xml:space="preserve">, 9(1), pp. 5–18. Available at: </w:t>
      </w:r>
      <w:hyperlink r:id="rId42" w:history="1">
        <w:r w:rsidRPr="001052A7">
          <w:rPr>
            <w:rStyle w:val="Hyperlink"/>
            <w:rFonts w:ascii="Times New Roman" w:hAnsi="Times New Roman" w:cs="Times New Roman"/>
            <w:sz w:val="24"/>
            <w:szCs w:val="24"/>
          </w:rPr>
          <w:t>https://doi.org/10.1163/15718090220523690</w:t>
        </w:r>
      </w:hyperlink>
      <w:r w:rsidRPr="0055628B">
        <w:rPr>
          <w:rFonts w:ascii="Times New Roman" w:hAnsi="Times New Roman" w:cs="Times New Roman"/>
          <w:sz w:val="24"/>
          <w:szCs w:val="24"/>
        </w:rPr>
        <w:t>.</w:t>
      </w:r>
      <w:r>
        <w:rPr>
          <w:rFonts w:ascii="Times New Roman" w:hAnsi="Times New Roman" w:cs="Times New Roman"/>
          <w:sz w:val="24"/>
          <w:szCs w:val="24"/>
        </w:rPr>
        <w:t xml:space="preserve"> </w:t>
      </w:r>
    </w:p>
    <w:p w14:paraId="1DD250EF" w14:textId="77777777" w:rsidR="003A13CF" w:rsidRDefault="003A13CF" w:rsidP="003A13CF">
      <w:pPr>
        <w:rPr>
          <w:rFonts w:ascii="Times New Roman" w:hAnsi="Times New Roman" w:cs="Times New Roman"/>
          <w:sz w:val="24"/>
          <w:szCs w:val="24"/>
        </w:rPr>
      </w:pPr>
      <w:r w:rsidRPr="0014335A">
        <w:rPr>
          <w:rFonts w:ascii="Times New Roman" w:hAnsi="Times New Roman" w:cs="Times New Roman"/>
          <w:sz w:val="24"/>
          <w:szCs w:val="24"/>
        </w:rPr>
        <w:t xml:space="preserve">Shuang Z., </w:t>
      </w:r>
      <w:proofErr w:type="spellStart"/>
      <w:r w:rsidRPr="0014335A">
        <w:rPr>
          <w:rFonts w:ascii="Times New Roman" w:hAnsi="Times New Roman" w:cs="Times New Roman"/>
          <w:sz w:val="24"/>
          <w:szCs w:val="24"/>
        </w:rPr>
        <w:t>Boying</w:t>
      </w:r>
      <w:proofErr w:type="spellEnd"/>
      <w:r w:rsidRPr="0014335A">
        <w:rPr>
          <w:rFonts w:ascii="Times New Roman" w:hAnsi="Times New Roman" w:cs="Times New Roman"/>
          <w:sz w:val="24"/>
          <w:szCs w:val="24"/>
        </w:rPr>
        <w:t xml:space="preserve">, J., Jiahe, K., Xiaolin, Z., Lili, L., </w:t>
      </w:r>
      <w:proofErr w:type="spellStart"/>
      <w:r w:rsidRPr="0014335A">
        <w:rPr>
          <w:rFonts w:ascii="Times New Roman" w:hAnsi="Times New Roman" w:cs="Times New Roman"/>
          <w:sz w:val="24"/>
          <w:szCs w:val="24"/>
        </w:rPr>
        <w:t>Zhenhui</w:t>
      </w:r>
      <w:proofErr w:type="spellEnd"/>
      <w:r w:rsidRPr="0014335A">
        <w:rPr>
          <w:rFonts w:ascii="Times New Roman" w:hAnsi="Times New Roman" w:cs="Times New Roman"/>
          <w:sz w:val="24"/>
          <w:szCs w:val="24"/>
        </w:rPr>
        <w:t xml:space="preserve">, T., </w:t>
      </w:r>
      <w:proofErr w:type="spellStart"/>
      <w:r w:rsidRPr="0014335A">
        <w:rPr>
          <w:rFonts w:ascii="Times New Roman" w:hAnsi="Times New Roman" w:cs="Times New Roman"/>
          <w:sz w:val="24"/>
          <w:szCs w:val="24"/>
        </w:rPr>
        <w:t>Lingyue</w:t>
      </w:r>
      <w:proofErr w:type="spellEnd"/>
      <w:r w:rsidRPr="0014335A">
        <w:rPr>
          <w:rFonts w:ascii="Times New Roman" w:hAnsi="Times New Roman" w:cs="Times New Roman"/>
          <w:sz w:val="24"/>
          <w:szCs w:val="24"/>
        </w:rPr>
        <w:t xml:space="preserve">, M., Qian, X., Ying, Z., Yimin, C., and Yimin, C.  (2022) “Drug-induced fall risk in older patients: A pharmacovigilance study of FDA adverse event reporting system database,” </w:t>
      </w:r>
      <w:r w:rsidRPr="0014335A">
        <w:rPr>
          <w:rFonts w:ascii="Times New Roman" w:hAnsi="Times New Roman" w:cs="Times New Roman"/>
          <w:i/>
          <w:iCs/>
          <w:sz w:val="24"/>
          <w:szCs w:val="24"/>
        </w:rPr>
        <w:t>Frontiers in Pharmacology</w:t>
      </w:r>
      <w:r w:rsidRPr="0014335A">
        <w:rPr>
          <w:rFonts w:ascii="Times New Roman" w:hAnsi="Times New Roman" w:cs="Times New Roman"/>
          <w:sz w:val="24"/>
          <w:szCs w:val="24"/>
        </w:rPr>
        <w:t xml:space="preserve">, 13. Available at: </w:t>
      </w:r>
      <w:hyperlink r:id="rId43" w:history="1">
        <w:r w:rsidRPr="0014335A">
          <w:rPr>
            <w:rStyle w:val="Hyperlink"/>
            <w:rFonts w:ascii="Times New Roman" w:hAnsi="Times New Roman" w:cs="Times New Roman"/>
            <w:sz w:val="24"/>
            <w:szCs w:val="24"/>
          </w:rPr>
          <w:t>https://doi.org/10.3389/fphar.2022.1044744</w:t>
        </w:r>
      </w:hyperlink>
      <w:r w:rsidRPr="0014335A">
        <w:rPr>
          <w:rFonts w:ascii="Times New Roman" w:hAnsi="Times New Roman" w:cs="Times New Roman"/>
          <w:sz w:val="24"/>
          <w:szCs w:val="24"/>
        </w:rPr>
        <w:t xml:space="preserve">. </w:t>
      </w:r>
    </w:p>
    <w:p w14:paraId="28779F8A" w14:textId="77777777" w:rsidR="003A13CF" w:rsidRDefault="003A13CF" w:rsidP="003A13CF">
      <w:pPr>
        <w:rPr>
          <w:rFonts w:ascii="Times New Roman" w:hAnsi="Times New Roman" w:cs="Times New Roman"/>
          <w:sz w:val="24"/>
          <w:szCs w:val="24"/>
        </w:rPr>
      </w:pPr>
      <w:r w:rsidRPr="00F64C97">
        <w:rPr>
          <w:rFonts w:ascii="Times New Roman" w:hAnsi="Times New Roman" w:cs="Times New Roman"/>
          <w:sz w:val="24"/>
          <w:szCs w:val="24"/>
        </w:rPr>
        <w:t>Snowsill, T.M</w:t>
      </w:r>
      <w:r>
        <w:rPr>
          <w:rFonts w:ascii="Times New Roman" w:hAnsi="Times New Roman" w:cs="Times New Roman"/>
          <w:sz w:val="24"/>
          <w:szCs w:val="24"/>
        </w:rPr>
        <w:t xml:space="preserve">, Stathi, A., Green, C., Withall, J., Greaves, C.J., Thompson, J.L., Taylor, G., Gray, S., Johansen-Berg, H., Bilzon, J.L.J., de Koning, J.L., Bollen, J.C., </w:t>
      </w:r>
      <w:proofErr w:type="spellStart"/>
      <w:r>
        <w:rPr>
          <w:rFonts w:ascii="Times New Roman" w:hAnsi="Times New Roman" w:cs="Times New Roman"/>
          <w:sz w:val="24"/>
          <w:szCs w:val="24"/>
        </w:rPr>
        <w:t>Moorlock</w:t>
      </w:r>
      <w:proofErr w:type="spellEnd"/>
      <w:r>
        <w:rPr>
          <w:rFonts w:ascii="Times New Roman" w:hAnsi="Times New Roman" w:cs="Times New Roman"/>
          <w:sz w:val="24"/>
          <w:szCs w:val="24"/>
        </w:rPr>
        <w:t xml:space="preserve">, S.J., Western, M.J., Guralnik., J.M., </w:t>
      </w:r>
      <w:proofErr w:type="spellStart"/>
      <w:r>
        <w:rPr>
          <w:rFonts w:ascii="Times New Roman" w:hAnsi="Times New Roman" w:cs="Times New Roman"/>
          <w:sz w:val="24"/>
          <w:szCs w:val="24"/>
        </w:rPr>
        <w:t>Rejeski</w:t>
      </w:r>
      <w:proofErr w:type="spellEnd"/>
      <w:r>
        <w:rPr>
          <w:rFonts w:ascii="Times New Roman" w:hAnsi="Times New Roman" w:cs="Times New Roman"/>
          <w:sz w:val="24"/>
          <w:szCs w:val="24"/>
        </w:rPr>
        <w:t>, W.J., Foz, K.R., and, Medina-Lara, A.</w:t>
      </w:r>
      <w:r w:rsidRPr="00F64C97">
        <w:rPr>
          <w:rFonts w:ascii="Times New Roman" w:hAnsi="Times New Roman" w:cs="Times New Roman"/>
          <w:sz w:val="24"/>
          <w:szCs w:val="24"/>
        </w:rPr>
        <w:t xml:space="preserve"> (2022) “Cost-effectiveness of a physical activity and behaviour maintenance programme on functional mobility decline in older adults: an economic evaluation of the REACT (Retirement in Action) trial,” </w:t>
      </w:r>
      <w:r w:rsidRPr="00734EF2">
        <w:rPr>
          <w:rFonts w:ascii="Times New Roman" w:hAnsi="Times New Roman" w:cs="Times New Roman"/>
          <w:i/>
          <w:iCs/>
          <w:sz w:val="24"/>
          <w:szCs w:val="24"/>
        </w:rPr>
        <w:t>The Lancet. Public health</w:t>
      </w:r>
      <w:r w:rsidRPr="00F64C97">
        <w:rPr>
          <w:rFonts w:ascii="Times New Roman" w:hAnsi="Times New Roman" w:cs="Times New Roman"/>
          <w:sz w:val="24"/>
          <w:szCs w:val="24"/>
        </w:rPr>
        <w:t xml:space="preserve">, 7(4), pp. e327–e334. Available at: </w:t>
      </w:r>
      <w:hyperlink r:id="rId44" w:history="1">
        <w:r w:rsidRPr="000115C3">
          <w:rPr>
            <w:rStyle w:val="Hyperlink"/>
            <w:rFonts w:ascii="Times New Roman" w:hAnsi="Times New Roman" w:cs="Times New Roman"/>
            <w:sz w:val="24"/>
            <w:szCs w:val="24"/>
          </w:rPr>
          <w:t>https://doi.org/10.1016/S2468-2667(22)00030-5</w:t>
        </w:r>
      </w:hyperlink>
      <w:r w:rsidRPr="00F64C97">
        <w:rPr>
          <w:rFonts w:ascii="Times New Roman" w:hAnsi="Times New Roman" w:cs="Times New Roman"/>
          <w:sz w:val="24"/>
          <w:szCs w:val="24"/>
        </w:rPr>
        <w:t>.</w:t>
      </w:r>
      <w:r>
        <w:rPr>
          <w:rFonts w:ascii="Times New Roman" w:hAnsi="Times New Roman" w:cs="Times New Roman"/>
          <w:sz w:val="24"/>
          <w:szCs w:val="24"/>
        </w:rPr>
        <w:t xml:space="preserve"> </w:t>
      </w:r>
    </w:p>
    <w:p w14:paraId="10304C40" w14:textId="77777777" w:rsidR="003A13CF" w:rsidRDefault="003A13CF" w:rsidP="003A13CF">
      <w:pPr>
        <w:rPr>
          <w:rFonts w:ascii="Times New Roman" w:hAnsi="Times New Roman" w:cs="Times New Roman"/>
          <w:sz w:val="24"/>
          <w:szCs w:val="24"/>
        </w:rPr>
      </w:pPr>
      <w:bookmarkStart w:id="14" w:name="_Hlk160611555"/>
      <w:r w:rsidRPr="006F6D37">
        <w:rPr>
          <w:rFonts w:ascii="Times New Roman" w:hAnsi="Times New Roman" w:cs="Times New Roman"/>
          <w:sz w:val="24"/>
          <w:szCs w:val="24"/>
        </w:rPr>
        <w:t>Strini,</w:t>
      </w:r>
      <w:r>
        <w:rPr>
          <w:rFonts w:ascii="Times New Roman" w:hAnsi="Times New Roman" w:cs="Times New Roman"/>
          <w:sz w:val="24"/>
          <w:szCs w:val="24"/>
        </w:rPr>
        <w:t xml:space="preserve"> V.,</w:t>
      </w:r>
      <w:r w:rsidRPr="006F6D37">
        <w:rPr>
          <w:rFonts w:ascii="Times New Roman" w:hAnsi="Times New Roman" w:cs="Times New Roman"/>
          <w:sz w:val="24"/>
          <w:szCs w:val="24"/>
        </w:rPr>
        <w:t xml:space="preserve"> </w:t>
      </w:r>
      <w:proofErr w:type="spellStart"/>
      <w:r w:rsidRPr="006F6D37">
        <w:rPr>
          <w:rFonts w:ascii="Times New Roman" w:hAnsi="Times New Roman" w:cs="Times New Roman"/>
          <w:sz w:val="24"/>
          <w:szCs w:val="24"/>
        </w:rPr>
        <w:t>Schiavolin</w:t>
      </w:r>
      <w:proofErr w:type="spellEnd"/>
      <w:r>
        <w:rPr>
          <w:rFonts w:ascii="Times New Roman" w:hAnsi="Times New Roman" w:cs="Times New Roman"/>
          <w:sz w:val="24"/>
          <w:szCs w:val="24"/>
        </w:rPr>
        <w:t xml:space="preserve">, R., </w:t>
      </w:r>
      <w:r w:rsidRPr="006F6D37">
        <w:rPr>
          <w:rFonts w:ascii="Times New Roman" w:hAnsi="Times New Roman" w:cs="Times New Roman"/>
          <w:sz w:val="24"/>
          <w:szCs w:val="24"/>
        </w:rPr>
        <w:t xml:space="preserve">and Angela </w:t>
      </w:r>
      <w:proofErr w:type="spellStart"/>
      <w:r w:rsidRPr="006F6D37">
        <w:rPr>
          <w:rFonts w:ascii="Times New Roman" w:hAnsi="Times New Roman" w:cs="Times New Roman"/>
          <w:sz w:val="24"/>
          <w:szCs w:val="24"/>
        </w:rPr>
        <w:t>Prendin</w:t>
      </w:r>
      <w:proofErr w:type="spellEnd"/>
      <w:r w:rsidRPr="006F6D37">
        <w:rPr>
          <w:rFonts w:ascii="Times New Roman" w:hAnsi="Times New Roman" w:cs="Times New Roman"/>
          <w:sz w:val="24"/>
          <w:szCs w:val="24"/>
        </w:rPr>
        <w:t xml:space="preserve"> (2021)</w:t>
      </w:r>
      <w:bookmarkEnd w:id="14"/>
      <w:r w:rsidRPr="006F6D37">
        <w:rPr>
          <w:rFonts w:ascii="Times New Roman" w:hAnsi="Times New Roman" w:cs="Times New Roman"/>
          <w:sz w:val="24"/>
          <w:szCs w:val="24"/>
        </w:rPr>
        <w:t xml:space="preserve"> “Fall Risk Assessment Scales: A Systematic Literature Review,” </w:t>
      </w:r>
      <w:r w:rsidRPr="006F6D37">
        <w:rPr>
          <w:rFonts w:ascii="Times New Roman" w:hAnsi="Times New Roman" w:cs="Times New Roman"/>
          <w:i/>
          <w:iCs/>
          <w:sz w:val="24"/>
          <w:szCs w:val="24"/>
        </w:rPr>
        <w:t>Nursing reports</w:t>
      </w:r>
      <w:r w:rsidRPr="006F6D37">
        <w:rPr>
          <w:rFonts w:ascii="Times New Roman" w:hAnsi="Times New Roman" w:cs="Times New Roman"/>
          <w:sz w:val="24"/>
          <w:szCs w:val="24"/>
        </w:rPr>
        <w:t xml:space="preserve"> (Pavia, Italy), 11(2), pp. 430–443. Available at: </w:t>
      </w:r>
      <w:hyperlink r:id="rId45" w:history="1">
        <w:r w:rsidRPr="00AE123B">
          <w:rPr>
            <w:rStyle w:val="Hyperlink"/>
            <w:rFonts w:ascii="Times New Roman" w:hAnsi="Times New Roman" w:cs="Times New Roman"/>
            <w:sz w:val="24"/>
            <w:szCs w:val="24"/>
          </w:rPr>
          <w:t>https://doi.org/10.3390/nursrep11020041</w:t>
        </w:r>
      </w:hyperlink>
      <w:r w:rsidRPr="006F6D37">
        <w:rPr>
          <w:rFonts w:ascii="Times New Roman" w:hAnsi="Times New Roman" w:cs="Times New Roman"/>
          <w:sz w:val="24"/>
          <w:szCs w:val="24"/>
        </w:rPr>
        <w:t>.</w:t>
      </w:r>
      <w:r>
        <w:rPr>
          <w:rFonts w:ascii="Times New Roman" w:hAnsi="Times New Roman" w:cs="Times New Roman"/>
          <w:sz w:val="24"/>
          <w:szCs w:val="24"/>
        </w:rPr>
        <w:t xml:space="preserve"> </w:t>
      </w:r>
    </w:p>
    <w:p w14:paraId="27E9E1EF" w14:textId="77777777" w:rsidR="003A13CF" w:rsidRDefault="003A13CF" w:rsidP="003A13CF">
      <w:pPr>
        <w:rPr>
          <w:rFonts w:ascii="Times New Roman" w:hAnsi="Times New Roman" w:cs="Times New Roman"/>
          <w:sz w:val="24"/>
          <w:szCs w:val="24"/>
        </w:rPr>
      </w:pPr>
      <w:r>
        <w:rPr>
          <w:rFonts w:ascii="Times New Roman" w:hAnsi="Times New Roman" w:cs="Times New Roman"/>
          <w:sz w:val="24"/>
          <w:szCs w:val="24"/>
        </w:rPr>
        <w:t xml:space="preserve">UK Parliament (2024) </w:t>
      </w:r>
      <w:r w:rsidRPr="00734EF2">
        <w:rPr>
          <w:rFonts w:ascii="Times New Roman" w:hAnsi="Times New Roman" w:cs="Times New Roman"/>
          <w:i/>
          <w:iCs/>
          <w:sz w:val="24"/>
          <w:szCs w:val="24"/>
        </w:rPr>
        <w:t>Ageism and age discrimination in the UK.</w:t>
      </w:r>
      <w:r>
        <w:rPr>
          <w:rFonts w:ascii="Times New Roman" w:hAnsi="Times New Roman" w:cs="Times New Roman"/>
          <w:sz w:val="24"/>
          <w:szCs w:val="24"/>
        </w:rPr>
        <w:t xml:space="preserve"> Available at: </w:t>
      </w:r>
      <w:hyperlink r:id="rId46" w:history="1">
        <w:r w:rsidRPr="001052A7">
          <w:rPr>
            <w:rStyle w:val="Hyperlink"/>
            <w:rFonts w:ascii="Times New Roman" w:hAnsi="Times New Roman" w:cs="Times New Roman"/>
            <w:sz w:val="24"/>
            <w:szCs w:val="24"/>
          </w:rPr>
          <w:t>https://committees.parliament.uk/writtenevidence/22776/html/</w:t>
        </w:r>
      </w:hyperlink>
      <w:r>
        <w:rPr>
          <w:rFonts w:ascii="Times New Roman" w:hAnsi="Times New Roman" w:cs="Times New Roman"/>
          <w:sz w:val="24"/>
          <w:szCs w:val="24"/>
        </w:rPr>
        <w:t>. (Accessed: 29</w:t>
      </w:r>
      <w:r w:rsidRPr="00734EF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w:t>
      </w:r>
    </w:p>
    <w:p w14:paraId="528D4785" w14:textId="77777777" w:rsidR="003A13CF" w:rsidRDefault="003A13CF" w:rsidP="003A13CF">
      <w:pPr>
        <w:rPr>
          <w:rFonts w:ascii="Times New Roman" w:hAnsi="Times New Roman" w:cs="Times New Roman"/>
          <w:sz w:val="24"/>
          <w:szCs w:val="24"/>
        </w:rPr>
      </w:pPr>
      <w:r w:rsidRPr="003B33B6">
        <w:rPr>
          <w:rFonts w:ascii="Times New Roman" w:hAnsi="Times New Roman" w:cs="Times New Roman"/>
          <w:sz w:val="24"/>
          <w:szCs w:val="24"/>
        </w:rPr>
        <w:t xml:space="preserve">Vaishya, R. and Vaish, A. (2020) “Falls in Older Adults are Serious,” </w:t>
      </w:r>
      <w:r w:rsidRPr="003B33B6">
        <w:rPr>
          <w:rFonts w:ascii="Times New Roman" w:hAnsi="Times New Roman" w:cs="Times New Roman"/>
          <w:i/>
          <w:iCs/>
          <w:sz w:val="24"/>
          <w:szCs w:val="24"/>
        </w:rPr>
        <w:t>Indian Journal of Orthopaedics</w:t>
      </w:r>
      <w:r w:rsidRPr="003B33B6">
        <w:rPr>
          <w:rFonts w:ascii="Times New Roman" w:hAnsi="Times New Roman" w:cs="Times New Roman"/>
          <w:sz w:val="24"/>
          <w:szCs w:val="24"/>
        </w:rPr>
        <w:t xml:space="preserve">, 54(1), pp. 69–74. Available at: </w:t>
      </w:r>
      <w:hyperlink r:id="rId47" w:history="1">
        <w:r w:rsidRPr="001052A7">
          <w:rPr>
            <w:rStyle w:val="Hyperlink"/>
            <w:rFonts w:ascii="Times New Roman" w:hAnsi="Times New Roman" w:cs="Times New Roman"/>
            <w:sz w:val="24"/>
            <w:szCs w:val="24"/>
          </w:rPr>
          <w:t>https://doi.org/10.1007/s43465-019-00037-x</w:t>
        </w:r>
      </w:hyperlink>
      <w:r w:rsidRPr="003B33B6">
        <w:rPr>
          <w:rFonts w:ascii="Times New Roman" w:hAnsi="Times New Roman" w:cs="Times New Roman"/>
          <w:sz w:val="24"/>
          <w:szCs w:val="24"/>
        </w:rPr>
        <w:t>.</w:t>
      </w:r>
      <w:r>
        <w:rPr>
          <w:rFonts w:ascii="Times New Roman" w:hAnsi="Times New Roman" w:cs="Times New Roman"/>
          <w:sz w:val="24"/>
          <w:szCs w:val="24"/>
        </w:rPr>
        <w:t xml:space="preserve"> </w:t>
      </w:r>
    </w:p>
    <w:p w14:paraId="10FD8DEA" w14:textId="77777777" w:rsidR="003A13CF" w:rsidRDefault="003A13CF" w:rsidP="003A13CF">
      <w:pPr>
        <w:rPr>
          <w:rFonts w:ascii="Times New Roman" w:hAnsi="Times New Roman" w:cs="Times New Roman"/>
          <w:sz w:val="24"/>
          <w:szCs w:val="24"/>
        </w:rPr>
      </w:pPr>
      <w:bookmarkStart w:id="15" w:name="_Hlk160610888"/>
      <w:r w:rsidRPr="006F6D37">
        <w:rPr>
          <w:rFonts w:ascii="Times New Roman" w:hAnsi="Times New Roman" w:cs="Times New Roman"/>
          <w:sz w:val="24"/>
          <w:szCs w:val="24"/>
        </w:rPr>
        <w:t xml:space="preserve">Wilson, R., Kuh, D. and Stafford, M. (2019) </w:t>
      </w:r>
      <w:bookmarkEnd w:id="15"/>
      <w:r w:rsidRPr="006F6D37">
        <w:rPr>
          <w:rFonts w:ascii="Times New Roman" w:hAnsi="Times New Roman" w:cs="Times New Roman"/>
          <w:sz w:val="24"/>
          <w:szCs w:val="24"/>
        </w:rPr>
        <w:t xml:space="preserve">“Variations of health check attendance in later life: results from a British birth cohort study,” </w:t>
      </w:r>
      <w:r w:rsidRPr="006F6D37">
        <w:rPr>
          <w:rFonts w:ascii="Times New Roman" w:hAnsi="Times New Roman" w:cs="Times New Roman"/>
          <w:i/>
          <w:iCs/>
          <w:sz w:val="24"/>
          <w:szCs w:val="24"/>
        </w:rPr>
        <w:t>BMC Public Health</w:t>
      </w:r>
      <w:r w:rsidRPr="006F6D37">
        <w:rPr>
          <w:rFonts w:ascii="Times New Roman" w:hAnsi="Times New Roman" w:cs="Times New Roman"/>
          <w:sz w:val="24"/>
          <w:szCs w:val="24"/>
        </w:rPr>
        <w:t xml:space="preserve">, 19(1), pp. 1518–1518. Available at: </w:t>
      </w:r>
      <w:hyperlink r:id="rId48" w:history="1">
        <w:r w:rsidRPr="00AE123B">
          <w:rPr>
            <w:rStyle w:val="Hyperlink"/>
            <w:rFonts w:ascii="Times New Roman" w:hAnsi="Times New Roman" w:cs="Times New Roman"/>
            <w:sz w:val="24"/>
            <w:szCs w:val="24"/>
          </w:rPr>
          <w:t>https://doi.org/10.1186/s12889-019-7875-x</w:t>
        </w:r>
      </w:hyperlink>
      <w:r w:rsidRPr="006F6D37">
        <w:rPr>
          <w:rFonts w:ascii="Times New Roman" w:hAnsi="Times New Roman" w:cs="Times New Roman"/>
          <w:sz w:val="24"/>
          <w:szCs w:val="24"/>
        </w:rPr>
        <w:t>.</w:t>
      </w:r>
      <w:r>
        <w:rPr>
          <w:rFonts w:ascii="Times New Roman" w:hAnsi="Times New Roman" w:cs="Times New Roman"/>
          <w:sz w:val="24"/>
          <w:szCs w:val="24"/>
        </w:rPr>
        <w:t xml:space="preserve"> </w:t>
      </w:r>
      <w:bookmarkStart w:id="16" w:name="_Hlk160541333"/>
      <w:r>
        <w:rPr>
          <w:rFonts w:ascii="Times New Roman" w:hAnsi="Times New Roman" w:cs="Times New Roman"/>
          <w:sz w:val="24"/>
          <w:szCs w:val="24"/>
        </w:rPr>
        <w:t xml:space="preserve"> </w:t>
      </w:r>
      <w:bookmarkEnd w:id="16"/>
    </w:p>
    <w:bookmarkEnd w:id="10"/>
    <w:p w14:paraId="438AB56A" w14:textId="77777777" w:rsidR="003A13CF" w:rsidRPr="00FA572F" w:rsidRDefault="003A13CF" w:rsidP="00FA572F">
      <w:pPr>
        <w:spacing w:line="360" w:lineRule="auto"/>
        <w:rPr>
          <w:rFonts w:ascii="Times New Roman" w:hAnsi="Times New Roman" w:cs="Times New Roman"/>
          <w:sz w:val="24"/>
          <w:szCs w:val="24"/>
        </w:rPr>
      </w:pPr>
    </w:p>
    <w:sectPr w:rsidR="003A13CF" w:rsidRPr="00FA5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74"/>
    <w:rsid w:val="00034806"/>
    <w:rsid w:val="00076768"/>
    <w:rsid w:val="000E32C7"/>
    <w:rsid w:val="0020327E"/>
    <w:rsid w:val="002C4535"/>
    <w:rsid w:val="002D4397"/>
    <w:rsid w:val="002F6285"/>
    <w:rsid w:val="003A13CF"/>
    <w:rsid w:val="003E521E"/>
    <w:rsid w:val="003F2783"/>
    <w:rsid w:val="0043362A"/>
    <w:rsid w:val="00473DB4"/>
    <w:rsid w:val="005205CA"/>
    <w:rsid w:val="0053456F"/>
    <w:rsid w:val="00543274"/>
    <w:rsid w:val="00643C2C"/>
    <w:rsid w:val="00680F67"/>
    <w:rsid w:val="0069000F"/>
    <w:rsid w:val="007472A5"/>
    <w:rsid w:val="007E438A"/>
    <w:rsid w:val="008117E1"/>
    <w:rsid w:val="00910D64"/>
    <w:rsid w:val="009267E7"/>
    <w:rsid w:val="00946DC0"/>
    <w:rsid w:val="00947DEE"/>
    <w:rsid w:val="00AB5CB4"/>
    <w:rsid w:val="00AF2A68"/>
    <w:rsid w:val="00B41995"/>
    <w:rsid w:val="00BC612C"/>
    <w:rsid w:val="00BF4388"/>
    <w:rsid w:val="00C81F55"/>
    <w:rsid w:val="00D3742F"/>
    <w:rsid w:val="00E220FB"/>
    <w:rsid w:val="00E52B50"/>
    <w:rsid w:val="00E96E8F"/>
    <w:rsid w:val="00EB224C"/>
    <w:rsid w:val="00EC4631"/>
    <w:rsid w:val="00F61F44"/>
    <w:rsid w:val="00FA5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3CE2D4"/>
  <w15:chartTrackingRefBased/>
  <w15:docId w15:val="{90C6D20B-CAA4-4BA1-9403-D0542834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274"/>
  </w:style>
  <w:style w:type="paragraph" w:styleId="Heading1">
    <w:name w:val="heading 1"/>
    <w:basedOn w:val="Normal"/>
    <w:next w:val="Normal"/>
    <w:link w:val="Heading1Char"/>
    <w:uiPriority w:val="9"/>
    <w:qFormat/>
    <w:rsid w:val="00543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3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3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2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2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274"/>
    <w:rPr>
      <w:rFonts w:eastAsiaTheme="majorEastAsia" w:cstheme="majorBidi"/>
      <w:color w:val="272727" w:themeColor="text1" w:themeTint="D8"/>
    </w:rPr>
  </w:style>
  <w:style w:type="paragraph" w:styleId="Title">
    <w:name w:val="Title"/>
    <w:basedOn w:val="Normal"/>
    <w:next w:val="Normal"/>
    <w:link w:val="TitleChar"/>
    <w:uiPriority w:val="10"/>
    <w:qFormat/>
    <w:rsid w:val="00543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274"/>
    <w:pPr>
      <w:spacing w:before="160"/>
      <w:jc w:val="center"/>
    </w:pPr>
    <w:rPr>
      <w:i/>
      <w:iCs/>
      <w:color w:val="404040" w:themeColor="text1" w:themeTint="BF"/>
    </w:rPr>
  </w:style>
  <w:style w:type="character" w:customStyle="1" w:styleId="QuoteChar">
    <w:name w:val="Quote Char"/>
    <w:basedOn w:val="DefaultParagraphFont"/>
    <w:link w:val="Quote"/>
    <w:uiPriority w:val="29"/>
    <w:rsid w:val="00543274"/>
    <w:rPr>
      <w:i/>
      <w:iCs/>
      <w:color w:val="404040" w:themeColor="text1" w:themeTint="BF"/>
    </w:rPr>
  </w:style>
  <w:style w:type="paragraph" w:styleId="ListParagraph">
    <w:name w:val="List Paragraph"/>
    <w:basedOn w:val="Normal"/>
    <w:uiPriority w:val="34"/>
    <w:qFormat/>
    <w:rsid w:val="00543274"/>
    <w:pPr>
      <w:ind w:left="720"/>
      <w:contextualSpacing/>
    </w:pPr>
  </w:style>
  <w:style w:type="character" w:styleId="IntenseEmphasis">
    <w:name w:val="Intense Emphasis"/>
    <w:basedOn w:val="DefaultParagraphFont"/>
    <w:uiPriority w:val="21"/>
    <w:qFormat/>
    <w:rsid w:val="00543274"/>
    <w:rPr>
      <w:i/>
      <w:iCs/>
      <w:color w:val="0F4761" w:themeColor="accent1" w:themeShade="BF"/>
    </w:rPr>
  </w:style>
  <w:style w:type="paragraph" w:styleId="IntenseQuote">
    <w:name w:val="Intense Quote"/>
    <w:basedOn w:val="Normal"/>
    <w:next w:val="Normal"/>
    <w:link w:val="IntenseQuoteChar"/>
    <w:uiPriority w:val="30"/>
    <w:qFormat/>
    <w:rsid w:val="00543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274"/>
    <w:rPr>
      <w:i/>
      <w:iCs/>
      <w:color w:val="0F4761" w:themeColor="accent1" w:themeShade="BF"/>
    </w:rPr>
  </w:style>
  <w:style w:type="character" w:styleId="IntenseReference">
    <w:name w:val="Intense Reference"/>
    <w:basedOn w:val="DefaultParagraphFont"/>
    <w:uiPriority w:val="32"/>
    <w:qFormat/>
    <w:rsid w:val="00543274"/>
    <w:rPr>
      <w:b/>
      <w:bCs/>
      <w:smallCaps/>
      <w:color w:val="0F4761" w:themeColor="accent1" w:themeShade="BF"/>
      <w:spacing w:val="5"/>
    </w:rPr>
  </w:style>
  <w:style w:type="paragraph" w:styleId="NoSpacing">
    <w:name w:val="No Spacing"/>
    <w:uiPriority w:val="1"/>
    <w:qFormat/>
    <w:rsid w:val="00543274"/>
    <w:pPr>
      <w:spacing w:after="0" w:line="240" w:lineRule="auto"/>
    </w:pPr>
  </w:style>
  <w:style w:type="paragraph" w:styleId="TOCHeading">
    <w:name w:val="TOC Heading"/>
    <w:basedOn w:val="Heading1"/>
    <w:next w:val="Normal"/>
    <w:uiPriority w:val="39"/>
    <w:unhideWhenUsed/>
    <w:qFormat/>
    <w:rsid w:val="00473DB4"/>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473DB4"/>
    <w:pPr>
      <w:spacing w:after="100"/>
      <w:ind w:left="220"/>
    </w:pPr>
  </w:style>
  <w:style w:type="character" w:styleId="Hyperlink">
    <w:name w:val="Hyperlink"/>
    <w:basedOn w:val="DefaultParagraphFont"/>
    <w:uiPriority w:val="99"/>
    <w:unhideWhenUsed/>
    <w:rsid w:val="00473DB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1598-022-22609-y" TargetMode="External"/><Relationship Id="rId18" Type="http://schemas.openxmlformats.org/officeDocument/2006/relationships/hyperlink" Target="https://doi.org/10.1177/23337214221087023" TargetMode="External"/><Relationship Id="rId26" Type="http://schemas.openxmlformats.org/officeDocument/2006/relationships/hyperlink" Target="https://doi.org/10.1186/s12875-019-0941-8" TargetMode="External"/><Relationship Id="rId39" Type="http://schemas.openxmlformats.org/officeDocument/2006/relationships/hyperlink" Target="https://doi.org/10.1080/08998280.2017.11929552" TargetMode="External"/><Relationship Id="rId21" Type="http://schemas.openxmlformats.org/officeDocument/2006/relationships/hyperlink" Target="https://doi.org/10.1136/bmj.e7191" TargetMode="External"/><Relationship Id="rId34" Type="http://schemas.openxmlformats.org/officeDocument/2006/relationships/hyperlink" Target="https://doi.org/10.1017/S0144686X21001707" TargetMode="External"/><Relationship Id="rId42" Type="http://schemas.openxmlformats.org/officeDocument/2006/relationships/hyperlink" Target="https://doi.org/10.1163/15718090220523690" TargetMode="External"/><Relationship Id="rId47" Type="http://schemas.openxmlformats.org/officeDocument/2006/relationships/hyperlink" Target="https://doi.org/10.1007/s43465-019-00037-x" TargetMode="External"/><Relationship Id="rId50" Type="http://schemas.openxmlformats.org/officeDocument/2006/relationships/theme" Target="theme/theme1.xml"/><Relationship Id="rId7" Type="http://schemas.openxmlformats.org/officeDocument/2006/relationships/hyperlink" Target="https://doi.org/10.1111/hex.12608" TargetMode="External"/><Relationship Id="rId2" Type="http://schemas.openxmlformats.org/officeDocument/2006/relationships/settings" Target="settings.xml"/><Relationship Id="rId16" Type="http://schemas.openxmlformats.org/officeDocument/2006/relationships/hyperlink" Target="https://doi.org/10.1113/JP271270" TargetMode="External"/><Relationship Id="rId29" Type="http://schemas.openxmlformats.org/officeDocument/2006/relationships/hyperlink" Target="https://www.nia.nih.gov/health/healthy-eating-nutrition-and-diet/maintaining-healthy-weight" TargetMode="External"/><Relationship Id="rId11" Type="http://schemas.openxmlformats.org/officeDocument/2006/relationships/hyperlink" Target="https://assets.publishing.service.gov.uk/media/5a7c269640f0b61a825d6c57/ban-on-age-discrimination.pdf" TargetMode="External"/><Relationship Id="rId24" Type="http://schemas.openxmlformats.org/officeDocument/2006/relationships/hyperlink" Target="https://doi.org/10.14336%2FAD.2021.02018" TargetMode="External"/><Relationship Id="rId32" Type="http://schemas.openxmlformats.org/officeDocument/2006/relationships/hyperlink" Target="https://nhssomerset.nhs.uk/wp-content/uploads/sites/2/Attachment-1-Medication-and-falls-risks-classification-guide.pdf" TargetMode="External"/><Relationship Id="rId37" Type="http://schemas.openxmlformats.org/officeDocument/2006/relationships/hyperlink" Target="https://doi.org/10.3390/ijerph192315870" TargetMode="External"/><Relationship Id="rId40" Type="http://schemas.openxmlformats.org/officeDocument/2006/relationships/hyperlink" Target="https://doi.org/10.4236%2Fjbise.2022.1511023" TargetMode="External"/><Relationship Id="rId45" Type="http://schemas.openxmlformats.org/officeDocument/2006/relationships/hyperlink" Target="https://doi.org/10.3390/nursrep11020041" TargetMode="External"/><Relationship Id="rId5" Type="http://schemas.openxmlformats.org/officeDocument/2006/relationships/hyperlink" Target="https://doi.org/10.1080/2331205X.2017.1289664" TargetMode="External"/><Relationship Id="rId15" Type="http://schemas.openxmlformats.org/officeDocument/2006/relationships/hyperlink" Target="https://assets.publishing.service.gov.uk/media/5d273adce5274a5862768ff9/future-of-an-ageing-population.pdf" TargetMode="External"/><Relationship Id="rId23" Type="http://schemas.openxmlformats.org/officeDocument/2006/relationships/hyperlink" Target="https://doi.org/10.1155/2018/7856823" TargetMode="External"/><Relationship Id="rId28" Type="http://schemas.openxmlformats.org/officeDocument/2006/relationships/hyperlink" Target="https://doi.org/10.3389/fpubh.2020.516151" TargetMode="External"/><Relationship Id="rId36" Type="http://schemas.openxmlformats.org/officeDocument/2006/relationships/hyperlink" Target="https://www.oxfordhealth.nhs.uk/wp-content/uploads/2011/03/OH-221.20-Medicines-can-cause-falls.pdf" TargetMode="External"/><Relationship Id="rId49" Type="http://schemas.openxmlformats.org/officeDocument/2006/relationships/fontTable" Target="fontTable.xml"/><Relationship Id="rId10" Type="http://schemas.openxmlformats.org/officeDocument/2006/relationships/hyperlink" Target="https://doi.org/10.2307/2786135" TargetMode="External"/><Relationship Id="rId19" Type="http://schemas.openxmlformats.org/officeDocument/2006/relationships/hyperlink" Target="https://doi.org/10.2105/AJPH.2004.047779" TargetMode="External"/><Relationship Id="rId31" Type="http://schemas.openxmlformats.org/officeDocument/2006/relationships/hyperlink" Target="https://www.nhsinform.scot/healthy-living/preventing-falls/keeping-well/how-to-manage-your-medication-to-help-prevent-falls/" TargetMode="External"/><Relationship Id="rId44" Type="http://schemas.openxmlformats.org/officeDocument/2006/relationships/hyperlink" Target="https://doi.org/10.1016/S2468-2667(22)00030-5" TargetMode="External"/><Relationship Id="rId4" Type="http://schemas.openxmlformats.org/officeDocument/2006/relationships/hyperlink" Target="https://www.actionforelders.org.uk/the-benefits-of-physical-activity/?gad_source=1&amp;gclid=EAIaIQobChMInsyc09rchAMVWpNQBh20vwWhEAAYASAAEgJhIfD_BwE" TargetMode="External"/><Relationship Id="rId9" Type="http://schemas.openxmlformats.org/officeDocument/2006/relationships/hyperlink" Target="https://www.cdc.gov/falls/facts.html" TargetMode="External"/><Relationship Id="rId14" Type="http://schemas.openxmlformats.org/officeDocument/2006/relationships/hyperlink" Target="https://doi.org/10.2196/31916" TargetMode="External"/><Relationship Id="rId22" Type="http://schemas.openxmlformats.org/officeDocument/2006/relationships/hyperlink" Target="https://doi.org/10.1016/j.maturitas.2015.05.002" TargetMode="External"/><Relationship Id="rId27" Type="http://schemas.openxmlformats.org/officeDocument/2006/relationships/hyperlink" Target="https://doi.org/10.3389/fpsyg.2016.01827" TargetMode="External"/><Relationship Id="rId30" Type="http://schemas.openxmlformats.org/officeDocument/2006/relationships/hyperlink" Target="https://www.nhs.uk/conditions/falls/prevention/" TargetMode="External"/><Relationship Id="rId35" Type="http://schemas.openxmlformats.org/officeDocument/2006/relationships/hyperlink" Target="https://olderpeople.wales/wp-content/uploads/2023/01/221222-Understanding-Wales-ageing-population-24-November.pdf" TargetMode="External"/><Relationship Id="rId43" Type="http://schemas.openxmlformats.org/officeDocument/2006/relationships/hyperlink" Target="https://doi.org/10.3389/fphar.2022.1044744" TargetMode="External"/><Relationship Id="rId48" Type="http://schemas.openxmlformats.org/officeDocument/2006/relationships/hyperlink" Target="https://doi.org/10.1186/s12889-019-7875-x" TargetMode="External"/><Relationship Id="rId8" Type="http://schemas.openxmlformats.org/officeDocument/2006/relationships/hyperlink" Target="https://doi.org/10.3390/ijerph16111951" TargetMode="External"/><Relationship Id="rId3" Type="http://schemas.openxmlformats.org/officeDocument/2006/relationships/webSettings" Target="webSettings.xml"/><Relationship Id="rId12" Type="http://schemas.openxmlformats.org/officeDocument/2006/relationships/hyperlink" Target="https://doi.org/10.1136/bmjopen-2017-016358" TargetMode="External"/><Relationship Id="rId17" Type="http://schemas.openxmlformats.org/officeDocument/2006/relationships/hyperlink" Target="https://doi.org/10.1177/2042098613486829" TargetMode="External"/><Relationship Id="rId25" Type="http://schemas.openxmlformats.org/officeDocument/2006/relationships/hyperlink" Target="https://doi.org/10.5334/ijic.845" TargetMode="External"/><Relationship Id="rId33" Type="http://schemas.openxmlformats.org/officeDocument/2006/relationships/hyperlink" Target="https://doi.org/10.5964/ejop.v11i3.949" TargetMode="External"/><Relationship Id="rId38" Type="http://schemas.openxmlformats.org/officeDocument/2006/relationships/hyperlink" Target="https://doi.org/10.1007/s40520-017-0749-0" TargetMode="External"/><Relationship Id="rId46" Type="http://schemas.openxmlformats.org/officeDocument/2006/relationships/hyperlink" Target="https://committees.parliament.uk/writtenevidence/22776/html/" TargetMode="External"/><Relationship Id="rId20" Type="http://schemas.openxmlformats.org/officeDocument/2006/relationships/hyperlink" Target="https://doi.org/10.1093/gerona/62.2.180" TargetMode="External"/><Relationship Id="rId41" Type="http://schemas.openxmlformats.org/officeDocument/2006/relationships/hyperlink" Target="https://assets.publishing.service.gov.uk/media/60547266d3bf7f2f14694965/Caring_as_a_social_determinant_report.pdf" TargetMode="External"/><Relationship Id="rId1" Type="http://schemas.openxmlformats.org/officeDocument/2006/relationships/styles" Target="styles.xml"/><Relationship Id="rId6" Type="http://schemas.openxmlformats.org/officeDocument/2006/relationships/hyperlink" Target="https://doi.org/10.1037/tra00007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14</Pages>
  <Words>3882</Words>
  <Characters>24330</Characters>
  <Application>Microsoft Office Word</Application>
  <DocSecurity>0</DocSecurity>
  <Lines>468</Lines>
  <Paragraphs>79</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An Ageing Population</vt:lpstr>
      <vt:lpstr>    Recommendations</vt:lpstr>
      <vt:lpstr>    Conclusion</vt:lpstr>
    </vt:vector>
  </TitlesOfParts>
  <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10</cp:revision>
  <dcterms:created xsi:type="dcterms:W3CDTF">2024-04-29T16:39:00Z</dcterms:created>
  <dcterms:modified xsi:type="dcterms:W3CDTF">2024-05-01T20:31:00Z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97c6185d-2e67-4904-aa7a-af7c968d5154</vt:lpwstr>
  </property>
</Properties>
</file>