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00B0F" w:rsidRPr="002F004B" w:rsidRDefault="00074402" w:rsidP="002F004B">
      <w:pPr>
        <w:spacing w:line="360" w:lineRule="auto"/>
        <w:rPr>
          <w:rFonts w:ascii="Arial" w:hAnsi="Arial" w:cs="Arial"/>
          <w:sz w:val="22"/>
        </w:rPr>
      </w:pPr>
      <w:r w:rsidRPr="002F004B">
        <w:rPr>
          <w:rFonts w:ascii="Arial" w:hAnsi="Arial" w:cs="Arial"/>
          <w:noProof/>
          <w:sz w:val="22"/>
        </w:rPr>
        <w:drawing>
          <wp:anchor distT="0" distB="0" distL="114300" distR="114300" simplePos="0" relativeHeight="251659264" behindDoc="0" locked="0" layoutInCell="1" allowOverlap="1" wp14:anchorId="47BC0542" wp14:editId="20828F05">
            <wp:simplePos x="0" y="0"/>
            <wp:positionH relativeFrom="column">
              <wp:posOffset>-739140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2F004B" w:rsidRDefault="00074402" w:rsidP="002F004B">
      <w:pPr>
        <w:spacing w:line="360" w:lineRule="auto"/>
        <w:rPr>
          <w:rFonts w:ascii="Arial" w:hAnsi="Arial" w:cs="Arial"/>
          <w:sz w:val="22"/>
        </w:rPr>
      </w:pPr>
    </w:p>
    <w:p w14:paraId="4E267F2C" w14:textId="35E99859" w:rsidR="00074402" w:rsidRPr="002F004B" w:rsidRDefault="00074402" w:rsidP="002F004B">
      <w:pPr>
        <w:spacing w:line="360" w:lineRule="auto"/>
        <w:rPr>
          <w:rFonts w:ascii="Arial" w:hAnsi="Arial" w:cs="Arial"/>
          <w:sz w:val="22"/>
        </w:rPr>
      </w:pPr>
    </w:p>
    <w:p w14:paraId="5D864E3F" w14:textId="04749E68" w:rsidR="00074402" w:rsidRPr="002F004B" w:rsidRDefault="00074402" w:rsidP="002F004B">
      <w:pPr>
        <w:spacing w:line="360" w:lineRule="auto"/>
        <w:rPr>
          <w:rFonts w:ascii="Arial" w:hAnsi="Arial" w:cs="Arial"/>
          <w:sz w:val="22"/>
        </w:rPr>
      </w:pPr>
    </w:p>
    <w:p w14:paraId="22F2817A" w14:textId="77777777" w:rsidR="00074402" w:rsidRPr="002F004B" w:rsidRDefault="00074402" w:rsidP="002F004B">
      <w:pPr>
        <w:tabs>
          <w:tab w:val="left" w:pos="6540"/>
        </w:tabs>
        <w:spacing w:line="360" w:lineRule="auto"/>
        <w:rPr>
          <w:rFonts w:ascii="Arial" w:hAnsi="Arial" w:cs="Arial"/>
          <w:sz w:val="22"/>
        </w:rPr>
      </w:pPr>
    </w:p>
    <w:p w14:paraId="7D557BA5" w14:textId="023CF17A" w:rsidR="00CD33A8" w:rsidRPr="002F004B" w:rsidRDefault="00CD33A8" w:rsidP="002F004B">
      <w:pPr>
        <w:tabs>
          <w:tab w:val="left" w:pos="6540"/>
        </w:tabs>
        <w:spacing w:line="360" w:lineRule="auto"/>
        <w:rPr>
          <w:rFonts w:ascii="Arial" w:hAnsi="Arial" w:cs="Arial"/>
          <w:sz w:val="28"/>
          <w:szCs w:val="28"/>
          <w:lang w:val="nl-NL"/>
        </w:rPr>
      </w:pPr>
      <w:r w:rsidRPr="002F004B">
        <w:rPr>
          <w:rFonts w:ascii="Arial" w:hAnsi="Arial" w:cs="Arial"/>
          <w:b/>
          <w:bCs/>
          <w:sz w:val="28"/>
          <w:szCs w:val="28"/>
          <w:lang w:val="nl-NL"/>
        </w:rPr>
        <w:t>Module name</w:t>
      </w:r>
      <w:r w:rsidRPr="002F004B">
        <w:rPr>
          <w:rFonts w:ascii="Arial" w:hAnsi="Arial" w:cs="Arial"/>
          <w:sz w:val="28"/>
          <w:szCs w:val="28"/>
          <w:lang w:val="nl-NL"/>
        </w:rPr>
        <w:t xml:space="preserve">: </w:t>
      </w:r>
      <w:r w:rsidR="004B7EF1" w:rsidRPr="004B7EF1">
        <w:rPr>
          <w:rFonts w:ascii="Arial" w:hAnsi="Arial" w:cs="Arial"/>
          <w:b/>
          <w:bCs/>
          <w:sz w:val="28"/>
          <w:szCs w:val="28"/>
        </w:rPr>
        <w:t>Introduction to Health and Social Care</w:t>
      </w:r>
    </w:p>
    <w:p w14:paraId="529D7354" w14:textId="456818D5" w:rsidR="00CD33A8" w:rsidRPr="004B7EF1" w:rsidRDefault="00CD33A8" w:rsidP="002F004B">
      <w:pPr>
        <w:tabs>
          <w:tab w:val="left" w:pos="6540"/>
        </w:tabs>
        <w:spacing w:line="360" w:lineRule="auto"/>
        <w:rPr>
          <w:rFonts w:ascii="Arial" w:hAnsi="Arial" w:cs="Arial"/>
          <w:b/>
          <w:bCs/>
          <w:sz w:val="28"/>
          <w:szCs w:val="28"/>
        </w:rPr>
      </w:pPr>
      <w:r w:rsidRPr="002F004B">
        <w:rPr>
          <w:rFonts w:ascii="Arial" w:hAnsi="Arial" w:cs="Arial"/>
          <w:b/>
          <w:bCs/>
          <w:sz w:val="28"/>
          <w:szCs w:val="28"/>
        </w:rPr>
        <w:t>Module code</w:t>
      </w:r>
      <w:r w:rsidRPr="002F004B">
        <w:rPr>
          <w:rFonts w:ascii="Arial" w:hAnsi="Arial" w:cs="Arial"/>
          <w:sz w:val="28"/>
          <w:szCs w:val="28"/>
        </w:rPr>
        <w:t>:</w:t>
      </w:r>
      <w:r w:rsidR="004B7EF1">
        <w:rPr>
          <w:rFonts w:ascii="Arial" w:hAnsi="Arial" w:cs="Arial"/>
          <w:sz w:val="28"/>
          <w:szCs w:val="28"/>
        </w:rPr>
        <w:t xml:space="preserve"> </w:t>
      </w:r>
      <w:r w:rsidR="004B7EF1" w:rsidRPr="004B7EF1">
        <w:rPr>
          <w:rFonts w:ascii="Arial" w:hAnsi="Arial" w:cs="Arial"/>
          <w:b/>
          <w:bCs/>
          <w:sz w:val="28"/>
          <w:szCs w:val="28"/>
        </w:rPr>
        <w:t>LCHS4003</w:t>
      </w:r>
    </w:p>
    <w:p w14:paraId="0A48766D" w14:textId="3078C46E" w:rsidR="00074402" w:rsidRPr="002F004B" w:rsidRDefault="00074402" w:rsidP="002F004B">
      <w:pPr>
        <w:tabs>
          <w:tab w:val="left" w:pos="6540"/>
        </w:tabs>
        <w:spacing w:line="360" w:lineRule="auto"/>
        <w:rPr>
          <w:rFonts w:ascii="Arial" w:hAnsi="Arial" w:cs="Arial"/>
          <w:sz w:val="28"/>
          <w:szCs w:val="28"/>
          <w:lang w:val="nl-NL"/>
        </w:rPr>
      </w:pPr>
      <w:r w:rsidRPr="002F004B">
        <w:rPr>
          <w:rFonts w:ascii="Arial" w:hAnsi="Arial" w:cs="Arial"/>
          <w:b/>
          <w:bCs/>
          <w:sz w:val="28"/>
          <w:szCs w:val="28"/>
          <w:lang w:val="nl-NL"/>
        </w:rPr>
        <w:t>Student name</w:t>
      </w:r>
      <w:r w:rsidRPr="002F004B">
        <w:rPr>
          <w:rFonts w:ascii="Arial" w:hAnsi="Arial" w:cs="Arial"/>
          <w:sz w:val="28"/>
          <w:szCs w:val="28"/>
          <w:lang w:val="nl-NL"/>
        </w:rPr>
        <w:t>:</w:t>
      </w:r>
      <w:r w:rsidR="004B7EF1">
        <w:rPr>
          <w:rFonts w:ascii="Arial" w:hAnsi="Arial" w:cs="Arial"/>
          <w:sz w:val="28"/>
          <w:szCs w:val="28"/>
          <w:lang w:val="nl-NL"/>
        </w:rPr>
        <w:t xml:space="preserve"> </w:t>
      </w:r>
      <w:r w:rsidR="004B7EF1" w:rsidRPr="004B7EF1">
        <w:rPr>
          <w:rFonts w:ascii="Arial" w:hAnsi="Arial" w:cs="Arial"/>
          <w:b/>
          <w:bCs/>
          <w:sz w:val="28"/>
          <w:szCs w:val="28"/>
          <w:lang w:val="nl-NL"/>
        </w:rPr>
        <w:t>Nevena Semkova</w:t>
      </w:r>
    </w:p>
    <w:p w14:paraId="5E81F6AD" w14:textId="53716CFD" w:rsidR="00074402" w:rsidRPr="004B7EF1" w:rsidRDefault="00074402" w:rsidP="002F004B">
      <w:pPr>
        <w:tabs>
          <w:tab w:val="left" w:pos="6540"/>
        </w:tabs>
        <w:spacing w:line="360" w:lineRule="auto"/>
        <w:rPr>
          <w:rFonts w:ascii="Arial" w:hAnsi="Arial" w:cs="Arial"/>
          <w:b/>
          <w:bCs/>
          <w:sz w:val="28"/>
          <w:szCs w:val="28"/>
          <w:lang w:val="nl-NL"/>
        </w:rPr>
      </w:pPr>
      <w:r w:rsidRPr="002F004B">
        <w:rPr>
          <w:rFonts w:ascii="Arial" w:hAnsi="Arial" w:cs="Arial"/>
          <w:b/>
          <w:bCs/>
          <w:sz w:val="28"/>
          <w:szCs w:val="28"/>
          <w:lang w:val="nl-NL"/>
        </w:rPr>
        <w:t>Student ID</w:t>
      </w:r>
      <w:r w:rsidRPr="002F004B">
        <w:rPr>
          <w:rFonts w:ascii="Arial" w:hAnsi="Arial" w:cs="Arial"/>
          <w:sz w:val="28"/>
          <w:szCs w:val="28"/>
          <w:lang w:val="nl-NL"/>
        </w:rPr>
        <w:t>:</w:t>
      </w:r>
      <w:r w:rsidR="004B7EF1">
        <w:rPr>
          <w:rFonts w:ascii="Arial" w:hAnsi="Arial" w:cs="Arial"/>
          <w:sz w:val="28"/>
          <w:szCs w:val="28"/>
          <w:lang w:val="nl-NL"/>
        </w:rPr>
        <w:t xml:space="preserve"> </w:t>
      </w:r>
      <w:r w:rsidR="004B7EF1" w:rsidRPr="004B7EF1">
        <w:rPr>
          <w:rFonts w:ascii="Arial" w:hAnsi="Arial" w:cs="Arial"/>
          <w:b/>
          <w:bCs/>
          <w:sz w:val="28"/>
          <w:szCs w:val="28"/>
          <w:lang w:val="nl-NL"/>
        </w:rPr>
        <w:t>2515168</w:t>
      </w:r>
    </w:p>
    <w:p w14:paraId="1A0B2D2B" w14:textId="7093BB74" w:rsidR="00074402" w:rsidRPr="004B7EF1" w:rsidRDefault="008E3943" w:rsidP="002F004B">
      <w:pPr>
        <w:tabs>
          <w:tab w:val="left" w:pos="6540"/>
        </w:tabs>
        <w:spacing w:line="360" w:lineRule="auto"/>
        <w:rPr>
          <w:rFonts w:ascii="Arial" w:hAnsi="Arial" w:cs="Arial"/>
          <w:b/>
          <w:bCs/>
          <w:sz w:val="28"/>
          <w:szCs w:val="28"/>
        </w:rPr>
      </w:pPr>
      <w:r w:rsidRPr="002F004B">
        <w:rPr>
          <w:rFonts w:ascii="Arial" w:hAnsi="Arial" w:cs="Arial"/>
          <w:b/>
          <w:bCs/>
          <w:sz w:val="28"/>
          <w:szCs w:val="28"/>
        </w:rPr>
        <w:t>Lecturer’s name</w:t>
      </w:r>
      <w:r w:rsidR="00074402" w:rsidRPr="002F004B">
        <w:rPr>
          <w:rFonts w:ascii="Arial" w:hAnsi="Arial" w:cs="Arial"/>
          <w:sz w:val="28"/>
          <w:szCs w:val="28"/>
        </w:rPr>
        <w:t>:</w:t>
      </w:r>
      <w:r w:rsidR="004B7EF1">
        <w:rPr>
          <w:rFonts w:ascii="Arial" w:hAnsi="Arial" w:cs="Arial"/>
          <w:sz w:val="28"/>
          <w:szCs w:val="28"/>
        </w:rPr>
        <w:t xml:space="preserve"> </w:t>
      </w:r>
      <w:r w:rsidR="004B7EF1" w:rsidRPr="004B7EF1">
        <w:rPr>
          <w:rFonts w:ascii="Arial" w:hAnsi="Arial" w:cs="Arial"/>
          <w:b/>
          <w:bCs/>
          <w:sz w:val="28"/>
          <w:szCs w:val="28"/>
        </w:rPr>
        <w:t>Muhammad Aliyu</w:t>
      </w:r>
    </w:p>
    <w:p w14:paraId="39D08584" w14:textId="77777777" w:rsidR="00074402" w:rsidRPr="002F004B" w:rsidRDefault="00074402" w:rsidP="002F004B">
      <w:pPr>
        <w:tabs>
          <w:tab w:val="left" w:pos="6540"/>
        </w:tabs>
        <w:spacing w:line="360" w:lineRule="auto"/>
        <w:rPr>
          <w:rFonts w:ascii="Arial" w:hAnsi="Arial" w:cs="Arial"/>
          <w:sz w:val="22"/>
        </w:rPr>
      </w:pPr>
    </w:p>
    <w:p w14:paraId="5B66D125" w14:textId="77777777" w:rsidR="00074402" w:rsidRPr="002F004B" w:rsidRDefault="00074402" w:rsidP="002F004B">
      <w:pPr>
        <w:tabs>
          <w:tab w:val="left" w:pos="6540"/>
        </w:tabs>
        <w:spacing w:line="360" w:lineRule="auto"/>
        <w:rPr>
          <w:rFonts w:ascii="Arial" w:hAnsi="Arial" w:cs="Arial"/>
          <w:sz w:val="22"/>
        </w:rPr>
      </w:pPr>
    </w:p>
    <w:p w14:paraId="291524A2" w14:textId="2CBFF360" w:rsidR="00074402" w:rsidRDefault="00074402" w:rsidP="002F004B">
      <w:pPr>
        <w:tabs>
          <w:tab w:val="left" w:pos="6540"/>
        </w:tabs>
        <w:spacing w:line="360" w:lineRule="auto"/>
        <w:rPr>
          <w:rFonts w:ascii="Arial" w:hAnsi="Arial" w:cs="Arial"/>
          <w:sz w:val="22"/>
        </w:rPr>
      </w:pPr>
    </w:p>
    <w:p w14:paraId="3EE14BF1" w14:textId="77777777" w:rsidR="003F42F1" w:rsidRPr="002F004B" w:rsidRDefault="003F42F1" w:rsidP="002F004B">
      <w:pPr>
        <w:tabs>
          <w:tab w:val="left" w:pos="6540"/>
        </w:tabs>
        <w:spacing w:line="360" w:lineRule="auto"/>
        <w:rPr>
          <w:rFonts w:ascii="Arial" w:hAnsi="Arial" w:cs="Arial"/>
          <w:sz w:val="22"/>
        </w:rPr>
      </w:pPr>
    </w:p>
    <w:p w14:paraId="2B2A841E" w14:textId="1035CBCE" w:rsidR="002F004B" w:rsidRPr="002F004B" w:rsidRDefault="002F004B" w:rsidP="002F004B">
      <w:pPr>
        <w:spacing w:line="360" w:lineRule="auto"/>
        <w:rPr>
          <w:rFonts w:ascii="Arial" w:hAnsi="Arial" w:cs="Arial"/>
          <w:sz w:val="22"/>
        </w:rPr>
      </w:pPr>
    </w:p>
    <w:sdt>
      <w:sdtPr>
        <w:rPr>
          <w:rFonts w:ascii="Times New Roman" w:eastAsiaTheme="minorHAnsi" w:hAnsi="Times New Roman" w:cstheme="minorBidi"/>
          <w:color w:val="auto"/>
          <w:sz w:val="22"/>
          <w:szCs w:val="22"/>
          <w:lang w:eastAsia="en-US"/>
        </w:rPr>
        <w:id w:val="1711373887"/>
        <w:docPartObj>
          <w:docPartGallery w:val="Table of Contents"/>
          <w:docPartUnique/>
        </w:docPartObj>
      </w:sdtPr>
      <w:sdtEndPr>
        <w:rPr>
          <w:rFonts w:ascii="Arial" w:hAnsi="Arial" w:cs="Arial"/>
          <w:b/>
          <w:bCs/>
        </w:rPr>
      </w:sdtEndPr>
      <w:sdtContent>
        <w:p w14:paraId="59501744" w14:textId="2B889D21" w:rsidR="002F004B" w:rsidRPr="004B7EF1" w:rsidRDefault="002F004B" w:rsidP="004B7EF1">
          <w:pPr>
            <w:pStyle w:val="TOCHeading"/>
            <w:rPr>
              <w:rStyle w:val="Heading1Char"/>
              <w:color w:val="000000" w:themeColor="text1"/>
            </w:rPr>
          </w:pPr>
          <w:r w:rsidRPr="004B7EF1">
            <w:rPr>
              <w:rStyle w:val="Heading1Char"/>
              <w:color w:val="000000" w:themeColor="text1"/>
            </w:rPr>
            <w:t>Table of Contents</w:t>
          </w:r>
        </w:p>
        <w:p w14:paraId="08FB88E9" w14:textId="43DAC637" w:rsidR="009409B5" w:rsidRDefault="002F004B">
          <w:pPr>
            <w:pStyle w:val="TOC1"/>
            <w:tabs>
              <w:tab w:val="right" w:leader="dot" w:pos="9016"/>
            </w:tabs>
            <w:rPr>
              <w:rFonts w:cstheme="minorBidi"/>
              <w:noProof/>
              <w:kern w:val="2"/>
              <w:sz w:val="24"/>
              <w:szCs w:val="24"/>
              <w14:ligatures w14:val="standardContextual"/>
            </w:rPr>
          </w:pPr>
          <w:r w:rsidRPr="002F004B">
            <w:rPr>
              <w:rFonts w:ascii="Arial" w:hAnsi="Arial" w:cs="Arial"/>
            </w:rPr>
            <w:fldChar w:fldCharType="begin"/>
          </w:r>
          <w:r w:rsidRPr="002F004B">
            <w:rPr>
              <w:rFonts w:ascii="Arial" w:hAnsi="Arial" w:cs="Arial"/>
            </w:rPr>
            <w:instrText xml:space="preserve"> TOC \o "1-3" \h \z \u </w:instrText>
          </w:r>
          <w:r w:rsidRPr="002F004B">
            <w:rPr>
              <w:rFonts w:ascii="Arial" w:hAnsi="Arial" w:cs="Arial"/>
            </w:rPr>
            <w:fldChar w:fldCharType="separate"/>
          </w:r>
          <w:hyperlink w:anchor="_Toc226285826" w:history="1">
            <w:r w:rsidR="009409B5" w:rsidRPr="00F57372">
              <w:rPr>
                <w:rStyle w:val="Hyperlink"/>
                <w:noProof/>
              </w:rPr>
              <w:t>Assessment 2: Written assignment Case Study Mr Ahmed</w:t>
            </w:r>
            <w:r w:rsidR="009409B5">
              <w:rPr>
                <w:noProof/>
                <w:webHidden/>
              </w:rPr>
              <w:tab/>
            </w:r>
            <w:r w:rsidR="009409B5">
              <w:rPr>
                <w:noProof/>
                <w:webHidden/>
              </w:rPr>
              <w:fldChar w:fldCharType="begin"/>
            </w:r>
            <w:r w:rsidR="009409B5">
              <w:rPr>
                <w:noProof/>
                <w:webHidden/>
              </w:rPr>
              <w:instrText xml:space="preserve"> PAGEREF _Toc226285826 \h </w:instrText>
            </w:r>
            <w:r w:rsidR="009409B5">
              <w:rPr>
                <w:noProof/>
                <w:webHidden/>
              </w:rPr>
            </w:r>
            <w:r w:rsidR="009409B5">
              <w:rPr>
                <w:noProof/>
                <w:webHidden/>
              </w:rPr>
              <w:fldChar w:fldCharType="separate"/>
            </w:r>
            <w:r w:rsidR="009409B5">
              <w:rPr>
                <w:noProof/>
                <w:webHidden/>
              </w:rPr>
              <w:t>2</w:t>
            </w:r>
            <w:r w:rsidR="009409B5">
              <w:rPr>
                <w:noProof/>
                <w:webHidden/>
              </w:rPr>
              <w:fldChar w:fldCharType="end"/>
            </w:r>
          </w:hyperlink>
        </w:p>
        <w:p w14:paraId="34BFFEA1" w14:textId="18473A0F" w:rsidR="009409B5" w:rsidRDefault="009409B5">
          <w:pPr>
            <w:pStyle w:val="TOC2"/>
            <w:tabs>
              <w:tab w:val="right" w:leader="dot" w:pos="9016"/>
            </w:tabs>
            <w:rPr>
              <w:rFonts w:cstheme="minorBidi"/>
              <w:noProof/>
              <w:kern w:val="2"/>
              <w:sz w:val="24"/>
              <w:szCs w:val="24"/>
              <w14:ligatures w14:val="standardContextual"/>
            </w:rPr>
          </w:pPr>
          <w:hyperlink w:anchor="_Toc226285827" w:history="1">
            <w:r w:rsidRPr="00F57372">
              <w:rPr>
                <w:rStyle w:val="Hyperlink"/>
                <w:noProof/>
              </w:rPr>
              <w:t>Introduction</w:t>
            </w:r>
            <w:r>
              <w:rPr>
                <w:noProof/>
                <w:webHidden/>
              </w:rPr>
              <w:tab/>
            </w:r>
            <w:r>
              <w:rPr>
                <w:noProof/>
                <w:webHidden/>
              </w:rPr>
              <w:fldChar w:fldCharType="begin"/>
            </w:r>
            <w:r>
              <w:rPr>
                <w:noProof/>
                <w:webHidden/>
              </w:rPr>
              <w:instrText xml:space="preserve"> PAGEREF _Toc226285827 \h </w:instrText>
            </w:r>
            <w:r>
              <w:rPr>
                <w:noProof/>
                <w:webHidden/>
              </w:rPr>
            </w:r>
            <w:r>
              <w:rPr>
                <w:noProof/>
                <w:webHidden/>
              </w:rPr>
              <w:fldChar w:fldCharType="separate"/>
            </w:r>
            <w:r>
              <w:rPr>
                <w:noProof/>
                <w:webHidden/>
              </w:rPr>
              <w:t>2</w:t>
            </w:r>
            <w:r>
              <w:rPr>
                <w:noProof/>
                <w:webHidden/>
              </w:rPr>
              <w:fldChar w:fldCharType="end"/>
            </w:r>
          </w:hyperlink>
        </w:p>
        <w:p w14:paraId="449831DE" w14:textId="14A49A20" w:rsidR="009409B5" w:rsidRDefault="009409B5">
          <w:pPr>
            <w:pStyle w:val="TOC2"/>
            <w:tabs>
              <w:tab w:val="right" w:leader="dot" w:pos="9016"/>
            </w:tabs>
            <w:rPr>
              <w:rFonts w:cstheme="minorBidi"/>
              <w:noProof/>
              <w:kern w:val="2"/>
              <w:sz w:val="24"/>
              <w:szCs w:val="24"/>
              <w14:ligatures w14:val="standardContextual"/>
            </w:rPr>
          </w:pPr>
          <w:hyperlink w:anchor="_Toc226285828" w:history="1">
            <w:r w:rsidRPr="00F57372">
              <w:rPr>
                <w:rStyle w:val="Hyperlink"/>
                <w:noProof/>
              </w:rPr>
              <w:t>Importance of effective communication</w:t>
            </w:r>
            <w:r>
              <w:rPr>
                <w:noProof/>
                <w:webHidden/>
              </w:rPr>
              <w:tab/>
            </w:r>
            <w:r>
              <w:rPr>
                <w:noProof/>
                <w:webHidden/>
              </w:rPr>
              <w:fldChar w:fldCharType="begin"/>
            </w:r>
            <w:r>
              <w:rPr>
                <w:noProof/>
                <w:webHidden/>
              </w:rPr>
              <w:instrText xml:space="preserve"> PAGEREF _Toc226285828 \h </w:instrText>
            </w:r>
            <w:r>
              <w:rPr>
                <w:noProof/>
                <w:webHidden/>
              </w:rPr>
            </w:r>
            <w:r>
              <w:rPr>
                <w:noProof/>
                <w:webHidden/>
              </w:rPr>
              <w:fldChar w:fldCharType="separate"/>
            </w:r>
            <w:r>
              <w:rPr>
                <w:noProof/>
                <w:webHidden/>
              </w:rPr>
              <w:t>2</w:t>
            </w:r>
            <w:r>
              <w:rPr>
                <w:noProof/>
                <w:webHidden/>
              </w:rPr>
              <w:fldChar w:fldCharType="end"/>
            </w:r>
          </w:hyperlink>
        </w:p>
        <w:p w14:paraId="1DBDE126" w14:textId="2A2944A3" w:rsidR="009409B5" w:rsidRDefault="009409B5">
          <w:pPr>
            <w:pStyle w:val="TOC2"/>
            <w:tabs>
              <w:tab w:val="right" w:leader="dot" w:pos="9016"/>
            </w:tabs>
            <w:rPr>
              <w:rFonts w:cstheme="minorBidi"/>
              <w:noProof/>
              <w:kern w:val="2"/>
              <w:sz w:val="24"/>
              <w:szCs w:val="24"/>
              <w14:ligatures w14:val="standardContextual"/>
            </w:rPr>
          </w:pPr>
          <w:hyperlink w:anchor="_Toc226285829" w:history="1">
            <w:r w:rsidRPr="00F57372">
              <w:rPr>
                <w:rStyle w:val="Hyperlink"/>
                <w:noProof/>
              </w:rPr>
              <w:t>Importance of good administrative skills</w:t>
            </w:r>
            <w:r>
              <w:rPr>
                <w:noProof/>
                <w:webHidden/>
              </w:rPr>
              <w:tab/>
            </w:r>
            <w:r>
              <w:rPr>
                <w:noProof/>
                <w:webHidden/>
              </w:rPr>
              <w:fldChar w:fldCharType="begin"/>
            </w:r>
            <w:r>
              <w:rPr>
                <w:noProof/>
                <w:webHidden/>
              </w:rPr>
              <w:instrText xml:space="preserve"> PAGEREF _Toc226285829 \h </w:instrText>
            </w:r>
            <w:r>
              <w:rPr>
                <w:noProof/>
                <w:webHidden/>
              </w:rPr>
            </w:r>
            <w:r>
              <w:rPr>
                <w:noProof/>
                <w:webHidden/>
              </w:rPr>
              <w:fldChar w:fldCharType="separate"/>
            </w:r>
            <w:r>
              <w:rPr>
                <w:noProof/>
                <w:webHidden/>
              </w:rPr>
              <w:t>3</w:t>
            </w:r>
            <w:r>
              <w:rPr>
                <w:noProof/>
                <w:webHidden/>
              </w:rPr>
              <w:fldChar w:fldCharType="end"/>
            </w:r>
          </w:hyperlink>
        </w:p>
        <w:p w14:paraId="18733DEF" w14:textId="4A65804C" w:rsidR="009409B5" w:rsidRDefault="009409B5">
          <w:pPr>
            <w:pStyle w:val="TOC2"/>
            <w:tabs>
              <w:tab w:val="right" w:leader="dot" w:pos="9016"/>
            </w:tabs>
            <w:rPr>
              <w:rFonts w:cstheme="minorBidi"/>
              <w:noProof/>
              <w:kern w:val="2"/>
              <w:sz w:val="24"/>
              <w:szCs w:val="24"/>
              <w14:ligatures w14:val="standardContextual"/>
            </w:rPr>
          </w:pPr>
          <w:hyperlink w:anchor="_Toc226285830" w:history="1">
            <w:r w:rsidRPr="00F57372">
              <w:rPr>
                <w:rStyle w:val="Hyperlink"/>
                <w:noProof/>
              </w:rPr>
              <w:t>Importance of working collaboratively</w:t>
            </w:r>
            <w:r>
              <w:rPr>
                <w:noProof/>
                <w:webHidden/>
              </w:rPr>
              <w:tab/>
            </w:r>
            <w:r>
              <w:rPr>
                <w:noProof/>
                <w:webHidden/>
              </w:rPr>
              <w:fldChar w:fldCharType="begin"/>
            </w:r>
            <w:r>
              <w:rPr>
                <w:noProof/>
                <w:webHidden/>
              </w:rPr>
              <w:instrText xml:space="preserve"> PAGEREF _Toc226285830 \h </w:instrText>
            </w:r>
            <w:r>
              <w:rPr>
                <w:noProof/>
                <w:webHidden/>
              </w:rPr>
            </w:r>
            <w:r>
              <w:rPr>
                <w:noProof/>
                <w:webHidden/>
              </w:rPr>
              <w:fldChar w:fldCharType="separate"/>
            </w:r>
            <w:r>
              <w:rPr>
                <w:noProof/>
                <w:webHidden/>
              </w:rPr>
              <w:t>4</w:t>
            </w:r>
            <w:r>
              <w:rPr>
                <w:noProof/>
                <w:webHidden/>
              </w:rPr>
              <w:fldChar w:fldCharType="end"/>
            </w:r>
          </w:hyperlink>
        </w:p>
        <w:p w14:paraId="181BA61C" w14:textId="652BB672" w:rsidR="009409B5" w:rsidRDefault="009409B5">
          <w:pPr>
            <w:pStyle w:val="TOC2"/>
            <w:tabs>
              <w:tab w:val="right" w:leader="dot" w:pos="9016"/>
            </w:tabs>
            <w:rPr>
              <w:rFonts w:cstheme="minorBidi"/>
              <w:noProof/>
              <w:kern w:val="2"/>
              <w:sz w:val="24"/>
              <w:szCs w:val="24"/>
              <w14:ligatures w14:val="standardContextual"/>
            </w:rPr>
          </w:pPr>
          <w:hyperlink w:anchor="_Toc226285831" w:history="1">
            <w:r w:rsidRPr="00F57372">
              <w:rPr>
                <w:rStyle w:val="Hyperlink"/>
                <w:noProof/>
              </w:rPr>
              <w:t>Conclusion</w:t>
            </w:r>
            <w:r>
              <w:rPr>
                <w:noProof/>
                <w:webHidden/>
              </w:rPr>
              <w:tab/>
            </w:r>
            <w:r>
              <w:rPr>
                <w:noProof/>
                <w:webHidden/>
              </w:rPr>
              <w:fldChar w:fldCharType="begin"/>
            </w:r>
            <w:r>
              <w:rPr>
                <w:noProof/>
                <w:webHidden/>
              </w:rPr>
              <w:instrText xml:space="preserve"> PAGEREF _Toc226285831 \h </w:instrText>
            </w:r>
            <w:r>
              <w:rPr>
                <w:noProof/>
                <w:webHidden/>
              </w:rPr>
            </w:r>
            <w:r>
              <w:rPr>
                <w:noProof/>
                <w:webHidden/>
              </w:rPr>
              <w:fldChar w:fldCharType="separate"/>
            </w:r>
            <w:r>
              <w:rPr>
                <w:noProof/>
                <w:webHidden/>
              </w:rPr>
              <w:t>5</w:t>
            </w:r>
            <w:r>
              <w:rPr>
                <w:noProof/>
                <w:webHidden/>
              </w:rPr>
              <w:fldChar w:fldCharType="end"/>
            </w:r>
          </w:hyperlink>
        </w:p>
        <w:p w14:paraId="77C0410F" w14:textId="6ACEC6D8" w:rsidR="009409B5" w:rsidRDefault="009409B5">
          <w:pPr>
            <w:pStyle w:val="TOC2"/>
            <w:tabs>
              <w:tab w:val="right" w:leader="dot" w:pos="9016"/>
            </w:tabs>
            <w:rPr>
              <w:rFonts w:cstheme="minorBidi"/>
              <w:noProof/>
              <w:kern w:val="2"/>
              <w:sz w:val="24"/>
              <w:szCs w:val="24"/>
              <w14:ligatures w14:val="standardContextual"/>
            </w:rPr>
          </w:pPr>
          <w:hyperlink w:anchor="_Toc226285832" w:history="1">
            <w:r w:rsidRPr="00F57372">
              <w:rPr>
                <w:rStyle w:val="Hyperlink"/>
                <w:noProof/>
              </w:rPr>
              <w:t>References</w:t>
            </w:r>
            <w:r>
              <w:rPr>
                <w:noProof/>
                <w:webHidden/>
              </w:rPr>
              <w:tab/>
            </w:r>
            <w:r>
              <w:rPr>
                <w:noProof/>
                <w:webHidden/>
              </w:rPr>
              <w:fldChar w:fldCharType="begin"/>
            </w:r>
            <w:r>
              <w:rPr>
                <w:noProof/>
                <w:webHidden/>
              </w:rPr>
              <w:instrText xml:space="preserve"> PAGEREF _Toc226285832 \h </w:instrText>
            </w:r>
            <w:r>
              <w:rPr>
                <w:noProof/>
                <w:webHidden/>
              </w:rPr>
            </w:r>
            <w:r>
              <w:rPr>
                <w:noProof/>
                <w:webHidden/>
              </w:rPr>
              <w:fldChar w:fldCharType="separate"/>
            </w:r>
            <w:r>
              <w:rPr>
                <w:noProof/>
                <w:webHidden/>
              </w:rPr>
              <w:t>5</w:t>
            </w:r>
            <w:r>
              <w:rPr>
                <w:noProof/>
                <w:webHidden/>
              </w:rPr>
              <w:fldChar w:fldCharType="end"/>
            </w:r>
          </w:hyperlink>
        </w:p>
        <w:p w14:paraId="4F7320CB" w14:textId="258CC1D4" w:rsidR="00B87E75" w:rsidRPr="002F004B" w:rsidRDefault="002F004B" w:rsidP="002F004B">
          <w:pPr>
            <w:spacing w:line="360" w:lineRule="auto"/>
            <w:rPr>
              <w:rFonts w:ascii="Arial" w:hAnsi="Arial" w:cs="Arial"/>
              <w:sz w:val="22"/>
            </w:rPr>
          </w:pPr>
          <w:r w:rsidRPr="002F004B">
            <w:rPr>
              <w:rFonts w:ascii="Arial" w:hAnsi="Arial" w:cs="Arial"/>
              <w:b/>
              <w:bCs/>
              <w:sz w:val="22"/>
            </w:rPr>
            <w:fldChar w:fldCharType="end"/>
          </w:r>
        </w:p>
      </w:sdtContent>
    </w:sdt>
    <w:p w14:paraId="4CA00CCF" w14:textId="6D54D97B" w:rsidR="004B7EF1" w:rsidRDefault="004B7EF1" w:rsidP="004B7EF1">
      <w:pPr>
        <w:pStyle w:val="Heading1"/>
      </w:pPr>
      <w:bookmarkStart w:id="0" w:name="_Toc226285826"/>
      <w:r>
        <w:lastRenderedPageBreak/>
        <w:t>Assessment 2: Written assignment</w:t>
      </w:r>
      <w:r>
        <w:br/>
        <w:t>Case Study Mr Ahmed</w:t>
      </w:r>
      <w:bookmarkEnd w:id="0"/>
    </w:p>
    <w:p w14:paraId="12D76753" w14:textId="1F70FCD4" w:rsidR="00B87E75" w:rsidRPr="002F004B" w:rsidRDefault="00B87E75" w:rsidP="004B7EF1">
      <w:pPr>
        <w:pStyle w:val="Heading2"/>
      </w:pPr>
      <w:bookmarkStart w:id="1" w:name="_Toc226285827"/>
      <w:r w:rsidRPr="002F004B">
        <w:t>Introduction</w:t>
      </w:r>
      <w:bookmarkEnd w:id="1"/>
    </w:p>
    <w:p w14:paraId="4C01208E" w14:textId="09B763B5" w:rsidR="002F004B" w:rsidRPr="002F004B" w:rsidRDefault="002F004B" w:rsidP="002F004B">
      <w:pPr>
        <w:spacing w:line="360" w:lineRule="auto"/>
        <w:rPr>
          <w:rFonts w:ascii="Arial" w:hAnsi="Arial" w:cs="Arial"/>
          <w:sz w:val="22"/>
        </w:rPr>
      </w:pPr>
      <w:r w:rsidRPr="009A6B49">
        <w:rPr>
          <w:rFonts w:ascii="Arial" w:hAnsi="Arial" w:cs="Arial"/>
          <w:sz w:val="22"/>
        </w:rPr>
        <w:t>This assignment examines the essential components of high</w:t>
      </w:r>
      <w:r w:rsidR="00CB7510">
        <w:rPr>
          <w:rFonts w:ascii="Arial" w:hAnsi="Arial" w:cs="Arial"/>
          <w:sz w:val="22"/>
        </w:rPr>
        <w:t xml:space="preserve"> </w:t>
      </w:r>
      <w:r w:rsidRPr="009A6B49">
        <w:rPr>
          <w:rFonts w:ascii="Arial" w:hAnsi="Arial" w:cs="Arial"/>
          <w:sz w:val="22"/>
        </w:rPr>
        <w:t>quality, person-centred care within the context of a specific domiciliary case study. Mr Ahmed, healing after a stroke, deals with movement limits, complex medication needs, and speaks Bengali as his main language. When leaving hospital to go home, the danger of service failure is high as seen by the incident where a home visit was missed which delayed medication. Clear ways of sharing information matter greatly during such shifts. Rules around written records carry weight, tied to both law and fairness. Smooth work between different services becomes vital, not optional. Care only functions well when every piece connects without gaps. Using the Equality Act 2010 alongside the Data Protection Act 2018, combined with recognised methods of communication, this report shows ways in which agreed professional behaviours help those receiving services. With focus on coordinated health approaches, it becomes clear how such cooperation may reduce risks while aiding full personal recovery - seen through the experience of someone such as Mr Ahmed - within familiar surroundings.</w:t>
      </w:r>
    </w:p>
    <w:p w14:paraId="73B07562" w14:textId="19200E82" w:rsidR="008E3943" w:rsidRPr="002F004B" w:rsidRDefault="008E3943" w:rsidP="004B7EF1">
      <w:pPr>
        <w:pStyle w:val="Heading2"/>
      </w:pPr>
      <w:bookmarkStart w:id="2" w:name="_Toc226285828"/>
      <w:r w:rsidRPr="002F004B">
        <w:t>Importance of effective communication</w:t>
      </w:r>
      <w:bookmarkEnd w:id="2"/>
    </w:p>
    <w:p w14:paraId="7E4076BF" w14:textId="5883E32D" w:rsidR="002F004B" w:rsidRPr="009A6B49" w:rsidRDefault="004E3810" w:rsidP="002F004B">
      <w:pPr>
        <w:spacing w:line="360" w:lineRule="auto"/>
        <w:rPr>
          <w:rFonts w:ascii="Arial" w:hAnsi="Arial" w:cs="Arial"/>
          <w:sz w:val="22"/>
        </w:rPr>
      </w:pPr>
      <w:r>
        <w:rPr>
          <w:rFonts w:ascii="Arial" w:hAnsi="Arial" w:cs="Arial"/>
          <w:sz w:val="22"/>
        </w:rPr>
        <w:t>Effective</w:t>
      </w:r>
      <w:r w:rsidRPr="004E3810">
        <w:rPr>
          <w:rFonts w:ascii="Arial" w:hAnsi="Arial" w:cs="Arial"/>
          <w:sz w:val="22"/>
        </w:rPr>
        <w:t xml:space="preserve"> communication is the ability to share ideas clearly and understand others. This includes speaking, listening and writing in ways that others can follow.</w:t>
      </w:r>
      <w:r>
        <w:rPr>
          <w:rFonts w:ascii="Arial" w:hAnsi="Arial" w:cs="Arial"/>
          <w:sz w:val="22"/>
        </w:rPr>
        <w:t xml:space="preserve"> </w:t>
      </w:r>
      <w:proofErr w:type="gramStart"/>
      <w:r w:rsidR="002F004B" w:rsidRPr="009A6B49">
        <w:rPr>
          <w:rFonts w:ascii="Arial" w:hAnsi="Arial" w:cs="Arial"/>
          <w:sz w:val="22"/>
        </w:rPr>
        <w:t>Communication</w:t>
      </w:r>
      <w:proofErr w:type="gramEnd"/>
      <w:r w:rsidR="002F004B" w:rsidRPr="009A6B49">
        <w:rPr>
          <w:rFonts w:ascii="Arial" w:hAnsi="Arial" w:cs="Arial"/>
          <w:sz w:val="22"/>
        </w:rPr>
        <w:t xml:space="preserve"> forms the core of every interaction in health and social care settings. What matters for Mr Ahmed goes beyond simple exchange - it involves layers shaped by circumstance. After his stroke, producing speech might be physically demanding. Because he speaks Bengali primarily, intricate English terms could remain unclear, adding strain. A mix of bodily limits and language gaps can block meaningful input. Left unaddressed, these conditions may relegate him to silence during decisions about himself. His ability to choose freely, then act on those choices, depends on how well others bridge such divides.</w:t>
      </w:r>
    </w:p>
    <w:p w14:paraId="0A187786"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According to the Equality Act 2010, care providers must act by law to prevent unfair treatment of people who have specific protected traits - such as disability or race. His condition following a </w:t>
      </w:r>
      <w:proofErr w:type="gramStart"/>
      <w:r w:rsidRPr="009A6B49">
        <w:rPr>
          <w:rFonts w:ascii="Arial" w:hAnsi="Arial" w:cs="Arial"/>
          <w:sz w:val="22"/>
        </w:rPr>
        <w:t>stroke counts</w:t>
      </w:r>
      <w:proofErr w:type="gramEnd"/>
      <w:r w:rsidRPr="009A6B49">
        <w:rPr>
          <w:rFonts w:ascii="Arial" w:hAnsi="Arial" w:cs="Arial"/>
          <w:sz w:val="22"/>
        </w:rPr>
        <w:t xml:space="preserve"> as a disability under this framework. Language forms part of heritage and ethnic background, which falls within racial identity protections. Equal access demands changes tailored to individual needs - not just raising volume or slowing speech in English. Adjustments should reflect actual barriers faced, not assumptions about communication. Failure to adapt properly may breach legal obligations set out in the legislation. Following professional standards requires access to trained interpreters or </w:t>
      </w:r>
      <w:r w:rsidRPr="009A6B49">
        <w:rPr>
          <w:rFonts w:ascii="Arial" w:hAnsi="Arial" w:cs="Arial"/>
          <w:sz w:val="22"/>
        </w:rPr>
        <w:lastRenderedPageBreak/>
        <w:t>appropriate tools for communication. Although Mrs Ahmed speaks English well, using her regularly may unintentionally limit accurate expression of her husband's views. Dependence on relatives risks filtering information, possibly distorting intentions during healthcare discussions. Upholding fairness under legal frameworks means efforts should</w:t>
      </w:r>
      <w:r w:rsidRPr="002F004B">
        <w:rPr>
          <w:rFonts w:ascii="Arial" w:hAnsi="Arial" w:cs="Arial"/>
          <w:sz w:val="22"/>
        </w:rPr>
        <w:t xml:space="preserve"> focus</w:t>
      </w:r>
      <w:r w:rsidRPr="009A6B49">
        <w:rPr>
          <w:rFonts w:ascii="Arial" w:hAnsi="Arial" w:cs="Arial"/>
          <w:sz w:val="22"/>
        </w:rPr>
        <w:t xml:space="preserve"> on hearing Mr Ahmed himself, especially when decisions about medical care arise. Confirming personal agreement through clear dialogue respects both dignity and regulation (Department of Health and Social Care, 2021).</w:t>
      </w:r>
    </w:p>
    <w:p w14:paraId="67AE0627" w14:textId="5B6789CC" w:rsidR="002F004B" w:rsidRPr="009A6B49" w:rsidRDefault="002F004B" w:rsidP="002F004B">
      <w:pPr>
        <w:spacing w:line="360" w:lineRule="auto"/>
        <w:rPr>
          <w:rFonts w:ascii="Arial" w:hAnsi="Arial" w:cs="Arial"/>
          <w:sz w:val="22"/>
        </w:rPr>
      </w:pPr>
      <w:r w:rsidRPr="009A6B49">
        <w:rPr>
          <w:rFonts w:ascii="Arial" w:hAnsi="Arial" w:cs="Arial"/>
          <w:sz w:val="22"/>
        </w:rPr>
        <w:t>For better results, professionals might apply a clear method like Egan’s SOLER approach</w:t>
      </w:r>
      <w:r w:rsidR="00304127">
        <w:rPr>
          <w:rFonts w:ascii="Arial" w:hAnsi="Arial" w:cs="Arial"/>
          <w:sz w:val="22"/>
        </w:rPr>
        <w:t xml:space="preserve"> </w:t>
      </w:r>
      <w:r w:rsidR="00304127" w:rsidRPr="00304127">
        <w:rPr>
          <w:rFonts w:ascii="Arial" w:hAnsi="Arial" w:cs="Arial"/>
          <w:sz w:val="22"/>
        </w:rPr>
        <w:t>(Steven Lucas, 2018)</w:t>
      </w:r>
      <w:r w:rsidRPr="009A6B49">
        <w:rPr>
          <w:rFonts w:ascii="Arial" w:hAnsi="Arial" w:cs="Arial"/>
          <w:sz w:val="22"/>
        </w:rPr>
        <w:t>. Non-verbal cues gain importance if spoken language is limited. The acronym refers to sitting directly facing the person, keeping body position open, leaning a little forward, holding eye contact, and staying calm. Through this technique, care workers support trust development with someone such as Mr Ahmed. Attention shown through posture indicates availability and regard - language skills aside. Their physical stance quietly conveys patience and acknowledgment. Beyond that, support comes through speech and language therapy. Ways to bridge understanding appear via tools like dual-language visuals. These displays hold cues in both Bengali and English. Pointing becomes possible when words fail. Needs - pain, thirst - gain clarity through gesture on structured panels.</w:t>
      </w:r>
    </w:p>
    <w:p w14:paraId="3398AF2B" w14:textId="342CE13F" w:rsidR="008E3943" w:rsidRPr="002F004B" w:rsidRDefault="002F004B" w:rsidP="002F004B">
      <w:pPr>
        <w:spacing w:line="360" w:lineRule="auto"/>
        <w:rPr>
          <w:rFonts w:ascii="Arial" w:hAnsi="Arial" w:cs="Arial"/>
          <w:sz w:val="22"/>
        </w:rPr>
      </w:pPr>
      <w:r w:rsidRPr="009A6B49">
        <w:rPr>
          <w:rFonts w:ascii="Arial" w:hAnsi="Arial" w:cs="Arial"/>
          <w:sz w:val="22"/>
        </w:rPr>
        <w:t>Should communication involve the wife, collaboration takes priority over disregard. As someone offering deep emotional backing, she holds insight shaped through lived reality. Even so, inclusion matters - when she speaks, the practitioner still directs attention toward Mr Ahmed. Sharing words goes beyond passing facts; empowerment grows where the individual guides their own care journey (Moonie, 2018).</w:t>
      </w:r>
    </w:p>
    <w:p w14:paraId="60B2CDC3" w14:textId="1C5CBBE3" w:rsidR="00B87E75" w:rsidRPr="002F004B" w:rsidRDefault="008E3943" w:rsidP="004B7EF1">
      <w:pPr>
        <w:pStyle w:val="Heading2"/>
      </w:pPr>
      <w:bookmarkStart w:id="3" w:name="_Toc226285829"/>
      <w:r w:rsidRPr="002F004B">
        <w:t>Importance of good administrative skills</w:t>
      </w:r>
      <w:bookmarkEnd w:id="3"/>
      <w:r w:rsidRPr="002F004B">
        <w:t xml:space="preserve"> </w:t>
      </w:r>
    </w:p>
    <w:p w14:paraId="738F5513" w14:textId="3D193543" w:rsidR="002F004B" w:rsidRPr="009A6B49" w:rsidRDefault="004E3810" w:rsidP="002F004B">
      <w:pPr>
        <w:spacing w:line="360" w:lineRule="auto"/>
        <w:rPr>
          <w:rFonts w:ascii="Arial" w:hAnsi="Arial" w:cs="Arial"/>
          <w:sz w:val="22"/>
        </w:rPr>
      </w:pPr>
      <w:r>
        <w:rPr>
          <w:rFonts w:ascii="Arial" w:hAnsi="Arial" w:cs="Arial"/>
          <w:sz w:val="22"/>
        </w:rPr>
        <w:t>Good a</w:t>
      </w:r>
      <w:r w:rsidRPr="004E3810">
        <w:rPr>
          <w:rFonts w:ascii="Arial" w:hAnsi="Arial" w:cs="Arial"/>
          <w:sz w:val="22"/>
        </w:rPr>
        <w:t>dministrative skills are about b</w:t>
      </w:r>
      <w:r>
        <w:rPr>
          <w:rFonts w:ascii="Arial" w:hAnsi="Arial" w:cs="Arial"/>
          <w:sz w:val="22"/>
        </w:rPr>
        <w:t>eing</w:t>
      </w:r>
      <w:r w:rsidRPr="004E3810">
        <w:rPr>
          <w:rFonts w:ascii="Arial" w:hAnsi="Arial" w:cs="Arial"/>
          <w:sz w:val="22"/>
        </w:rPr>
        <w:t xml:space="preserve"> able to manage tasks and stay organised so that you get things done smoothly.</w:t>
      </w:r>
      <w:r>
        <w:rPr>
          <w:rFonts w:ascii="Arial" w:hAnsi="Arial" w:cs="Arial"/>
          <w:sz w:val="22"/>
        </w:rPr>
        <w:t xml:space="preserve"> </w:t>
      </w:r>
      <w:r w:rsidR="002F004B" w:rsidRPr="009A6B49">
        <w:rPr>
          <w:rFonts w:ascii="Arial" w:hAnsi="Arial" w:cs="Arial"/>
          <w:sz w:val="22"/>
        </w:rPr>
        <w:t>One mistake in paperwork can put someone at risk. When Mr Ahmed did not receive his home visit, the gap showed up clearly in missing notes. What matters most is what appears on file - silent entries count more than spoken words. Behind every medical choice lies a trail of recorded observations and timed updates. A late note might seem small until consequences unfold slowly over days.</w:t>
      </w:r>
    </w:p>
    <w:p w14:paraId="5CBFAF8A"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Keeping records properly follows laws defined in the Data Protection Act 2018, a framework shaped alongside the GDPR. Because it aligns with these rules, information about Mr Ahmed should stay correct, secure, complete. Fit for purpose means details are current, reliable, seen only by authorised individuals. A visit skipped might point toward flaws in planning processes or delayed updates within documentation logs. When care visits go unrecorded instantly, newer software tools notify supervisors without delay. Such alerts </w:t>
      </w:r>
      <w:r w:rsidRPr="009A6B49">
        <w:rPr>
          <w:rFonts w:ascii="Arial" w:hAnsi="Arial" w:cs="Arial"/>
          <w:sz w:val="22"/>
        </w:rPr>
        <w:lastRenderedPageBreak/>
        <w:t>make timely responses possible - preventing gaps in medicine delivery for someone dependent on routine support. Without these safeguards, health risks increase steadily over time, as noted by the Information Commissioner’s Office in 2018.</w:t>
      </w:r>
    </w:p>
    <w:p w14:paraId="40BE21DE" w14:textId="102538C2" w:rsidR="002F004B" w:rsidRPr="009A6B49" w:rsidRDefault="002F004B" w:rsidP="002F004B">
      <w:pPr>
        <w:spacing w:line="360" w:lineRule="auto"/>
        <w:rPr>
          <w:rFonts w:ascii="Arial" w:hAnsi="Arial" w:cs="Arial"/>
          <w:sz w:val="22"/>
        </w:rPr>
      </w:pPr>
      <w:r w:rsidRPr="009A6B49">
        <w:rPr>
          <w:rFonts w:ascii="Arial" w:hAnsi="Arial" w:cs="Arial"/>
          <w:sz w:val="22"/>
        </w:rPr>
        <w:t>Safety around personal data rests on the Caldicott Principles</w:t>
      </w:r>
      <w:r>
        <w:rPr>
          <w:rFonts w:ascii="Arial" w:hAnsi="Arial" w:cs="Arial"/>
          <w:sz w:val="22"/>
        </w:rPr>
        <w:t xml:space="preserve"> </w:t>
      </w:r>
      <w:r w:rsidRPr="002F004B">
        <w:rPr>
          <w:rFonts w:ascii="Arial" w:hAnsi="Arial" w:cs="Arial"/>
          <w:sz w:val="22"/>
        </w:rPr>
        <w:t>(UK Government, 2020)</w:t>
      </w:r>
      <w:r w:rsidRPr="009A6B49">
        <w:rPr>
          <w:rFonts w:ascii="Arial" w:hAnsi="Arial" w:cs="Arial"/>
          <w:sz w:val="22"/>
        </w:rPr>
        <w:t xml:space="preserve">, guiding how sensitive details move between professionals. His GP, nurse, and speech therapist exchange necessary facts - yet only within secure channels. Notes made during care ought to reflect clear observations: portion sizes consumed, pills taken, times noted. Phrases such as "appeared well" carry risk - they blur into assumption instead of truth. When swallowing issues arise, precise documentation by the speech specialist prevents harm. Such records sit inside the home file, shaping choices made by visiting staff. A meal offered without checking may become hazard if past warnings were vague. Clarity blocks error; precision </w:t>
      </w:r>
      <w:proofErr w:type="gramStart"/>
      <w:r w:rsidRPr="009A6B49">
        <w:rPr>
          <w:rFonts w:ascii="Arial" w:hAnsi="Arial" w:cs="Arial"/>
          <w:sz w:val="22"/>
        </w:rPr>
        <w:t>guards</w:t>
      </w:r>
      <w:proofErr w:type="gramEnd"/>
      <w:r w:rsidRPr="009A6B49">
        <w:rPr>
          <w:rFonts w:ascii="Arial" w:hAnsi="Arial" w:cs="Arial"/>
          <w:sz w:val="22"/>
        </w:rPr>
        <w:t xml:space="preserve"> life. Entries belong updated daily - not summarised, not delayed.</w:t>
      </w:r>
    </w:p>
    <w:p w14:paraId="2B008FF6" w14:textId="49DE6DDF" w:rsidR="008E3943" w:rsidRPr="002F004B" w:rsidRDefault="002F004B" w:rsidP="002F004B">
      <w:pPr>
        <w:spacing w:line="360" w:lineRule="auto"/>
        <w:rPr>
          <w:rFonts w:ascii="Arial" w:hAnsi="Arial" w:cs="Arial"/>
          <w:sz w:val="22"/>
        </w:rPr>
      </w:pPr>
      <w:r w:rsidRPr="009A6B49">
        <w:rPr>
          <w:rFonts w:ascii="Arial" w:hAnsi="Arial" w:cs="Arial"/>
          <w:sz w:val="22"/>
        </w:rPr>
        <w:t xml:space="preserve">Honesty forms part of professional responsibility. After the uncompleted appointment, proper procedure requires recording what happened, looking into why it occurred, because informing Mr Ahmed and his spouse follows as a matter of law. The Care Quality Commission expects openness, since confidence in services depends on such actions. Documentation serves beyond form filling - it creates an ongoing </w:t>
      </w:r>
      <w:proofErr w:type="gramStart"/>
      <w:r w:rsidRPr="009A6B49">
        <w:rPr>
          <w:rFonts w:ascii="Arial" w:hAnsi="Arial" w:cs="Arial"/>
          <w:sz w:val="22"/>
        </w:rPr>
        <w:t>account</w:t>
      </w:r>
      <w:proofErr w:type="gramEnd"/>
      <w:r w:rsidRPr="009A6B49">
        <w:rPr>
          <w:rFonts w:ascii="Arial" w:hAnsi="Arial" w:cs="Arial"/>
          <w:sz w:val="22"/>
        </w:rPr>
        <w:t xml:space="preserve"> so every team member understands the support being given. Without strong organisation, continuity weakens, which may result in lapses like the failure to administer medicine (Nursing and Midwifery Council, 2018).</w:t>
      </w:r>
    </w:p>
    <w:p w14:paraId="581C99BF" w14:textId="026A6FF1" w:rsidR="00B87E75" w:rsidRPr="002F004B" w:rsidRDefault="008E3943" w:rsidP="004B7EF1">
      <w:pPr>
        <w:pStyle w:val="Heading2"/>
      </w:pPr>
      <w:bookmarkStart w:id="4" w:name="_Toc226285830"/>
      <w:r w:rsidRPr="002F004B">
        <w:t>Importance of working collaboratively</w:t>
      </w:r>
      <w:bookmarkEnd w:id="4"/>
    </w:p>
    <w:p w14:paraId="7DA9F683" w14:textId="77777777" w:rsidR="002F004B" w:rsidRPr="009A6B49" w:rsidRDefault="002F004B" w:rsidP="002F004B">
      <w:pPr>
        <w:spacing w:line="360" w:lineRule="auto"/>
        <w:rPr>
          <w:rFonts w:ascii="Arial" w:hAnsi="Arial" w:cs="Arial"/>
          <w:sz w:val="22"/>
        </w:rPr>
      </w:pPr>
      <w:r w:rsidRPr="009A6B49">
        <w:rPr>
          <w:rFonts w:ascii="Arial" w:hAnsi="Arial" w:cs="Arial"/>
          <w:sz w:val="22"/>
        </w:rPr>
        <w:t>Working across agencies means separate teams joining efforts to support one person. Recovery for Mr Ahmed relies on varied experts such as his GP, a speech therapist, nursing staff visiting home, plus carers who assist daily. Since each role belongs to another organisation, isolated routines may form - leading to missed updates between members. One barrier emerges when details stay within single offices instead of moving freely among those involved.</w:t>
      </w:r>
    </w:p>
    <w:p w14:paraId="7C62EC9B" w14:textId="77777777" w:rsidR="002F004B" w:rsidRPr="009A6B49" w:rsidRDefault="002F004B" w:rsidP="002F004B">
      <w:pPr>
        <w:spacing w:line="360" w:lineRule="auto"/>
        <w:rPr>
          <w:rFonts w:ascii="Arial" w:hAnsi="Arial" w:cs="Arial"/>
          <w:sz w:val="22"/>
        </w:rPr>
      </w:pPr>
      <w:r w:rsidRPr="009A6B49">
        <w:rPr>
          <w:rFonts w:ascii="Arial" w:hAnsi="Arial" w:cs="Arial"/>
          <w:sz w:val="22"/>
        </w:rPr>
        <w:t xml:space="preserve">At the heart of cooperation lies a method known as Team Around the Person. Mr Ahmed sits at its core, surrounded by services linked via one unified care document. Every second visit from the district nurse includes attention to wounds and checks on blood pressure levels. When concerns appear during these appointments, swift updates go directly to both the general practitioner and support workers involved. A single observation can prompt messages that travel fast across providers. Real-time access to shared patient data emerges through Integrated Care Systems, linking multiple agencies via digital tools. When records update instantly across organisations, mistakes drop because outdated details </w:t>
      </w:r>
      <w:r w:rsidRPr="009A6B49">
        <w:rPr>
          <w:rFonts w:ascii="Arial" w:hAnsi="Arial" w:cs="Arial"/>
          <w:sz w:val="22"/>
        </w:rPr>
        <w:lastRenderedPageBreak/>
        <w:t>vanish from decision-making processes. Such coordination closes gaps once common in cross-agency work, according to Glasby's findings in 2017.</w:t>
      </w:r>
    </w:p>
    <w:p w14:paraId="3A742EE2" w14:textId="6AE7E9A0" w:rsidR="008E3943" w:rsidRPr="002F004B" w:rsidRDefault="002F004B" w:rsidP="002F004B">
      <w:pPr>
        <w:spacing w:line="360" w:lineRule="auto"/>
      </w:pPr>
      <w:r w:rsidRPr="009A6B49">
        <w:rPr>
          <w:rFonts w:ascii="Arial" w:hAnsi="Arial" w:cs="Arial"/>
          <w:sz w:val="22"/>
        </w:rPr>
        <w:t>Despite shared goals, medical and social care teams often speak different professional languages. Standardised tools help bridge the gap - among them, SBAR, which structures messages into Situation, Background, Assessment, and Recommendation. When a carer reports a missed visit using this format, clarity increases, response time shortens. One named individual guiding coordination makes a difference; continuity emerges more naturally through such focus. During mealtimes, oversight by this person supports consistent application of speech and language techniques by frontline staff. If one agency acts alone, gaps appear. Where cooperation occurs, care strengthens - meeting both body and mind needs of someone like Mr Ahmed fully (Social Care Institute for Excellence, 2022).</w:t>
      </w:r>
    </w:p>
    <w:p w14:paraId="16FAF0EA" w14:textId="6B561174" w:rsidR="00B87E75" w:rsidRPr="002F004B" w:rsidRDefault="00B87E75" w:rsidP="004B7EF1">
      <w:pPr>
        <w:pStyle w:val="Heading2"/>
      </w:pPr>
      <w:bookmarkStart w:id="5" w:name="_Toc226285831"/>
      <w:r w:rsidRPr="002F004B">
        <w:t>Conclusion</w:t>
      </w:r>
      <w:bookmarkEnd w:id="5"/>
      <w:r w:rsidR="00CD33A8" w:rsidRPr="002F004B">
        <w:t xml:space="preserve"> </w:t>
      </w:r>
    </w:p>
    <w:p w14:paraId="533584E9" w14:textId="77777777" w:rsidR="00B5173A" w:rsidRDefault="002F004B" w:rsidP="00B5173A">
      <w:pPr>
        <w:tabs>
          <w:tab w:val="left" w:pos="6540"/>
        </w:tabs>
        <w:spacing w:line="360" w:lineRule="auto"/>
        <w:rPr>
          <w:rFonts w:ascii="Arial" w:hAnsi="Arial" w:cs="Arial"/>
          <w:sz w:val="22"/>
        </w:rPr>
      </w:pPr>
      <w:r w:rsidRPr="009A6B49">
        <w:rPr>
          <w:rFonts w:ascii="Arial" w:hAnsi="Arial" w:cs="Arial"/>
          <w:sz w:val="22"/>
        </w:rPr>
        <w:t>It becomes clear through this analysis that Mr Ahmed’s welfare relies heavily upon strict adherence to established professional methods when exchanging information, managing records, and working across services. Because clarity matters, techniques rooted in the Equality Act 2010 and guided by the SOLER framework allow his needs to be heard even with speech limitations and mobility constraints. When procedures follow rules set out in the Data Protection Act 2018, tracking care tasks gains structure - this avoids critical errors such as overlooked prescriptions. Working together across health roles means insights from the general practitioner, nursing staff, and therapy specialist shape one unified path toward improvement. When a scheduled visit is missed, it highlights how gaps in these three areas might harm someone receiving support. Following established procedures allows those providing care to meet responsibilities, so Mr Ahmed continues to experience respectful, secure assistance. A breakdown anywhere may affect well-being; structure prevents such outcomes. What happens during oversight shapes whether standards hold firm or fail. Procedures exist not just as rules, but as tools preventing avoidable risks. Without attention to detail, even small oversights carry weight. Consistency matters because irregularity introduces danger. Each step taken correctly supports overall stability.</w:t>
      </w:r>
    </w:p>
    <w:p w14:paraId="50852739" w14:textId="77777777" w:rsidR="00B5173A" w:rsidRDefault="00B5173A" w:rsidP="00B5173A">
      <w:pPr>
        <w:tabs>
          <w:tab w:val="left" w:pos="6540"/>
        </w:tabs>
        <w:spacing w:line="360" w:lineRule="auto"/>
        <w:rPr>
          <w:rFonts w:ascii="Arial" w:hAnsi="Arial" w:cs="Arial"/>
        </w:rPr>
      </w:pPr>
    </w:p>
    <w:p w14:paraId="33F8F0BD" w14:textId="4D806F2A" w:rsidR="00B87E75" w:rsidRPr="00B5173A" w:rsidRDefault="00B87E75" w:rsidP="00B5173A">
      <w:pPr>
        <w:pStyle w:val="Heading2"/>
        <w:rPr>
          <w:rFonts w:cs="Arial"/>
          <w:sz w:val="22"/>
        </w:rPr>
      </w:pPr>
      <w:bookmarkStart w:id="6" w:name="_Toc226285832"/>
      <w:r w:rsidRPr="004B7EF1">
        <w:t>References</w:t>
      </w:r>
      <w:bookmarkEnd w:id="6"/>
    </w:p>
    <w:p w14:paraId="616156B0"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Care Quality Commission (2023) </w:t>
      </w:r>
      <w:r w:rsidRPr="004B7EF1">
        <w:rPr>
          <w:rFonts w:ascii="Arial" w:hAnsi="Arial" w:cs="Arial"/>
          <w:i/>
          <w:iCs/>
          <w:sz w:val="22"/>
        </w:rPr>
        <w:t>Guidance for providers on record keeping</w:t>
      </w:r>
      <w:r w:rsidRPr="004B7EF1">
        <w:rPr>
          <w:rFonts w:ascii="Arial" w:hAnsi="Arial" w:cs="Arial"/>
          <w:sz w:val="22"/>
        </w:rPr>
        <w:t>. Available at: </w:t>
      </w:r>
      <w:hyperlink r:id="rId10" w:tgtFrame="_blank" w:history="1">
        <w:r w:rsidRPr="004B7EF1">
          <w:rPr>
            <w:rStyle w:val="Hyperlink"/>
            <w:rFonts w:ascii="Arial" w:hAnsi="Arial" w:cs="Arial"/>
            <w:sz w:val="22"/>
          </w:rPr>
          <w:t>https://www.cqc.org.uk</w:t>
        </w:r>
      </w:hyperlink>
      <w:r w:rsidRPr="004B7EF1">
        <w:rPr>
          <w:rFonts w:ascii="Arial" w:hAnsi="Arial" w:cs="Arial"/>
          <w:sz w:val="22"/>
        </w:rPr>
        <w:t> (Accessed: 25 March 2026).</w:t>
      </w:r>
    </w:p>
    <w:p w14:paraId="6E478A48"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Department of Health and Social Care (2021) </w:t>
      </w:r>
      <w:r w:rsidRPr="004B7EF1">
        <w:rPr>
          <w:rFonts w:ascii="Arial" w:hAnsi="Arial" w:cs="Arial"/>
          <w:i/>
          <w:iCs/>
          <w:sz w:val="22"/>
        </w:rPr>
        <w:t>Personalised care and the Equality Act</w:t>
      </w:r>
      <w:r w:rsidRPr="004B7EF1">
        <w:rPr>
          <w:rFonts w:ascii="Arial" w:hAnsi="Arial" w:cs="Arial"/>
          <w:sz w:val="22"/>
        </w:rPr>
        <w:t>. London: HMSO.</w:t>
      </w:r>
    </w:p>
    <w:p w14:paraId="4990DF05"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lastRenderedPageBreak/>
        <w:t>Egan, G. (2002) </w:t>
      </w:r>
      <w:r w:rsidRPr="004B7EF1">
        <w:rPr>
          <w:rFonts w:ascii="Arial" w:hAnsi="Arial" w:cs="Arial"/>
          <w:i/>
          <w:iCs/>
          <w:sz w:val="22"/>
        </w:rPr>
        <w:t>The Skilled Helper: A Problem-Management and Opportunity-Development Approach to Helping</w:t>
      </w:r>
      <w:r w:rsidRPr="004B7EF1">
        <w:rPr>
          <w:rFonts w:ascii="Arial" w:hAnsi="Arial" w:cs="Arial"/>
          <w:sz w:val="22"/>
        </w:rPr>
        <w:t xml:space="preserve">. 7th </w:t>
      </w:r>
      <w:proofErr w:type="spellStart"/>
      <w:r w:rsidRPr="004B7EF1">
        <w:rPr>
          <w:rFonts w:ascii="Arial" w:hAnsi="Arial" w:cs="Arial"/>
          <w:sz w:val="22"/>
        </w:rPr>
        <w:t>edn</w:t>
      </w:r>
      <w:proofErr w:type="spellEnd"/>
      <w:r w:rsidRPr="004B7EF1">
        <w:rPr>
          <w:rFonts w:ascii="Arial" w:hAnsi="Arial" w:cs="Arial"/>
          <w:sz w:val="22"/>
        </w:rPr>
        <w:t>. Pacific Grove, CA: Brooks/Cole.</w:t>
      </w:r>
    </w:p>
    <w:p w14:paraId="55C8AE30"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Equality Act 2010, c. 15. Available at: </w:t>
      </w:r>
      <w:hyperlink r:id="rId11" w:tgtFrame="_blank" w:history="1">
        <w:r w:rsidRPr="004B7EF1">
          <w:rPr>
            <w:rStyle w:val="Hyperlink"/>
            <w:rFonts w:ascii="Arial" w:hAnsi="Arial" w:cs="Arial"/>
            <w:sz w:val="22"/>
          </w:rPr>
          <w:t>https://www.legislation.gov.uk/ukpga/2010/15/contents</w:t>
        </w:r>
      </w:hyperlink>
      <w:r w:rsidRPr="004B7EF1">
        <w:rPr>
          <w:rFonts w:ascii="Arial" w:hAnsi="Arial" w:cs="Arial"/>
          <w:sz w:val="22"/>
        </w:rPr>
        <w:t> (Accessed: 25 March 2026).</w:t>
      </w:r>
    </w:p>
    <w:p w14:paraId="0ECF4C72"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Glasby, J. (2017) </w:t>
      </w:r>
      <w:r w:rsidRPr="004B7EF1">
        <w:rPr>
          <w:rFonts w:ascii="Arial" w:hAnsi="Arial" w:cs="Arial"/>
          <w:i/>
          <w:iCs/>
          <w:sz w:val="22"/>
        </w:rPr>
        <w:t>Understanding Health and Social Care</w:t>
      </w:r>
      <w:r w:rsidRPr="004B7EF1">
        <w:rPr>
          <w:rFonts w:ascii="Arial" w:hAnsi="Arial" w:cs="Arial"/>
          <w:sz w:val="22"/>
        </w:rPr>
        <w:t xml:space="preserve">. 3rd </w:t>
      </w:r>
      <w:proofErr w:type="spellStart"/>
      <w:r w:rsidRPr="004B7EF1">
        <w:rPr>
          <w:rFonts w:ascii="Arial" w:hAnsi="Arial" w:cs="Arial"/>
          <w:sz w:val="22"/>
        </w:rPr>
        <w:t>edn</w:t>
      </w:r>
      <w:proofErr w:type="spellEnd"/>
      <w:r w:rsidRPr="004B7EF1">
        <w:rPr>
          <w:rFonts w:ascii="Arial" w:hAnsi="Arial" w:cs="Arial"/>
          <w:sz w:val="22"/>
        </w:rPr>
        <w:t>. Bristol: Policy Press.</w:t>
      </w:r>
    </w:p>
    <w:p w14:paraId="41B45F32"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Information Commissioner's Office (2018) </w:t>
      </w:r>
      <w:r w:rsidRPr="004B7EF1">
        <w:rPr>
          <w:rFonts w:ascii="Arial" w:hAnsi="Arial" w:cs="Arial"/>
          <w:i/>
          <w:iCs/>
          <w:sz w:val="22"/>
        </w:rPr>
        <w:t>Guide to the General Data Protection Regulation (GDPR)</w:t>
      </w:r>
      <w:r w:rsidRPr="004B7EF1">
        <w:rPr>
          <w:rFonts w:ascii="Arial" w:hAnsi="Arial" w:cs="Arial"/>
          <w:sz w:val="22"/>
        </w:rPr>
        <w:t>. Available at: </w:t>
      </w:r>
      <w:hyperlink r:id="rId12" w:tgtFrame="_blank" w:history="1">
        <w:r w:rsidRPr="004B7EF1">
          <w:rPr>
            <w:rStyle w:val="Hyperlink"/>
            <w:rFonts w:ascii="Arial" w:hAnsi="Arial" w:cs="Arial"/>
            <w:sz w:val="22"/>
          </w:rPr>
          <w:t>https://ico.org.uk</w:t>
        </w:r>
      </w:hyperlink>
      <w:r w:rsidRPr="004B7EF1">
        <w:rPr>
          <w:rFonts w:ascii="Arial" w:hAnsi="Arial" w:cs="Arial"/>
          <w:sz w:val="22"/>
        </w:rPr>
        <w:t> (Accessed: 25 March 2026).</w:t>
      </w:r>
    </w:p>
    <w:p w14:paraId="3FB4DA54"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Moonie, N. (2018) </w:t>
      </w:r>
      <w:r w:rsidRPr="004B7EF1">
        <w:rPr>
          <w:rFonts w:ascii="Arial" w:hAnsi="Arial" w:cs="Arial"/>
          <w:i/>
          <w:iCs/>
          <w:sz w:val="22"/>
        </w:rPr>
        <w:t>Health and Social Care</w:t>
      </w:r>
      <w:r w:rsidRPr="004B7EF1">
        <w:rPr>
          <w:rFonts w:ascii="Arial" w:hAnsi="Arial" w:cs="Arial"/>
          <w:sz w:val="22"/>
        </w:rPr>
        <w:t>. London: Hodder Education.</w:t>
      </w:r>
    </w:p>
    <w:p w14:paraId="1828A834"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Nursing and Midwifery Council (2018) </w:t>
      </w:r>
      <w:r w:rsidRPr="004B7EF1">
        <w:rPr>
          <w:rFonts w:ascii="Arial" w:hAnsi="Arial" w:cs="Arial"/>
          <w:i/>
          <w:iCs/>
          <w:sz w:val="22"/>
        </w:rPr>
        <w:t>The Code: Professional standards of practice and behaviour for nurses, midwives and nursing associates</w:t>
      </w:r>
      <w:r w:rsidRPr="004B7EF1">
        <w:rPr>
          <w:rFonts w:ascii="Arial" w:hAnsi="Arial" w:cs="Arial"/>
          <w:sz w:val="22"/>
        </w:rPr>
        <w:t>. London: NMC.</w:t>
      </w:r>
    </w:p>
    <w:p w14:paraId="6AC984A4" w14:textId="77777777"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Social Care Institute for Excellence (2022) </w:t>
      </w:r>
      <w:r w:rsidRPr="004B7EF1">
        <w:rPr>
          <w:rFonts w:ascii="Arial" w:hAnsi="Arial" w:cs="Arial"/>
          <w:i/>
          <w:iCs/>
          <w:sz w:val="22"/>
        </w:rPr>
        <w:t>Integrated care: Multi-agency working</w:t>
      </w:r>
      <w:r w:rsidRPr="004B7EF1">
        <w:rPr>
          <w:rFonts w:ascii="Arial" w:hAnsi="Arial" w:cs="Arial"/>
          <w:sz w:val="22"/>
        </w:rPr>
        <w:t>. Available at: </w:t>
      </w:r>
      <w:hyperlink r:id="rId13" w:tgtFrame="_blank" w:history="1">
        <w:r w:rsidRPr="004B7EF1">
          <w:rPr>
            <w:rStyle w:val="Hyperlink"/>
            <w:rFonts w:ascii="Arial" w:hAnsi="Arial" w:cs="Arial"/>
            <w:sz w:val="22"/>
          </w:rPr>
          <w:t>https://www.scie.org.uk</w:t>
        </w:r>
      </w:hyperlink>
      <w:r w:rsidRPr="004B7EF1">
        <w:rPr>
          <w:rFonts w:ascii="Arial" w:hAnsi="Arial" w:cs="Arial"/>
          <w:sz w:val="22"/>
        </w:rPr>
        <w:t> (Accessed: 25 March 2026).</w:t>
      </w:r>
    </w:p>
    <w:p w14:paraId="023F4E31" w14:textId="187AA713" w:rsidR="00304127" w:rsidRPr="004B7EF1" w:rsidRDefault="00304127" w:rsidP="004B7EF1">
      <w:pPr>
        <w:pStyle w:val="ListParagraph"/>
        <w:numPr>
          <w:ilvl w:val="0"/>
          <w:numId w:val="1"/>
        </w:numPr>
        <w:spacing w:line="360" w:lineRule="auto"/>
        <w:rPr>
          <w:rFonts w:ascii="Arial" w:hAnsi="Arial" w:cs="Arial"/>
          <w:sz w:val="22"/>
        </w:rPr>
      </w:pPr>
      <w:r w:rsidRPr="004B7EF1">
        <w:rPr>
          <w:rFonts w:ascii="Arial" w:hAnsi="Arial" w:cs="Arial"/>
          <w:sz w:val="22"/>
        </w:rPr>
        <w:t>Steven Lucas (2018). </w:t>
      </w:r>
      <w:r w:rsidRPr="004B7EF1">
        <w:rPr>
          <w:rFonts w:ascii="Arial" w:hAnsi="Arial" w:cs="Arial"/>
          <w:i/>
          <w:iCs/>
          <w:sz w:val="22"/>
        </w:rPr>
        <w:t xml:space="preserve">The </w:t>
      </w:r>
      <w:proofErr w:type="spellStart"/>
      <w:r w:rsidRPr="004B7EF1">
        <w:rPr>
          <w:rFonts w:ascii="Arial" w:hAnsi="Arial" w:cs="Arial"/>
          <w:i/>
          <w:iCs/>
          <w:sz w:val="22"/>
        </w:rPr>
        <w:t>egan</w:t>
      </w:r>
      <w:proofErr w:type="spellEnd"/>
      <w:r w:rsidRPr="004B7EF1">
        <w:rPr>
          <w:rFonts w:ascii="Arial" w:hAnsi="Arial" w:cs="Arial"/>
          <w:i/>
          <w:iCs/>
          <w:sz w:val="22"/>
        </w:rPr>
        <w:t xml:space="preserve"> model and </w:t>
      </w:r>
      <w:proofErr w:type="gramStart"/>
      <w:r w:rsidRPr="004B7EF1">
        <w:rPr>
          <w:rFonts w:ascii="Arial" w:hAnsi="Arial" w:cs="Arial"/>
          <w:i/>
          <w:iCs/>
          <w:sz w:val="22"/>
        </w:rPr>
        <w:t>SOLER </w:t>
      </w:r>
      <w:r w:rsidRPr="004B7EF1">
        <w:rPr>
          <w:rFonts w:ascii="Arial" w:hAnsi="Arial" w:cs="Arial"/>
          <w:sz w:val="22"/>
        </w:rPr>
        <w:t>.</w:t>
      </w:r>
      <w:proofErr w:type="gramEnd"/>
      <w:r w:rsidRPr="004B7EF1">
        <w:rPr>
          <w:rFonts w:ascii="Arial" w:hAnsi="Arial" w:cs="Arial"/>
          <w:sz w:val="22"/>
        </w:rPr>
        <w:t xml:space="preserve"> [online] Counsellingcentral.com. Available at: https://www.counsellingcentral.com/the-egan-model-and-soler/.</w:t>
      </w:r>
    </w:p>
    <w:p w14:paraId="780A4E8C" w14:textId="546A11F2" w:rsidR="002F004B" w:rsidRPr="004B7EF1" w:rsidRDefault="002F004B" w:rsidP="004B7EF1">
      <w:pPr>
        <w:pStyle w:val="ListParagraph"/>
        <w:numPr>
          <w:ilvl w:val="0"/>
          <w:numId w:val="1"/>
        </w:numPr>
        <w:spacing w:line="360" w:lineRule="auto"/>
        <w:rPr>
          <w:rFonts w:ascii="Arial" w:hAnsi="Arial" w:cs="Arial"/>
          <w:sz w:val="22"/>
        </w:rPr>
      </w:pPr>
      <w:r w:rsidRPr="004B7EF1">
        <w:rPr>
          <w:rFonts w:ascii="Arial" w:hAnsi="Arial" w:cs="Arial"/>
          <w:sz w:val="22"/>
        </w:rPr>
        <w:t>UK Government (2020). </w:t>
      </w:r>
      <w:r w:rsidRPr="004B7EF1">
        <w:rPr>
          <w:rFonts w:ascii="Arial" w:hAnsi="Arial" w:cs="Arial"/>
          <w:i/>
          <w:iCs/>
          <w:sz w:val="22"/>
        </w:rPr>
        <w:t>The Caldicott Principles</w:t>
      </w:r>
      <w:r w:rsidRPr="004B7EF1">
        <w:rPr>
          <w:rFonts w:ascii="Arial" w:hAnsi="Arial" w:cs="Arial"/>
          <w:sz w:val="22"/>
        </w:rPr>
        <w:t>. [online] GOV.UK. Available at: https://www.gov.uk/government/publications/the-caldicott-principles.</w:t>
      </w:r>
    </w:p>
    <w:p w14:paraId="1425F4AC" w14:textId="6695D929" w:rsidR="001D7C03" w:rsidRPr="002F004B" w:rsidRDefault="001D7C03" w:rsidP="002F004B">
      <w:pPr>
        <w:tabs>
          <w:tab w:val="left" w:pos="6540"/>
        </w:tabs>
        <w:spacing w:line="360" w:lineRule="auto"/>
        <w:rPr>
          <w:rFonts w:ascii="Arial" w:hAnsi="Arial" w:cs="Arial"/>
          <w:sz w:val="22"/>
        </w:rPr>
      </w:pPr>
    </w:p>
    <w:sectPr w:rsidR="001D7C03" w:rsidRPr="002F004B"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F2509" w14:textId="77777777" w:rsidR="00206056" w:rsidRDefault="00206056" w:rsidP="003E4ECF">
      <w:pPr>
        <w:spacing w:after="0" w:line="240" w:lineRule="auto"/>
      </w:pPr>
      <w:r>
        <w:separator/>
      </w:r>
    </w:p>
  </w:endnote>
  <w:endnote w:type="continuationSeparator" w:id="0">
    <w:p w14:paraId="0443D2FD" w14:textId="77777777" w:rsidR="00206056" w:rsidRDefault="0020605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6271C" w14:textId="77777777" w:rsidR="00206056" w:rsidRDefault="00206056" w:rsidP="003E4ECF">
      <w:pPr>
        <w:spacing w:after="0" w:line="240" w:lineRule="auto"/>
      </w:pPr>
      <w:r>
        <w:separator/>
      </w:r>
    </w:p>
  </w:footnote>
  <w:footnote w:type="continuationSeparator" w:id="0">
    <w:p w14:paraId="7922E9A9" w14:textId="77777777" w:rsidR="00206056" w:rsidRDefault="0020605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46648C"/>
    <w:multiLevelType w:val="hybridMultilevel"/>
    <w:tmpl w:val="3EF2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847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475C"/>
    <w:rsid w:val="000572BF"/>
    <w:rsid w:val="00074402"/>
    <w:rsid w:val="00162446"/>
    <w:rsid w:val="001D7C03"/>
    <w:rsid w:val="001F52D2"/>
    <w:rsid w:val="00206056"/>
    <w:rsid w:val="00216C85"/>
    <w:rsid w:val="00231486"/>
    <w:rsid w:val="0026393A"/>
    <w:rsid w:val="00273EDD"/>
    <w:rsid w:val="002C3965"/>
    <w:rsid w:val="002F004B"/>
    <w:rsid w:val="00304127"/>
    <w:rsid w:val="00321C4C"/>
    <w:rsid w:val="00392BBC"/>
    <w:rsid w:val="003E4ECF"/>
    <w:rsid w:val="003F42F1"/>
    <w:rsid w:val="0046217B"/>
    <w:rsid w:val="00491E0D"/>
    <w:rsid w:val="004A736E"/>
    <w:rsid w:val="004B7EF1"/>
    <w:rsid w:val="004E3810"/>
    <w:rsid w:val="005840E3"/>
    <w:rsid w:val="005C2649"/>
    <w:rsid w:val="006925AA"/>
    <w:rsid w:val="00725177"/>
    <w:rsid w:val="00751B42"/>
    <w:rsid w:val="00795241"/>
    <w:rsid w:val="007A1B8D"/>
    <w:rsid w:val="00814A9E"/>
    <w:rsid w:val="008E3943"/>
    <w:rsid w:val="0090040D"/>
    <w:rsid w:val="009409B5"/>
    <w:rsid w:val="009D052C"/>
    <w:rsid w:val="009D1D1E"/>
    <w:rsid w:val="00A035FD"/>
    <w:rsid w:val="00A76034"/>
    <w:rsid w:val="00AD23A0"/>
    <w:rsid w:val="00B00B0F"/>
    <w:rsid w:val="00B5173A"/>
    <w:rsid w:val="00B54C1C"/>
    <w:rsid w:val="00B87E75"/>
    <w:rsid w:val="00BA1C41"/>
    <w:rsid w:val="00C40BF9"/>
    <w:rsid w:val="00CB7510"/>
    <w:rsid w:val="00CD33A8"/>
    <w:rsid w:val="00D66A3B"/>
    <w:rsid w:val="00E569FD"/>
    <w:rsid w:val="00E620E7"/>
    <w:rsid w:val="00E915CA"/>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B7EF1"/>
    <w:pPr>
      <w:keepNext/>
      <w:keepLines/>
      <w:spacing w:before="240" w:after="0" w:line="360" w:lineRule="auto"/>
      <w:jc w:val="center"/>
      <w:outlineLvl w:val="0"/>
    </w:pPr>
    <w:rPr>
      <w:rFonts w:ascii="Arial" w:eastAsiaTheme="majorEastAsia" w:hAnsi="Arial" w:cs="Arial"/>
      <w:b/>
      <w:sz w:val="32"/>
    </w:rPr>
  </w:style>
  <w:style w:type="paragraph" w:styleId="Heading2">
    <w:name w:val="heading 2"/>
    <w:basedOn w:val="Normal"/>
    <w:next w:val="Normal"/>
    <w:link w:val="Heading2Char"/>
    <w:autoRedefine/>
    <w:uiPriority w:val="9"/>
    <w:unhideWhenUsed/>
    <w:qFormat/>
    <w:rsid w:val="004B7EF1"/>
    <w:pPr>
      <w:keepNext/>
      <w:keepLines/>
      <w:spacing w:before="160" w:after="120"/>
      <w:outlineLvl w:val="1"/>
    </w:pPr>
    <w:rPr>
      <w:rFonts w:ascii="Arial" w:eastAsiaTheme="majorEastAsia" w:hAnsi="Arial" w:cstheme="majorBidi"/>
      <w:b/>
      <w:color w:val="000000" w:themeColor="text1"/>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EF1"/>
    <w:rPr>
      <w:rFonts w:ascii="Arial" w:eastAsiaTheme="majorEastAsia" w:hAnsi="Arial" w:cs="Arial"/>
      <w:b/>
      <w:sz w:val="32"/>
    </w:rPr>
  </w:style>
  <w:style w:type="character" w:customStyle="1" w:styleId="Heading2Char">
    <w:name w:val="Heading 2 Char"/>
    <w:basedOn w:val="DefaultParagraphFont"/>
    <w:link w:val="Heading2"/>
    <w:uiPriority w:val="9"/>
    <w:rsid w:val="004B7EF1"/>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2F004B"/>
    <w:rPr>
      <w:color w:val="0563C1" w:themeColor="hyperlink"/>
      <w:u w:val="single"/>
    </w:rPr>
  </w:style>
  <w:style w:type="paragraph" w:styleId="TOCHeading">
    <w:name w:val="TOC Heading"/>
    <w:basedOn w:val="Heading1"/>
    <w:next w:val="Normal"/>
    <w:uiPriority w:val="39"/>
    <w:unhideWhenUsed/>
    <w:qFormat/>
    <w:rsid w:val="002F004B"/>
    <w:pPr>
      <w:spacing w:line="259" w:lineRule="auto"/>
      <w:outlineLvl w:val="9"/>
    </w:pPr>
    <w:rPr>
      <w:rFonts w:asciiTheme="majorHAnsi" w:hAnsiTheme="majorHAnsi" w:cstheme="majorBidi"/>
      <w:b w:val="0"/>
      <w:color w:val="2F5496" w:themeColor="accent1" w:themeShade="BF"/>
      <w:szCs w:val="32"/>
      <w:lang w:eastAsia="en-GB"/>
    </w:rPr>
  </w:style>
  <w:style w:type="paragraph" w:styleId="TOC2">
    <w:name w:val="toc 2"/>
    <w:basedOn w:val="Normal"/>
    <w:next w:val="Normal"/>
    <w:autoRedefine/>
    <w:uiPriority w:val="39"/>
    <w:unhideWhenUsed/>
    <w:rsid w:val="002F004B"/>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2F004B"/>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2F004B"/>
    <w:pPr>
      <w:spacing w:after="100"/>
      <w:ind w:left="440"/>
    </w:pPr>
    <w:rPr>
      <w:rFonts w:asciiTheme="minorHAnsi" w:eastAsiaTheme="minorEastAsia" w:hAnsiTheme="minorHAnsi" w:cs="Times New Roman"/>
      <w:sz w:val="22"/>
      <w:lang w:eastAsia="en-GB"/>
    </w:rPr>
  </w:style>
  <w:style w:type="paragraph" w:styleId="ListParagraph">
    <w:name w:val="List Paragraph"/>
    <w:basedOn w:val="Normal"/>
    <w:uiPriority w:val="34"/>
    <w:qFormat/>
    <w:rsid w:val="004B7E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E&amp;q=https%3A%2F%2Fwww.sci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url?sa=E&amp;q=https%3A%2F%2Fico.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E&amp;q=https%3A%2F%2Fwww.legislation.gov.uk%2Fukpga%2F2010%2F15%2F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m/url?sa=E&amp;q=https%3A%2F%2F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5A661-504A-4B1A-A349-A42BF50F0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10089</TotalTime>
  <Pages>6</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nevena semkova</cp:lastModifiedBy>
  <cp:revision>9</cp:revision>
  <dcterms:created xsi:type="dcterms:W3CDTF">2026-03-27T22:30:00Z</dcterms:created>
  <dcterms:modified xsi:type="dcterms:W3CDTF">2026-04-05T11:51:00Z</dcterms:modified>
</cp:coreProperties>
</file>