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103"/>
        </w:tabs>
        <w:jc w:val="center"/>
        <w:rPr>
          <w:rFonts w:ascii="Arial" w:hAnsi="Arial" w:cs="Arial"/>
          <w:b/>
          <w:bCs/>
          <w:sz w:val="24"/>
          <w:szCs w:val="24"/>
        </w:rPr>
      </w:pPr>
      <w:r>
        <w:rPr>
          <w:rFonts w:ascii="Arial" w:hAnsi="Arial" w:cs="Arial"/>
          <w:b/>
          <w:bCs/>
          <w:sz w:val="24"/>
          <w:szCs w:val="24"/>
        </w:rPr>
        <w:t>APPLICATION FOR ETHICAL APPROVAL</w:t>
      </w:r>
    </w:p>
    <w:p>
      <w:pPr>
        <w:tabs>
          <w:tab w:val="left" w:pos="5103"/>
        </w:tabs>
        <w:jc w:val="center"/>
        <w:rPr>
          <w:rFonts w:ascii="Arial" w:hAnsi="Arial" w:cs="Arial"/>
          <w:b/>
          <w:bCs/>
        </w:rPr>
      </w:pPr>
    </w:p>
    <w:p>
      <w:pPr>
        <w:tabs>
          <w:tab w:val="left" w:pos="5103"/>
        </w:tabs>
        <w:jc w:val="both"/>
        <w:rPr>
          <w:rFonts w:ascii="Arial" w:hAnsi="Arial" w:cs="Arial"/>
          <w:b/>
          <w:bCs/>
          <w:sz w:val="22"/>
          <w:szCs w:val="22"/>
        </w:rPr>
      </w:pPr>
    </w:p>
    <w:p>
      <w:pPr>
        <w:tabs>
          <w:tab w:val="left" w:pos="5103"/>
        </w:tabs>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w:t>
      </w:r>
      <w:r>
        <w:rPr>
          <w:rFonts w:ascii="Arial" w:hAnsi="Arial" w:cs="Arial"/>
          <w:b/>
          <w:bCs/>
          <w:sz w:val="22"/>
          <w:szCs w:val="22"/>
          <w:lang w:val="en-US"/>
        </w:rPr>
        <w:t>’</w:t>
      </w:r>
      <w:r>
        <w:rPr>
          <w:rFonts w:ascii="Arial" w:hAnsi="Arial" w:cs="Arial"/>
          <w:b/>
          <w:bCs/>
          <w:sz w:val="22"/>
          <w:szCs w:val="22"/>
        </w:rPr>
        <w:t>s insurance if ethical approval has not been obtained prior to commencement.</w:t>
      </w:r>
    </w:p>
    <w:p>
      <w:pPr>
        <w:tabs>
          <w:tab w:val="left" w:pos="5103"/>
        </w:tabs>
        <w:jc w:val="center"/>
        <w:rPr>
          <w:rFonts w:ascii="Arial" w:hAnsi="Arial" w:cs="Arial"/>
          <w:b/>
          <w:bCs/>
          <w:sz w:val="16"/>
          <w:szCs w:val="16"/>
        </w:rPr>
      </w:pPr>
    </w:p>
    <w:p>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jc w:val="both"/>
        <w:rPr>
          <w:rFonts w:ascii="Arial" w:hAnsi="Arial" w:cs="Arial"/>
          <w:sz w:val="22"/>
          <w:szCs w:val="22"/>
        </w:rPr>
      </w:pPr>
    </w:p>
    <w:p>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jc w:val="both"/>
        <w:rPr>
          <w:rFonts w:ascii="Arial" w:hAnsi="Arial" w:cs="Arial"/>
          <w:sz w:val="22"/>
          <w:szCs w:val="22"/>
        </w:rPr>
      </w:pPr>
    </w:p>
    <w:p>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jc w:val="both"/>
        <w:rPr>
          <w:rFonts w:ascii="Arial" w:hAnsi="Arial" w:cs="Arial"/>
          <w:sz w:val="22"/>
          <w:szCs w:val="22"/>
        </w:rPr>
      </w:pPr>
    </w:p>
    <w:p>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autoSpaceDE w:val="0"/>
        <w:autoSpaceDN w:val="0"/>
        <w:adjustRightInd w:val="0"/>
        <w:jc w:val="both"/>
        <w:rPr>
          <w:rFonts w:ascii="Arial" w:hAnsi="Arial" w:cs="Arial"/>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2551"/>
        <w:gridCol w:w="709"/>
        <w:gridCol w:w="2526"/>
        <w:gridCol w:w="8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439"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vAlign w:val="center"/>
          </w:tcPr>
          <w:p>
            <w:pPr>
              <w:rPr>
                <w:rFonts w:ascii="Arial" w:hAnsi="Arial" w:cs="Arial"/>
                <w:sz w:val="22"/>
                <w:szCs w:val="22"/>
              </w:rPr>
            </w:pPr>
            <w:r>
              <w:rPr>
                <w:rFonts w:ascii="Arial" w:hAnsi="Arial" w:cs="Arial"/>
                <w:sz w:val="22"/>
                <w:szCs w:val="22"/>
              </w:rPr>
              <w:t>Full Name:</w:t>
            </w:r>
          </w:p>
        </w:tc>
        <w:tc>
          <w:tcPr>
            <w:tcW w:w="6636" w:type="dxa"/>
            <w:gridSpan w:val="4"/>
            <w:vAlign w:val="center"/>
          </w:tcPr>
          <w:p>
            <w:pPr>
              <w:rPr>
                <w:rFonts w:hint="default" w:ascii="Arial" w:hAnsi="Arial" w:cs="Arial"/>
                <w:sz w:val="22"/>
                <w:szCs w:val="22"/>
                <w:lang w:val="en-US"/>
              </w:rPr>
            </w:pPr>
            <w:r>
              <w:rPr>
                <w:rFonts w:hint="default" w:ascii="Arial" w:hAnsi="Arial" w:cs="Arial"/>
                <w:sz w:val="22"/>
                <w:szCs w:val="22"/>
                <w:lang w:val="en-US"/>
              </w:rPr>
              <w:t>Mengying Huang</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472" w:hRule="atLeast"/>
        </w:trPr>
        <w:tc>
          <w:tcPr>
            <w:tcW w:w="559" w:type="dxa"/>
            <w:shd w:val="clear" w:color="auto" w:fill="BEBEBE" w:themeFill="background1" w:themeFillShade="BF"/>
            <w:vAlign w:val="center"/>
          </w:tcPr>
          <w:p>
            <w:pPr>
              <w:rPr>
                <w:rFonts w:ascii="Arial" w:hAnsi="Arial" w:cs="Arial"/>
                <w:sz w:val="22"/>
                <w:szCs w:val="22"/>
              </w:rPr>
            </w:pPr>
            <w:r>
              <w:rPr>
                <w:rFonts w:ascii="Arial" w:hAnsi="Arial" w:cs="Arial"/>
                <w:sz w:val="22"/>
                <w:szCs w:val="22"/>
              </w:rPr>
              <w:t>2</w:t>
            </w:r>
          </w:p>
        </w:tc>
        <w:tc>
          <w:tcPr>
            <w:tcW w:w="3253" w:type="dxa"/>
            <w:gridSpan w:val="2"/>
            <w:shd w:val="clear" w:color="auto" w:fill="BEBEBE" w:themeFill="background1" w:themeFillShade="BF"/>
            <w:vAlign w:val="center"/>
          </w:tcPr>
          <w:p>
            <w:pPr>
              <w:rPr>
                <w:rFonts w:ascii="Arial" w:hAnsi="Arial" w:cs="Arial"/>
                <w:sz w:val="22"/>
                <w:szCs w:val="22"/>
              </w:rPr>
            </w:pPr>
            <w:r>
              <w:rPr>
                <w:rFonts w:ascii="Arial" w:hAnsi="Arial" w:cs="Arial"/>
                <w:sz w:val="22"/>
                <w:szCs w:val="22"/>
              </w:rPr>
              <w:t>Tick all boxes that apply:</w:t>
            </w:r>
          </w:p>
        </w:tc>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472" w:hRule="atLeast"/>
        </w:trPr>
        <w:tc>
          <w:tcPr>
            <w:tcW w:w="559" w:type="dxa"/>
            <w:shd w:val="clear" w:color="auto" w:fill="F1F1F1" w:themeFill="background1" w:themeFillShade="F2"/>
            <w:vAlign w:val="center"/>
          </w:tcPr>
          <w:p>
            <w:pPr>
              <w:rPr>
                <w:rFonts w:ascii="Arial" w:hAnsi="Arial" w:cs="Arial"/>
                <w:sz w:val="22"/>
                <w:szCs w:val="22"/>
              </w:rPr>
            </w:pPr>
          </w:p>
        </w:tc>
        <w:tc>
          <w:tcPr>
            <w:tcW w:w="2544"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sdtContent>
        </w:sdt>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lang w:val="en-GB" w:eastAsia="en-US" w:bidi="ar-SA"/>
                  </w:rPr>
                  <w:t>☒</w:t>
                </w:r>
              </w:p>
            </w:tc>
          </w:sdtContent>
        </w:sdt>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sdtContent>
        </w:sdt>
      </w:tr>
    </w:tbl>
    <w:p>
      <w:pPr>
        <w:rPr>
          <w:rFonts w:ascii="Arial" w:hAnsi="Arial" w:cs="Arial"/>
          <w:bCs/>
          <w:iCs/>
          <w:sz w:val="16"/>
          <w:szCs w:val="16"/>
        </w:rPr>
      </w:pP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334"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3</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Institute/Academic Discipline/Centre:</w:t>
            </w:r>
          </w:p>
        </w:tc>
        <w:tc>
          <w:tcPr>
            <w:tcW w:w="6636" w:type="dxa"/>
            <w:vAlign w:val="center"/>
          </w:tcPr>
          <w:p>
            <w:pPr>
              <w:rPr>
                <w:rFonts w:ascii="Arial" w:hAnsi="Arial" w:cs="Arial"/>
                <w:sz w:val="22"/>
                <w:szCs w:val="22"/>
              </w:rPr>
            </w:pPr>
            <w:r>
              <w:rPr>
                <w:rFonts w:hint="eastAsia" w:ascii="Arial" w:hAnsi="Arial" w:cs="Arial"/>
                <w:sz w:val="22"/>
                <w:szCs w:val="22"/>
              </w:rPr>
              <w:t>Institute of Education and Humanities</w:t>
            </w: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Campus:</w:t>
            </w:r>
          </w:p>
        </w:tc>
        <w:tc>
          <w:tcPr>
            <w:tcW w:w="6636" w:type="dxa"/>
            <w:vAlign w:val="center"/>
          </w:tcPr>
          <w:p>
            <w:pPr>
              <w:rPr>
                <w:rFonts w:ascii="Arial" w:hAnsi="Arial" w:cs="Arial"/>
                <w:sz w:val="22"/>
                <w:szCs w:val="22"/>
              </w:rPr>
            </w:pPr>
          </w:p>
          <w:p>
            <w:pPr>
              <w:rPr>
                <w:rFonts w:hint="default" w:ascii="Arial" w:hAnsi="Arial" w:cs="Arial"/>
                <w:sz w:val="22"/>
                <w:szCs w:val="22"/>
                <w:lang w:val="en-US"/>
              </w:rPr>
            </w:pPr>
            <w:r>
              <w:rPr>
                <w:rFonts w:hint="default" w:ascii="Arial" w:hAnsi="Arial" w:cs="Arial"/>
                <w:sz w:val="22"/>
                <w:szCs w:val="22"/>
                <w:lang w:val="en-US"/>
              </w:rPr>
              <w:t>IQ Building</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E-mail address:</w:t>
            </w:r>
          </w:p>
        </w:tc>
        <w:tc>
          <w:tcPr>
            <w:tcW w:w="6636" w:type="dxa"/>
            <w:vAlign w:val="center"/>
          </w:tcPr>
          <w:p>
            <w:pPr>
              <w:rPr>
                <w:rFonts w:ascii="Arial" w:hAnsi="Arial" w:cs="Arial"/>
                <w:sz w:val="22"/>
                <w:szCs w:val="22"/>
              </w:rPr>
            </w:pPr>
          </w:p>
          <w:p>
            <w:pPr>
              <w:rPr>
                <w:rFonts w:hint="default" w:ascii="Arial" w:hAnsi="Arial" w:cs="Arial"/>
                <w:sz w:val="22"/>
                <w:szCs w:val="22"/>
                <w:lang w:val="en-US"/>
              </w:rPr>
            </w:pPr>
            <w:r>
              <w:rPr>
                <w:rFonts w:hint="default" w:ascii="Arial" w:hAnsi="Arial" w:cs="Arial"/>
                <w:sz w:val="22"/>
                <w:szCs w:val="22"/>
                <w:lang w:val="en-US"/>
              </w:rPr>
              <w:t>2306791@student.uwtsd.ac.uk</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6</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Contact Telephone Number:</w:t>
            </w:r>
          </w:p>
        </w:tc>
        <w:tc>
          <w:tcPr>
            <w:tcW w:w="6636" w:type="dxa"/>
            <w:vAlign w:val="center"/>
          </w:tcPr>
          <w:p>
            <w:pPr>
              <w:rPr>
                <w:rFonts w:hint="default" w:ascii="Arial" w:hAnsi="Arial" w:cs="Arial"/>
                <w:sz w:val="22"/>
                <w:szCs w:val="22"/>
                <w:lang w:val="en-US"/>
              </w:rPr>
            </w:pPr>
            <w:r>
              <w:rPr>
                <w:rFonts w:hint="default" w:ascii="Arial" w:hAnsi="Arial" w:cs="Arial"/>
                <w:sz w:val="22"/>
                <w:szCs w:val="22"/>
                <w:lang w:val="en-US"/>
              </w:rPr>
              <w:t>+4407879938032</w:t>
            </w: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c>
          <w:tcPr>
            <w:tcW w:w="559" w:type="dxa"/>
            <w:shd w:val="clear" w:color="auto" w:fill="BEBEBE" w:themeFill="background1" w:themeFillShade="BF"/>
            <w:vAlign w:val="center"/>
          </w:tcPr>
          <w:p>
            <w:pPr>
              <w:rPr>
                <w:rFonts w:ascii="Arial" w:hAnsi="Arial" w:cs="Arial"/>
                <w:b/>
                <w:i/>
                <w:sz w:val="22"/>
                <w:szCs w:val="22"/>
              </w:rPr>
            </w:pPr>
          </w:p>
        </w:tc>
        <w:tc>
          <w:tcPr>
            <w:tcW w:w="9889" w:type="dxa"/>
            <w:gridSpan w:val="2"/>
            <w:shd w:val="clear" w:color="auto" w:fill="BEBEBE" w:themeFill="background1" w:themeFillShade="BF"/>
            <w:vAlign w:val="center"/>
          </w:tcPr>
          <w:p>
            <w:pPr>
              <w:rPr>
                <w:rFonts w:ascii="Arial" w:hAnsi="Arial" w:cs="Arial"/>
                <w:sz w:val="22"/>
                <w:szCs w:val="22"/>
              </w:rPr>
            </w:pPr>
            <w:r>
              <w:rPr>
                <w:rFonts w:ascii="Arial" w:hAnsi="Arial" w:cs="Arial"/>
                <w:b/>
                <w:i/>
                <w:sz w:val="22"/>
                <w:szCs w:val="22"/>
              </w:rPr>
              <w:t>For students: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13"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7</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Student Number:</w:t>
            </w:r>
          </w:p>
        </w:tc>
        <w:tc>
          <w:tcPr>
            <w:tcW w:w="6636" w:type="dxa"/>
            <w:vAlign w:val="center"/>
          </w:tcPr>
          <w:p>
            <w:pPr>
              <w:rPr>
                <w:rFonts w:hint="default" w:ascii="Arial" w:hAnsi="Arial" w:cs="Arial"/>
                <w:sz w:val="22"/>
                <w:szCs w:val="22"/>
                <w:lang w:val="en-US"/>
              </w:rPr>
            </w:pPr>
            <w:r>
              <w:rPr>
                <w:rFonts w:hint="default" w:ascii="Arial" w:hAnsi="Arial" w:cs="Arial"/>
                <w:sz w:val="22"/>
                <w:szCs w:val="22"/>
                <w:lang w:val="en-US"/>
              </w:rPr>
              <w:t>2306791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49"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8</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Programme of Study:</w:t>
            </w:r>
          </w:p>
        </w:tc>
        <w:tc>
          <w:tcPr>
            <w:tcW w:w="6636" w:type="dxa"/>
            <w:vAlign w:val="center"/>
          </w:tcPr>
          <w:p>
            <w:pPr>
              <w:rPr>
                <w:rFonts w:ascii="Arial" w:hAnsi="Arial" w:cs="Arial"/>
                <w:sz w:val="22"/>
                <w:szCs w:val="22"/>
              </w:rPr>
            </w:pPr>
            <w:r>
              <w:rPr>
                <w:rFonts w:hint="eastAsia" w:ascii="Arial" w:hAnsi="Arial" w:cs="Arial"/>
                <w:sz w:val="22"/>
                <w:szCs w:val="22"/>
              </w:rPr>
              <w:t>Doctorate in Education</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57"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9</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Director of Studies/Supervisor:</w:t>
            </w:r>
          </w:p>
        </w:tc>
        <w:tc>
          <w:tcPr>
            <w:tcW w:w="6636" w:type="dxa"/>
            <w:vAlign w:val="center"/>
          </w:tcPr>
          <w:p>
            <w:pPr>
              <w:rPr>
                <w:rFonts w:ascii="Arial" w:hAnsi="Arial" w:cs="Arial"/>
                <w:sz w:val="22"/>
                <w:szCs w:val="22"/>
              </w:rPr>
            </w:pPr>
            <w:r>
              <w:rPr>
                <w:rFonts w:hint="eastAsia" w:ascii="Arial" w:hAnsi="Arial" w:cs="Arial"/>
                <w:sz w:val="22"/>
                <w:szCs w:val="22"/>
              </w:rPr>
              <w:t>Doctor Catherine Morgan</w:t>
            </w:r>
          </w:p>
        </w:tc>
      </w:tr>
    </w:tbl>
    <w:p>
      <w:pPr>
        <w:rPr>
          <w:rFonts w:ascii="Arial" w:hAnsi="Arial" w:cs="Arial"/>
          <w:bCs/>
          <w:iCs/>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r>
        <w:rPr>
          <w:rFonts w:ascii="Arial" w:hAnsi="Arial" w:cs="Arial"/>
          <w:b/>
          <w:sz w:val="22"/>
          <w:szCs w:val="22"/>
        </w:rPr>
        <w:t>SECTION H: Anticipated Risks</w:t>
      </w:r>
    </w:p>
    <w:p>
      <w:pPr>
        <w:rPr>
          <w:rFonts w:ascii="Arial" w:hAnsi="Arial" w:cs="Arial"/>
          <w:b/>
          <w:sz w:val="22"/>
          <w:szCs w:val="22"/>
        </w:rPr>
      </w:pP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3402"/>
        <w:gridCol w:w="850"/>
        <w:gridCol w:w="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bottom w:val="single" w:color="auto" w:sz="4" w:space="0"/>
            </w:tcBorders>
            <w:shd w:val="clear" w:color="auto" w:fill="F1F1F1" w:themeFill="background1" w:themeFillShade="F2"/>
          </w:tcPr>
          <w:p>
            <w:pPr>
              <w:pStyle w:val="2"/>
              <w:jc w:val="left"/>
              <w:rPr>
                <w:rFonts w:ascii="Arial" w:hAnsi="Arial" w:cs="Arial"/>
                <w:b w:val="0"/>
                <w:bCs w:val="0"/>
              </w:rPr>
            </w:pPr>
          </w:p>
        </w:tc>
        <w:tc>
          <w:tcPr>
            <w:tcW w:w="9923" w:type="dxa"/>
            <w:gridSpan w:val="4"/>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宋体"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pPr>
              <w:rPr>
                <w:rFonts w:ascii="Arial" w:hAnsi="Arial" w:cs="Arial"/>
              </w:rPr>
            </w:pPr>
          </w:p>
          <w:p>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vMerge w:val="restart"/>
            <w:shd w:val="clear" w:color="auto" w:fill="F1F1F1" w:themeFill="background1" w:themeFillShade="F2"/>
            <w:vAlign w:val="center"/>
          </w:tcPr>
          <w:p>
            <w:pPr>
              <w:pStyle w:val="2"/>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1F1F1" w:themeFill="background1" w:themeFillShade="F2"/>
            <w:vAlign w:val="center"/>
          </w:tcPr>
          <w:p>
            <w:pPr>
              <w:pStyle w:val="2"/>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 xml:space="preserve">Yes </w:t>
            </w:r>
          </w:p>
        </w:tc>
        <w:tc>
          <w:tcPr>
            <w:tcW w:w="680" w:type="dxa"/>
            <w:tcBorders>
              <w:bottom w:val="single" w:color="auto" w:sz="4" w:space="0"/>
            </w:tcBorders>
            <w:shd w:val="clear" w:color="auto" w:fill="BEBEBE" w:themeFill="background1" w:themeFillShade="BF"/>
          </w:tcPr>
          <w:p>
            <w:pPr>
              <w:pStyle w:val="2"/>
              <w:rPr>
                <w:rFonts w:ascii="Arial" w:hAnsi="Arial" w:cs="Arial"/>
                <w:sz w:val="20"/>
                <w:szCs w:val="16"/>
              </w:rPr>
            </w:pPr>
            <w:sdt>
              <w:sdtPr>
                <w:rPr>
                  <w:rFonts w:ascii="Arial" w:hAnsi="Arial" w:cs="Arial"/>
                  <w:b w:val="0"/>
                  <w:bCs w:val="0"/>
                </w:rPr>
                <w:id w:val="-1"/>
                <w14:checkbox>
                  <w14:checked w14:val="0"/>
                  <w14:checkedState w14:val="2612" w14:font="MS Gothic"/>
                  <w14:uncheckedState w14:val="2610" w14:font="MS Gothic"/>
                </w14:checkbox>
              </w:sdtPr>
              <w:sdtEndPr>
                <w:rPr>
                  <w:rFonts w:ascii="Arial" w:hAnsi="Arial" w:cs="Arial"/>
                  <w:b w:val="0"/>
                  <w:bCs w:val="0"/>
                </w:rPr>
              </w:sdtEndPr>
              <w:sdtContent>
                <w:r>
                  <w:rPr>
                    <w:rFonts w:ascii="Segoe UI Symbol" w:hAnsi="Segoe UI Symbol" w:eastAsia="MS Gothic" w:cs="Segoe UI Symbo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vMerge w:val="continue"/>
            <w:tcBorders>
              <w:bottom w:val="single" w:color="auto" w:sz="4" w:space="0"/>
            </w:tcBorders>
            <w:shd w:val="clear" w:color="auto" w:fill="F1F1F1" w:themeFill="background1" w:themeFillShade="F2"/>
            <w:vAlign w:val="center"/>
          </w:tcPr>
          <w:p>
            <w:pPr>
              <w:pStyle w:val="2"/>
              <w:rPr>
                <w:rFonts w:ascii="Arial" w:hAnsi="Arial" w:cs="Arial"/>
                <w:b w:val="0"/>
                <w:bCs w:val="0"/>
                <w:sz w:val="20"/>
                <w:szCs w:val="16"/>
              </w:rPr>
            </w:pPr>
          </w:p>
        </w:tc>
        <w:tc>
          <w:tcPr>
            <w:tcW w:w="8393" w:type="dxa"/>
            <w:gridSpan w:val="2"/>
            <w:vMerge w:val="continue"/>
            <w:tcBorders>
              <w:bottom w:val="single" w:color="auto" w:sz="4" w:space="0"/>
            </w:tcBorders>
            <w:shd w:val="clear" w:color="auto" w:fill="F1F1F1" w:themeFill="background1" w:themeFillShade="F2"/>
          </w:tcPr>
          <w:p>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No</w:t>
            </w:r>
          </w:p>
        </w:tc>
        <w:tc>
          <w:tcPr>
            <w:tcW w:w="680" w:type="dxa"/>
            <w:tcBorders>
              <w:bottom w:val="single" w:color="auto" w:sz="4" w:space="0"/>
            </w:tcBorders>
            <w:shd w:val="clear" w:color="auto" w:fill="BEBEBE" w:themeFill="background1" w:themeFillShade="BF"/>
          </w:tcPr>
          <w:p>
            <w:pPr>
              <w:pStyle w:val="2"/>
              <w:rPr>
                <w:rFonts w:ascii="Arial" w:hAnsi="Arial" w:cs="Arial"/>
                <w:b w:val="0"/>
                <w:bCs w:val="0"/>
              </w:rPr>
            </w:pPr>
            <w:sdt>
              <w:sdtPr>
                <w:rPr>
                  <w:rFonts w:ascii="Arial" w:hAnsi="Arial" w:cs="Arial"/>
                  <w:b w:val="0"/>
                  <w:bCs w:val="0"/>
                </w:rPr>
                <w:id w:val="-1"/>
                <w14:checkbox>
                  <w14:checked w14:val="1"/>
                  <w14:checkedState w14:val="2612" w14:font="MS Gothic"/>
                  <w14:uncheckedState w14:val="2610" w14:font="MS Gothic"/>
                </w14:checkbox>
              </w:sdtPr>
              <w:sdtEndPr>
                <w:rPr>
                  <w:rFonts w:ascii="Arial" w:hAnsi="Arial" w:cs="Arial"/>
                  <w:b w:val="0"/>
                  <w:bCs w:val="0"/>
                </w:rPr>
              </w:sdtEndPr>
              <w:sdtContent>
                <w:r>
                  <w:rPr>
                    <w:rFonts w:ascii="MS Gothic" w:hAnsi="MS Gothic" w:eastAsia="MS Gothic" w:cs="Segoe UI Symbol"/>
                    <w:b w:val="0"/>
                    <w:bCs w:val="0"/>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2</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participants</w:t>
            </w:r>
          </w:p>
          <w:p>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participants:</w:t>
            </w:r>
          </w:p>
          <w:p>
            <w:pPr>
              <w:autoSpaceDE w:val="0"/>
              <w:autoSpaceDN w:val="0"/>
              <w:adjustRightInd w:val="0"/>
              <w:rPr>
                <w:rFonts w:ascii="Arial" w:hAnsi="Arial" w:cs="Arial"/>
                <w:sz w:val="22"/>
                <w:szCs w:val="22"/>
              </w:rPr>
            </w:pPr>
          </w:p>
          <w:p>
            <w:pPr>
              <w:rPr>
                <w:rFonts w:hint="eastAsia" w:ascii="Arial" w:hAnsi="Arial" w:cs="Arial"/>
                <w:sz w:val="22"/>
                <w:szCs w:val="22"/>
              </w:rPr>
            </w:pPr>
            <w:r>
              <w:rPr>
                <w:rFonts w:hint="eastAsia" w:ascii="Arial" w:hAnsi="Arial" w:cs="Arial"/>
                <w:sz w:val="22"/>
                <w:szCs w:val="22"/>
              </w:rPr>
              <w:t>1. Privacy disclosure: It is usually necessary to collect participants</w:t>
            </w:r>
            <w:r>
              <w:rPr>
                <w:rFonts w:hint="default" w:ascii="Arial" w:hAnsi="Arial" w:cs="Arial"/>
                <w:sz w:val="22"/>
                <w:szCs w:val="22"/>
                <w:lang w:val="en-US"/>
              </w:rPr>
              <w:t>’</w:t>
            </w:r>
            <w:r>
              <w:rPr>
                <w:rFonts w:hint="eastAsia" w:ascii="Arial" w:hAnsi="Arial" w:cs="Arial"/>
                <w:sz w:val="22"/>
                <w:szCs w:val="22"/>
              </w:rPr>
              <w:t xml:space="preserve"> personal information in a questionnaire survey, which, if handled improperly, may lead to privacy disclosure.</w:t>
            </w:r>
          </w:p>
          <w:p>
            <w:pPr>
              <w:rPr>
                <w:rFonts w:hint="eastAsia" w:ascii="Arial" w:hAnsi="Arial" w:cs="Arial"/>
                <w:sz w:val="22"/>
                <w:szCs w:val="22"/>
              </w:rPr>
            </w:pPr>
            <w:r>
              <w:rPr>
                <w:rFonts w:hint="eastAsia" w:ascii="Arial" w:hAnsi="Arial" w:cs="Arial"/>
                <w:sz w:val="22"/>
                <w:szCs w:val="22"/>
              </w:rPr>
              <w:t>2. Psychological stress: Certain sensitive or intrusive questions may cause psychological stress or discomfort to participants.</w:t>
            </w:r>
          </w:p>
          <w:p>
            <w:pPr>
              <w:rPr>
                <w:rFonts w:hint="eastAsia" w:ascii="Arial" w:hAnsi="Arial" w:cs="Arial"/>
                <w:sz w:val="22"/>
                <w:szCs w:val="22"/>
              </w:rPr>
            </w:pPr>
            <w:r>
              <w:rPr>
                <w:rFonts w:hint="eastAsia" w:ascii="Arial" w:hAnsi="Arial" w:cs="Arial"/>
                <w:sz w:val="22"/>
                <w:szCs w:val="22"/>
              </w:rPr>
              <w:t>3. Time cost: Participating in questionnaires and interviews requires a certain amount of time and energy, which may be a burden for busy participants.</w:t>
            </w:r>
          </w:p>
          <w:p>
            <w:pPr>
              <w:rPr>
                <w:rFonts w:ascii="Arial" w:hAnsi="Arial" w:cs="Arial"/>
                <w:sz w:val="22"/>
                <w:szCs w:val="22"/>
              </w:rPr>
            </w:pPr>
            <w:r>
              <w:rPr>
                <w:rFonts w:hint="eastAsia" w:ascii="Arial" w:hAnsi="Arial" w:cs="Arial"/>
                <w:sz w:val="22"/>
                <w:szCs w:val="22"/>
              </w:rPr>
              <w:t>4. Misleading information: If the questionnaire design is not rigorous enough, or the interviewer</w:t>
            </w:r>
            <w:r>
              <w:rPr>
                <w:rFonts w:hint="default" w:ascii="Arial" w:hAnsi="Arial" w:cs="Arial"/>
                <w:sz w:val="22"/>
                <w:szCs w:val="22"/>
                <w:lang w:val="en-US"/>
              </w:rPr>
              <w:t>’</w:t>
            </w:r>
            <w:r>
              <w:rPr>
                <w:rFonts w:hint="eastAsia" w:ascii="Arial" w:hAnsi="Arial" w:cs="Arial"/>
                <w:sz w:val="22"/>
                <w:szCs w:val="22"/>
              </w:rPr>
              <w:t>s questioning method is wrong, the participants may provide misleading information.</w:t>
            </w:r>
          </w:p>
          <w:p>
            <w:pPr>
              <w:autoSpaceDE w:val="0"/>
              <w:autoSpaceDN w:val="0"/>
              <w:adjustRightInd w:val="0"/>
              <w:rPr>
                <w:rFonts w:ascii="Arial" w:hAnsi="Arial" w:cs="Arial"/>
                <w:sz w:val="22"/>
                <w:szCs w:val="22"/>
              </w:rPr>
            </w:pP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pPr>
              <w:autoSpaceDE w:val="0"/>
              <w:autoSpaceDN w:val="0"/>
              <w:adjustRightInd w:val="0"/>
              <w:rPr>
                <w:rFonts w:ascii="Arial" w:hAnsi="Arial" w:cs="Arial"/>
                <w:i/>
                <w:sz w:val="18"/>
                <w:szCs w:val="18"/>
              </w:rPr>
            </w:pPr>
          </w:p>
          <w:p>
            <w:pPr>
              <w:autoSpaceDE w:val="0"/>
              <w:autoSpaceDN w:val="0"/>
              <w:adjustRightInd w:val="0"/>
              <w:rPr>
                <w:rFonts w:hint="eastAsia" w:ascii="Arial" w:hAnsi="Arial" w:cs="Arial"/>
                <w:sz w:val="22"/>
                <w:szCs w:val="22"/>
              </w:rPr>
            </w:pPr>
            <w:r>
              <w:rPr>
                <w:rFonts w:hint="eastAsia" w:ascii="Arial" w:hAnsi="Arial" w:cs="Arial"/>
                <w:sz w:val="22"/>
                <w:szCs w:val="22"/>
              </w:rPr>
              <w:t>1. Privacy protection: When collecting personal information, anonymous methods should be adopted as far as possible to avoid directly obtaining the real identity of participants. The collected data is encrypted to ensure security during transmission and storage. Before the survey, the participants should be clearly explained the purpose of the survey, how the data will be used and protection measures, and their informed consent should be obtained.</w:t>
            </w:r>
          </w:p>
          <w:p>
            <w:pPr>
              <w:autoSpaceDE w:val="0"/>
              <w:autoSpaceDN w:val="0"/>
              <w:adjustRightInd w:val="0"/>
              <w:rPr>
                <w:rFonts w:hint="eastAsia" w:ascii="Arial" w:hAnsi="Arial" w:cs="Arial"/>
                <w:sz w:val="22"/>
                <w:szCs w:val="22"/>
              </w:rPr>
            </w:pPr>
            <w:r>
              <w:rPr>
                <w:rFonts w:hint="eastAsia" w:ascii="Arial" w:hAnsi="Arial" w:cs="Arial"/>
                <w:sz w:val="22"/>
                <w:szCs w:val="22"/>
              </w:rPr>
              <w:t>2. Psychological support: Avoid designing overly sensitive or intrusive questions in questionnaires and interviews to ensure objectivity and neutrality of the questions. Psychological support prompts were set up in the interview to encourage participants to seek help when they encountered discomfort. Psychological counseling services are provided for participants who may be psychologically affected.</w:t>
            </w:r>
          </w:p>
          <w:p>
            <w:pPr>
              <w:autoSpaceDE w:val="0"/>
              <w:autoSpaceDN w:val="0"/>
              <w:adjustRightInd w:val="0"/>
              <w:rPr>
                <w:rFonts w:hint="eastAsia" w:ascii="Arial" w:hAnsi="Arial" w:cs="Arial"/>
                <w:sz w:val="22"/>
                <w:szCs w:val="22"/>
              </w:rPr>
            </w:pPr>
            <w:r>
              <w:rPr>
                <w:rFonts w:hint="eastAsia" w:ascii="Arial" w:hAnsi="Arial" w:cs="Arial"/>
                <w:sz w:val="22"/>
                <w:szCs w:val="22"/>
              </w:rPr>
              <w:t>3. Time management: Shorten the length of the questionnaire as much as possible and simplify the interview questions to ensure efficient interview. Provide participants with a choice of time to participate in the survey so that they can do it at their convenience.</w:t>
            </w:r>
          </w:p>
          <w:p>
            <w:pPr>
              <w:autoSpaceDE w:val="0"/>
              <w:autoSpaceDN w:val="0"/>
              <w:adjustRightInd w:val="0"/>
              <w:rPr>
                <w:rFonts w:hint="eastAsia" w:ascii="Arial" w:hAnsi="Arial" w:cs="Arial"/>
                <w:sz w:val="22"/>
                <w:szCs w:val="22"/>
              </w:rPr>
            </w:pPr>
            <w:r>
              <w:rPr>
                <w:rFonts w:hint="eastAsia" w:ascii="Arial" w:hAnsi="Arial" w:cs="Arial"/>
                <w:sz w:val="22"/>
                <w:szCs w:val="22"/>
              </w:rPr>
              <w:t>4. Improve the quality of questionnaires and interviews: rationally design the questionnaire structure, increase the diversity of questionnaire content, and avoid a large number of repeated or similar questions. Make adequate preparation before the interview, formulate interview guidelines, and train interviewees to ensure that they ask appropriate questions and avoid leading or misleading questions.</w:t>
            </w:r>
          </w:p>
          <w:p>
            <w:pPr>
              <w:autoSpaceDE w:val="0"/>
              <w:autoSpaceDN w:val="0"/>
              <w:adjustRightInd w:val="0"/>
              <w:rPr>
                <w:rFonts w:hint="eastAsia"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vAlign w:val="center"/>
          </w:tcPr>
          <w:p>
            <w:pPr>
              <w:jc w:val="center"/>
              <w:rPr>
                <w:rFonts w:ascii="Arial" w:hAnsi="Arial" w:cs="Arial"/>
                <w:sz w:val="22"/>
                <w:szCs w:val="22"/>
              </w:rPr>
            </w:pPr>
          </w:p>
        </w:tc>
        <w:tc>
          <w:tcPr>
            <w:tcW w:w="9923" w:type="dxa"/>
            <w:gridSpan w:val="4"/>
            <w:tcBorders>
              <w:top w:val="single" w:color="auto" w:sz="4" w:space="0"/>
              <w:bottom w:val="single" w:color="auto" w:sz="4" w:space="0"/>
            </w:tcBorders>
          </w:tcPr>
          <w:p>
            <w:pPr>
              <w:numPr>
                <w:ilvl w:val="0"/>
                <w:numId w:val="1"/>
              </w:numPr>
              <w:autoSpaceDE w:val="0"/>
              <w:autoSpaceDN w:val="0"/>
              <w:adjustRightInd w:val="0"/>
              <w:rPr>
                <w:rFonts w:hint="default" w:ascii="Arial" w:hAnsi="Arial" w:eastAsia="宋体" w:cs="Arial"/>
                <w:sz w:val="22"/>
                <w:szCs w:val="22"/>
                <w:lang w:val="en-US" w:eastAsia="zh-CN"/>
              </w:rPr>
            </w:pPr>
            <w:r>
              <w:rPr>
                <w:rFonts w:hint="default" w:ascii="Arial" w:hAnsi="Arial" w:eastAsia="宋体" w:cs="Arial"/>
                <w:sz w:val="22"/>
                <w:szCs w:val="22"/>
                <w:lang w:val="en-US" w:eastAsia="zh-CN"/>
              </w:rPr>
              <w:t>A study exploring the relationship between growth mindset, motivation for maths learning and maths achievement among Welsh secondary school pupils requires careful consideration of how to properly ask participants about their parents’ socioeconomic status. In order to avoid making students from poor family situations feel anxious and inferior, the questionnaire should be designed with appropriate types of questions, using neutral and non-biased wording to ask about parents’ occupation, education level or family income. Ask, for example, "What is the highest education of your parents?" "What is the main source of income for your family?" And for questions such as income, respondents can be provided with a broad income range to choose from, rather than asking them to fill in specific figures. During the interview, open-ended questions are asked to encourage respondents to share their experiences and opinions. When respondents share, listen carefully to their answers and give positive feedback and understanding. Avoid interrupting or belittling their experience, and instead try to understand the problem from their perspective. Give comfort and encouragement in a timely manner if the respondent shows feelings such as anxiety or low self-esteem.</w:t>
            </w:r>
          </w:p>
          <w:p>
            <w:pPr>
              <w:numPr>
                <w:ilvl w:val="0"/>
                <w:numId w:val="1"/>
              </w:numPr>
              <w:autoSpaceDE w:val="0"/>
              <w:autoSpaceDN w:val="0"/>
              <w:adjustRightInd w:val="0"/>
              <w:rPr>
                <w:rFonts w:hint="default" w:ascii="Arial" w:hAnsi="Arial" w:eastAsia="宋体" w:cs="Arial"/>
                <w:lang w:val="en-US" w:eastAsia="zh-CN"/>
              </w:rPr>
            </w:pPr>
            <w:r>
              <w:rPr>
                <w:rFonts w:hint="default" w:ascii="Arial" w:hAnsi="Arial" w:eastAsia="宋体" w:cs="Arial"/>
                <w:lang w:val="en-US" w:eastAsia="zh-CN"/>
              </w:rPr>
              <w:t>In exploring the relationship between growth mindset, motivation for mathematics learning and mathematics achievement among junior high school students in Wales, the sensitive topic of asking about mathematics achievement needs to be handled with care. In order to avoid making students with poor math scores feel anxious and inferior, the questionnaire does not directly ask for specific math scores, but uses a broader assessment, such as "How do you think your math scores are?" It also provides options such as "Excellent", "good", "average", "Need Improvement". At the beginning of the questionnaire, participants are clearly informed that their answers would be kept strictly confidential and used only for research purposes, in order to reduce their psychological burden. During the interview, gradually transition to the topic of math performance, which can be introduced by saying "I want to know your feelings about math learning, including performance".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4</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the investigator</w:t>
            </w:r>
          </w:p>
          <w:p>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the investigator:</w:t>
            </w:r>
          </w:p>
          <w:p>
            <w:pPr>
              <w:numPr>
                <w:ilvl w:val="0"/>
                <w:numId w:val="2"/>
              </w:numPr>
              <w:rPr>
                <w:rFonts w:hint="default" w:ascii="Arial" w:hAnsi="Arial" w:cs="Arial"/>
                <w:sz w:val="22"/>
                <w:szCs w:val="22"/>
                <w:lang w:val="en-US"/>
              </w:rPr>
            </w:pPr>
            <w:r>
              <w:rPr>
                <w:rFonts w:hint="default" w:ascii="Arial" w:hAnsi="Arial" w:cs="Arial"/>
                <w:sz w:val="22"/>
                <w:szCs w:val="22"/>
                <w:lang w:val="en-US"/>
              </w:rPr>
              <w:t>Physical and mental health and risk of emotional distress: During the interview, students may share some negative experiences or emotions, and researchers may be affected by emotions if they do not deal with them properly. Long hours of data collection and analysis can lead to physical and mental exhaustion.</w:t>
            </w:r>
          </w:p>
          <w:p>
            <w:pPr>
              <w:numPr>
                <w:ilvl w:val="0"/>
                <w:numId w:val="2"/>
              </w:numPr>
              <w:rPr>
                <w:rFonts w:hint="default" w:ascii="Arial" w:hAnsi="Arial" w:cs="Arial"/>
                <w:sz w:val="22"/>
                <w:szCs w:val="22"/>
                <w:lang w:val="en-US"/>
              </w:rPr>
            </w:pPr>
            <w:r>
              <w:rPr>
                <w:rFonts w:hint="default" w:ascii="Arial" w:hAnsi="Arial" w:cs="Arial"/>
                <w:sz w:val="22"/>
                <w:szCs w:val="22"/>
                <w:lang w:val="en-US"/>
              </w:rPr>
              <w:t>Property risk: Researchers may be carrying valuable equipment (e.g., voice recorders, laptops, etc.) when conducting offline interviews, which is at risk of theft or damage.</w:t>
            </w:r>
          </w:p>
          <w:p>
            <w:pPr>
              <w:numPr>
                <w:ilvl w:val="0"/>
                <w:numId w:val="2"/>
              </w:numPr>
              <w:rPr>
                <w:rFonts w:hint="default" w:ascii="Arial" w:hAnsi="Arial" w:cs="Arial"/>
                <w:sz w:val="22"/>
                <w:szCs w:val="22"/>
                <w:lang w:val="en-US"/>
              </w:rPr>
            </w:pPr>
            <w:r>
              <w:rPr>
                <w:rFonts w:hint="default" w:ascii="Arial" w:hAnsi="Arial" w:cs="Arial"/>
                <w:sz w:val="22"/>
                <w:szCs w:val="22"/>
                <w:lang w:val="en-US"/>
              </w:rPr>
              <w:t>Interest risk: Focusing on the same research area for a long time can lead to a loss of interest. Frustration can arise when research bottlenecks or challenges are encountered.</w:t>
            </w:r>
          </w:p>
          <w:p>
            <w:pPr>
              <w:autoSpaceDE w:val="0"/>
              <w:autoSpaceDN w:val="0"/>
              <w:adjustRightInd w:val="0"/>
              <w:rPr>
                <w:rFonts w:ascii="Arial" w:hAnsi="Arial" w:cs="Arial"/>
                <w:sz w:val="22"/>
                <w:szCs w:val="22"/>
              </w:rPr>
            </w:pP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pPr>
              <w:numPr>
                <w:ilvl w:val="0"/>
                <w:numId w:val="3"/>
              </w:numPr>
              <w:rPr>
                <w:rFonts w:hint="default" w:ascii="Arial" w:hAnsi="Arial" w:cs="Arial"/>
                <w:sz w:val="22"/>
                <w:szCs w:val="22"/>
                <w:lang w:val="en-US"/>
              </w:rPr>
            </w:pPr>
            <w:r>
              <w:rPr>
                <w:rFonts w:hint="default" w:ascii="Arial" w:hAnsi="Arial" w:cs="Arial"/>
                <w:sz w:val="22"/>
                <w:szCs w:val="22"/>
                <w:lang w:val="en-US"/>
              </w:rPr>
              <w:t>Prepare thoroughly before the interview, including establishing a relaxed environment, setting reasonable opening lines and questioning techniques, and learning effective emotional management methods. Engage in regular self-reflection and psychological adjustment, or seek the help of a professional psychological counselor. Share research progress and challenges with colleagues or peers for support and advice.</w:t>
            </w:r>
          </w:p>
          <w:p>
            <w:pPr>
              <w:numPr>
                <w:ilvl w:val="0"/>
                <w:numId w:val="3"/>
              </w:numPr>
              <w:rPr>
                <w:rFonts w:hint="default" w:ascii="Arial" w:hAnsi="Arial" w:cs="Arial"/>
                <w:sz w:val="22"/>
                <w:szCs w:val="22"/>
                <w:lang w:val="en-US"/>
              </w:rPr>
            </w:pPr>
            <w:r>
              <w:rPr>
                <w:rFonts w:hint="default" w:ascii="Arial" w:hAnsi="Arial" w:cs="Arial"/>
                <w:sz w:val="22"/>
                <w:szCs w:val="22"/>
                <w:lang w:val="en-US"/>
              </w:rPr>
              <w:t>When conducting interviews in public places, take care of your personal belongings and avoid leaving your equipment unattended. Consider using a cloud service to back up important data in case your device is damaged and data is lost.</w:t>
            </w:r>
          </w:p>
          <w:p>
            <w:pPr>
              <w:numPr>
                <w:ilvl w:val="0"/>
                <w:numId w:val="3"/>
              </w:numPr>
              <w:rPr>
                <w:rFonts w:hint="default" w:ascii="Arial" w:hAnsi="Arial" w:cs="Arial"/>
                <w:sz w:val="22"/>
                <w:szCs w:val="22"/>
                <w:lang w:val="en-US"/>
              </w:rPr>
            </w:pPr>
            <w:r>
              <w:rPr>
                <w:rFonts w:hint="default" w:ascii="Arial" w:hAnsi="Arial" w:cs="Arial"/>
                <w:sz w:val="22"/>
                <w:szCs w:val="22"/>
                <w:lang w:val="en-US"/>
              </w:rPr>
              <w:t>Find fun in the research process, such as building good relationships with students, discovering new research perspectives, etc. Set short - and long-term research goals to keep your research fresh and motivated. Communicate with researchers in other research fields to broaden their horizons and stimulate new research interests.</w:t>
            </w:r>
          </w:p>
          <w:p>
            <w:pPr>
              <w:autoSpaceDE w:val="0"/>
              <w:autoSpaceDN w:val="0"/>
              <w:adjustRightInd w:val="0"/>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5</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University/institutional risks</w:t>
            </w:r>
          </w:p>
          <w:p>
            <w:pPr>
              <w:rPr>
                <w:rFonts w:ascii="Arial" w:hAnsi="Arial" w:cs="Arial"/>
                <w:sz w:val="22"/>
                <w:szCs w:val="22"/>
              </w:rPr>
            </w:pPr>
            <w:r>
              <w:rPr>
                <w:rFonts w:ascii="Arial" w:hAnsi="Arial" w:cs="Arial"/>
                <w:sz w:val="22"/>
                <w:szCs w:val="22"/>
              </w:rPr>
              <w:t>For example: adverse publicity, financial loss, 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the University:</w:t>
            </w:r>
          </w:p>
          <w:p>
            <w:pPr>
              <w:numPr>
                <w:ilvl w:val="0"/>
                <w:numId w:val="4"/>
              </w:numPr>
              <w:rPr>
                <w:rFonts w:hint="default" w:ascii="Arial" w:hAnsi="Arial" w:cs="Arial"/>
                <w:sz w:val="22"/>
                <w:szCs w:val="22"/>
                <w:lang w:val="en-US"/>
              </w:rPr>
            </w:pPr>
            <w:r>
              <w:rPr>
                <w:rFonts w:hint="default" w:ascii="Arial" w:hAnsi="Arial" w:cs="Arial"/>
                <w:sz w:val="22"/>
                <w:szCs w:val="22"/>
                <w:lang w:val="en-US"/>
              </w:rPr>
              <w:t>Publicity risk: Research results may be misinterpreted or over-advertised, affecting the reputation of the university. If the research process or results are flawed, they may be amplified by the media and have a negative impact on the image of the university.</w:t>
            </w:r>
          </w:p>
          <w:p>
            <w:pPr>
              <w:numPr>
                <w:ilvl w:val="0"/>
                <w:numId w:val="4"/>
              </w:numPr>
              <w:rPr>
                <w:rFonts w:hint="default" w:ascii="Arial" w:hAnsi="Arial" w:cs="Arial"/>
                <w:sz w:val="22"/>
                <w:szCs w:val="22"/>
                <w:lang w:val="en-US"/>
              </w:rPr>
            </w:pPr>
            <w:r>
              <w:rPr>
                <w:rFonts w:hint="default" w:ascii="Arial" w:hAnsi="Arial" w:cs="Arial"/>
                <w:sz w:val="22"/>
                <w:szCs w:val="22"/>
                <w:lang w:val="en-US"/>
              </w:rPr>
              <w:t>Financial risks: Additional costs may be incurred during the study, such as the printing of questionnaires, acquisition or rental of interview equipment.</w:t>
            </w:r>
          </w:p>
          <w:p>
            <w:pPr>
              <w:autoSpaceDE w:val="0"/>
              <w:autoSpaceDN w:val="0"/>
              <w:adjustRightInd w:val="0"/>
              <w:rPr>
                <w:rFonts w:ascii="Arial" w:hAnsi="Arial" w:cs="Arial"/>
                <w:sz w:val="22"/>
                <w:szCs w:val="22"/>
              </w:rPr>
            </w:pP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pPr>
              <w:numPr>
                <w:ilvl w:val="0"/>
                <w:numId w:val="5"/>
              </w:numPr>
              <w:rPr>
                <w:rFonts w:hint="default" w:ascii="Arial" w:hAnsi="Arial" w:cs="Arial"/>
                <w:sz w:val="22"/>
                <w:szCs w:val="22"/>
                <w:lang w:val="en-US"/>
              </w:rPr>
            </w:pPr>
            <w:r>
              <w:rPr>
                <w:rFonts w:hint="default" w:ascii="Arial" w:hAnsi="Arial" w:cs="Arial"/>
                <w:sz w:val="22"/>
                <w:szCs w:val="22"/>
                <w:lang w:val="en-US"/>
              </w:rPr>
              <w:t>Ensure that research results are accurate and reliable, and avoid exaggerating or distorting facts. When publicizing research results, maintain an objective and cautious attitude to avoid over-hyping. Establish a sound public relations mechanism, respond to media and public concerns in a timely manner, and maintain the image of the university.</w:t>
            </w:r>
          </w:p>
          <w:p>
            <w:pPr>
              <w:numPr>
                <w:ilvl w:val="0"/>
                <w:numId w:val="5"/>
              </w:numPr>
              <w:rPr>
                <w:rFonts w:hint="default" w:ascii="Arial" w:hAnsi="Arial" w:cs="Arial"/>
                <w:sz w:val="22"/>
                <w:szCs w:val="22"/>
                <w:lang w:val="en-US"/>
              </w:rPr>
            </w:pPr>
            <w:r>
              <w:rPr>
                <w:rFonts w:hint="default" w:ascii="Arial" w:hAnsi="Arial" w:cs="Arial"/>
                <w:sz w:val="22"/>
                <w:szCs w:val="22"/>
                <w:lang w:val="en-US"/>
              </w:rPr>
              <w:t>Conduct detailed budget planning before the study begins to ensure adequate funding. Seek financial support from universities or research institutes to share the financial burden. Reasonable arrangement of research progress and resource use to avoid unnecessary waste.</w:t>
            </w:r>
          </w:p>
          <w:p>
            <w:pPr>
              <w:autoSpaceDE w:val="0"/>
              <w:autoSpaceDN w:val="0"/>
              <w:adjustRightInd w:val="0"/>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Environmental risks</w:t>
            </w:r>
          </w:p>
          <w:p>
            <w:pPr>
              <w:rPr>
                <w:rFonts w:ascii="Arial" w:hAnsi="Arial" w:cs="Arial"/>
                <w:sz w:val="22"/>
                <w:szCs w:val="22"/>
              </w:rPr>
            </w:pPr>
            <w:r>
              <w:rPr>
                <w:rFonts w:ascii="Arial" w:hAnsi="Arial" w:cs="Arial"/>
                <w:sz w:val="22"/>
                <w:szCs w:val="22"/>
              </w:rPr>
              <w:t>For example: accidental spillage of pollutants, damage to local ecosystems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the environment:</w:t>
            </w:r>
          </w:p>
          <w:p>
            <w:pPr>
              <w:rPr>
                <w:rFonts w:hint="eastAsia" w:ascii="Arial" w:hAnsi="Arial" w:cs="Arial"/>
                <w:sz w:val="22"/>
                <w:szCs w:val="22"/>
              </w:rPr>
            </w:pPr>
            <w:r>
              <w:rPr>
                <w:rFonts w:hint="eastAsia" w:ascii="Arial" w:hAnsi="Arial" w:cs="Arial"/>
                <w:sz w:val="22"/>
                <w:szCs w:val="22"/>
              </w:rPr>
              <w:t>1. Paper consumption: The use of a large number of questionnaires may lead to excessive consumption of paper, which is not conducive to environmental protection.</w:t>
            </w:r>
          </w:p>
          <w:p>
            <w:pPr>
              <w:rPr>
                <w:rFonts w:hint="eastAsia" w:ascii="Arial" w:hAnsi="Arial" w:cs="Arial"/>
                <w:sz w:val="22"/>
                <w:szCs w:val="22"/>
              </w:rPr>
            </w:pPr>
            <w:r>
              <w:rPr>
                <w:rFonts w:hint="eastAsia" w:ascii="Arial" w:hAnsi="Arial" w:cs="Arial"/>
                <w:sz w:val="22"/>
                <w:szCs w:val="22"/>
              </w:rPr>
              <w:t>2. Energy use: The interview process may require electronic equipment (such as voice recorders, computers), the operation of these equipment will consume energy.</w:t>
            </w:r>
          </w:p>
          <w:p>
            <w:pPr>
              <w:rPr>
                <w:rFonts w:ascii="Arial" w:hAnsi="Arial" w:cs="Arial"/>
                <w:sz w:val="22"/>
                <w:szCs w:val="22"/>
              </w:rPr>
            </w:pPr>
            <w:r>
              <w:rPr>
                <w:rFonts w:hint="eastAsia" w:ascii="Arial" w:hAnsi="Arial" w:cs="Arial"/>
                <w:sz w:val="22"/>
                <w:szCs w:val="22"/>
              </w:rPr>
              <w:t>3. Waste disposal: the printed materials of questionnaires and interview records may become waste, which may pollute the environment if handled improperly.</w:t>
            </w:r>
          </w:p>
          <w:p>
            <w:pPr>
              <w:autoSpaceDE w:val="0"/>
              <w:autoSpaceDN w:val="0"/>
              <w:adjustRightInd w:val="0"/>
              <w:rPr>
                <w:rFonts w:ascii="Arial" w:hAnsi="Arial" w:cs="Arial"/>
                <w:sz w:val="22"/>
                <w:szCs w:val="22"/>
              </w:rPr>
            </w:pP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pPr>
              <w:rPr>
                <w:rFonts w:hint="eastAsia" w:ascii="Arial" w:hAnsi="Arial" w:cs="Arial"/>
                <w:sz w:val="22"/>
                <w:szCs w:val="22"/>
              </w:rPr>
            </w:pPr>
            <w:r>
              <w:rPr>
                <w:rFonts w:hint="eastAsia" w:ascii="Arial" w:hAnsi="Arial" w:cs="Arial"/>
                <w:sz w:val="22"/>
                <w:szCs w:val="22"/>
              </w:rPr>
              <w:t>1. Promote electronic questionnaires: Use electronic questionnaires instead of paper questionnaires as much as possible to reduce paper consumption. Send questionnaires through school email or online platform for students to fill in and submit.</w:t>
            </w:r>
          </w:p>
          <w:p>
            <w:pPr>
              <w:rPr>
                <w:rFonts w:hint="eastAsia" w:ascii="Arial" w:hAnsi="Arial" w:cs="Arial"/>
                <w:sz w:val="22"/>
                <w:szCs w:val="22"/>
              </w:rPr>
            </w:pPr>
            <w:r>
              <w:rPr>
                <w:rFonts w:hint="eastAsia" w:ascii="Arial" w:hAnsi="Arial" w:cs="Arial"/>
                <w:sz w:val="22"/>
                <w:szCs w:val="22"/>
              </w:rPr>
              <w:t xml:space="preserve">2. Energy-saving equipment: During the interview, energy-saving electronic equipment </w:t>
            </w:r>
            <w:r>
              <w:rPr>
                <w:rFonts w:hint="default" w:ascii="Arial" w:hAnsi="Arial" w:cs="Arial"/>
                <w:sz w:val="22"/>
                <w:szCs w:val="22"/>
                <w:lang w:val="en-US"/>
              </w:rPr>
              <w:t>is</w:t>
            </w:r>
            <w:r>
              <w:rPr>
                <w:rFonts w:hint="eastAsia" w:ascii="Arial" w:hAnsi="Arial" w:cs="Arial"/>
                <w:sz w:val="22"/>
                <w:szCs w:val="22"/>
              </w:rPr>
              <w:t xml:space="preserve"> selected to reduce energy consumption. Arrange the interview time reasonably to avoid unnecessary energy waste caused by prolonged use of equipment.</w:t>
            </w:r>
          </w:p>
          <w:p>
            <w:pPr>
              <w:rPr>
                <w:rFonts w:ascii="Arial" w:hAnsi="Arial" w:cs="Arial"/>
                <w:sz w:val="22"/>
                <w:szCs w:val="22"/>
              </w:rPr>
            </w:pPr>
            <w:r>
              <w:rPr>
                <w:rFonts w:hint="eastAsia" w:ascii="Arial" w:hAnsi="Arial" w:cs="Arial"/>
                <w:sz w:val="22"/>
                <w:szCs w:val="22"/>
              </w:rPr>
              <w:t>3. Waste recycling: For materials that must be printed, choose recyclable paper and properly recycle it after use. Encourage students to sort out the discarded paper questionnaires to promote the recycling of resources.</w:t>
            </w:r>
          </w:p>
          <w:p>
            <w:pPr>
              <w:autoSpaceDE w:val="0"/>
              <w:autoSpaceDN w:val="0"/>
              <w:adjustRightInd w:val="0"/>
              <w:rPr>
                <w:rFonts w:ascii="Arial" w:hAnsi="Arial" w:cs="Arial"/>
              </w:rPr>
            </w:pPr>
          </w:p>
        </w:tc>
      </w:tr>
    </w:tbl>
    <w:p>
      <w:pPr>
        <w:rPr>
          <w:rFonts w:ascii="Arial" w:hAnsi="Arial" w:cs="Arial"/>
        </w:rPr>
      </w:pPr>
    </w:p>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r>
        <w:rPr>
          <w:rFonts w:ascii="Arial" w:hAnsi="Arial" w:cs="Arial"/>
          <w:b/>
          <w:sz w:val="22"/>
          <w:szCs w:val="22"/>
        </w:rPr>
        <w:t>SECTION I: Feedback, Consent and Confidentiality</w:t>
      </w:r>
    </w:p>
    <w:p>
      <w:pPr>
        <w:rPr>
          <w:rFonts w:ascii="Arial" w:hAnsi="Arial" w:cs="Arial"/>
          <w:b/>
          <w:sz w:val="22"/>
          <w:szCs w:val="22"/>
        </w:rPr>
      </w:pP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Feedback</w:t>
            </w:r>
          </w:p>
          <w:p>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hint="eastAsia" w:ascii="Arial" w:hAnsi="Arial" w:cs="Arial"/>
                <w:sz w:val="22"/>
                <w:szCs w:val="22"/>
              </w:rPr>
            </w:pPr>
            <w:r>
              <w:rPr>
                <w:rFonts w:hint="eastAsia" w:ascii="Arial" w:hAnsi="Arial" w:cs="Arial"/>
                <w:sz w:val="22"/>
                <w:szCs w:val="22"/>
              </w:rPr>
              <w:t>1. Introduction to participants: Clearly state that the aim of the study was to understand the relationship between the growth mindset, mathematics motivation and mathematics achievement of secondary school students in Wales. Explain how the findings will help educators better understand students</w:t>
            </w:r>
            <w:r>
              <w:rPr>
                <w:rFonts w:hint="default" w:ascii="Arial" w:hAnsi="Arial" w:cs="Arial"/>
                <w:sz w:val="22"/>
                <w:szCs w:val="22"/>
                <w:lang w:val="en-US"/>
              </w:rPr>
              <w:t>’</w:t>
            </w:r>
            <w:r>
              <w:rPr>
                <w:rFonts w:hint="eastAsia" w:ascii="Arial" w:hAnsi="Arial" w:cs="Arial"/>
                <w:sz w:val="22"/>
                <w:szCs w:val="22"/>
              </w:rPr>
              <w:t xml:space="preserve"> learning psychology, so as to improve teaching methods and enhance students</w:t>
            </w:r>
            <w:r>
              <w:rPr>
                <w:rFonts w:hint="default" w:ascii="Arial" w:hAnsi="Arial" w:cs="Arial"/>
                <w:sz w:val="22"/>
                <w:szCs w:val="22"/>
                <w:lang w:val="en-US"/>
              </w:rPr>
              <w:t>’</w:t>
            </w:r>
            <w:r>
              <w:rPr>
                <w:rFonts w:hint="eastAsia" w:ascii="Arial" w:hAnsi="Arial" w:cs="Arial"/>
                <w:sz w:val="22"/>
                <w:szCs w:val="22"/>
              </w:rPr>
              <w:t xml:space="preserve"> learning outcomes. It is emphasized that all data collected will be kept strictly confidential and anonymi</w:t>
            </w:r>
            <w:r>
              <w:rPr>
                <w:rFonts w:hint="default" w:ascii="Arial" w:hAnsi="Arial" w:cs="Arial"/>
                <w:sz w:val="22"/>
                <w:szCs w:val="22"/>
                <w:lang w:val="en-US"/>
              </w:rPr>
              <w:t>z</w:t>
            </w:r>
            <w:r>
              <w:rPr>
                <w:rFonts w:hint="eastAsia" w:ascii="Arial" w:hAnsi="Arial" w:cs="Arial"/>
                <w:sz w:val="22"/>
                <w:szCs w:val="22"/>
              </w:rPr>
              <w:t>ed to protect the privacy of participants. Make it clear that participants have the right to withdraw from the study at any time and that withdrawal will not affect their studies or school life.</w:t>
            </w:r>
          </w:p>
          <w:p>
            <w:pPr>
              <w:rPr>
                <w:rFonts w:hint="eastAsia" w:ascii="Arial" w:hAnsi="Arial" w:cs="Arial"/>
                <w:sz w:val="22"/>
                <w:szCs w:val="22"/>
              </w:rPr>
            </w:pPr>
            <w:r>
              <w:rPr>
                <w:rFonts w:hint="eastAsia" w:ascii="Arial" w:hAnsi="Arial" w:cs="Arial"/>
                <w:sz w:val="22"/>
                <w:szCs w:val="22"/>
              </w:rPr>
              <w:t>2. Method: Provide written materials (such as research introduction letter, informed consent) for participants to read.</w:t>
            </w:r>
          </w:p>
          <w:p>
            <w:pPr>
              <w:rPr>
                <w:rFonts w:ascii="Arial" w:hAnsi="Arial" w:cs="Arial"/>
                <w:sz w:val="22"/>
                <w:szCs w:val="22"/>
              </w:rPr>
            </w:pPr>
            <w:r>
              <w:rPr>
                <w:rFonts w:hint="eastAsia" w:ascii="Arial" w:hAnsi="Arial" w:cs="Arial"/>
                <w:sz w:val="22"/>
                <w:szCs w:val="22"/>
              </w:rPr>
              <w:t>3. Timing: Conduct the briefing at least one week before the study officially begins to ensure that participants have enough time to learn about the study and make a decision.</w:t>
            </w:r>
          </w:p>
          <w:p>
            <w:pPr>
              <w:autoSpaceDE w:val="0"/>
              <w:autoSpaceDN w:val="0"/>
              <w:adjustRightInd w:val="0"/>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Informed consent</w:t>
            </w:r>
          </w:p>
          <w:p>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numPr>
                <w:ilvl w:val="0"/>
                <w:numId w:val="6"/>
              </w:numPr>
              <w:rPr>
                <w:rFonts w:hint="default" w:ascii="Arial Regular" w:hAnsi="Arial Regular" w:cs="Arial Regular"/>
                <w:b w:val="0"/>
                <w:bCs/>
                <w:sz w:val="22"/>
                <w:szCs w:val="22"/>
              </w:rPr>
            </w:pPr>
            <w:r>
              <w:rPr>
                <w:rFonts w:hint="default" w:ascii="Arial Regular" w:hAnsi="Arial Regular" w:cs="Arial Regular"/>
                <w:b w:val="0"/>
                <w:bCs/>
                <w:sz w:val="22"/>
                <w:szCs w:val="22"/>
              </w:rPr>
              <w:t>Inform potential participants of the arrangements for participation: Prepare a detailed research information manual covering the purpose of the study, the process of the study, potential risks, data confidentiality measures, and the rights and obligations of participants. The manual should use clear and concise language to ensure that participants can understand it. Introduce research content to potential participants through school assemblies, class meetings, or individual exchanges. In the explanation meeting, you can play videos, display PPT or make on-site explanations to help participants understand. Provide an informed consent form that clearly lists the study information, the participant</w:t>
            </w:r>
            <w:r>
              <w:rPr>
                <w:rFonts w:hint="default" w:ascii="Arial Regular" w:hAnsi="Arial Regular" w:cs="Arial Regular"/>
                <w:b w:val="0"/>
                <w:bCs/>
                <w:sz w:val="22"/>
                <w:szCs w:val="22"/>
                <w:lang w:val="en-US"/>
              </w:rPr>
              <w:t>’</w:t>
            </w:r>
            <w:r>
              <w:rPr>
                <w:rFonts w:hint="default" w:ascii="Arial Regular" w:hAnsi="Arial Regular" w:cs="Arial Regular"/>
                <w:b w:val="0"/>
                <w:bCs/>
                <w:sz w:val="22"/>
                <w:szCs w:val="22"/>
              </w:rPr>
              <w:t>s statement of consent, and the investigator</w:t>
            </w:r>
            <w:r>
              <w:rPr>
                <w:rFonts w:hint="default" w:ascii="Arial Regular" w:hAnsi="Arial Regular" w:cs="Arial Regular"/>
                <w:b w:val="0"/>
                <w:bCs/>
                <w:sz w:val="22"/>
                <w:szCs w:val="22"/>
                <w:lang w:val="en-US"/>
              </w:rPr>
              <w:t>’</w:t>
            </w:r>
            <w:r>
              <w:rPr>
                <w:rFonts w:hint="default" w:ascii="Arial Regular" w:hAnsi="Arial Regular" w:cs="Arial Regular"/>
                <w:b w:val="0"/>
                <w:bCs/>
                <w:sz w:val="22"/>
                <w:szCs w:val="22"/>
              </w:rPr>
              <w:t>s contact information. Informed consent forms should contain enough information to enable participants to make informed decisions.</w:t>
            </w:r>
          </w:p>
          <w:p>
            <w:pPr>
              <w:numPr>
                <w:ilvl w:val="0"/>
                <w:numId w:val="6"/>
              </w:numPr>
              <w:rPr>
                <w:rFonts w:hint="default" w:ascii="Arial Regular" w:hAnsi="Arial Regular" w:cs="Arial Regular"/>
                <w:b w:val="0"/>
                <w:bCs/>
                <w:sz w:val="22"/>
                <w:szCs w:val="22"/>
                <w:lang w:val="en-US" w:eastAsia="zh-CN"/>
              </w:rPr>
            </w:pPr>
            <w:r>
              <w:rPr>
                <w:rFonts w:hint="default" w:ascii="Arial Regular" w:hAnsi="Arial Regular" w:cs="Arial Regular"/>
                <w:b w:val="0"/>
                <w:bCs/>
                <w:sz w:val="22"/>
                <w:szCs w:val="22"/>
                <w:lang w:val="en-US" w:eastAsia="zh-CN"/>
              </w:rPr>
              <w:t>Arrangements for participants to provide full consent before data collection begins: After participants have fully understood the study content and agreed to participate, they are required to sign informed consent. The signing process should be supervised by witnesses to ensure the authenticity and voluntary nature of the consent. Check that the signed informed consent is complete and clear, and confirm the age of the participant and the consent of the legal guardian. For minor participants, the written consent of their legal guardian is also required. The process of providing consent is documented in detail in the study record, including date, time, location, participant identification information, and witness information. Ensure the authenticity and traceability of records.</w:t>
            </w:r>
          </w:p>
          <w:p>
            <w:pPr>
              <w:autoSpaceDE w:val="0"/>
              <w:autoSpaceDN w:val="0"/>
              <w:adjustRightInd w:val="0"/>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b/>
                <w:sz w:val="22"/>
                <w:szCs w:val="22"/>
              </w:rPr>
            </w:pPr>
            <w:r>
              <w:rPr>
                <w:rFonts w:ascii="Arial" w:hAnsi="Arial" w:cs="Arial"/>
                <w:b/>
                <w:sz w:val="22"/>
                <w:szCs w:val="22"/>
              </w:rPr>
              <w:t>Confidentiality / Anonymity</w:t>
            </w:r>
          </w:p>
          <w:p>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hint="eastAsia" w:ascii="Arial" w:hAnsi="Arial" w:cs="Arial"/>
                <w:sz w:val="22"/>
                <w:szCs w:val="22"/>
              </w:rPr>
            </w:pPr>
            <w:r>
              <w:rPr>
                <w:rFonts w:hint="eastAsia" w:ascii="Arial" w:hAnsi="Arial" w:cs="Arial"/>
                <w:sz w:val="22"/>
                <w:szCs w:val="22"/>
              </w:rPr>
              <w:t>1. Data collection stage: When designing the questionnaire, no information (such as name and student number) that can directly identify the participants is collected. You can use numbered or randomly generated code instead. During the interview, avoid asking any questions that might reveal the identity of the participant. Interview transcripts should contain only numbers or codes, not personally identifiable information.</w:t>
            </w:r>
          </w:p>
          <w:p>
            <w:pPr>
              <w:rPr>
                <w:rFonts w:hint="eastAsia" w:ascii="Arial" w:hAnsi="Arial" w:cs="Arial"/>
                <w:sz w:val="22"/>
                <w:szCs w:val="22"/>
              </w:rPr>
            </w:pPr>
            <w:r>
              <w:rPr>
                <w:rFonts w:hint="eastAsia" w:ascii="Arial" w:hAnsi="Arial" w:cs="Arial"/>
                <w:sz w:val="22"/>
                <w:szCs w:val="22"/>
              </w:rPr>
              <w:t>2. Data storage and processing stage: All collected data (including questionnaires and interview records) is stored in an encrypted, restricted access system, ensuring that only members of the research team have access. Data files should be named in a way that cannot be traced back to specific participants, such as using randomly generated numbers as file names.</w:t>
            </w:r>
          </w:p>
          <w:p>
            <w:pPr>
              <w:rPr>
                <w:rFonts w:hint="eastAsia" w:ascii="Arial" w:hAnsi="Arial" w:cs="Arial"/>
                <w:sz w:val="22"/>
                <w:szCs w:val="22"/>
              </w:rPr>
            </w:pPr>
            <w:r>
              <w:rPr>
                <w:rFonts w:hint="eastAsia" w:ascii="Arial" w:hAnsi="Arial" w:cs="Arial"/>
                <w:sz w:val="22"/>
                <w:szCs w:val="22"/>
              </w:rPr>
              <w:t>3. Data analysis stage: When analyzing data, only the number or code is used to identify the participant and avoid any operation that may reveal the identity. In the results of the analysis, avoid mentioning any specific information that may indirectly identify the participants (e.g. school name, class size).</w:t>
            </w:r>
          </w:p>
          <w:p>
            <w:pPr>
              <w:rPr>
                <w:rFonts w:ascii="Arial" w:hAnsi="Arial" w:cs="Arial"/>
                <w:sz w:val="22"/>
                <w:szCs w:val="22"/>
              </w:rPr>
            </w:pPr>
            <w:r>
              <w:rPr>
                <w:rFonts w:hint="eastAsia" w:ascii="Arial" w:hAnsi="Arial" w:cs="Arial"/>
                <w:sz w:val="22"/>
                <w:szCs w:val="22"/>
              </w:rPr>
              <w:t>4. Data destruction phase: After the end of the study, all collected data is securely destroyed or anonymized in accordance with the requirements of data protection regulations.</w:t>
            </w:r>
          </w:p>
          <w:p>
            <w:pPr>
              <w:autoSpaceDE w:val="0"/>
              <w:autoSpaceDN w:val="0"/>
              <w:adjustRightInd w:val="0"/>
              <w:rPr>
                <w:rFonts w:ascii="Arial" w:hAnsi="Arial" w:cs="Arial"/>
              </w:rPr>
            </w:pPr>
          </w:p>
        </w:tc>
      </w:tr>
    </w:tbl>
    <w:p>
      <w:pPr>
        <w:rPr>
          <w:rFonts w:ascii="Arial" w:hAnsi="Arial" w:cs="Arial"/>
          <w:sz w:val="22"/>
          <w:szCs w:val="22"/>
        </w:rPr>
      </w:pPr>
    </w:p>
    <w:p>
      <w:pPr>
        <w:rPr>
          <w:rFonts w:ascii="Arial" w:hAnsi="Arial" w:cs="Arial"/>
          <w:b/>
          <w:sz w:val="22"/>
          <w:szCs w:val="22"/>
        </w:rPr>
      </w:pPr>
      <w:r>
        <w:rPr>
          <w:rFonts w:ascii="Arial" w:hAnsi="Arial" w:cs="Arial"/>
          <w:b/>
          <w:sz w:val="22"/>
          <w:szCs w:val="22"/>
        </w:rPr>
        <w:br w:type="page"/>
      </w:r>
    </w:p>
    <w:p>
      <w:pPr>
        <w:rPr>
          <w:rFonts w:ascii="Arial" w:hAnsi="Arial" w:cs="Arial"/>
          <w:b/>
          <w:sz w:val="22"/>
          <w:szCs w:val="22"/>
        </w:rPr>
      </w:pPr>
    </w:p>
    <w:p>
      <w:pPr>
        <w:rPr>
          <w:rFonts w:ascii="Arial" w:hAnsi="Arial" w:cs="Arial"/>
          <w:b/>
          <w:sz w:val="22"/>
          <w:szCs w:val="22"/>
        </w:rPr>
      </w:pPr>
    </w:p>
    <w:p>
      <w:pPr>
        <w:rPr>
          <w:rFonts w:ascii="Arial" w:hAnsi="Arial" w:cs="Arial"/>
          <w:b/>
          <w:sz w:val="22"/>
          <w:szCs w:val="22"/>
        </w:rPr>
      </w:pPr>
      <w:r>
        <w:rPr>
          <w:rFonts w:ascii="Arial" w:hAnsi="Arial" w:cs="Arial"/>
          <w:b/>
          <w:sz w:val="22"/>
          <w:szCs w:val="22"/>
        </w:rPr>
        <w:t>SECTION J: Data Protection and Storage</w:t>
      </w:r>
    </w:p>
    <w:p>
      <w:pPr>
        <w:rPr>
          <w:rFonts w:ascii="Arial" w:hAnsi="Arial" w:cs="Arial"/>
          <w:b/>
          <w:sz w:val="22"/>
          <w:szCs w:val="22"/>
        </w:rPr>
      </w:pPr>
    </w:p>
    <w:tbl>
      <w:tblPr>
        <w:tblStyle w:val="11"/>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w:t>
            </w:r>
            <w:r>
              <w:rPr>
                <w:rFonts w:ascii="Arial" w:hAnsi="Arial" w:cs="Arial"/>
                <w:i/>
                <w:iCs/>
                <w:color w:val="333333"/>
                <w:sz w:val="22"/>
                <w:shd w:val="clear" w:color="auto" w:fill="F1F1F1" w:themeFill="background1" w:themeFillShade="F2"/>
                <w:lang w:val="en-US"/>
              </w:rPr>
              <w:t>’</w:t>
            </w:r>
            <w:r>
              <w:rPr>
                <w:rFonts w:ascii="Arial" w:hAnsi="Arial" w:cs="Arial"/>
                <w:i/>
                <w:iCs/>
                <w:color w:val="333333"/>
                <w:sz w:val="22"/>
                <w:shd w:val="clear" w:color="auto" w:fill="F1F1F1" w:themeFill="background1" w:themeFillShade="F2"/>
              </w:rPr>
              <w:t>data subject</w:t>
            </w:r>
            <w:r>
              <w:rPr>
                <w:rFonts w:ascii="Arial" w:hAnsi="Arial" w:cs="Arial"/>
                <w:i/>
                <w:iCs/>
                <w:color w:val="333333"/>
                <w:sz w:val="22"/>
                <w:shd w:val="clear" w:color="auto" w:fill="F1F1F1" w:themeFill="background1" w:themeFillShade="F2"/>
                <w:lang w:val="en-US"/>
              </w:rPr>
              <w:t>’</w:t>
            </w:r>
            <w:r>
              <w:rPr>
                <w:rFonts w:ascii="Arial" w:hAnsi="Arial" w:cs="Arial"/>
                <w:i/>
                <w:iCs/>
                <w:color w:val="333333"/>
                <w:sz w:val="22"/>
                <w:shd w:val="clear" w:color="auto" w:fill="F1F1F1" w:themeFill="background1" w:themeFillShade="F2"/>
              </w:rPr>
              <w: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Arial" w:hAnsi="Arial" w:eastAsia="MS Gothic" w:cs="Arial"/>
                <w:sz w:val="22"/>
                <w:szCs w:val="22"/>
                <w:lang w:val="en-US"/>
              </w:rPr>
            </w:pPr>
            <w:r>
              <w:rPr>
                <w:rFonts w:hint="eastAsia"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Arial" w:hAnsi="Arial" w:eastAsia="MS Gothic" w:cs="Arial"/>
                <w:sz w:val="22"/>
                <w:szCs w:val="22"/>
                <w:lang w:val="en-US"/>
              </w:rPr>
            </w:pPr>
            <w:r>
              <w:rPr>
                <w:rFonts w:ascii="Segoe UI Symbol" w:hAnsi="Segoe UI Symbol" w:eastAsia="MS Gothic" w:cs="Segoe UI Symbol"/>
                <w:sz w:val="22"/>
                <w:szCs w:val="22"/>
                <w:lang w:val="en-US"/>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hint="eastAsia" w:ascii="Arial" w:hAnsi="Arial" w:cs="Arial"/>
                <w:sz w:val="22"/>
                <w:szCs w:val="22"/>
              </w:rPr>
            </w:pPr>
            <w:r>
              <w:rPr>
                <w:rFonts w:hint="eastAsia" w:ascii="Arial" w:hAnsi="Arial" w:cs="Arial"/>
                <w:sz w:val="22"/>
                <w:szCs w:val="22"/>
              </w:rPr>
              <w:t>1. Gender and age of students may be collected, because age and gender may affect learning motivation and academic performance. Grade information helps to analyze the impact of different stages of education.</w:t>
            </w:r>
          </w:p>
          <w:p>
            <w:pPr>
              <w:rPr>
                <w:rFonts w:ascii="Arial" w:hAnsi="Arial" w:cs="Arial"/>
                <w:sz w:val="22"/>
                <w:szCs w:val="22"/>
              </w:rPr>
            </w:pPr>
            <w:r>
              <w:rPr>
                <w:rFonts w:hint="eastAsia" w:ascii="Arial" w:hAnsi="Arial" w:cs="Arial"/>
                <w:sz w:val="22"/>
                <w:szCs w:val="22"/>
              </w:rPr>
              <w:t>2. Audio or video recordings of interviews may be collected to gain a deeper understanding of participants</w:t>
            </w:r>
            <w:r>
              <w:rPr>
                <w:rFonts w:hint="default" w:ascii="Arial" w:hAnsi="Arial" w:cs="Arial"/>
                <w:sz w:val="22"/>
                <w:szCs w:val="22"/>
                <w:lang w:val="en-US"/>
              </w:rPr>
              <w:t>’</w:t>
            </w:r>
            <w:r>
              <w:rPr>
                <w:rFonts w:hint="eastAsia" w:ascii="Arial" w:hAnsi="Arial" w:cs="Arial"/>
                <w:sz w:val="22"/>
                <w:szCs w:val="22"/>
              </w:rPr>
              <w:t xml:space="preserve"> growth mindset, math motivation, and their relationship to math achievement.</w:t>
            </w:r>
          </w:p>
          <w:p>
            <w:pPr>
              <w:autoSpaceDE w:val="0"/>
              <w:autoSpaceDN w:val="0"/>
              <w:adjustRightInd w:val="0"/>
              <w:rPr>
                <w:rFonts w:ascii="Arial" w:hAnsi="Arial" w:cs="Arial"/>
                <w:i/>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rPr>
                <w:rFonts w:ascii="Arial" w:hAnsi="Arial" w:cs="Arial"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spacing w:before="0" w:beforeAutospacing="0" w:after="0" w:afterAutospacing="0"/>
              <w:jc w:val="center"/>
              <w:rPr>
                <w:rStyle w:val="14"/>
                <w:rFonts w:ascii="Arial" w:hAnsi="Arial" w:cs="Arial"/>
                <w:b w:val="0"/>
                <w:iCs/>
                <w:color w:val="000000"/>
                <w:sz w:val="20"/>
                <w:szCs w:val="23"/>
              </w:rPr>
            </w:pPr>
            <w:r>
              <w:rPr>
                <w:rStyle w:val="14"/>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spacing w:before="0" w:beforeAutospacing="0" w:after="0" w:afterAutospacing="0"/>
              <w:rPr>
                <w:rFonts w:ascii="Arial" w:hAnsi="Arial" w:cs="Arial"/>
              </w:rPr>
            </w:pPr>
            <w:r>
              <w:rPr>
                <w:rStyle w:val="1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w:t>
            </w:r>
            <w:r>
              <w:rPr>
                <w:rFonts w:ascii="Arial" w:hAnsi="Arial" w:cs="Arial"/>
                <w:i/>
                <w:iCs/>
                <w:color w:val="000000"/>
                <w:sz w:val="20"/>
                <w:szCs w:val="23"/>
                <w:lang w:val="en-US"/>
              </w:rPr>
              <w:t>’</w:t>
            </w:r>
            <w:r>
              <w:rPr>
                <w:rFonts w:ascii="Arial" w:hAnsi="Arial" w:cs="Arial"/>
                <w:i/>
                <w:iCs/>
                <w:color w:val="000000"/>
                <w:sz w:val="20"/>
                <w:szCs w:val="23"/>
              </w:rPr>
              <w:t xml:space="preserve"> –</w:t>
            </w:r>
          </w:p>
          <w:p>
            <w:pPr>
              <w:pStyle w:val="9"/>
              <w:spacing w:before="0" w:beforeAutospacing="0" w:after="0" w:afterAutospacing="0"/>
              <w:rPr>
                <w:rFonts w:ascii="Arial" w:hAnsi="Arial" w:cs="Arial"/>
              </w:rPr>
            </w:pPr>
            <w:r>
              <w:rPr>
                <w:rFonts w:ascii="Arial" w:hAnsi="Arial" w:cs="Arial"/>
                <w:i/>
                <w:iCs/>
                <w:color w:val="000000"/>
                <w:sz w:val="20"/>
                <w:szCs w:val="23"/>
              </w:rPr>
              <w:t>(a) racial or ethnic origin,</w:t>
            </w:r>
          </w:p>
          <w:p>
            <w:pPr>
              <w:pStyle w:val="9"/>
              <w:spacing w:before="0" w:beforeAutospacing="0" w:after="0" w:afterAutospacing="0"/>
              <w:rPr>
                <w:rFonts w:ascii="Arial" w:hAnsi="Arial" w:cs="Arial"/>
              </w:rPr>
            </w:pPr>
            <w:r>
              <w:rPr>
                <w:rFonts w:ascii="Arial" w:hAnsi="Arial" w:cs="Arial"/>
                <w:i/>
                <w:iCs/>
                <w:color w:val="000000"/>
                <w:sz w:val="20"/>
                <w:szCs w:val="23"/>
              </w:rPr>
              <w:t>(b) political opinions,</w:t>
            </w:r>
          </w:p>
          <w:p>
            <w:pPr>
              <w:pStyle w:val="9"/>
              <w:spacing w:before="0" w:beforeAutospacing="0" w:after="0" w:afterAutospacing="0"/>
              <w:rPr>
                <w:rFonts w:ascii="Arial" w:hAnsi="Arial" w:cs="Arial"/>
              </w:rPr>
            </w:pPr>
            <w:r>
              <w:rPr>
                <w:rFonts w:ascii="Arial" w:hAnsi="Arial" w:cs="Arial"/>
                <w:i/>
                <w:iCs/>
                <w:color w:val="000000"/>
                <w:sz w:val="20"/>
                <w:szCs w:val="23"/>
              </w:rPr>
              <w:t>(c ) religious beliefs or other beliefs of a similar nature,</w:t>
            </w:r>
          </w:p>
          <w:p>
            <w:pPr>
              <w:pStyle w:val="9"/>
              <w:spacing w:before="0" w:beforeAutospacing="0" w:after="0" w:afterAutospacing="0"/>
              <w:rPr>
                <w:rFonts w:ascii="Arial" w:hAnsi="Arial" w:cs="Arial"/>
              </w:rPr>
            </w:pPr>
            <w:r>
              <w:rPr>
                <w:rFonts w:ascii="Arial" w:hAnsi="Arial" w:cs="Arial"/>
                <w:i/>
                <w:iCs/>
                <w:color w:val="000000"/>
                <w:sz w:val="20"/>
                <w:szCs w:val="23"/>
              </w:rPr>
              <w:t>(d) membership of a trade union (within the meaning of the Trade Union and Labour Relations (Consolidation) Act 1992),</w:t>
            </w:r>
          </w:p>
          <w:p>
            <w:pPr>
              <w:pStyle w:val="9"/>
              <w:spacing w:before="0" w:beforeAutospacing="0" w:after="0" w:afterAutospacing="0"/>
              <w:rPr>
                <w:rFonts w:ascii="Arial" w:hAnsi="Arial" w:cs="Arial"/>
              </w:rPr>
            </w:pPr>
            <w:r>
              <w:rPr>
                <w:rFonts w:ascii="Arial" w:hAnsi="Arial" w:cs="Arial"/>
                <w:i/>
                <w:iCs/>
                <w:color w:val="000000"/>
                <w:sz w:val="20"/>
                <w:szCs w:val="23"/>
              </w:rPr>
              <w:t>(e) physical or mental health or condition,</w:t>
            </w:r>
          </w:p>
          <w:p>
            <w:pPr>
              <w:pStyle w:val="9"/>
              <w:spacing w:before="0" w:beforeAutospacing="0" w:after="0" w:afterAutospacing="0"/>
              <w:rPr>
                <w:rFonts w:ascii="Arial" w:hAnsi="Arial" w:cs="Arial"/>
              </w:rPr>
            </w:pPr>
            <w:r>
              <w:rPr>
                <w:rFonts w:ascii="Arial" w:hAnsi="Arial" w:cs="Arial"/>
                <w:i/>
                <w:iCs/>
                <w:color w:val="000000"/>
                <w:sz w:val="20"/>
                <w:szCs w:val="23"/>
              </w:rPr>
              <w:t>(f) sexual life,</w:t>
            </w:r>
          </w:p>
          <w:p>
            <w:pPr>
              <w:pStyle w:val="9"/>
              <w:spacing w:before="0" w:beforeAutospacing="0" w:after="0" w:afterAutospacing="0"/>
              <w:rPr>
                <w:rFonts w:ascii="Arial" w:hAnsi="Arial" w:cs="Arial"/>
              </w:rPr>
            </w:pPr>
            <w:r>
              <w:rPr>
                <w:rFonts w:ascii="Arial" w:hAnsi="Arial" w:cs="Arial"/>
                <w:i/>
                <w:iCs/>
                <w:color w:val="000000"/>
                <w:sz w:val="20"/>
                <w:szCs w:val="23"/>
              </w:rPr>
              <w:t>(g) genetics,</w:t>
            </w:r>
          </w:p>
          <w:p>
            <w:pPr>
              <w:pStyle w:val="9"/>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Arial" w:hAnsi="Arial" w:cs="Arial"/>
              </w:rPr>
            </w:pPr>
            <w:r>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Arial" w:hAnsi="Arial" w:cs="Arial"/>
              </w:rPr>
            </w:pPr>
            <w:r>
              <w:rPr>
                <w:rFonts w:hint="eastAsia" w:ascii="Segoe UI Symbol" w:hAnsi="Segoe UI Symbol" w:eastAsia="MS Gothic" w:cs="Segoe UI Symbol"/>
                <w:sz w:val="22"/>
                <w:szCs w:val="22"/>
                <w:lang w:val="en-US"/>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pPr>
        <w:rPr>
          <w:rFonts w:ascii="Arial" w:hAnsi="Arial" w:cs="Arial"/>
        </w:rPr>
      </w:pP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p>
        </w:tc>
        <w:tc>
          <w:tcPr>
            <w:tcW w:w="7905" w:type="dxa"/>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jc w:val="center"/>
              <w:rPr>
                <w:rFonts w:ascii="Arial" w:hAnsi="Arial" w:cs="Arial"/>
                <w:sz w:val="22"/>
                <w:szCs w:val="22"/>
              </w:rPr>
            </w:pPr>
          </w:p>
        </w:tc>
        <w:tc>
          <w:tcPr>
            <w:tcW w:w="9923" w:type="dxa"/>
            <w:gridSpan w:val="3"/>
          </w:tcPr>
          <w:p>
            <w:pPr>
              <w:rPr>
                <w:rFonts w:hint="eastAsia" w:ascii="Arial" w:hAnsi="Arial" w:cs="Arial"/>
                <w:sz w:val="22"/>
                <w:szCs w:val="22"/>
              </w:rPr>
            </w:pPr>
            <w:r>
              <w:rPr>
                <w:rFonts w:hint="eastAsia" w:ascii="Arial" w:hAnsi="Arial" w:cs="Arial"/>
                <w:sz w:val="22"/>
                <w:szCs w:val="22"/>
              </w:rPr>
              <w:t>1. Backup procedure: Make a regular backup plan, such as daily or weekly backup, to ensure data integrity and recoverability. Store the backup data in a secure location, such as an encrypted external hard drive, a cloud storage service (to ensure that the cloud service provider complies with data protection regulations), or a secure server. Periodically verify the integrity and availability of backup data to ensure smooth recovery when needed.</w:t>
            </w:r>
          </w:p>
          <w:p>
            <w:pPr>
              <w:rPr>
                <w:rFonts w:hint="eastAsia" w:ascii="Arial" w:hAnsi="Arial" w:cs="Arial"/>
                <w:sz w:val="22"/>
                <w:szCs w:val="22"/>
              </w:rPr>
            </w:pPr>
            <w:r>
              <w:rPr>
                <w:rFonts w:hint="eastAsia" w:ascii="Arial" w:hAnsi="Arial" w:cs="Arial"/>
                <w:sz w:val="22"/>
                <w:szCs w:val="22"/>
              </w:rPr>
              <w:t>2. Password protection: Set strong passwords for personal computers where data is stored and any storage devices that contain sensitive information, including a combination of upper and lower case letters, numbers, and special characters. Change your password regularly to reduce the risk of being cracked. Avoid sharing passwords: Do not share passwords with unauthorized people.</w:t>
            </w:r>
          </w:p>
          <w:p>
            <w:pPr>
              <w:rPr>
                <w:rFonts w:hint="eastAsia" w:ascii="Arial" w:hAnsi="Arial" w:cs="Arial"/>
                <w:sz w:val="22"/>
                <w:szCs w:val="22"/>
              </w:rPr>
            </w:pPr>
            <w:r>
              <w:rPr>
                <w:rFonts w:hint="eastAsia" w:ascii="Arial" w:hAnsi="Arial" w:cs="Arial"/>
                <w:sz w:val="22"/>
                <w:szCs w:val="22"/>
              </w:rPr>
              <w:t>3. Encryption: Use encryption software to encrypt sensitive files stored on personal computers, ensuring that even if the device is stolen or lost, the data cannot be easily accessed. When transferring data to an external storage device or cloud storage service, use an encryption protocol (such as HTTPS) to ensure data security during transmission.</w:t>
            </w:r>
          </w:p>
          <w:p>
            <w:pPr>
              <w:rPr>
                <w:rFonts w:hint="eastAsia" w:ascii="Arial" w:hAnsi="Arial" w:cs="Arial"/>
                <w:sz w:val="22"/>
                <w:szCs w:val="22"/>
              </w:rPr>
            </w:pPr>
            <w:r>
              <w:rPr>
                <w:rFonts w:hint="eastAsia" w:ascii="Arial" w:hAnsi="Arial" w:cs="Arial"/>
                <w:sz w:val="22"/>
                <w:szCs w:val="22"/>
              </w:rPr>
              <w:t>4. Anonymity: When collecting data, the collection of identifiable personal data, such as name and student number, should be avoided as far as possible. If it must be collected, it should be anonymized before analysis, such as using a number instead of a name. For data that cannot be fully anonymized can be used, that is, using alternative identifiers (</w:t>
            </w:r>
            <w:r>
              <w:rPr>
                <w:rFonts w:hint="default" w:ascii="Arial" w:hAnsi="Arial" w:cs="Arial"/>
                <w:sz w:val="22"/>
                <w:szCs w:val="22"/>
                <w:lang w:val="en-US"/>
              </w:rPr>
              <w:t xml:space="preserve">such as </w:t>
            </w:r>
            <w:r>
              <w:rPr>
                <w:rFonts w:hint="eastAsia" w:ascii="Arial" w:hAnsi="Arial" w:cs="Arial"/>
                <w:sz w:val="22"/>
                <w:szCs w:val="22"/>
              </w:rPr>
              <w:t>pseudonyms, numbers) in place of real personal data, while ensuring that the link between these alternative identifiers and the real data is held only by authorized persons.</w:t>
            </w:r>
          </w:p>
          <w:p>
            <w:pPr>
              <w:rPr>
                <w:rFonts w:hint="eastAsia" w:ascii="Arial" w:hAnsi="Arial" w:cs="Arial"/>
                <w:sz w:val="22"/>
                <w:szCs w:val="22"/>
              </w:rPr>
            </w:pPr>
            <w:r>
              <w:rPr>
                <w:rFonts w:hint="eastAsia" w:ascii="Arial" w:hAnsi="Arial" w:cs="Arial"/>
                <w:sz w:val="22"/>
                <w:szCs w:val="22"/>
              </w:rPr>
              <w:t>5. Access control: Ensure that only authorized researchers have access to personal computers and storage devices where data is stored. Record all access to and manipulation of data for investigation and tracking in the event of a security incident.</w:t>
            </w:r>
          </w:p>
          <w:p>
            <w:pPr>
              <w:rPr>
                <w:rFonts w:hint="eastAsia" w:ascii="Arial" w:hAnsi="Arial" w:cs="Arial"/>
                <w:sz w:val="22"/>
                <w:szCs w:val="22"/>
              </w:rPr>
            </w:pPr>
            <w:r>
              <w:rPr>
                <w:rFonts w:hint="eastAsia" w:ascii="Arial" w:hAnsi="Arial" w:cs="Arial"/>
                <w:sz w:val="22"/>
                <w:szCs w:val="22"/>
              </w:rPr>
              <w:t>6. Physical security: Ensure that personal computers and storage devices storing data are locked or stored in a safe place when no one is in use. Provide a proper physical environment for storage devices to prevent data damage caused by natural disasters such as fire and flood.</w:t>
            </w:r>
          </w:p>
          <w:p>
            <w:pPr>
              <w:rPr>
                <w:rFonts w:ascii="Arial" w:hAnsi="Arial" w:cs="Arial"/>
                <w:sz w:val="22"/>
                <w:szCs w:val="22"/>
              </w:rPr>
            </w:pPr>
            <w:r>
              <w:rPr>
                <w:rFonts w:hint="eastAsia" w:ascii="Arial" w:hAnsi="Arial" w:cs="Arial"/>
                <w:sz w:val="22"/>
                <w:szCs w:val="22"/>
              </w:rPr>
              <w:t>7. Data destruction: After the end of the project, develop a data destruction plan to ensure that all sensitive data that is no longer needed is safely destroyed. Use physical destruction (</w:t>
            </w:r>
            <w:r>
              <w:rPr>
                <w:rFonts w:hint="default" w:ascii="Arial" w:hAnsi="Arial" w:cs="Arial"/>
                <w:sz w:val="22"/>
                <w:szCs w:val="22"/>
                <w:lang w:val="en-US"/>
              </w:rPr>
              <w:t xml:space="preserve">such as </w:t>
            </w:r>
            <w:r>
              <w:rPr>
                <w:rFonts w:hint="eastAsia" w:ascii="Arial" w:hAnsi="Arial" w:cs="Arial"/>
                <w:sz w:val="22"/>
                <w:szCs w:val="22"/>
              </w:rPr>
              <w:t>shredding hard drives) or digital destruction (</w:t>
            </w:r>
            <w:r>
              <w:rPr>
                <w:rFonts w:hint="default" w:ascii="Arial" w:hAnsi="Arial" w:cs="Arial"/>
                <w:sz w:val="22"/>
                <w:szCs w:val="22"/>
                <w:lang w:val="en-US"/>
              </w:rPr>
              <w:t xml:space="preserve">such as </w:t>
            </w:r>
            <w:r>
              <w:rPr>
                <w:rFonts w:hint="eastAsia" w:ascii="Arial" w:hAnsi="Arial" w:cs="Arial"/>
                <w:sz w:val="22"/>
                <w:szCs w:val="22"/>
              </w:rPr>
              <w:t>using secure erasure software) to ensure that data cannot be recovered.</w:t>
            </w:r>
          </w:p>
          <w:p>
            <w:pPr>
              <w:autoSpaceDE w:val="0"/>
              <w:autoSpaceDN w:val="0"/>
              <w:adjustRightInd w:val="0"/>
              <w:rPr>
                <w:rFonts w:ascii="Arial" w:hAnsi="Arial" w:cs="Arial"/>
                <w:b/>
                <w:bCs/>
                <w:sz w:val="22"/>
                <w:szCs w:val="22"/>
              </w:rPr>
            </w:pPr>
          </w:p>
        </w:tc>
      </w:tr>
    </w:tbl>
    <w:p>
      <w:pPr>
        <w:rPr>
          <w:rFonts w:ascii="Arial" w:hAnsi="Arial" w:cs="Arial"/>
        </w:rPr>
      </w:pP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p>
        </w:tc>
        <w:tc>
          <w:tcPr>
            <w:tcW w:w="9923" w:type="dxa"/>
            <w:gridSpan w:val="3"/>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b/>
                <w:bCs/>
                <w:sz w:val="22"/>
                <w:szCs w:val="22"/>
              </w:rPr>
              <w:t>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EBEBE"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1F1F1" w:themeFill="background1" w:themeFillShade="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vAlign w:val="center"/>
          </w:tcPr>
          <w:p>
            <w:pPr>
              <w:numPr>
                <w:ilvl w:val="0"/>
                <w:numId w:val="7"/>
              </w:numPr>
              <w:autoSpaceDE w:val="0"/>
              <w:autoSpaceDN w:val="0"/>
              <w:adjustRightInd w:val="0"/>
              <w:rPr>
                <w:rFonts w:hint="default" w:ascii="Arial" w:hAnsi="Arial" w:cs="Arial"/>
                <w:sz w:val="22"/>
                <w:szCs w:val="22"/>
                <w:lang w:val="en-US"/>
              </w:rPr>
            </w:pPr>
            <w:r>
              <w:rPr>
                <w:rFonts w:hint="default" w:ascii="Arial" w:hAnsi="Arial" w:cs="Arial"/>
                <w:sz w:val="22"/>
                <w:szCs w:val="22"/>
                <w:lang w:val="en-US"/>
              </w:rPr>
              <w:t>Invite students to participate in the interview by email: Create the questionnaire using the online questionnaire maker tool and obtain the link to the questionnaire. In the email, briefly explain the purpose of the study, its importance, the format of the interview (such as telephone or face-to-face), the main contents of the questionnaire, data protection measures, and the rights of the respondents. Avoid long and complex descriptions and ensure that students can quickly understand the content of the email. Make it clear in the email that students’ privacy and data security will be protected and that personal information will not be disclosed to third parties. Questionnaires and interviews are conducted anonymously to ensure that students are not identified. Request a response from the student in the email to indicate their consent to participate in the study, and include a deadline for response. For students who agree to participate, send a link to the questionnaire or schedule an interview.</w:t>
            </w:r>
          </w:p>
          <w:p>
            <w:pPr>
              <w:numPr>
                <w:ilvl w:val="0"/>
                <w:numId w:val="7"/>
              </w:numPr>
              <w:autoSpaceDE w:val="0"/>
              <w:autoSpaceDN w:val="0"/>
              <w:adjustRightInd w:val="0"/>
              <w:rPr>
                <w:rFonts w:hint="default" w:ascii="Arial" w:hAnsi="Arial" w:cs="Arial"/>
                <w:sz w:val="22"/>
                <w:szCs w:val="22"/>
                <w:lang w:val="en-US"/>
              </w:rPr>
            </w:pPr>
            <w:r>
              <w:rPr>
                <w:rFonts w:hint="default" w:ascii="Arial" w:hAnsi="Arial" w:cs="Arial"/>
                <w:sz w:val="22"/>
                <w:szCs w:val="22"/>
                <w:lang w:val="en-US"/>
              </w:rPr>
              <w:t>Call the schools and ask if they would like to participate in the survey: briefly describe the purpose of the study, its importance, the content of the survey, the data protection measures, and the possible benefits to the school (such as improving the quality of teaching, understanding the needs of students). At the beginning of the call, clearly state your identity and purpose to gain the trust of the school. Ask the school if they are willing to participate in the study and respect the school’s decision. If the school agrees to participate, further discuss the questionnaire distribution method, data collection process, and follow-up cooperation. Assure schools that data protection laws will be strictly observed to ensure the security and privacy of student data. Describe the technical and administrative measures that will be taken to protect student data. Briefly record the school’s comments and decisions during the call for follow-up.</w:t>
            </w:r>
          </w:p>
          <w:p>
            <w:pPr>
              <w:autoSpaceDE w:val="0"/>
              <w:autoSpaceDN w:val="0"/>
              <w:adjustRightInd w:val="0"/>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vAlign w:val="center"/>
          </w:tcPr>
          <w:p>
            <w:pPr>
              <w:autoSpaceDE w:val="0"/>
              <w:autoSpaceDN w:val="0"/>
              <w:adjustRightInd w:val="0"/>
              <w:rPr>
                <w:rFonts w:ascii="Arial" w:hAnsi="Arial" w:cs="Arial"/>
                <w:sz w:val="22"/>
                <w:szCs w:val="22"/>
              </w:rPr>
            </w:pPr>
            <w:r>
              <w:rPr>
                <w:rFonts w:hint="eastAsia" w:ascii="Arial" w:hAnsi="Arial" w:cs="Arial"/>
                <w:sz w:val="22"/>
                <w:szCs w:val="22"/>
              </w:rPr>
              <w:t>Researcher</w:t>
            </w:r>
          </w:p>
          <w:p>
            <w:pPr>
              <w:autoSpaceDE w:val="0"/>
              <w:autoSpaceDN w:val="0"/>
              <w:adjustRightInd w:val="0"/>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autoSpaceDE w:val="0"/>
              <w:autoSpaceDN w:val="0"/>
              <w:adjustRightInd w:val="0"/>
              <w:rPr>
                <w:rFonts w:hint="default" w:ascii="Arial" w:hAnsi="Arial" w:cs="Arial"/>
                <w:sz w:val="22"/>
                <w:szCs w:val="22"/>
                <w:lang w:val="en-US"/>
              </w:rPr>
            </w:pPr>
            <w:r>
              <w:rPr>
                <w:rFonts w:hint="default" w:ascii="Arial" w:hAnsi="Arial" w:cs="Arial"/>
                <w:sz w:val="22"/>
                <w:szCs w:val="22"/>
                <w:lang w:val="en-US"/>
              </w:rPr>
              <w:t xml:space="preserve">Researcher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autoSpaceDE w:val="0"/>
              <w:autoSpaceDN w:val="0"/>
              <w:adjustRightInd w:val="0"/>
              <w:rPr>
                <w:rFonts w:hint="default" w:ascii="Arial" w:hAnsi="Arial" w:cs="Arial"/>
                <w:sz w:val="22"/>
                <w:szCs w:val="22"/>
                <w:lang w:val="en-US"/>
              </w:rPr>
            </w:pPr>
            <w:r>
              <w:rPr>
                <w:rFonts w:hint="eastAsia" w:ascii="Arial" w:hAnsi="Arial" w:cs="Arial"/>
                <w:sz w:val="22"/>
                <w:szCs w:val="22"/>
              </w:rPr>
              <w:t>Choose not to archive after data is obtained and analyzed. Not archiving data can reduce the risk of data breaches and thus more effectively protect students</w:t>
            </w:r>
            <w:r>
              <w:rPr>
                <w:rFonts w:hint="default" w:ascii="Arial" w:hAnsi="Arial" w:cs="Arial"/>
                <w:sz w:val="22"/>
                <w:szCs w:val="22"/>
                <w:lang w:val="en-US"/>
              </w:rPr>
              <w:t>’</w:t>
            </w:r>
            <w:r>
              <w:rPr>
                <w:rFonts w:hint="eastAsia" w:ascii="Arial" w:hAnsi="Arial" w:cs="Arial"/>
                <w:sz w:val="22"/>
                <w:szCs w:val="22"/>
              </w:rPr>
              <w:t xml:space="preserve"> personal privacy. Especially if the data contains sensitive information. Not archiving data means that only the necessary data is retained for analysis and deleted as soon as the analysis is complete, in line with the spirit of the data minimization principle. Storing and managing data requires manpower, resources, and money. Not archiving data can reduce storage and management burdens and reduce research costs. Archived data may be reused by future researchers or institutions, sometimes beyond the original research purpose. Not archiving prevents misuse or misuse of the data and ensures that its use is limited to the original research purpose.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7"/>
                <w:rFonts w:ascii="Arial" w:hAnsi="Arial" w:cs="Arial"/>
                <w:color w:val="000000"/>
                <w:sz w:val="22"/>
                <w:szCs w:val="22"/>
              </w:rPr>
              <w:t>https://researchdata.uwtsd.ac.uk/</w:t>
            </w:r>
            <w:r>
              <w:rPr>
                <w:rStyle w:val="17"/>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rFonts w:ascii="Arial" w:hAnsi="Arial" w:cs="Arial"/>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autoSpaceDE w:val="0"/>
              <w:autoSpaceDN w:val="0"/>
              <w:adjustRightInd w:val="0"/>
              <w:rPr>
                <w:rFonts w:hint="default" w:ascii="Arial" w:hAnsi="Arial" w:cs="Arial"/>
                <w:sz w:val="22"/>
                <w:szCs w:val="22"/>
                <w:lang w:val="en-US"/>
              </w:rPr>
            </w:pPr>
            <w:r>
              <w:rPr>
                <w:rFonts w:hint="default" w:ascii="Arial" w:hAnsi="Arial" w:cs="Arial"/>
                <w:sz w:val="22"/>
                <w:szCs w:val="22"/>
                <w:lang w:val="en-US"/>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6"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26</w:t>
            </w:r>
          </w:p>
        </w:tc>
        <w:tc>
          <w:tcPr>
            <w:tcW w:w="7905" w:type="dxa"/>
            <w:shd w:val="clear" w:color="auto" w:fill="F1F1F1" w:themeFill="background1" w:themeFillShade="F2"/>
          </w:tcPr>
          <w:p>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7"/>
                <w:rFonts w:ascii="Arial" w:hAnsi="Arial" w:cs="Arial"/>
                <w:color w:val="000000"/>
                <w:sz w:val="22"/>
                <w:szCs w:val="22"/>
              </w:rPr>
              <w:t>https://www.uwtsd.ac.uk/library/research-data-management/</w:t>
            </w:r>
            <w:r>
              <w:rPr>
                <w:rStyle w:val="17"/>
                <w:rFonts w:ascii="Arial" w:hAnsi="Arial" w:cs="Arial"/>
                <w:color w:val="000000"/>
                <w:sz w:val="22"/>
                <w:szCs w:val="22"/>
              </w:rPr>
              <w:fldChar w:fldCharType="end"/>
            </w:r>
            <w:r>
              <w:rPr>
                <w:rFonts w:ascii="Arial" w:hAnsi="Arial" w:cs="Arial"/>
                <w:color w:val="000000"/>
                <w:sz w:val="22"/>
                <w:szCs w:val="22"/>
              </w:rPr>
              <w:t>)</w:t>
            </w:r>
          </w:p>
        </w:tc>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rPr>
                  <w:rFonts w:ascii="Arial" w:hAnsi="Arial" w:cs="Arial"/>
                </w:rPr>
              </w:sdtEndPr>
              <w:sdtContent>
                <w:r>
                  <w:rPr>
                    <w:rFonts w:ascii="MS Gothic" w:hAnsi="MS Gothic" w:eastAsia="MS Gothic" w:cs="Segoe UI Symbol"/>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2"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rPr>
                  <w:rFonts w:ascii="Arial" w:hAnsi="Arial" w:cs="Arial"/>
                </w:rPr>
              </w:sdtEndPr>
              <w:sdtContent>
                <w:r>
                  <w:rPr>
                    <w:rFonts w:ascii="MS Gothic" w:hAnsi="MS Gothic" w:eastAsia="MS Gothic" w:cs="Segoe UI Symbol"/>
                    <w:lang w:val="en-GB" w:eastAsia="en-US" w:bidi="ar-SA"/>
                  </w:rPr>
                  <w:t>☒</w:t>
                </w:r>
              </w:sdtContent>
            </w:sdt>
          </w:p>
        </w:tc>
      </w:tr>
    </w:tbl>
    <w:p>
      <w:pPr>
        <w:rPr>
          <w:rFonts w:ascii="Arial" w:hAnsi="Arial" w:cs="Arial"/>
          <w:b/>
          <w:bCs/>
          <w:sz w:val="22"/>
          <w:szCs w:val="22"/>
        </w:rPr>
      </w:pPr>
    </w:p>
    <w:p>
      <w:pPr>
        <w:rPr>
          <w:rFonts w:ascii="Arial" w:hAnsi="Arial" w:cs="Arial"/>
          <w:b/>
          <w:bCs/>
          <w:sz w:val="22"/>
          <w:szCs w:val="22"/>
        </w:rPr>
      </w:pPr>
      <w:bookmarkStart w:id="0" w:name="_GoBack"/>
      <w:bookmarkEnd w:id="0"/>
    </w:p>
    <w:sectPr>
      <w:headerReference r:id="rId3" w:type="default"/>
      <w:footerReference r:id="rId4" w:type="default"/>
      <w:pgSz w:w="11906" w:h="16838"/>
      <w:pgMar w:top="1418" w:right="707" w:bottom="567" w:left="709"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Cambria">
    <w:altName w:val="苹方-简"/>
    <w:panose1 w:val="02040503050406030204"/>
    <w:charset w:val="00"/>
    <w:family w:val="roman"/>
    <w:pitch w:val="default"/>
    <w:sig w:usb0="00000000" w:usb1="00000000" w:usb2="00000000" w:usb3="00000000" w:csb0="0000019F" w:csb1="00000000"/>
  </w:font>
  <w:font w:name="Tahoma">
    <w:panose1 w:val="020B0804030504040204"/>
    <w:charset w:val="00"/>
    <w:family w:val="swiss"/>
    <w:pitch w:val="default"/>
    <w:sig w:usb0="E1002AFF" w:usb1="C000605B" w:usb2="00000029" w:usb3="00000000" w:csb0="200101FF" w:csb1="20280000"/>
  </w:font>
  <w:font w:name="Arial">
    <w:panose1 w:val="020B0604020202090204"/>
    <w:charset w:val="00"/>
    <w:family w:val="swiss"/>
    <w:pitch w:val="default"/>
    <w:sig w:usb0="E0000AFF" w:usb1="00007843" w:usb2="00000001" w:usb3="00000000" w:csb0="400001BF" w:csb1="DFF70000"/>
  </w:font>
  <w:font w:name="Segoe UI Symbol">
    <w:altName w:val="苹方-简"/>
    <w:panose1 w:val="020B0502040204020203"/>
    <w:charset w:val="00"/>
    <w:family w:val="swiss"/>
    <w:pitch w:val="default"/>
    <w:sig w:usb0="00000000" w:usb1="00000000" w:usb2="00040000" w:usb3="00000000" w:csb0="00000001" w:csb1="00000000"/>
  </w:font>
  <w:font w:name="MS Gothic">
    <w:altName w:val="Hiragino Sans"/>
    <w:panose1 w:val="020B0609070205080204"/>
    <w:charset w:val="80"/>
    <w:family w:val="modern"/>
    <w:pitch w:val="default"/>
    <w:sig w:usb0="00000000" w:usb1="00000000" w:usb2="08000012" w:usb3="00000000" w:csb0="0002009F" w:csb1="00000000"/>
  </w:font>
  <w:font w:name="Helvetica Neue">
    <w:panose1 w:val="02000503000000020004"/>
    <w:charset w:val="00"/>
    <w:family w:val="auto"/>
    <w:pitch w:val="default"/>
    <w:sig w:usb0="E50002FF" w:usb1="500079DB" w:usb2="00000010" w:usb3="00000000" w:csb0="00000000" w:csb1="00000000"/>
  </w:font>
  <w:font w:name="苹方-简">
    <w:panose1 w:val="020B0400000000000000"/>
    <w:charset w:val="86"/>
    <w:family w:val="auto"/>
    <w:pitch w:val="default"/>
    <w:sig w:usb0="A00002FF" w:usb1="7ACFFDFB" w:usb2="00000017" w:usb3="00000000" w:csb0="00040001" w:csb1="00000000"/>
  </w:font>
  <w:font w:name="Arial Unicode MS">
    <w:panose1 w:val="020B0604020202020204"/>
    <w:charset w:val="86"/>
    <w:family w:val="auto"/>
    <w:pitch w:val="default"/>
    <w:sig w:usb0="FFFFFFFF" w:usb1="E9FFFFFF" w:usb2="0000003F" w:usb3="00000000" w:csb0="603F01FF" w:csb1="FFFF0000"/>
  </w:font>
  <w:font w:name="冬青黑体简体中文">
    <w:panose1 w:val="020B0300000000000000"/>
    <w:charset w:val="86"/>
    <w:family w:val="auto"/>
    <w:pitch w:val="default"/>
    <w:sig w:usb0="A00002BF" w:usb1="1ACF7CFA" w:usb2="00000016" w:usb3="00000000" w:csb0="00060007" w:csb1="00000000"/>
  </w:font>
  <w:font w:name="Hiragino Sans">
    <w:panose1 w:val="020B0300000000000000"/>
    <w:charset w:val="80"/>
    <w:family w:val="auto"/>
    <w:pitch w:val="default"/>
    <w:sig w:usb0="E00002FF" w:usb1="7AE7FFFF" w:usb2="00000012" w:usb3="00000000" w:csb0="0002000D"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宋体-简">
    <w:panose1 w:val="02010800040101010101"/>
    <w:charset w:val="86"/>
    <w:family w:val="auto"/>
    <w:pitch w:val="default"/>
    <w:sig w:usb0="00000001" w:usb1="080F0000" w:usb2="00000000" w:usb3="00000000" w:csb0="00040000" w:csb1="00000000"/>
  </w:font>
  <w:font w:name="sans-serif">
    <w:altName w:val="苹方-简"/>
    <w:panose1 w:val="00000000000000000000"/>
    <w:charset w:val="00"/>
    <w:family w:val="auto"/>
    <w:pitch w:val="default"/>
    <w:sig w:usb0="00000000" w:usb1="00000000" w:usb2="00000000" w:usb3="00000000" w:csb0="00000000" w:csb1="00000000"/>
  </w:font>
  <w:font w:name="MS Gothic">
    <w:altName w:val="苹方-简"/>
    <w:panose1 w:val="00000000000000000000"/>
    <w:charset w:val="00"/>
    <w:family w:val="auto"/>
    <w:pitch w:val="default"/>
    <w:sig w:usb0="00000000" w:usb1="00000000" w:usb2="00000000" w:usb3="00000000" w:csb0="00000000" w:csb1="00000000"/>
  </w:font>
  <w:font w:name="Times New Roman Bold">
    <w:panose1 w:val="02020603050405020304"/>
    <w:charset w:val="00"/>
    <w:family w:val="auto"/>
    <w:pitch w:val="default"/>
    <w:sig w:usb0="E0002AEF" w:usb1="C0007841" w:usb2="00000009" w:usb3="00000000" w:csb0="400001FF" w:csb1="FFFF0000"/>
  </w:font>
  <w:font w:name="Arial Regular">
    <w:panose1 w:val="020B0604020202090204"/>
    <w:charset w:val="00"/>
    <w:family w:val="auto"/>
    <w:pitch w:val="default"/>
    <w:sig w:usb0="E0000AFF" w:usb1="00007843" w:usb2="00000001" w:usb3="00000000" w:csb0="4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rFonts w:ascii="Arial" w:hAnsi="Arial" w:cs="Arial"/>
      </w:rPr>
      <w:t>`</w:t>
    </w:r>
    <w:r>
      <w:rPr>
        <w:rFonts w:ascii="Arial" w:hAnsi="Arial" w:cs="Arial"/>
      </w:rPr>
      <w:ptab w:relativeTo="margin" w:alignment="center" w:leader="none"/>
    </w:r>
    <w:r>
      <w:rPr>
        <w:rStyle w:val="15"/>
        <w:rFonts w:ascii="Arial" w:hAnsi="Arial" w:cs="Arial"/>
      </w:rPr>
      <w:fldChar w:fldCharType="begin"/>
    </w:r>
    <w:r>
      <w:rPr>
        <w:rStyle w:val="15"/>
        <w:rFonts w:ascii="Arial" w:hAnsi="Arial" w:cs="Arial"/>
      </w:rPr>
      <w:instrText xml:space="preserve"> PAGE </w:instrText>
    </w:r>
    <w:r>
      <w:rPr>
        <w:rStyle w:val="15"/>
        <w:rFonts w:ascii="Arial" w:hAnsi="Arial" w:cs="Arial"/>
      </w:rPr>
      <w:fldChar w:fldCharType="separate"/>
    </w:r>
    <w:r>
      <w:rPr>
        <w:rStyle w:val="15"/>
        <w:rFonts w:ascii="Arial" w:hAnsi="Arial" w:cs="Arial"/>
      </w:rPr>
      <w:t>1</w:t>
    </w:r>
    <w:r>
      <w:rPr>
        <w:rStyle w:val="15"/>
        <w:rFonts w:ascii="Arial" w:hAnsi="Arial" w:cs="Arial"/>
      </w:rPr>
      <w:fldChar w:fldCharType="end"/>
    </w:r>
    <w:r>
      <w:rPr>
        <w:rStyle w:val="15"/>
        <w:rFonts w:ascii="Arial" w:hAnsi="Arial" w:cs="Arial"/>
      </w:rPr>
      <w:ptab w:relativeTo="margin" w:alignment="right" w:leader="none"/>
    </w:r>
    <w:r>
      <w:rPr>
        <w:rStyle w:val="15"/>
        <w:rFonts w:ascii="Arial" w:hAnsi="Arial" w:cs="Arial"/>
      </w:rPr>
      <w:t>ECDE7018 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rPr>
        <w:rFonts w:asciiTheme="minorHAnsi" w:hAnsiTheme="minorHAnsi" w:cstheme="minorHAnsi"/>
        <w:b/>
        <w:bCs/>
        <w:sz w:val="22"/>
        <w:szCs w:val="22"/>
      </w:rPr>
    </w:pPr>
    <w:r>
      <w:rPr>
        <w:rFonts w:asciiTheme="minorHAnsi" w:hAnsiTheme="minorHAnsi" w:cstheme="minorHAnsi"/>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Theme="minorHAnsi" w:hAnsiTheme="minorHAnsi" w:cstheme="minorHAnsi"/>
        <w:lang w:eastAsia="en-GB"/>
      </w:rPr>
      <w:t>ECDE7018 Ethical Approval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C61608"/>
    <w:multiLevelType w:val="singleLevel"/>
    <w:tmpl w:val="D5C61608"/>
    <w:lvl w:ilvl="0" w:tentative="0">
      <w:start w:val="1"/>
      <w:numFmt w:val="decimal"/>
      <w:suff w:val="space"/>
      <w:lvlText w:val="%1."/>
      <w:lvlJc w:val="left"/>
    </w:lvl>
  </w:abstractNum>
  <w:abstractNum w:abstractNumId="1">
    <w:nsid w:val="DDEE7F94"/>
    <w:multiLevelType w:val="singleLevel"/>
    <w:tmpl w:val="DDEE7F94"/>
    <w:lvl w:ilvl="0" w:tentative="0">
      <w:start w:val="1"/>
      <w:numFmt w:val="decimal"/>
      <w:suff w:val="space"/>
      <w:lvlText w:val="%1."/>
      <w:lvlJc w:val="left"/>
    </w:lvl>
  </w:abstractNum>
  <w:abstractNum w:abstractNumId="2">
    <w:nsid w:val="E9ED4A5C"/>
    <w:multiLevelType w:val="singleLevel"/>
    <w:tmpl w:val="E9ED4A5C"/>
    <w:lvl w:ilvl="0" w:tentative="0">
      <w:start w:val="1"/>
      <w:numFmt w:val="decimal"/>
      <w:suff w:val="space"/>
      <w:lvlText w:val="%1."/>
      <w:lvlJc w:val="left"/>
    </w:lvl>
  </w:abstractNum>
  <w:abstractNum w:abstractNumId="3">
    <w:nsid w:val="FD86432E"/>
    <w:multiLevelType w:val="singleLevel"/>
    <w:tmpl w:val="FD86432E"/>
    <w:lvl w:ilvl="0" w:tentative="0">
      <w:start w:val="1"/>
      <w:numFmt w:val="decimal"/>
      <w:suff w:val="space"/>
      <w:lvlText w:val="%1."/>
      <w:lvlJc w:val="left"/>
    </w:lvl>
  </w:abstractNum>
  <w:abstractNum w:abstractNumId="4">
    <w:nsid w:val="5D6ACD34"/>
    <w:multiLevelType w:val="singleLevel"/>
    <w:tmpl w:val="5D6ACD34"/>
    <w:lvl w:ilvl="0" w:tentative="0">
      <w:start w:val="1"/>
      <w:numFmt w:val="decimal"/>
      <w:suff w:val="space"/>
      <w:lvlText w:val="%1."/>
      <w:lvlJc w:val="left"/>
    </w:lvl>
  </w:abstractNum>
  <w:abstractNum w:abstractNumId="5">
    <w:nsid w:val="758ACD7E"/>
    <w:multiLevelType w:val="singleLevel"/>
    <w:tmpl w:val="758ACD7E"/>
    <w:lvl w:ilvl="0" w:tentative="0">
      <w:start w:val="1"/>
      <w:numFmt w:val="decimal"/>
      <w:suff w:val="space"/>
      <w:lvlText w:val="%1."/>
      <w:lvlJc w:val="left"/>
    </w:lvl>
  </w:abstractNum>
  <w:abstractNum w:abstractNumId="6">
    <w:nsid w:val="7F123B79"/>
    <w:multiLevelType w:val="singleLevel"/>
    <w:tmpl w:val="7F123B79"/>
    <w:lvl w:ilvl="0" w:tentative="0">
      <w:start w:val="1"/>
      <w:numFmt w:val="decimal"/>
      <w:suff w:val="space"/>
      <w:lvlText w:val="%1."/>
      <w:lvlJc w:val="left"/>
    </w:lvl>
  </w:abstractNum>
  <w:num w:numId="1">
    <w:abstractNumId w:val="3"/>
  </w:num>
  <w:num w:numId="2">
    <w:abstractNumId w:val="6"/>
  </w:num>
  <w:num w:numId="3">
    <w:abstractNumId w:val="5"/>
  </w:num>
  <w:num w:numId="4">
    <w:abstractNumId w:val="0"/>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1"/>
  <w:displayVerticalDrawingGridEvery w:val="1"/>
  <w:noPunctuationKerning w:val="1"/>
  <w:characterSpacingControl w:val="doNotCompress"/>
  <w:doNotValidateAgainstSchema/>
  <w:doNotDemarcateInvalidXml/>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3705"/>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3355E"/>
    <w:rsid w:val="003408DD"/>
    <w:rsid w:val="003505BC"/>
    <w:rsid w:val="00354F34"/>
    <w:rsid w:val="00361382"/>
    <w:rsid w:val="003656A9"/>
    <w:rsid w:val="00382031"/>
    <w:rsid w:val="00384BA8"/>
    <w:rsid w:val="00390251"/>
    <w:rsid w:val="00392C8E"/>
    <w:rsid w:val="00392D9A"/>
    <w:rsid w:val="00397B49"/>
    <w:rsid w:val="003A09CB"/>
    <w:rsid w:val="003A5C91"/>
    <w:rsid w:val="003A7121"/>
    <w:rsid w:val="003B4D13"/>
    <w:rsid w:val="003B6C3E"/>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889"/>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4EA6"/>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1F91"/>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3D7E"/>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C0E"/>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A3C"/>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773C"/>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08F2"/>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45F6"/>
    <w:rsid w:val="00F96C3F"/>
    <w:rsid w:val="00FA17A2"/>
    <w:rsid w:val="00FA1C94"/>
    <w:rsid w:val="00FB4F7A"/>
    <w:rsid w:val="00FB58A3"/>
    <w:rsid w:val="00FB6B35"/>
    <w:rsid w:val="00FD436F"/>
    <w:rsid w:val="00FD5A26"/>
    <w:rsid w:val="00FE3EC4"/>
    <w:rsid w:val="00FF25C7"/>
    <w:rsid w:val="00FF3E46"/>
    <w:rsid w:val="00FF5A58"/>
    <w:rsid w:val="779F4374"/>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8"/>
    <w:semiHidden/>
    <w:unhideWhenUsed/>
    <w:qFormat/>
    <w:uiPriority w:val="99"/>
  </w:style>
  <w:style w:type="paragraph" w:styleId="5">
    <w:name w:val="Balloon Text"/>
    <w:basedOn w:val="1"/>
    <w:link w:val="23"/>
    <w:semiHidden/>
    <w:qFormat/>
    <w:uiPriority w:val="99"/>
    <w:rPr>
      <w:rFonts w:ascii="Tahoma" w:hAnsi="Tahoma" w:cs="Tahoma"/>
      <w:sz w:val="16"/>
      <w:szCs w:val="16"/>
    </w:rPr>
  </w:style>
  <w:style w:type="paragraph" w:styleId="6">
    <w:name w:val="footer"/>
    <w:basedOn w:val="1"/>
    <w:link w:val="25"/>
    <w:qFormat/>
    <w:uiPriority w:val="99"/>
    <w:pPr>
      <w:tabs>
        <w:tab w:val="center" w:pos="4513"/>
        <w:tab w:val="right" w:pos="9026"/>
      </w:tabs>
    </w:pPr>
  </w:style>
  <w:style w:type="paragraph" w:styleId="7">
    <w:name w:val="header"/>
    <w:basedOn w:val="1"/>
    <w:link w:val="24"/>
    <w:semiHidden/>
    <w:qFormat/>
    <w:uiPriority w:val="99"/>
    <w:pPr>
      <w:tabs>
        <w:tab w:val="center" w:pos="4513"/>
        <w:tab w:val="right" w:pos="9026"/>
      </w:tabs>
    </w:pPr>
  </w:style>
  <w:style w:type="paragraph" w:styleId="8">
    <w:name w:val="Body Text 2"/>
    <w:basedOn w:val="1"/>
    <w:link w:val="21"/>
    <w:qFormat/>
    <w:uiPriority w:val="99"/>
    <w:pPr>
      <w:ind w:left="720" w:hanging="720"/>
    </w:pPr>
    <w:rPr>
      <w:b/>
      <w:bCs/>
      <w:sz w:val="22"/>
      <w:szCs w:val="22"/>
    </w:rPr>
  </w:style>
  <w:style w:type="paragraph" w:styleId="9">
    <w:name w:val="Normal (Web)"/>
    <w:basedOn w:val="1"/>
    <w:qFormat/>
    <w:uiPriority w:val="99"/>
    <w:pPr>
      <w:spacing w:before="100" w:beforeAutospacing="1" w:after="100" w:afterAutospacing="1"/>
    </w:pPr>
    <w:rPr>
      <w:sz w:val="24"/>
      <w:szCs w:val="24"/>
      <w:lang w:eastAsia="en-GB"/>
    </w:rPr>
  </w:style>
  <w:style w:type="paragraph" w:styleId="10">
    <w:name w:val="annotation subject"/>
    <w:basedOn w:val="4"/>
    <w:next w:val="4"/>
    <w:link w:val="29"/>
    <w:semiHidden/>
    <w:unhideWhenUsed/>
    <w:qFormat/>
    <w:uiPriority w:val="99"/>
    <w:rPr>
      <w:b/>
      <w:bCs/>
    </w:rPr>
  </w:style>
  <w:style w:type="table" w:styleId="12">
    <w:name w:val="Table Grid"/>
    <w:basedOn w:val="1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qFormat/>
    <w:uiPriority w:val="22"/>
    <w:rPr>
      <w:b/>
      <w:bCs/>
    </w:rPr>
  </w:style>
  <w:style w:type="character" w:styleId="15">
    <w:name w:val="page number"/>
    <w:basedOn w:val="13"/>
    <w:qFormat/>
    <w:uiPriority w:val="99"/>
  </w:style>
  <w:style w:type="character" w:styleId="16">
    <w:name w:val="FollowedHyperlink"/>
    <w:semiHidden/>
    <w:qFormat/>
    <w:uiPriority w:val="99"/>
    <w:rPr>
      <w:color w:val="800080"/>
      <w:u w:val="single"/>
    </w:rPr>
  </w:style>
  <w:style w:type="character" w:styleId="17">
    <w:name w:val="Hyperlink"/>
    <w:qFormat/>
    <w:uiPriority w:val="0"/>
    <w:rPr>
      <w:color w:val="0000FF"/>
      <w:u w:val="single"/>
    </w:rPr>
  </w:style>
  <w:style w:type="character" w:styleId="18">
    <w:name w:val="annotation reference"/>
    <w:semiHidden/>
    <w:unhideWhenUsed/>
    <w:qFormat/>
    <w:uiPriority w:val="99"/>
    <w:rPr>
      <w:sz w:val="16"/>
      <w:szCs w:val="16"/>
    </w:rPr>
  </w:style>
  <w:style w:type="character" w:customStyle="1" w:styleId="19">
    <w:name w:val="Heading 1 Char"/>
    <w:link w:val="2"/>
    <w:qFormat/>
    <w:uiPriority w:val="99"/>
    <w:rPr>
      <w:rFonts w:ascii="Cambria" w:hAnsi="Cambria" w:cs="Cambria"/>
      <w:b/>
      <w:bCs/>
      <w:kern w:val="32"/>
      <w:sz w:val="32"/>
      <w:szCs w:val="32"/>
      <w:lang w:eastAsia="en-US"/>
    </w:rPr>
  </w:style>
  <w:style w:type="character" w:customStyle="1" w:styleId="20">
    <w:name w:val="Heading 4 Char"/>
    <w:link w:val="3"/>
    <w:semiHidden/>
    <w:qFormat/>
    <w:uiPriority w:val="99"/>
    <w:rPr>
      <w:rFonts w:ascii="Calibri" w:hAnsi="Calibri" w:cs="Calibri"/>
      <w:b/>
      <w:bCs/>
      <w:sz w:val="28"/>
      <w:szCs w:val="28"/>
      <w:lang w:eastAsia="en-US"/>
    </w:rPr>
  </w:style>
  <w:style w:type="character" w:customStyle="1" w:styleId="21">
    <w:name w:val="Body Text 2 Char"/>
    <w:link w:val="8"/>
    <w:semiHidden/>
    <w:qFormat/>
    <w:uiPriority w:val="99"/>
    <w:rPr>
      <w:sz w:val="20"/>
      <w:szCs w:val="20"/>
      <w:lang w:eastAsia="en-US"/>
    </w:rPr>
  </w:style>
  <w:style w:type="paragraph" w:customStyle="1" w:styleId="22">
    <w:name w:val="deannah1"/>
    <w:basedOn w:val="1"/>
    <w:qFormat/>
    <w:uiPriority w:val="99"/>
    <w:pPr>
      <w:keepNext/>
      <w:spacing w:after="240"/>
    </w:pPr>
    <w:rPr>
      <w:b/>
      <w:bCs/>
      <w:sz w:val="24"/>
      <w:szCs w:val="24"/>
    </w:rPr>
  </w:style>
  <w:style w:type="character" w:customStyle="1" w:styleId="23">
    <w:name w:val="Balloon Text Char"/>
    <w:link w:val="5"/>
    <w:semiHidden/>
    <w:qFormat/>
    <w:uiPriority w:val="99"/>
    <w:rPr>
      <w:sz w:val="2"/>
      <w:szCs w:val="2"/>
      <w:lang w:eastAsia="en-US"/>
    </w:rPr>
  </w:style>
  <w:style w:type="character" w:customStyle="1" w:styleId="24">
    <w:name w:val="Header Char"/>
    <w:link w:val="7"/>
    <w:semiHidden/>
    <w:qFormat/>
    <w:uiPriority w:val="99"/>
    <w:rPr>
      <w:lang w:eastAsia="en-US"/>
    </w:rPr>
  </w:style>
  <w:style w:type="character" w:customStyle="1" w:styleId="25">
    <w:name w:val="Footer Char"/>
    <w:link w:val="6"/>
    <w:qFormat/>
    <w:uiPriority w:val="99"/>
    <w:rPr>
      <w:lang w:eastAsia="en-US"/>
    </w:rPr>
  </w:style>
  <w:style w:type="character" w:customStyle="1" w:styleId="26">
    <w:name w:val="Hyperlink1"/>
    <w:qFormat/>
    <w:uiPriority w:val="99"/>
    <w:rPr>
      <w:color w:val="535353"/>
      <w:u w:val="single"/>
    </w:rPr>
  </w:style>
  <w:style w:type="paragraph" w:customStyle="1" w:styleId="27">
    <w:name w:val="Normal (Web)1"/>
    <w:basedOn w:val="1"/>
    <w:qFormat/>
    <w:uiPriority w:val="99"/>
    <w:pPr>
      <w:spacing w:before="100" w:beforeAutospacing="1" w:after="300"/>
    </w:pPr>
    <w:rPr>
      <w:sz w:val="24"/>
      <w:szCs w:val="24"/>
      <w:lang w:eastAsia="en-GB"/>
    </w:rPr>
  </w:style>
  <w:style w:type="character" w:customStyle="1" w:styleId="28">
    <w:name w:val="Comment Text Char"/>
    <w:link w:val="4"/>
    <w:semiHidden/>
    <w:qFormat/>
    <w:uiPriority w:val="99"/>
    <w:rPr>
      <w:lang w:eastAsia="en-US"/>
    </w:rPr>
  </w:style>
  <w:style w:type="character" w:customStyle="1" w:styleId="29">
    <w:name w:val="Comment Subject Char"/>
    <w:link w:val="10"/>
    <w:semiHidden/>
    <w:qFormat/>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 w:type="character" w:customStyle="1" w:styleId="31">
    <w:name w:val="Unresolved Mention"/>
    <w:basedOn w:val="13"/>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UoW Trinity Saint David</Company>
  <Pages>1</Pages>
  <Words>1449</Words>
  <Characters>8265</Characters>
  <Lines>68</Lines>
  <Paragraphs>19</Paragraphs>
  <TotalTime>125</TotalTime>
  <ScaleCrop>false</ScaleCrop>
  <LinksUpToDate>false</LinksUpToDate>
  <CharactersWithSpaces>9695</CharactersWithSpaces>
  <Application>WPS Office_6.5.1.8687_F1E327BC-269C-435d-A152-05C5408002CA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2024-10-30T15:43:00Z</dcterms:created>
  <dc:creator>Kevin Brice</dc:creator>
  <cp:lastModifiedBy>黄梦莹</cp:lastModifiedBy>
  <cp:lastPrinted>2016-10-24T13:21:00Z</cp:lastPrinted>
  <dcterms:modified xsi:type="dcterms:W3CDTF">2025-01-05T17:00:06Z</dcterms:modified>
  <dc:title>PG2-E1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KSOProductBuildVer">
    <vt:lpwstr>2052-6.5.1.8687</vt:lpwstr>
  </property>
  <property fmtid="{D5CDD505-2E9C-101B-9397-08002B2CF9AE}" pid="5" name="ICV">
    <vt:lpwstr>5735E7A8362192C596BA7A679CC0589A_42</vt:lpwstr>
  </property>
</Properties>
</file>