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F235A4" w:rsidRDefault="00F64C6E">
      <w:pPr>
        <w:spacing w:after="0" w:line="480" w:lineRule="auto"/>
        <w:jc w:val="both"/>
        <w:rPr>
          <w:rFonts w:ascii="Times New Roman" w:eastAsia="Times New Roman" w:hAnsi="Times New Roman" w:cs="Times New Roman"/>
          <w:b/>
          <w:sz w:val="40"/>
          <w:szCs w:val="40"/>
        </w:rPr>
      </w:pPr>
      <w:r>
        <w:rPr>
          <w:rFonts w:ascii="Times New Roman" w:eastAsia="Times New Roman" w:hAnsi="Times New Roman" w:cs="Times New Roman"/>
          <w:b/>
          <w:sz w:val="40"/>
          <w:szCs w:val="40"/>
        </w:rPr>
        <w:t>Introduction to Public Health</w:t>
      </w:r>
    </w:p>
    <w:p w14:paraId="00000002" w14:textId="77777777" w:rsidR="00F235A4" w:rsidRDefault="00F64C6E">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Julianah Iwalaiye </w:t>
      </w:r>
    </w:p>
    <w:p w14:paraId="00000003" w14:textId="77777777" w:rsidR="00F235A4" w:rsidRDefault="00F64C6E">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2133902</w:t>
      </w:r>
    </w:p>
    <w:p w14:paraId="00000004" w14:textId="77777777" w:rsidR="00F235A4" w:rsidRDefault="00F64C6E">
      <w:pPr>
        <w:spacing w:after="0" w:line="480" w:lineRule="auto"/>
        <w:jc w:val="both"/>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Topic: Measles</w:t>
      </w:r>
    </w:p>
    <w:p w14:paraId="00000005" w14:textId="77777777" w:rsidR="00F235A4" w:rsidRDefault="00F64C6E">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LCHS4004</w:t>
      </w:r>
    </w:p>
    <w:p w14:paraId="00000006" w14:textId="77777777" w:rsidR="00F235A4" w:rsidRDefault="00F64C6E">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Laila Surani</w:t>
      </w:r>
    </w:p>
    <w:p w14:paraId="00000007" w14:textId="77777777" w:rsidR="00F235A4" w:rsidRDefault="00F235A4">
      <w:pPr>
        <w:spacing w:line="360" w:lineRule="auto"/>
        <w:jc w:val="both"/>
        <w:rPr>
          <w:rFonts w:ascii="Arial" w:eastAsia="Arial" w:hAnsi="Arial" w:cs="Arial"/>
          <w:b/>
        </w:rPr>
      </w:pPr>
    </w:p>
    <w:p w14:paraId="00000008" w14:textId="77777777" w:rsidR="00F235A4" w:rsidRDefault="00F235A4">
      <w:pPr>
        <w:spacing w:line="360" w:lineRule="auto"/>
        <w:jc w:val="both"/>
        <w:rPr>
          <w:rFonts w:ascii="Arial" w:eastAsia="Arial" w:hAnsi="Arial" w:cs="Arial"/>
          <w:b/>
        </w:rPr>
      </w:pPr>
    </w:p>
    <w:p w14:paraId="00000009" w14:textId="77777777" w:rsidR="00F235A4" w:rsidRDefault="00F235A4">
      <w:pPr>
        <w:spacing w:line="360" w:lineRule="auto"/>
        <w:jc w:val="both"/>
        <w:rPr>
          <w:rFonts w:ascii="Arial" w:eastAsia="Arial" w:hAnsi="Arial" w:cs="Arial"/>
          <w:b/>
        </w:rPr>
      </w:pPr>
    </w:p>
    <w:p w14:paraId="0000000A" w14:textId="77777777" w:rsidR="00F235A4" w:rsidRDefault="00F235A4">
      <w:pPr>
        <w:spacing w:line="360" w:lineRule="auto"/>
        <w:jc w:val="both"/>
        <w:rPr>
          <w:rFonts w:ascii="Arial" w:eastAsia="Arial" w:hAnsi="Arial" w:cs="Arial"/>
          <w:b/>
        </w:rPr>
      </w:pPr>
    </w:p>
    <w:p w14:paraId="0000000B" w14:textId="77777777" w:rsidR="00F235A4" w:rsidRDefault="00F235A4">
      <w:pPr>
        <w:spacing w:line="360" w:lineRule="auto"/>
        <w:jc w:val="both"/>
        <w:rPr>
          <w:rFonts w:ascii="Arial" w:eastAsia="Arial" w:hAnsi="Arial" w:cs="Arial"/>
          <w:b/>
        </w:rPr>
      </w:pPr>
    </w:p>
    <w:p w14:paraId="0000000C" w14:textId="77777777" w:rsidR="00F235A4" w:rsidRDefault="00F235A4">
      <w:pPr>
        <w:spacing w:line="360" w:lineRule="auto"/>
        <w:jc w:val="both"/>
        <w:rPr>
          <w:rFonts w:ascii="Arial" w:eastAsia="Arial" w:hAnsi="Arial" w:cs="Arial"/>
          <w:b/>
        </w:rPr>
      </w:pPr>
    </w:p>
    <w:p w14:paraId="0000000D" w14:textId="77777777" w:rsidR="00F235A4" w:rsidRDefault="00F235A4">
      <w:pPr>
        <w:spacing w:line="360" w:lineRule="auto"/>
        <w:jc w:val="both"/>
        <w:rPr>
          <w:rFonts w:ascii="Arial" w:eastAsia="Arial" w:hAnsi="Arial" w:cs="Arial"/>
          <w:b/>
        </w:rPr>
      </w:pPr>
    </w:p>
    <w:p w14:paraId="0000000E" w14:textId="77777777" w:rsidR="00F235A4" w:rsidRDefault="00F235A4">
      <w:pPr>
        <w:spacing w:line="360" w:lineRule="auto"/>
        <w:jc w:val="both"/>
        <w:rPr>
          <w:rFonts w:ascii="Arial" w:eastAsia="Arial" w:hAnsi="Arial" w:cs="Arial"/>
          <w:b/>
        </w:rPr>
      </w:pPr>
    </w:p>
    <w:p w14:paraId="0000000F" w14:textId="77777777" w:rsidR="00F235A4" w:rsidRDefault="00F235A4">
      <w:pPr>
        <w:spacing w:line="360" w:lineRule="auto"/>
        <w:jc w:val="both"/>
        <w:rPr>
          <w:rFonts w:ascii="Arial" w:eastAsia="Arial" w:hAnsi="Arial" w:cs="Arial"/>
          <w:b/>
        </w:rPr>
      </w:pPr>
    </w:p>
    <w:p w14:paraId="00000010" w14:textId="77777777" w:rsidR="00F235A4" w:rsidRDefault="00F235A4">
      <w:pPr>
        <w:spacing w:line="360" w:lineRule="auto"/>
        <w:jc w:val="both"/>
        <w:rPr>
          <w:rFonts w:ascii="Arial" w:eastAsia="Arial" w:hAnsi="Arial" w:cs="Arial"/>
          <w:b/>
        </w:rPr>
      </w:pPr>
    </w:p>
    <w:p w14:paraId="00000011" w14:textId="77777777" w:rsidR="00F235A4" w:rsidRDefault="00F235A4">
      <w:pPr>
        <w:spacing w:line="360" w:lineRule="auto"/>
        <w:jc w:val="both"/>
        <w:rPr>
          <w:rFonts w:ascii="Arial" w:eastAsia="Arial" w:hAnsi="Arial" w:cs="Arial"/>
          <w:b/>
        </w:rPr>
      </w:pPr>
    </w:p>
    <w:p w14:paraId="00000012" w14:textId="77777777" w:rsidR="00F235A4" w:rsidRDefault="00F235A4">
      <w:pPr>
        <w:spacing w:line="360" w:lineRule="auto"/>
        <w:jc w:val="both"/>
        <w:rPr>
          <w:rFonts w:ascii="Arial" w:eastAsia="Arial" w:hAnsi="Arial" w:cs="Arial"/>
          <w:b/>
        </w:rPr>
      </w:pPr>
    </w:p>
    <w:p w14:paraId="00000013" w14:textId="77777777" w:rsidR="00F235A4" w:rsidRDefault="00F235A4">
      <w:pPr>
        <w:spacing w:line="360" w:lineRule="auto"/>
        <w:jc w:val="both"/>
        <w:rPr>
          <w:rFonts w:ascii="Arial" w:eastAsia="Arial" w:hAnsi="Arial" w:cs="Arial"/>
          <w:b/>
        </w:rPr>
      </w:pPr>
    </w:p>
    <w:p w14:paraId="00000014" w14:textId="77777777" w:rsidR="00F235A4" w:rsidRDefault="00F235A4">
      <w:pPr>
        <w:spacing w:line="360" w:lineRule="auto"/>
        <w:jc w:val="both"/>
        <w:rPr>
          <w:rFonts w:ascii="Arial" w:eastAsia="Arial" w:hAnsi="Arial" w:cs="Arial"/>
          <w:b/>
        </w:rPr>
      </w:pPr>
    </w:p>
    <w:p w14:paraId="00000015" w14:textId="77777777" w:rsidR="00F235A4" w:rsidRDefault="00F235A4">
      <w:pPr>
        <w:spacing w:line="360" w:lineRule="auto"/>
        <w:jc w:val="both"/>
        <w:rPr>
          <w:rFonts w:ascii="Arial" w:eastAsia="Arial" w:hAnsi="Arial" w:cs="Arial"/>
          <w:b/>
        </w:rPr>
      </w:pPr>
    </w:p>
    <w:p w14:paraId="00000016" w14:textId="77777777" w:rsidR="00F235A4" w:rsidRDefault="00F235A4">
      <w:pPr>
        <w:spacing w:after="0" w:line="480" w:lineRule="auto"/>
        <w:jc w:val="both"/>
        <w:rPr>
          <w:rFonts w:ascii="Times New Roman" w:eastAsia="Times New Roman" w:hAnsi="Times New Roman" w:cs="Times New Roman"/>
          <w:sz w:val="36"/>
          <w:szCs w:val="36"/>
        </w:rPr>
      </w:pPr>
    </w:p>
    <w:p w14:paraId="00000017" w14:textId="77777777" w:rsidR="00F235A4" w:rsidRDefault="00F64C6E">
      <w:pPr>
        <w:spacing w:after="0" w:line="480" w:lineRule="auto"/>
        <w:jc w:val="both"/>
        <w:rPr>
          <w:rFonts w:ascii="Times New Roman" w:eastAsia="Times New Roman" w:hAnsi="Times New Roman" w:cs="Times New Roman"/>
          <w:sz w:val="36"/>
          <w:szCs w:val="36"/>
        </w:rPr>
      </w:pPr>
      <w:r>
        <w:rPr>
          <w:rFonts w:ascii="Times New Roman" w:eastAsia="Times New Roman" w:hAnsi="Times New Roman" w:cs="Times New Roman"/>
          <w:sz w:val="36"/>
          <w:szCs w:val="36"/>
        </w:rPr>
        <w:lastRenderedPageBreak/>
        <w:t xml:space="preserve">Table of Contents </w:t>
      </w:r>
    </w:p>
    <w:p w14:paraId="00000018" w14:textId="77777777" w:rsidR="00F235A4" w:rsidRDefault="00F64C6E">
      <w:pPr>
        <w:spacing w:after="0"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Introduction…………………………………………………………. Page 3</w:t>
      </w:r>
    </w:p>
    <w:p w14:paraId="00000019" w14:textId="504AE294" w:rsidR="00F235A4" w:rsidRDefault="00F64C6E">
      <w:pPr>
        <w:spacing w:after="0"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Public Health Measures </w:t>
      </w:r>
      <w:r w:rsidR="00C06199">
        <w:rPr>
          <w:rFonts w:ascii="Times New Roman" w:eastAsia="Times New Roman" w:hAnsi="Times New Roman" w:cs="Times New Roman"/>
          <w:sz w:val="28"/>
          <w:szCs w:val="28"/>
        </w:rPr>
        <w:t>Available……………………………………</w:t>
      </w:r>
      <w:r>
        <w:rPr>
          <w:rFonts w:ascii="Times New Roman" w:eastAsia="Times New Roman" w:hAnsi="Times New Roman" w:cs="Times New Roman"/>
          <w:sz w:val="28"/>
          <w:szCs w:val="28"/>
        </w:rPr>
        <w:t>Page 3-5</w:t>
      </w:r>
    </w:p>
    <w:p w14:paraId="0000001A" w14:textId="77777777" w:rsidR="00F235A4" w:rsidRDefault="00F64C6E">
      <w:pPr>
        <w:spacing w:after="0"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Risk Factor ……….…………………………………………………. Page 5-6</w:t>
      </w:r>
    </w:p>
    <w:p w14:paraId="0000001B" w14:textId="1F8FEF5E" w:rsidR="00F235A4" w:rsidRDefault="00F64C6E">
      <w:pPr>
        <w:spacing w:after="0"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Short term and Long-term public</w:t>
      </w:r>
      <w:r w:rsidR="00C06199">
        <w:rPr>
          <w:rFonts w:ascii="Times New Roman" w:eastAsia="Times New Roman" w:hAnsi="Times New Roman" w:cs="Times New Roman"/>
          <w:sz w:val="28"/>
          <w:szCs w:val="28"/>
        </w:rPr>
        <w:t xml:space="preserve"> health consequences of measles</w:t>
      </w:r>
      <w:r>
        <w:rPr>
          <w:rFonts w:ascii="Times New Roman" w:eastAsia="Times New Roman" w:hAnsi="Times New Roman" w:cs="Times New Roman"/>
          <w:sz w:val="28"/>
          <w:szCs w:val="28"/>
        </w:rPr>
        <w:t>...</w:t>
      </w:r>
      <w:r w:rsidR="00C06199">
        <w:rPr>
          <w:rFonts w:ascii="Times New Roman" w:eastAsia="Times New Roman" w:hAnsi="Times New Roman" w:cs="Times New Roman"/>
          <w:sz w:val="28"/>
          <w:szCs w:val="28"/>
        </w:rPr>
        <w:t>...Page 6</w:t>
      </w:r>
      <w:r w:rsidR="00FC3FBD">
        <w:rPr>
          <w:rFonts w:ascii="Times New Roman" w:eastAsia="Times New Roman" w:hAnsi="Times New Roman" w:cs="Times New Roman"/>
          <w:sz w:val="28"/>
          <w:szCs w:val="28"/>
        </w:rPr>
        <w:t>-7</w:t>
      </w:r>
    </w:p>
    <w:p w14:paraId="0000001C" w14:textId="69575F06" w:rsidR="00F235A4" w:rsidRDefault="00F64C6E">
      <w:pPr>
        <w:spacing w:after="0"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Co</w:t>
      </w:r>
      <w:r w:rsidR="00C06199">
        <w:rPr>
          <w:rFonts w:ascii="Times New Roman" w:eastAsia="Times New Roman" w:hAnsi="Times New Roman" w:cs="Times New Roman"/>
          <w:sz w:val="28"/>
          <w:szCs w:val="28"/>
        </w:rPr>
        <w:t xml:space="preserve">nclusion………………………………………………………… </w:t>
      </w:r>
      <w:r>
        <w:rPr>
          <w:rFonts w:ascii="Times New Roman" w:eastAsia="Times New Roman" w:hAnsi="Times New Roman" w:cs="Times New Roman"/>
          <w:sz w:val="28"/>
          <w:szCs w:val="28"/>
        </w:rPr>
        <w:t>.. Page 7</w:t>
      </w:r>
    </w:p>
    <w:p w14:paraId="0000001D" w14:textId="55284522" w:rsidR="00F235A4" w:rsidRDefault="00F64C6E">
      <w:pPr>
        <w:spacing w:after="0" w:line="48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Refer</w:t>
      </w:r>
      <w:r w:rsidR="00FC3FBD">
        <w:rPr>
          <w:rFonts w:ascii="Times New Roman" w:eastAsia="Times New Roman" w:hAnsi="Times New Roman" w:cs="Times New Roman"/>
          <w:sz w:val="28"/>
          <w:szCs w:val="28"/>
        </w:rPr>
        <w:t xml:space="preserve">ences …………………………………………………………   </w:t>
      </w:r>
      <w:bookmarkStart w:id="1" w:name="_GoBack"/>
      <w:bookmarkEnd w:id="1"/>
      <w:r>
        <w:rPr>
          <w:rFonts w:ascii="Times New Roman" w:eastAsia="Times New Roman" w:hAnsi="Times New Roman" w:cs="Times New Roman"/>
          <w:sz w:val="28"/>
          <w:szCs w:val="28"/>
        </w:rPr>
        <w:t xml:space="preserve"> Page 8-9</w:t>
      </w:r>
    </w:p>
    <w:p w14:paraId="0000001E" w14:textId="77777777" w:rsidR="00F235A4" w:rsidRDefault="00F235A4">
      <w:pPr>
        <w:spacing w:after="0" w:line="480" w:lineRule="auto"/>
        <w:jc w:val="center"/>
        <w:rPr>
          <w:rFonts w:ascii="Times New Roman" w:eastAsia="Times New Roman" w:hAnsi="Times New Roman" w:cs="Times New Roman"/>
          <w:b/>
          <w:sz w:val="24"/>
          <w:szCs w:val="24"/>
        </w:rPr>
      </w:pPr>
    </w:p>
    <w:p w14:paraId="0000001F" w14:textId="77777777" w:rsidR="00F235A4" w:rsidRDefault="00F235A4">
      <w:pPr>
        <w:spacing w:line="360" w:lineRule="auto"/>
        <w:jc w:val="both"/>
        <w:rPr>
          <w:rFonts w:ascii="Arial" w:eastAsia="Arial" w:hAnsi="Arial" w:cs="Arial"/>
          <w:b/>
        </w:rPr>
      </w:pPr>
    </w:p>
    <w:p w14:paraId="00000020" w14:textId="77777777" w:rsidR="00F235A4" w:rsidRDefault="00F235A4">
      <w:pPr>
        <w:spacing w:line="360" w:lineRule="auto"/>
        <w:jc w:val="both"/>
        <w:rPr>
          <w:rFonts w:ascii="Arial" w:eastAsia="Arial" w:hAnsi="Arial" w:cs="Arial"/>
          <w:b/>
        </w:rPr>
      </w:pPr>
    </w:p>
    <w:p w14:paraId="00000021" w14:textId="77777777" w:rsidR="00F235A4" w:rsidRDefault="00F235A4">
      <w:pPr>
        <w:spacing w:line="360" w:lineRule="auto"/>
        <w:jc w:val="both"/>
        <w:rPr>
          <w:rFonts w:ascii="Arial" w:eastAsia="Arial" w:hAnsi="Arial" w:cs="Arial"/>
          <w:b/>
        </w:rPr>
      </w:pPr>
    </w:p>
    <w:p w14:paraId="00000022" w14:textId="77777777" w:rsidR="00F235A4" w:rsidRDefault="00F235A4">
      <w:pPr>
        <w:spacing w:line="360" w:lineRule="auto"/>
        <w:jc w:val="both"/>
        <w:rPr>
          <w:rFonts w:ascii="Arial" w:eastAsia="Arial" w:hAnsi="Arial" w:cs="Arial"/>
          <w:b/>
        </w:rPr>
      </w:pPr>
    </w:p>
    <w:p w14:paraId="00000023" w14:textId="77777777" w:rsidR="00F235A4" w:rsidRDefault="00F235A4">
      <w:pPr>
        <w:spacing w:line="360" w:lineRule="auto"/>
        <w:jc w:val="both"/>
        <w:rPr>
          <w:rFonts w:ascii="Arial" w:eastAsia="Arial" w:hAnsi="Arial" w:cs="Arial"/>
          <w:b/>
        </w:rPr>
      </w:pPr>
    </w:p>
    <w:p w14:paraId="00000024" w14:textId="77777777" w:rsidR="00F235A4" w:rsidRDefault="00F235A4">
      <w:pPr>
        <w:spacing w:line="360" w:lineRule="auto"/>
        <w:jc w:val="both"/>
        <w:rPr>
          <w:rFonts w:ascii="Arial" w:eastAsia="Arial" w:hAnsi="Arial" w:cs="Arial"/>
          <w:b/>
        </w:rPr>
      </w:pPr>
    </w:p>
    <w:p w14:paraId="00000025" w14:textId="77777777" w:rsidR="00F235A4" w:rsidRDefault="00F235A4">
      <w:pPr>
        <w:spacing w:line="360" w:lineRule="auto"/>
        <w:jc w:val="both"/>
        <w:rPr>
          <w:rFonts w:ascii="Arial" w:eastAsia="Arial" w:hAnsi="Arial" w:cs="Arial"/>
          <w:b/>
        </w:rPr>
      </w:pPr>
    </w:p>
    <w:p w14:paraId="00000026" w14:textId="77777777" w:rsidR="00F235A4" w:rsidRDefault="00F235A4">
      <w:pPr>
        <w:spacing w:line="360" w:lineRule="auto"/>
        <w:jc w:val="both"/>
        <w:rPr>
          <w:rFonts w:ascii="Arial" w:eastAsia="Arial" w:hAnsi="Arial" w:cs="Arial"/>
          <w:b/>
        </w:rPr>
      </w:pPr>
    </w:p>
    <w:p w14:paraId="00000027" w14:textId="77777777" w:rsidR="00F235A4" w:rsidRDefault="00F235A4">
      <w:pPr>
        <w:spacing w:line="360" w:lineRule="auto"/>
        <w:jc w:val="both"/>
        <w:rPr>
          <w:rFonts w:ascii="Arial" w:eastAsia="Arial" w:hAnsi="Arial" w:cs="Arial"/>
          <w:b/>
        </w:rPr>
      </w:pPr>
    </w:p>
    <w:p w14:paraId="00000028" w14:textId="77777777" w:rsidR="00F235A4" w:rsidRDefault="00F235A4">
      <w:pPr>
        <w:spacing w:line="360" w:lineRule="auto"/>
        <w:jc w:val="both"/>
        <w:rPr>
          <w:rFonts w:ascii="Arial" w:eastAsia="Arial" w:hAnsi="Arial" w:cs="Arial"/>
          <w:b/>
        </w:rPr>
      </w:pPr>
    </w:p>
    <w:p w14:paraId="00000029" w14:textId="2D1AD8AB" w:rsidR="00F235A4" w:rsidRDefault="00F235A4">
      <w:pPr>
        <w:spacing w:line="360" w:lineRule="auto"/>
        <w:jc w:val="both"/>
        <w:rPr>
          <w:rFonts w:ascii="Arial" w:eastAsia="Arial" w:hAnsi="Arial" w:cs="Arial"/>
          <w:b/>
        </w:rPr>
      </w:pPr>
    </w:p>
    <w:p w14:paraId="79F6D5DC" w14:textId="77777777" w:rsidR="00C06199" w:rsidRDefault="00C06199">
      <w:pPr>
        <w:spacing w:line="360" w:lineRule="auto"/>
        <w:jc w:val="both"/>
        <w:rPr>
          <w:rFonts w:ascii="Arial" w:eastAsia="Arial" w:hAnsi="Arial" w:cs="Arial"/>
          <w:b/>
        </w:rPr>
      </w:pPr>
    </w:p>
    <w:p w14:paraId="0000002A" w14:textId="77777777" w:rsidR="00F235A4" w:rsidRDefault="00F235A4">
      <w:pPr>
        <w:spacing w:line="360" w:lineRule="auto"/>
        <w:jc w:val="both"/>
        <w:rPr>
          <w:rFonts w:ascii="Arial" w:eastAsia="Arial" w:hAnsi="Arial" w:cs="Arial"/>
          <w:b/>
        </w:rPr>
      </w:pPr>
    </w:p>
    <w:p w14:paraId="0000002B" w14:textId="77777777" w:rsidR="00F235A4" w:rsidRDefault="00F64C6E">
      <w:pPr>
        <w:spacing w:line="360" w:lineRule="auto"/>
        <w:jc w:val="both"/>
        <w:rPr>
          <w:rFonts w:ascii="Arial" w:eastAsia="Arial" w:hAnsi="Arial" w:cs="Arial"/>
          <w:b/>
        </w:rPr>
      </w:pPr>
      <w:r>
        <w:rPr>
          <w:rFonts w:ascii="Arial" w:eastAsia="Arial" w:hAnsi="Arial" w:cs="Arial"/>
          <w:b/>
        </w:rPr>
        <w:lastRenderedPageBreak/>
        <w:t>Introduction</w:t>
      </w:r>
    </w:p>
    <w:p w14:paraId="31044722" w14:textId="77777777" w:rsidR="00F63CBB" w:rsidRPr="004875A7" w:rsidRDefault="00F63CBB" w:rsidP="00F63CBB">
      <w:pPr>
        <w:spacing w:line="360" w:lineRule="auto"/>
        <w:jc w:val="both"/>
        <w:rPr>
          <w:rFonts w:ascii="Arial" w:eastAsia="Arial" w:hAnsi="Arial" w:cs="Arial"/>
        </w:rPr>
      </w:pPr>
      <w:r w:rsidRPr="004875A7">
        <w:rPr>
          <w:rFonts w:ascii="Arial" w:eastAsia="Arial" w:hAnsi="Arial" w:cs="Arial"/>
        </w:rPr>
        <w:t>Measles is caused by the highly transmittable measles virus, usually affects youngsters. Its most noticeable symptoms are a maculopapular irritation, fever (above 400 C), cough, coryza, and conjunctivitis. The infection spreads by airborne droplets of an infected person's nasal, oral, and throat secretions and is highly infectious. Over 90% of those who are vulnerable develop the measles after being exposed to it for 10–12 days (Caserta, 2014).</w:t>
      </w:r>
    </w:p>
    <w:p w14:paraId="0000002D" w14:textId="66EE4192" w:rsidR="00F235A4" w:rsidRPr="004875A7" w:rsidRDefault="00F63CBB">
      <w:pPr>
        <w:spacing w:line="360" w:lineRule="auto"/>
        <w:jc w:val="both"/>
        <w:rPr>
          <w:rFonts w:ascii="Arial" w:hAnsi="Arial" w:cs="Arial"/>
        </w:rPr>
      </w:pPr>
      <w:r w:rsidRPr="004875A7">
        <w:rPr>
          <w:rFonts w:ascii="Arial" w:eastAsia="Arial" w:hAnsi="Arial" w:cs="Arial"/>
        </w:rPr>
        <w:t xml:space="preserve">Until the measles vaccine was created, the illness alone claimed the lives of more than 2 million kids per year. Measles infections have decreased from 83% to 25% as a result of the rapid adoption of immunisation programmes globally since 2000, when the rate was 145 cases per million persons (Dabbagh et al., 2018). In contrast to the 545,000 deaths caused by the illness before 2000, 109,000 measles-related deaths were predicted to occur globally in 2017. Over 21.1 million fatalities were prevented globally between 2000 and 2017 to immunisation programmes (Dabbagh et al). 2018 had 167% increase in measles cases globally compared to 2016 (Patel et al., 2019). Only approximately 100 confirmed cases of the measles each year have been reported in England since the year 2000. The number since increases reaching a record of 1330 cases in 2008; in 2011, there were 1067 cases (1.7 per 100,000 people). For 10 years, there have been small outbreaks, particularly in communities of </w:t>
      </w:r>
      <w:r w:rsidR="00C70952" w:rsidRPr="004875A7">
        <w:rPr>
          <w:rFonts w:ascii="Arial" w:eastAsia="Arial" w:hAnsi="Arial" w:cs="Arial"/>
        </w:rPr>
        <w:t>travellers.</w:t>
      </w:r>
    </w:p>
    <w:p w14:paraId="0000002E" w14:textId="77777777" w:rsidR="00F235A4" w:rsidRPr="004875A7" w:rsidRDefault="00F64C6E">
      <w:pPr>
        <w:spacing w:line="360" w:lineRule="auto"/>
        <w:jc w:val="both"/>
        <w:rPr>
          <w:rFonts w:ascii="Arial" w:eastAsia="Arial" w:hAnsi="Arial" w:cs="Arial"/>
          <w:b/>
        </w:rPr>
      </w:pPr>
      <w:r w:rsidRPr="004875A7">
        <w:rPr>
          <w:rFonts w:ascii="Arial" w:eastAsia="Arial" w:hAnsi="Arial" w:cs="Arial"/>
          <w:b/>
        </w:rPr>
        <w:t xml:space="preserve">Public Health measures available </w:t>
      </w:r>
    </w:p>
    <w:p w14:paraId="524754BF" w14:textId="77777777" w:rsidR="004875A7" w:rsidRPr="004875A7" w:rsidRDefault="004875A7" w:rsidP="004875A7">
      <w:pPr>
        <w:spacing w:line="360" w:lineRule="auto"/>
        <w:jc w:val="both"/>
        <w:rPr>
          <w:rFonts w:ascii="Arial" w:hAnsi="Arial" w:cs="Arial"/>
        </w:rPr>
      </w:pPr>
      <w:r w:rsidRPr="004875A7">
        <w:rPr>
          <w:rFonts w:ascii="Arial" w:hAnsi="Arial" w:cs="Arial"/>
        </w:rPr>
        <w:t>Measles is a highly infectious viral illness that, especially in youngsters, can result in major health issues. There are numerous steps that may be taken to stop the measles from spreading and safeguard the public's health. There are a few typical public health actions used to combat measles:</w:t>
      </w:r>
    </w:p>
    <w:p w14:paraId="158B09AB" w14:textId="77777777" w:rsidR="004875A7" w:rsidRPr="004875A7" w:rsidRDefault="004875A7" w:rsidP="004875A7">
      <w:pPr>
        <w:numPr>
          <w:ilvl w:val="0"/>
          <w:numId w:val="1"/>
        </w:numPr>
        <w:pBdr>
          <w:top w:val="nil"/>
          <w:left w:val="nil"/>
          <w:bottom w:val="nil"/>
          <w:right w:val="nil"/>
          <w:between w:val="nil"/>
        </w:pBdr>
        <w:spacing w:line="360" w:lineRule="auto"/>
        <w:jc w:val="both"/>
        <w:rPr>
          <w:rFonts w:ascii="Arial" w:hAnsi="Arial" w:cs="Arial"/>
          <w:b/>
          <w:color w:val="000000"/>
        </w:rPr>
      </w:pPr>
      <w:r w:rsidRPr="004875A7">
        <w:rPr>
          <w:rFonts w:ascii="Arial" w:eastAsia="Arial" w:hAnsi="Arial" w:cs="Arial"/>
          <w:b/>
          <w:color w:val="000000"/>
        </w:rPr>
        <w:t>Two dose vaccination schedules</w:t>
      </w:r>
    </w:p>
    <w:p w14:paraId="11FE9647" w14:textId="77777777" w:rsidR="004875A7" w:rsidRPr="004875A7" w:rsidRDefault="004875A7" w:rsidP="004875A7">
      <w:pPr>
        <w:pBdr>
          <w:top w:val="nil"/>
          <w:left w:val="nil"/>
          <w:bottom w:val="nil"/>
          <w:right w:val="nil"/>
          <w:between w:val="nil"/>
        </w:pBdr>
        <w:spacing w:line="360" w:lineRule="auto"/>
        <w:jc w:val="both"/>
        <w:rPr>
          <w:rFonts w:ascii="Arial" w:hAnsi="Arial" w:cs="Arial"/>
          <w:color w:val="000000"/>
        </w:rPr>
      </w:pPr>
      <w:r w:rsidRPr="004875A7">
        <w:rPr>
          <w:rFonts w:ascii="Arial" w:hAnsi="Arial" w:cs="Arial"/>
          <w:color w:val="000000"/>
        </w:rPr>
        <w:t>Measles may be prevented most successfully with immunisation. Usually, the measles vaccination is given together with the MMR (measles, mumps, and rubella) vaccine. The vaccination should be administered to children in two doses, the initial between the ages of 12 and 15 months and the second between the ages of 4-6. The risk of infection is considerably decreased and protection against the virus is helped by vaccination.</w:t>
      </w:r>
    </w:p>
    <w:p w14:paraId="6A037F64" w14:textId="6096EEDB"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xml:space="preserve"> Measles control can be improved by administering a second dose of a measles vaccine, and numerous countries have been successful in stopping the spread of the disease by achieving </w:t>
      </w:r>
      <w:r w:rsidRPr="004875A7">
        <w:rPr>
          <w:rFonts w:ascii="Arial" w:eastAsia="Arial" w:hAnsi="Arial" w:cs="Arial"/>
        </w:rPr>
        <w:lastRenderedPageBreak/>
        <w:t>high vaccination coverage for both doses (WHO, 1983). Experience has shown that these children can contribute to the maintenance of measles transmission in settings where there is a high coverage rate for a single dose even though less than 10% of children who were immunised after the age of 12 months suffer from primary vaccine failures (Brown et al., 1994).</w:t>
      </w:r>
    </w:p>
    <w:p w14:paraId="233B0874" w14:textId="77777777" w:rsidR="004875A7" w:rsidRPr="004875A7" w:rsidRDefault="004875A7" w:rsidP="004875A7">
      <w:pPr>
        <w:numPr>
          <w:ilvl w:val="0"/>
          <w:numId w:val="1"/>
        </w:numPr>
        <w:pBdr>
          <w:top w:val="nil"/>
          <w:left w:val="nil"/>
          <w:bottom w:val="nil"/>
          <w:right w:val="nil"/>
          <w:between w:val="nil"/>
        </w:pBdr>
        <w:spacing w:line="360" w:lineRule="auto"/>
        <w:jc w:val="both"/>
        <w:rPr>
          <w:rFonts w:ascii="Arial" w:hAnsi="Arial" w:cs="Arial"/>
          <w:b/>
          <w:color w:val="000000"/>
        </w:rPr>
      </w:pPr>
      <w:r w:rsidRPr="004875A7">
        <w:rPr>
          <w:rFonts w:ascii="Arial" w:eastAsia="Arial" w:hAnsi="Arial" w:cs="Arial"/>
          <w:b/>
          <w:color w:val="000000"/>
        </w:rPr>
        <w:t xml:space="preserve">Maintaining high routine coverage of a single dose of vaccine </w:t>
      </w:r>
    </w:p>
    <w:p w14:paraId="2AC01DE9" w14:textId="77777777" w:rsidR="004875A7" w:rsidRPr="004875A7" w:rsidRDefault="004875A7" w:rsidP="004875A7">
      <w:pPr>
        <w:pBdr>
          <w:top w:val="nil"/>
          <w:left w:val="nil"/>
          <w:bottom w:val="nil"/>
          <w:right w:val="nil"/>
          <w:between w:val="nil"/>
        </w:pBdr>
        <w:spacing w:line="360" w:lineRule="auto"/>
        <w:jc w:val="both"/>
        <w:rPr>
          <w:rFonts w:ascii="Arial" w:hAnsi="Arial" w:cs="Arial"/>
          <w:b/>
          <w:color w:val="000000"/>
        </w:rPr>
      </w:pPr>
      <w:r w:rsidRPr="004875A7">
        <w:rPr>
          <w:rFonts w:ascii="Arial" w:hAnsi="Arial" w:cs="Arial"/>
        </w:rPr>
        <w:t>Routine Immunisation Programmes: To guarantee that as many people as possible are immunised against measles, governments and public health agencies frequently organise routine immunisation programmes. To boost immunisation rates and safeguard communities, these programmes target newborns, kids, and other vulnerable people.</w:t>
      </w:r>
    </w:p>
    <w:p w14:paraId="27485055"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The WHO had previously supported this course of action, and by the late 1970s, the majority of the countries in the European Region had adopted it. With the right approach, measles might be completely eliminated along with the disease's morbidity and mortality rates. Measles will continue to spread in regions with low vaccination rates (below than 90%), and outbreaks will occur at regular intervals of three to four years. The scale of the epidemics will be minor by pre-vaccination standards, and it will be able to achieve large reductions in the number of cases and fatalities even if coverage falls below 90% (Miller, 2003).</w:t>
      </w:r>
    </w:p>
    <w:p w14:paraId="1C3E9ACF" w14:textId="77777777" w:rsidR="004875A7" w:rsidRPr="004875A7" w:rsidRDefault="004875A7" w:rsidP="004875A7">
      <w:pPr>
        <w:spacing w:line="360" w:lineRule="auto"/>
        <w:ind w:firstLine="720"/>
        <w:jc w:val="both"/>
        <w:rPr>
          <w:rFonts w:ascii="Arial" w:eastAsia="Arial" w:hAnsi="Arial" w:cs="Arial"/>
          <w:b/>
          <w:color w:val="000000"/>
        </w:rPr>
      </w:pPr>
      <w:r w:rsidRPr="004875A7">
        <w:rPr>
          <w:rFonts w:ascii="Arial" w:eastAsia="Arial" w:hAnsi="Arial" w:cs="Arial"/>
          <w:b/>
          <w:color w:val="000000"/>
        </w:rPr>
        <w:t xml:space="preserve">Mass “catch-up” campaigns </w:t>
      </w:r>
    </w:p>
    <w:p w14:paraId="28C5A715" w14:textId="77777777" w:rsidR="004875A7" w:rsidRPr="004875A7" w:rsidRDefault="004875A7" w:rsidP="004875A7">
      <w:pPr>
        <w:spacing w:line="360" w:lineRule="auto"/>
        <w:jc w:val="both"/>
        <w:rPr>
          <w:rFonts w:ascii="Arial" w:hAnsi="Arial" w:cs="Arial"/>
          <w:b/>
          <w:color w:val="000000"/>
        </w:rPr>
      </w:pPr>
      <w:r w:rsidRPr="004875A7">
        <w:rPr>
          <w:rFonts w:ascii="Arial" w:hAnsi="Arial" w:cs="Arial"/>
        </w:rPr>
        <w:t>Vaccination campaigns: To reach people who might have missed normal immunisations, targeted vaccination campaigns may be organised in regions with poor vaccination coverage or during occurrences. In order to administer vaccinations to those at risk, such campaigns may entail establishing temporary vaccination centres in schools, community centres, or medical institutions.</w:t>
      </w:r>
    </w:p>
    <w:p w14:paraId="41A786BA"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xml:space="preserve">The creation of innovative methods for the delivery of the measles vaccination has been prompted by the difficulty of maintaining high coverage rates and the worries about outbreaks developing in older children (Clement, 1994). This strategy necessitates the execution of a broad "catch-up" campaign, as well as "mop-up" and "follow-up" initiatives that are especially directed at groups with insufficient coverage. Cuba has been effective in stopping the spread of measles after enacting such a strategy for the first time in 1986 (De Quadrose et al., 1996). </w:t>
      </w:r>
      <w:bookmarkStart w:id="2" w:name="_30j0zll" w:colFirst="0" w:colLast="0"/>
      <w:bookmarkEnd w:id="2"/>
      <w:r w:rsidRPr="004875A7">
        <w:rPr>
          <w:rFonts w:ascii="Arial" w:eastAsia="Arial" w:hAnsi="Arial" w:cs="Arial"/>
        </w:rPr>
        <w:t xml:space="preserve">All kids aged one to fourteen were eligible for vaccination during the period of the campaign, regardless of whether they had previously had it or not. By concentrating all of one's efforts on a single campaign and working together, it is feasible to achieve high coverage even among groups that would struggle to access standard immunisation programmes. New youth populations that are susceptible to the </w:t>
      </w:r>
      <w:r w:rsidRPr="004875A7">
        <w:rPr>
          <w:rFonts w:ascii="Arial" w:eastAsia="Arial" w:hAnsi="Arial" w:cs="Arial"/>
        </w:rPr>
        <w:lastRenderedPageBreak/>
        <w:t>disease will continue to arise once the campaign is completed. If this buildup is to be slowed, efforts that maintain or enhance coverage of the initial dose of vaccination must continue. Additionally, because to the low number of kids who do not respond to a single dosage of the vaccination.</w:t>
      </w:r>
    </w:p>
    <w:p w14:paraId="52E86CF4" w14:textId="02BF1917" w:rsidR="004875A7" w:rsidRPr="004875A7" w:rsidRDefault="004875A7" w:rsidP="004875A7">
      <w:pPr>
        <w:spacing w:line="360" w:lineRule="auto"/>
        <w:jc w:val="both"/>
        <w:rPr>
          <w:rFonts w:ascii="Arial" w:hAnsi="Arial" w:cs="Arial"/>
        </w:rPr>
      </w:pPr>
      <w:r w:rsidRPr="004875A7">
        <w:rPr>
          <w:rFonts w:ascii="Arial" w:hAnsi="Arial" w:cs="Arial"/>
        </w:rPr>
        <w:t xml:space="preserve">Public health organisations maintain monitoring systems to quickly identify instances of the measles. This entails keeping track of reported instances, looking into outbreaks, and putting in place the necessary safeguards. Early detection assists in identifying and isolating sick persons, stopping the spread of the </w:t>
      </w:r>
      <w:r w:rsidR="00310B1F" w:rsidRPr="004875A7">
        <w:rPr>
          <w:rFonts w:ascii="Arial" w:hAnsi="Arial" w:cs="Arial"/>
        </w:rPr>
        <w:t>disease.</w:t>
      </w:r>
    </w:p>
    <w:p w14:paraId="39A8AF3F" w14:textId="77777777" w:rsidR="004875A7" w:rsidRPr="004875A7" w:rsidRDefault="004875A7" w:rsidP="004875A7">
      <w:pPr>
        <w:spacing w:line="360" w:lineRule="auto"/>
        <w:jc w:val="both"/>
        <w:rPr>
          <w:rFonts w:ascii="Arial" w:hAnsi="Arial" w:cs="Arial"/>
        </w:rPr>
      </w:pPr>
      <w:r w:rsidRPr="004875A7">
        <w:rPr>
          <w:rFonts w:ascii="Arial" w:hAnsi="Arial" w:cs="Arial"/>
        </w:rPr>
        <w:t>Isolation and quarantine: To stop the virus from spreading to others, suspected or confirmed cases of the measles are isolated. Individuals who have been exposed to the virus but have not yet shown symptoms may also be subject to quarantine procedures. These precautions are essential for lowering the risk of transmission, particularly in healthcare facilities and during public outbreaks.</w:t>
      </w:r>
    </w:p>
    <w:p w14:paraId="1757DF3A" w14:textId="77777777" w:rsidR="004875A7" w:rsidRPr="004875A7" w:rsidRDefault="004875A7" w:rsidP="004875A7">
      <w:pPr>
        <w:spacing w:line="360" w:lineRule="auto"/>
        <w:jc w:val="both"/>
        <w:rPr>
          <w:rFonts w:ascii="Arial" w:hAnsi="Arial" w:cs="Arial"/>
        </w:rPr>
      </w:pPr>
      <w:r w:rsidRPr="004875A7">
        <w:rPr>
          <w:rFonts w:ascii="Arial" w:hAnsi="Arial" w:cs="Arial"/>
        </w:rPr>
        <w:t>Health professionals are instructed on measles prevention, emphasising the significance of vaccination and infection control procedures. To protect both themselves and their patients, they could additionally get booster doses or extra immunisations.</w:t>
      </w:r>
    </w:p>
    <w:p w14:paraId="211B77A8" w14:textId="77777777" w:rsidR="004875A7" w:rsidRPr="004875A7" w:rsidRDefault="004875A7" w:rsidP="004875A7">
      <w:pPr>
        <w:spacing w:line="360" w:lineRule="auto"/>
        <w:jc w:val="both"/>
        <w:rPr>
          <w:rFonts w:ascii="Arial" w:hAnsi="Arial" w:cs="Arial"/>
        </w:rPr>
      </w:pPr>
      <w:r w:rsidRPr="004875A7">
        <w:rPr>
          <w:rFonts w:ascii="Arial" w:eastAsia="Arial" w:hAnsi="Arial" w:cs="Arial"/>
          <w:b/>
        </w:rPr>
        <w:t>Risk Factor</w:t>
      </w:r>
    </w:p>
    <w:p w14:paraId="35CA3BBA"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xml:space="preserve">Key risk factors for measles infection among children were age under 24 months (80.9% of cases) and a history of travel to nations where there was a proven outbreak of the disease, in addition to not receiving the MMR vaccine or receiving an incomplete dose. Healthcare facilities most certainly play a significant impact in measles exposure, transmission, and dissemination, especially among hospital inpatients. The descriptive epidemiology of the epidemic supports this theory. </w:t>
      </w:r>
    </w:p>
    <w:p w14:paraId="2A62244A"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The following are some other risk factors for measles:</w:t>
      </w:r>
    </w:p>
    <w:p w14:paraId="1216FCEF"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xml:space="preserve">• Infants who, due to their age, are too young to get vaccinations: Because newborns' immune systems are still developing and cannot produce the essential protective immunologic response to the immunisation, the measles vaccine is useless in protecting against the disease. The vaccination must elicit this reaction in order to work. Instead of waiting until the conventional age range of 12 to 15 months, it is advised that babies who will be travelling outside the nation take one dose of their MMR vaccine between the ages of 6 and 11 months. This is due to the fact that </w:t>
      </w:r>
      <w:r w:rsidRPr="004875A7">
        <w:rPr>
          <w:rFonts w:ascii="Arial" w:eastAsia="Arial" w:hAnsi="Arial" w:cs="Arial"/>
        </w:rPr>
        <w:lastRenderedPageBreak/>
        <w:t>when they are in unfamiliar situations, babies are more likely to develop infectious illnesses. • Individuals who are unable to receive the MMR vaccine due to medical conditions: Some individuals are unable to receive the MMR vaccine due to medical conditions such as being immunocompromised or the fact that they are taking specific medications, such as high doses of steroids or chemotherapy for cancer.</w:t>
      </w:r>
    </w:p>
    <w:p w14:paraId="16F20C55"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Not receiving a second dose of the MMR booster vaccination: People who have not received a second dose of the MMR booster vaccine do not have full immunity against measles. Most kids wait until they are between the ages of 4 and 6 to receive their booster shot.</w:t>
      </w:r>
    </w:p>
    <w:p w14:paraId="5ECFD27F"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People with a compromised immune system: Whether received the MMR combo vaccine or not.</w:t>
      </w:r>
    </w:p>
    <w:p w14:paraId="65CB4620"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xml:space="preserve">• A lack of vitamin A is a cause for concern because it raises the risk of contracting measles and makes the disease more severe when it does occur (Sudfeld </w:t>
      </w:r>
      <w:r w:rsidRPr="004875A7">
        <w:rPr>
          <w:rFonts w:ascii="Arial" w:eastAsia="Arial" w:hAnsi="Arial" w:cs="Arial"/>
          <w:i/>
        </w:rPr>
        <w:t>et al</w:t>
      </w:r>
      <w:r w:rsidRPr="004875A7">
        <w:rPr>
          <w:rFonts w:ascii="Arial" w:eastAsia="Arial" w:hAnsi="Arial" w:cs="Arial"/>
        </w:rPr>
        <w:t>., 2010).</w:t>
      </w:r>
    </w:p>
    <w:p w14:paraId="424E1A5C" w14:textId="158C9D63" w:rsidR="004875A7" w:rsidRPr="004875A7" w:rsidRDefault="004875A7" w:rsidP="004875A7">
      <w:pPr>
        <w:spacing w:line="360" w:lineRule="auto"/>
        <w:jc w:val="both"/>
        <w:rPr>
          <w:rFonts w:ascii="Arial" w:eastAsia="Arial" w:hAnsi="Arial" w:cs="Arial"/>
          <w:b/>
        </w:rPr>
      </w:pPr>
      <w:r w:rsidRPr="004875A7">
        <w:rPr>
          <w:rFonts w:ascii="Arial" w:eastAsia="Arial" w:hAnsi="Arial" w:cs="Arial"/>
          <w:b/>
        </w:rPr>
        <w:t>Short term and Long term public health consequences of measles</w:t>
      </w:r>
      <w:r w:rsidR="00DC0B0C">
        <w:rPr>
          <w:rFonts w:ascii="Arial" w:eastAsia="Arial" w:hAnsi="Arial" w:cs="Arial"/>
          <w:b/>
        </w:rPr>
        <w:t>.</w:t>
      </w:r>
      <w:r w:rsidRPr="004875A7">
        <w:rPr>
          <w:rFonts w:ascii="Arial" w:eastAsia="Arial" w:hAnsi="Arial" w:cs="Arial"/>
          <w:b/>
        </w:rPr>
        <w:t xml:space="preserve"> </w:t>
      </w:r>
    </w:p>
    <w:p w14:paraId="49560201" w14:textId="3CB6A5BA"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xml:space="preserve">The most contagious illness that may be avoided with immunisation is the measles (Strebel et al., 2008). From four days before the rash starts until four days after it does, patients remain contagious. The virus could remain in the air for up to two hours after the patient has left the area. According to Strabel et al. (2008), the measles portion of the MMR vaccination has an efficiency of around 93% after one dose and 97% after two doses. </w:t>
      </w:r>
    </w:p>
    <w:p w14:paraId="0397BE41"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It has been suggested that less severe respiratory symptoms associated with measles, particularly a cough, may lead to lesser infectivity. Particularly, a cough has been pointed out as a potential sign of this. Despite having two doses of the MMR vaccination, those who are unable to build immunity may be less contagious and less likely to spread disease. According to various studies done in the past, there is no evidence that people whose measles virus infections are either altered or in apparent shed measles virus (Lievano et al., 2004). Despite this, there have been isolated cases of secondary and even tertiary transmission of the measles in environments other than hospitals and clinics among those who have had the MMR vaccination twice but not reacted as expected.</w:t>
      </w:r>
    </w:p>
    <w:p w14:paraId="6F6A6794"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xml:space="preserve">However, Measles is contagious and can be fatal in children. It is essential to quickly identify cases and put airborne measures into place. This includes the use of respiratory protection at least as protective as an NIOSH certified N-95 respirator when providing care to patients (CDC, </w:t>
      </w:r>
      <w:r w:rsidRPr="004875A7">
        <w:rPr>
          <w:rFonts w:ascii="Arial" w:eastAsia="Arial" w:hAnsi="Arial" w:cs="Arial"/>
        </w:rPr>
        <w:lastRenderedPageBreak/>
        <w:t xml:space="preserve">2011). The imports and subsequent exposures have the potential to cause catastrophic or fatal effects in those who are vulnerable to the risk and are at a high risk. </w:t>
      </w:r>
    </w:p>
    <w:p w14:paraId="601479CC" w14:textId="77777777" w:rsidR="004875A7" w:rsidRPr="004875A7" w:rsidRDefault="004875A7" w:rsidP="004875A7">
      <w:pPr>
        <w:spacing w:line="360" w:lineRule="auto"/>
        <w:jc w:val="both"/>
        <w:rPr>
          <w:rFonts w:ascii="Arial" w:eastAsia="Arial" w:hAnsi="Arial" w:cs="Arial"/>
        </w:rPr>
      </w:pPr>
      <w:r w:rsidRPr="004875A7">
        <w:rPr>
          <w:rFonts w:ascii="Arial" w:eastAsia="Arial" w:hAnsi="Arial" w:cs="Arial"/>
        </w:rPr>
        <w:t xml:space="preserve">Healthcare workers continue to be at risk for exposure to measles due to contact with infected people. </w:t>
      </w:r>
    </w:p>
    <w:p w14:paraId="00000044" w14:textId="77777777" w:rsidR="00F235A4" w:rsidRPr="004875A7" w:rsidRDefault="00F64C6E">
      <w:pPr>
        <w:spacing w:line="360" w:lineRule="auto"/>
        <w:jc w:val="both"/>
        <w:rPr>
          <w:rFonts w:ascii="Arial" w:eastAsia="Arial" w:hAnsi="Arial" w:cs="Arial"/>
          <w:b/>
        </w:rPr>
      </w:pPr>
      <w:r w:rsidRPr="004875A7">
        <w:rPr>
          <w:rFonts w:ascii="Arial" w:eastAsia="Arial" w:hAnsi="Arial" w:cs="Arial"/>
          <w:b/>
        </w:rPr>
        <w:t>Conclusion</w:t>
      </w:r>
    </w:p>
    <w:p w14:paraId="78577B81" w14:textId="77777777" w:rsidR="007C79F1" w:rsidRDefault="007C79F1" w:rsidP="007C79F1">
      <w:pPr>
        <w:spacing w:line="360" w:lineRule="auto"/>
        <w:jc w:val="both"/>
        <w:rPr>
          <w:rFonts w:ascii="Arial" w:hAnsi="Arial" w:cs="Arial"/>
        </w:rPr>
      </w:pPr>
      <w:r w:rsidRPr="00C84517">
        <w:rPr>
          <w:rFonts w:ascii="Arial" w:hAnsi="Arial" w:cs="Arial"/>
        </w:rPr>
        <w:t>It's crucial to keep in mind that the precise public health measures that are adopted may differ depending on the n</w:t>
      </w:r>
      <w:r>
        <w:rPr>
          <w:rFonts w:ascii="Arial" w:hAnsi="Arial" w:cs="Arial"/>
        </w:rPr>
        <w:t xml:space="preserve">ations and regions, local policies, </w:t>
      </w:r>
      <w:r w:rsidRPr="00C84517">
        <w:rPr>
          <w:rFonts w:ascii="Arial" w:hAnsi="Arial" w:cs="Arial"/>
        </w:rPr>
        <w:t>the local epidemiological condition, and the healthcare system. Public health officials regularly analyse the situation and adjust their policies in order to control and prevent the spread of measles.</w:t>
      </w:r>
      <w:r w:rsidRPr="00E44231">
        <w:rPr>
          <w:rFonts w:ascii="Arial" w:hAnsi="Arial" w:cs="Arial"/>
        </w:rPr>
        <w:t xml:space="preserve"> </w:t>
      </w:r>
      <w:r>
        <w:rPr>
          <w:rFonts w:ascii="Arial" w:hAnsi="Arial" w:cs="Arial"/>
        </w:rPr>
        <w:t>Conscious</w:t>
      </w:r>
      <w:r w:rsidRPr="00C84517">
        <w:rPr>
          <w:rFonts w:ascii="Arial" w:hAnsi="Arial" w:cs="Arial"/>
        </w:rPr>
        <w:t xml:space="preserve"> </w:t>
      </w:r>
      <w:r>
        <w:rPr>
          <w:rFonts w:ascii="Arial" w:hAnsi="Arial" w:cs="Arial"/>
        </w:rPr>
        <w:t>e</w:t>
      </w:r>
      <w:r w:rsidRPr="00C84517">
        <w:rPr>
          <w:rFonts w:ascii="Arial" w:hAnsi="Arial" w:cs="Arial"/>
        </w:rPr>
        <w:t>fforts are intended to re</w:t>
      </w:r>
      <w:r>
        <w:rPr>
          <w:rFonts w:ascii="Arial" w:hAnsi="Arial" w:cs="Arial"/>
        </w:rPr>
        <w:t>strict the spread of the disease</w:t>
      </w:r>
      <w:r w:rsidRPr="00C84517">
        <w:rPr>
          <w:rFonts w:ascii="Arial" w:hAnsi="Arial" w:cs="Arial"/>
        </w:rPr>
        <w:t>, protect vulnerable groups, and finally eradicate it.</w:t>
      </w:r>
    </w:p>
    <w:p w14:paraId="4F2A09AF" w14:textId="77777777" w:rsidR="007C79F1" w:rsidRPr="00E44231" w:rsidRDefault="007C79F1" w:rsidP="007C79F1">
      <w:pPr>
        <w:spacing w:line="360" w:lineRule="auto"/>
        <w:jc w:val="both"/>
        <w:rPr>
          <w:rFonts w:ascii="Arial" w:eastAsia="Arial" w:hAnsi="Arial" w:cs="Arial"/>
        </w:rPr>
      </w:pPr>
      <w:r w:rsidRPr="00C84517">
        <w:rPr>
          <w:rFonts w:ascii="Arial" w:eastAsia="Arial" w:hAnsi="Arial" w:cs="Arial"/>
        </w:rPr>
        <w:t>As long as there are still individuals in other groups who are vulnerable to the disease, measles outbreaks might occur in any country, including those</w:t>
      </w:r>
      <w:r>
        <w:rPr>
          <w:rFonts w:ascii="Arial" w:eastAsia="Arial" w:hAnsi="Arial" w:cs="Arial"/>
        </w:rPr>
        <w:t xml:space="preserve"> countries</w:t>
      </w:r>
      <w:r w:rsidRPr="00C84517">
        <w:rPr>
          <w:rFonts w:ascii="Arial" w:eastAsia="Arial" w:hAnsi="Arial" w:cs="Arial"/>
        </w:rPr>
        <w:t xml:space="preserve"> that claim to have entirely eradicated the disease. Travelling through </w:t>
      </w:r>
      <w:r>
        <w:rPr>
          <w:rFonts w:ascii="Arial" w:eastAsia="Arial" w:hAnsi="Arial" w:cs="Arial"/>
        </w:rPr>
        <w:t xml:space="preserve">some </w:t>
      </w:r>
      <w:r w:rsidRPr="00C84517">
        <w:rPr>
          <w:rFonts w:ascii="Arial" w:eastAsia="Arial" w:hAnsi="Arial" w:cs="Arial"/>
        </w:rPr>
        <w:t xml:space="preserve">these countries increases </w:t>
      </w:r>
      <w:r>
        <w:rPr>
          <w:rFonts w:ascii="Arial" w:eastAsia="Arial" w:hAnsi="Arial" w:cs="Arial"/>
        </w:rPr>
        <w:t>the</w:t>
      </w:r>
      <w:r w:rsidRPr="00C84517">
        <w:rPr>
          <w:rFonts w:ascii="Arial" w:eastAsia="Arial" w:hAnsi="Arial" w:cs="Arial"/>
        </w:rPr>
        <w:t xml:space="preserve"> risk of catching the measles. There is a tremendous financial burden on the economy when measles outbreaks occur. Despite the fact that vaccination rates have increased in the past decade as a result of worldwide efforts to increase awareness and enhance surveillance, vaccine refusal is still the main barrier preventing the eradication of the measles. </w:t>
      </w:r>
      <w:r w:rsidRPr="00E44231">
        <w:rPr>
          <w:rFonts w:ascii="Arial" w:eastAsia="Arial" w:hAnsi="Arial" w:cs="Arial"/>
        </w:rPr>
        <w:t>Government-sponsored programmes should be required to provide adequate supportive therapy in the form of vitamin A supplementation and antibiotics given that the disease has been connected to an increase of complications caused by secondary infections in a bid to successfully and properly manage measles-associated mortality.</w:t>
      </w:r>
    </w:p>
    <w:p w14:paraId="6B386E1A" w14:textId="5F2AAAB6" w:rsidR="004875A7" w:rsidRDefault="007C79F1">
      <w:pPr>
        <w:spacing w:line="360" w:lineRule="auto"/>
        <w:jc w:val="both"/>
        <w:rPr>
          <w:rFonts w:ascii="Arial" w:eastAsia="Arial" w:hAnsi="Arial" w:cs="Arial"/>
        </w:rPr>
      </w:pPr>
      <w:r w:rsidRPr="00E44231">
        <w:rPr>
          <w:rFonts w:ascii="Arial" w:eastAsia="Arial" w:hAnsi="Arial" w:cs="Arial"/>
        </w:rPr>
        <w:t>Even though there is a reliable vaccine available, measles outbreaks continue to tax our healthcare system. In truth, outbreaks can still happen in areas where a large number of people are not protected by the disease's vaccine.</w:t>
      </w:r>
    </w:p>
    <w:p w14:paraId="02E3E196" w14:textId="23110E8A" w:rsidR="00C06199" w:rsidRDefault="00C06199">
      <w:pPr>
        <w:spacing w:line="360" w:lineRule="auto"/>
        <w:jc w:val="both"/>
        <w:rPr>
          <w:rFonts w:ascii="Arial" w:eastAsia="Arial" w:hAnsi="Arial" w:cs="Arial"/>
        </w:rPr>
      </w:pPr>
    </w:p>
    <w:p w14:paraId="606799B3" w14:textId="5F28D65F" w:rsidR="00C06199" w:rsidRDefault="00C06199">
      <w:pPr>
        <w:spacing w:line="360" w:lineRule="auto"/>
        <w:jc w:val="both"/>
        <w:rPr>
          <w:rFonts w:ascii="Arial" w:eastAsia="Arial" w:hAnsi="Arial" w:cs="Arial"/>
        </w:rPr>
      </w:pPr>
    </w:p>
    <w:p w14:paraId="3CB4F312" w14:textId="008D96DC" w:rsidR="00C06199" w:rsidRDefault="00C06199">
      <w:pPr>
        <w:spacing w:line="360" w:lineRule="auto"/>
        <w:jc w:val="both"/>
        <w:rPr>
          <w:rFonts w:ascii="Arial" w:eastAsia="Arial" w:hAnsi="Arial" w:cs="Arial"/>
        </w:rPr>
      </w:pPr>
    </w:p>
    <w:p w14:paraId="52E11697" w14:textId="285E734D" w:rsidR="00C06199" w:rsidRDefault="00C06199">
      <w:pPr>
        <w:spacing w:line="360" w:lineRule="auto"/>
        <w:jc w:val="both"/>
        <w:rPr>
          <w:rFonts w:ascii="Arial" w:eastAsia="Arial" w:hAnsi="Arial" w:cs="Arial"/>
        </w:rPr>
      </w:pPr>
    </w:p>
    <w:p w14:paraId="4A7A0D97" w14:textId="77777777" w:rsidR="00C06199" w:rsidRPr="00310B1F" w:rsidRDefault="00C06199">
      <w:pPr>
        <w:spacing w:line="360" w:lineRule="auto"/>
        <w:jc w:val="both"/>
        <w:rPr>
          <w:rFonts w:ascii="Arial" w:eastAsia="Arial" w:hAnsi="Arial" w:cs="Arial"/>
        </w:rPr>
      </w:pPr>
    </w:p>
    <w:p w14:paraId="00000049" w14:textId="77777777" w:rsidR="00F235A4" w:rsidRDefault="00F64C6E">
      <w:pPr>
        <w:spacing w:line="360" w:lineRule="auto"/>
        <w:jc w:val="both"/>
        <w:rPr>
          <w:rFonts w:ascii="Arial" w:eastAsia="Arial" w:hAnsi="Arial" w:cs="Arial"/>
          <w:b/>
        </w:rPr>
      </w:pPr>
      <w:r>
        <w:rPr>
          <w:rFonts w:ascii="Arial" w:eastAsia="Arial" w:hAnsi="Arial" w:cs="Arial"/>
          <w:b/>
        </w:rPr>
        <w:lastRenderedPageBreak/>
        <w:t>References</w:t>
      </w:r>
    </w:p>
    <w:p w14:paraId="0000004A" w14:textId="77777777" w:rsidR="00F235A4" w:rsidRDefault="00F64C6E">
      <w:pPr>
        <w:spacing w:line="360" w:lineRule="auto"/>
        <w:ind w:left="360" w:hanging="360"/>
        <w:jc w:val="both"/>
        <w:rPr>
          <w:rFonts w:ascii="Arial" w:eastAsia="Arial" w:hAnsi="Arial" w:cs="Arial"/>
        </w:rPr>
      </w:pPr>
      <w:r>
        <w:rPr>
          <w:rFonts w:ascii="Arial" w:eastAsia="Arial" w:hAnsi="Arial" w:cs="Arial"/>
        </w:rPr>
        <w:t>Advisory Committee on Immunization Practices and Centers for Disease Control and Prevention (CDC, 2011. Immunization of health-care personnel: recommendations of the Advisory Committee on Immunization Practices (ACIP). MMWR. Recommendations and reports: Morbidity and mortality weekly report. Recommendations and reports, 60(RR-7), pp.1-45.</w:t>
      </w:r>
    </w:p>
    <w:p w14:paraId="0000004B" w14:textId="77777777" w:rsidR="00F235A4" w:rsidRDefault="00F64C6E">
      <w:pPr>
        <w:spacing w:line="360" w:lineRule="auto"/>
        <w:ind w:left="360" w:hanging="360"/>
        <w:jc w:val="both"/>
        <w:rPr>
          <w:rFonts w:ascii="Arial" w:eastAsia="Arial" w:hAnsi="Arial" w:cs="Arial"/>
        </w:rPr>
      </w:pPr>
      <w:r>
        <w:rPr>
          <w:rFonts w:ascii="Arial" w:eastAsia="Arial" w:hAnsi="Arial" w:cs="Arial"/>
        </w:rPr>
        <w:t>Brown, D.W., Ramsay, M.E., Richards, A.F. and Miller, E., 1994. Salivary diagnosis of measles: a study of notified cases in the United Kingdom, 1991-3. bmj, 308(6935), pp.1015-1017.</w:t>
      </w:r>
    </w:p>
    <w:p w14:paraId="0000004C" w14:textId="77777777" w:rsidR="00F235A4" w:rsidRDefault="00F64C6E">
      <w:pPr>
        <w:spacing w:line="360" w:lineRule="auto"/>
        <w:ind w:left="360" w:hanging="360"/>
        <w:jc w:val="both"/>
        <w:rPr>
          <w:rFonts w:ascii="Arial" w:eastAsia="Arial" w:hAnsi="Arial" w:cs="Arial"/>
        </w:rPr>
      </w:pPr>
      <w:r>
        <w:rPr>
          <w:rFonts w:ascii="Arial" w:eastAsia="Arial" w:hAnsi="Arial" w:cs="Arial"/>
        </w:rPr>
        <w:t>Clements, C.J., 1994. Role of mass campaigns in global measles control. Lancet, 344(8916), pp.174-175.</w:t>
      </w:r>
    </w:p>
    <w:p w14:paraId="0000004D" w14:textId="77777777" w:rsidR="00F235A4" w:rsidRDefault="00F64C6E">
      <w:pPr>
        <w:spacing w:line="360" w:lineRule="auto"/>
        <w:ind w:left="360" w:hanging="360"/>
        <w:jc w:val="both"/>
        <w:rPr>
          <w:rFonts w:ascii="Arial" w:eastAsia="Arial" w:hAnsi="Arial" w:cs="Arial"/>
        </w:rPr>
      </w:pPr>
      <w:r>
        <w:rPr>
          <w:rFonts w:ascii="Arial" w:eastAsia="Arial" w:hAnsi="Arial" w:cs="Arial"/>
        </w:rPr>
        <w:t>Cutts, F.T., Henderson, R.H., Clements, C.J., Chen, R.T. and Patriarca, P.A., 1991. Principles of measles control. Bulletin of the World Health Organization, 69(1), p.1.</w:t>
      </w:r>
    </w:p>
    <w:p w14:paraId="0000004E" w14:textId="77777777" w:rsidR="00F235A4" w:rsidRDefault="00F64C6E">
      <w:pPr>
        <w:spacing w:line="360" w:lineRule="auto"/>
        <w:ind w:left="360" w:hanging="360"/>
        <w:jc w:val="both"/>
        <w:rPr>
          <w:rFonts w:ascii="Arial" w:eastAsia="Arial" w:hAnsi="Arial" w:cs="Arial"/>
        </w:rPr>
      </w:pPr>
      <w:r>
        <w:rPr>
          <w:rFonts w:ascii="Arial" w:eastAsia="Arial" w:hAnsi="Arial" w:cs="Arial"/>
        </w:rPr>
        <w:t>Dabbagh, A., Laws, R.L., Steulet, C., Dumolard, L., Mulders, M.N., Kretsinger, K., Alexander, J.P., Rota, P.A. and Goodson, J.L., 2018. Progress toward regional measles elimination—worldwide, 2000–2017. Morbidity and Mortality Weekly Report, 67(47), p.1323.</w:t>
      </w:r>
    </w:p>
    <w:p w14:paraId="0000004F" w14:textId="77777777" w:rsidR="00F235A4" w:rsidRDefault="00F64C6E">
      <w:pPr>
        <w:spacing w:line="360" w:lineRule="auto"/>
        <w:ind w:left="360" w:hanging="360"/>
        <w:jc w:val="both"/>
        <w:rPr>
          <w:rFonts w:ascii="Arial" w:eastAsia="Arial" w:hAnsi="Arial" w:cs="Arial"/>
        </w:rPr>
      </w:pPr>
      <w:r>
        <w:rPr>
          <w:rFonts w:ascii="Arial" w:eastAsia="Arial" w:hAnsi="Arial" w:cs="Arial"/>
        </w:rPr>
        <w:t>De Quadros, C.A., Olivé, J.M., Hersh, B.S., Strassburg, M.A., Henderson, D.A., Brandling-Bennett, D. and Alleyne, G.A., 1996. Measles elimination in the Americas: evolving strategies. Jama, 275(3), pp.224-229.</w:t>
      </w:r>
    </w:p>
    <w:p w14:paraId="00000050" w14:textId="77777777" w:rsidR="00F235A4" w:rsidRDefault="00F64C6E">
      <w:pPr>
        <w:spacing w:line="360" w:lineRule="auto"/>
        <w:ind w:left="360" w:hanging="360"/>
        <w:jc w:val="both"/>
        <w:rPr>
          <w:rFonts w:ascii="Arial" w:eastAsia="Arial" w:hAnsi="Arial" w:cs="Arial"/>
        </w:rPr>
      </w:pPr>
      <w:r>
        <w:rPr>
          <w:rFonts w:ascii="Arial" w:eastAsia="Arial" w:hAnsi="Arial" w:cs="Arial"/>
        </w:rPr>
        <w:t>Lievano, F.A., Helfand, R.F., Harpaz, R., Walls, L., Katz, R.S., Williams, I., Villamarzo, Y.S., Rota, P.A. and Bellini, W.J., 2004. Lack of evidence of measles virus shedding in people with inapparent measles virus infections. The Journal of infectious diseases, 189(Supplement_1), pp.S165-S170.</w:t>
      </w:r>
    </w:p>
    <w:p w14:paraId="00000051" w14:textId="77777777" w:rsidR="00F235A4" w:rsidRDefault="00F64C6E">
      <w:pPr>
        <w:spacing w:line="360" w:lineRule="auto"/>
        <w:ind w:left="360" w:hanging="360"/>
        <w:jc w:val="both"/>
        <w:rPr>
          <w:rFonts w:ascii="Arial" w:eastAsia="Arial" w:hAnsi="Arial" w:cs="Arial"/>
        </w:rPr>
      </w:pPr>
      <w:r>
        <w:rPr>
          <w:rFonts w:ascii="Arial" w:eastAsia="Arial" w:hAnsi="Arial" w:cs="Arial"/>
        </w:rPr>
        <w:t>Miller, C.L., 1983. Current impact of measles in the United Kingdom. Reviews of Infectious Diseases, 5(3), pp.427-432.</w:t>
      </w:r>
    </w:p>
    <w:p w14:paraId="00000052" w14:textId="77777777" w:rsidR="00F235A4" w:rsidRDefault="00F64C6E">
      <w:pPr>
        <w:spacing w:line="360" w:lineRule="auto"/>
        <w:ind w:left="360" w:hanging="360"/>
        <w:jc w:val="both"/>
        <w:rPr>
          <w:rFonts w:ascii="Arial" w:eastAsia="Arial" w:hAnsi="Arial" w:cs="Arial"/>
        </w:rPr>
      </w:pPr>
      <w:r>
        <w:rPr>
          <w:rFonts w:ascii="Arial" w:eastAsia="Arial" w:hAnsi="Arial" w:cs="Arial"/>
        </w:rPr>
        <w:t>Patel, M.K., Dumolard, L., Nedelec, Y., Sodha, S.V., Steulet, C., Gacic-Dobo, M., Kretsinger, K., McFarland, J., Rota, P.A. and Goodson, J.L., 2019. Progress toward regional measles elimination—worldwide, 2000–2018. Morbidity and Mortality Weekly Report, 68(48), p.1105.</w:t>
      </w:r>
    </w:p>
    <w:p w14:paraId="00000054" w14:textId="77777777" w:rsidR="00F235A4" w:rsidRDefault="00F64C6E">
      <w:pPr>
        <w:spacing w:line="360" w:lineRule="auto"/>
        <w:ind w:left="360" w:hanging="360"/>
        <w:jc w:val="both"/>
        <w:rPr>
          <w:rFonts w:ascii="Arial" w:eastAsia="Arial" w:hAnsi="Arial" w:cs="Arial"/>
        </w:rPr>
      </w:pPr>
      <w:r>
        <w:rPr>
          <w:rFonts w:ascii="Arial" w:eastAsia="Arial" w:hAnsi="Arial" w:cs="Arial"/>
        </w:rPr>
        <w:t>Strebel, P.M., Papania, M.J., Dayan, G.H. and Halsey, N.A., 2008. Measles vaccines. Vaccines.</w:t>
      </w:r>
    </w:p>
    <w:p w14:paraId="00000055" w14:textId="77777777" w:rsidR="00F235A4" w:rsidRDefault="00F64C6E">
      <w:pPr>
        <w:spacing w:line="360" w:lineRule="auto"/>
        <w:ind w:left="360" w:hanging="360"/>
        <w:jc w:val="both"/>
        <w:rPr>
          <w:rFonts w:ascii="Arial" w:eastAsia="Arial" w:hAnsi="Arial" w:cs="Arial"/>
        </w:rPr>
      </w:pPr>
      <w:r>
        <w:rPr>
          <w:rFonts w:ascii="Arial" w:eastAsia="Arial" w:hAnsi="Arial" w:cs="Arial"/>
        </w:rPr>
        <w:lastRenderedPageBreak/>
        <w:t>Sudfeld, C.R., Navar, A.M. and Halsey, N.A., 2010. Effectiveness of measles vaccination and vitamin A treatment. International journal of epidemiology, 39(suppl_1), pp.i48-i55.</w:t>
      </w:r>
    </w:p>
    <w:p w14:paraId="00000056" w14:textId="77777777" w:rsidR="00F235A4" w:rsidRDefault="00F64C6E">
      <w:pPr>
        <w:spacing w:line="360" w:lineRule="auto"/>
        <w:ind w:left="360" w:hanging="360"/>
        <w:jc w:val="both"/>
        <w:rPr>
          <w:rFonts w:ascii="Arial" w:eastAsia="Arial" w:hAnsi="Arial" w:cs="Arial"/>
        </w:rPr>
      </w:pPr>
      <w:r>
        <w:rPr>
          <w:rFonts w:ascii="Arial" w:eastAsia="Arial" w:hAnsi="Arial" w:cs="Arial"/>
        </w:rPr>
        <w:t>World Health Organization, 1983. MEASLES SURVEILLANCE: Interruption of Natural Transmission. Weekly Epidemiological Record= Relevé épidémiologique hebdomadaire, 58(12), pp.85-86.</w:t>
      </w:r>
    </w:p>
    <w:p w14:paraId="00000057" w14:textId="77777777" w:rsidR="00F235A4" w:rsidRDefault="00F235A4">
      <w:pPr>
        <w:spacing w:line="360" w:lineRule="auto"/>
        <w:jc w:val="both"/>
        <w:rPr>
          <w:rFonts w:ascii="Arial" w:eastAsia="Arial" w:hAnsi="Arial" w:cs="Arial"/>
          <w:b/>
        </w:rPr>
      </w:pPr>
    </w:p>
    <w:sectPr w:rsidR="00F235A4">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C51C8C" w14:textId="77777777" w:rsidR="00856591" w:rsidRDefault="00856591">
      <w:pPr>
        <w:spacing w:after="0" w:line="240" w:lineRule="auto"/>
      </w:pPr>
      <w:r>
        <w:separator/>
      </w:r>
    </w:p>
  </w:endnote>
  <w:endnote w:type="continuationSeparator" w:id="0">
    <w:p w14:paraId="2BB24339" w14:textId="77777777" w:rsidR="00856591" w:rsidRDefault="00856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eorgia">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58" w14:textId="4D3F90F1" w:rsidR="00F235A4" w:rsidRDefault="00F64C6E">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FC3FBD">
      <w:rPr>
        <w:noProof/>
        <w:color w:val="000000"/>
      </w:rPr>
      <w:t>2</w:t>
    </w:r>
    <w:r>
      <w:rPr>
        <w:color w:val="000000"/>
      </w:rPr>
      <w:fldChar w:fldCharType="end"/>
    </w:r>
    <w:r>
      <w:rPr>
        <w:b/>
        <w:color w:val="000000"/>
      </w:rPr>
      <w:t xml:space="preserve"> | </w:t>
    </w:r>
    <w:r>
      <w:rPr>
        <w:color w:val="7F7F7F"/>
      </w:rPr>
      <w:t>Page</w:t>
    </w:r>
  </w:p>
  <w:p w14:paraId="00000059" w14:textId="77777777" w:rsidR="00F235A4" w:rsidRDefault="00F235A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29B94A" w14:textId="77777777" w:rsidR="00856591" w:rsidRDefault="00856591">
      <w:pPr>
        <w:spacing w:after="0" w:line="240" w:lineRule="auto"/>
      </w:pPr>
      <w:r>
        <w:separator/>
      </w:r>
    </w:p>
  </w:footnote>
  <w:footnote w:type="continuationSeparator" w:id="0">
    <w:p w14:paraId="59BB286C" w14:textId="77777777" w:rsidR="00856591" w:rsidRDefault="008565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446245"/>
    <w:multiLevelType w:val="multilevel"/>
    <w:tmpl w:val="901C17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35A4"/>
    <w:rsid w:val="00310B1F"/>
    <w:rsid w:val="004875A7"/>
    <w:rsid w:val="007C79F1"/>
    <w:rsid w:val="007D3273"/>
    <w:rsid w:val="00856591"/>
    <w:rsid w:val="00970DF5"/>
    <w:rsid w:val="00C06199"/>
    <w:rsid w:val="00C70952"/>
    <w:rsid w:val="00DC0B0C"/>
    <w:rsid w:val="00E44B7A"/>
    <w:rsid w:val="00F235A4"/>
    <w:rsid w:val="00F63CBB"/>
    <w:rsid w:val="00F64C6E"/>
    <w:rsid w:val="00FC3F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F8B92"/>
  <w15:docId w15:val="{36D8806E-562C-4C35-8B0E-43226A008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2225</Words>
  <Characters>12689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YEMITE</dc:creator>
  <cp:lastModifiedBy>YEMITE</cp:lastModifiedBy>
  <cp:revision>3</cp:revision>
  <dcterms:created xsi:type="dcterms:W3CDTF">2023-05-19T19:21:00Z</dcterms:created>
  <dcterms:modified xsi:type="dcterms:W3CDTF">2023-05-19T19:25:00Z</dcterms:modified>
</cp:coreProperties>
</file>