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C1261" w14:textId="77777777" w:rsidR="00441B85" w:rsidRDefault="00000000">
      <w:pPr>
        <w:jc w:val="center"/>
        <w:rPr>
          <w:rFonts w:ascii="Arial" w:eastAsia="Arial" w:hAnsi="Arial" w:cs="Arial"/>
          <w:b/>
          <w:sz w:val="24"/>
          <w:szCs w:val="24"/>
        </w:rPr>
      </w:pPr>
      <w:r>
        <w:rPr>
          <w:noProof/>
        </w:rPr>
        <w:drawing>
          <wp:inline distT="0" distB="0" distL="0" distR="0" wp14:anchorId="70895201" wp14:editId="5F1BD452">
            <wp:extent cx="3810000" cy="3810000"/>
            <wp:effectExtent l="0" t="0" r="0" b="0"/>
            <wp:docPr id="1" name="image1.png" descr="UWTSDLondon (@UWTSDLondon) / X"/>
            <wp:cNvGraphicFramePr/>
            <a:graphic xmlns:a="http://schemas.openxmlformats.org/drawingml/2006/main">
              <a:graphicData uri="http://schemas.openxmlformats.org/drawingml/2006/picture">
                <pic:pic xmlns:pic="http://schemas.openxmlformats.org/drawingml/2006/picture">
                  <pic:nvPicPr>
                    <pic:cNvPr id="0" name="image1.png" descr="UWTSDLondon (@UWTSDLondon) / X"/>
                    <pic:cNvPicPr preferRelativeResize="0"/>
                  </pic:nvPicPr>
                  <pic:blipFill>
                    <a:blip r:embed="rId6"/>
                    <a:srcRect/>
                    <a:stretch>
                      <a:fillRect/>
                    </a:stretch>
                  </pic:blipFill>
                  <pic:spPr>
                    <a:xfrm>
                      <a:off x="0" y="0"/>
                      <a:ext cx="3810000" cy="3810000"/>
                    </a:xfrm>
                    <a:prstGeom prst="rect">
                      <a:avLst/>
                    </a:prstGeom>
                    <a:ln/>
                  </pic:spPr>
                </pic:pic>
              </a:graphicData>
            </a:graphic>
          </wp:inline>
        </w:drawing>
      </w:r>
    </w:p>
    <w:p w14:paraId="2DD9DC72" w14:textId="77777777" w:rsidR="00441B85" w:rsidRDefault="00441B85">
      <w:pPr>
        <w:rPr>
          <w:rFonts w:ascii="Arial" w:eastAsia="Arial" w:hAnsi="Arial" w:cs="Arial"/>
          <w:b/>
          <w:sz w:val="24"/>
          <w:szCs w:val="24"/>
        </w:rPr>
      </w:pPr>
    </w:p>
    <w:p w14:paraId="19EAC6A7" w14:textId="77777777" w:rsidR="00441B85" w:rsidRDefault="00441B85">
      <w:pPr>
        <w:jc w:val="center"/>
        <w:rPr>
          <w:rFonts w:ascii="Arial" w:eastAsia="Arial" w:hAnsi="Arial" w:cs="Arial"/>
          <w:sz w:val="24"/>
          <w:szCs w:val="24"/>
        </w:rPr>
      </w:pPr>
    </w:p>
    <w:p w14:paraId="5ED3A1D9" w14:textId="77777777" w:rsidR="00441B85" w:rsidRDefault="00441B85">
      <w:pPr>
        <w:jc w:val="center"/>
        <w:rPr>
          <w:rFonts w:ascii="Arial" w:eastAsia="Arial" w:hAnsi="Arial" w:cs="Arial"/>
          <w:sz w:val="24"/>
          <w:szCs w:val="24"/>
        </w:rPr>
      </w:pPr>
    </w:p>
    <w:p w14:paraId="77F4EFF9" w14:textId="77777777" w:rsidR="00441B85" w:rsidRDefault="00000000">
      <w:pPr>
        <w:spacing w:line="360" w:lineRule="auto"/>
        <w:jc w:val="center"/>
        <w:rPr>
          <w:rFonts w:ascii="Arial" w:eastAsia="Arial" w:hAnsi="Arial" w:cs="Arial"/>
          <w:sz w:val="32"/>
          <w:szCs w:val="32"/>
        </w:rPr>
      </w:pPr>
      <w:r>
        <w:rPr>
          <w:rFonts w:ascii="Arial" w:eastAsia="Arial" w:hAnsi="Arial" w:cs="Arial"/>
          <w:sz w:val="32"/>
          <w:szCs w:val="32"/>
        </w:rPr>
        <w:t>AN ESSAY ON THE ADVANTAGES AND DISADVANATGES OF PIONEERING VS FOLLOWING</w:t>
      </w:r>
    </w:p>
    <w:p w14:paraId="0AA7241D" w14:textId="77777777" w:rsidR="00441B85" w:rsidRDefault="00000000">
      <w:pPr>
        <w:spacing w:line="240" w:lineRule="auto"/>
        <w:jc w:val="center"/>
        <w:rPr>
          <w:rFonts w:ascii="Arial" w:eastAsia="Arial" w:hAnsi="Arial" w:cs="Arial"/>
          <w:sz w:val="24"/>
          <w:szCs w:val="24"/>
        </w:rPr>
      </w:pPr>
      <w:r>
        <w:rPr>
          <w:rFonts w:ascii="Arial" w:eastAsia="Arial" w:hAnsi="Arial" w:cs="Arial"/>
          <w:sz w:val="28"/>
          <w:szCs w:val="28"/>
        </w:rPr>
        <w:t>Assessment Component 1-Essay</w:t>
      </w:r>
    </w:p>
    <w:p w14:paraId="49211B5D" w14:textId="77777777" w:rsidR="00441B85" w:rsidRDefault="00441B85">
      <w:pPr>
        <w:jc w:val="center"/>
        <w:rPr>
          <w:rFonts w:ascii="Arial" w:eastAsia="Arial" w:hAnsi="Arial" w:cs="Arial"/>
          <w:sz w:val="24"/>
          <w:szCs w:val="24"/>
        </w:rPr>
      </w:pPr>
    </w:p>
    <w:p w14:paraId="1623ACC8" w14:textId="77777777" w:rsidR="00441B85" w:rsidRDefault="00000000">
      <w:pPr>
        <w:jc w:val="center"/>
        <w:rPr>
          <w:rFonts w:ascii="Arial" w:eastAsia="Arial" w:hAnsi="Arial" w:cs="Arial"/>
          <w:sz w:val="24"/>
          <w:szCs w:val="24"/>
        </w:rPr>
      </w:pPr>
      <w:r>
        <w:rPr>
          <w:rFonts w:ascii="Arial" w:eastAsia="Arial" w:hAnsi="Arial" w:cs="Arial"/>
          <w:sz w:val="24"/>
          <w:szCs w:val="24"/>
        </w:rPr>
        <w:t>Programme Name: Master of Business Administration</w:t>
      </w:r>
    </w:p>
    <w:p w14:paraId="71A84101" w14:textId="77777777" w:rsidR="00441B85" w:rsidRDefault="00000000">
      <w:pPr>
        <w:jc w:val="center"/>
        <w:rPr>
          <w:rFonts w:ascii="Arial" w:eastAsia="Arial" w:hAnsi="Arial" w:cs="Arial"/>
          <w:sz w:val="24"/>
          <w:szCs w:val="24"/>
        </w:rPr>
      </w:pPr>
      <w:r>
        <w:rPr>
          <w:rFonts w:ascii="Arial" w:eastAsia="Arial" w:hAnsi="Arial" w:cs="Arial"/>
          <w:sz w:val="24"/>
          <w:szCs w:val="24"/>
        </w:rPr>
        <w:t>Module Name: Marketing Management</w:t>
      </w:r>
    </w:p>
    <w:p w14:paraId="5ED2C716" w14:textId="77777777" w:rsidR="00441B85" w:rsidRDefault="00000000">
      <w:pPr>
        <w:jc w:val="center"/>
        <w:rPr>
          <w:rFonts w:ascii="Arial" w:eastAsia="Arial" w:hAnsi="Arial" w:cs="Arial"/>
          <w:sz w:val="24"/>
          <w:szCs w:val="24"/>
        </w:rPr>
      </w:pPr>
      <w:r>
        <w:rPr>
          <w:rFonts w:ascii="Arial" w:eastAsia="Arial" w:hAnsi="Arial" w:cs="Arial"/>
          <w:sz w:val="24"/>
          <w:szCs w:val="24"/>
        </w:rPr>
        <w:t>Module Code: LCMB7024</w:t>
      </w:r>
    </w:p>
    <w:p w14:paraId="572C7D6B" w14:textId="77777777" w:rsidR="00441B85" w:rsidRDefault="00000000">
      <w:pPr>
        <w:jc w:val="center"/>
        <w:rPr>
          <w:rFonts w:ascii="Arial" w:eastAsia="Arial" w:hAnsi="Arial" w:cs="Arial"/>
          <w:sz w:val="24"/>
          <w:szCs w:val="24"/>
        </w:rPr>
      </w:pPr>
      <w:r>
        <w:rPr>
          <w:rFonts w:ascii="Arial" w:eastAsia="Arial" w:hAnsi="Arial" w:cs="Arial"/>
          <w:sz w:val="24"/>
          <w:szCs w:val="24"/>
        </w:rPr>
        <w:t xml:space="preserve">Lecturer’s Name: Tushara </w:t>
      </w:r>
      <w:proofErr w:type="spellStart"/>
      <w:r>
        <w:rPr>
          <w:rFonts w:ascii="Arial" w:eastAsia="Arial" w:hAnsi="Arial" w:cs="Arial"/>
          <w:sz w:val="24"/>
          <w:szCs w:val="24"/>
        </w:rPr>
        <w:t>Balendran</w:t>
      </w:r>
      <w:proofErr w:type="spellEnd"/>
    </w:p>
    <w:p w14:paraId="60D45753" w14:textId="77777777" w:rsidR="00441B85" w:rsidRDefault="00000000">
      <w:pPr>
        <w:jc w:val="center"/>
        <w:rPr>
          <w:rFonts w:ascii="Arial" w:eastAsia="Arial" w:hAnsi="Arial" w:cs="Arial"/>
          <w:sz w:val="24"/>
          <w:szCs w:val="24"/>
        </w:rPr>
      </w:pPr>
      <w:r>
        <w:rPr>
          <w:rFonts w:ascii="Arial" w:eastAsia="Arial" w:hAnsi="Arial" w:cs="Arial"/>
          <w:sz w:val="24"/>
          <w:szCs w:val="24"/>
        </w:rPr>
        <w:t xml:space="preserve">Student </w:t>
      </w:r>
      <w:proofErr w:type="spellStart"/>
      <w:proofErr w:type="gramStart"/>
      <w:r>
        <w:rPr>
          <w:rFonts w:ascii="Arial" w:eastAsia="Arial" w:hAnsi="Arial" w:cs="Arial"/>
          <w:sz w:val="24"/>
          <w:szCs w:val="24"/>
        </w:rPr>
        <w:t>Name:Gandhi</w:t>
      </w:r>
      <w:proofErr w:type="spellEnd"/>
      <w:proofErr w:type="gramEnd"/>
      <w:r>
        <w:rPr>
          <w:rFonts w:ascii="Arial" w:eastAsia="Arial" w:hAnsi="Arial" w:cs="Arial"/>
          <w:sz w:val="24"/>
          <w:szCs w:val="24"/>
        </w:rPr>
        <w:t xml:space="preserve"> Hitarth </w:t>
      </w:r>
      <w:proofErr w:type="spellStart"/>
      <w:r>
        <w:rPr>
          <w:rFonts w:ascii="Arial" w:eastAsia="Arial" w:hAnsi="Arial" w:cs="Arial"/>
          <w:sz w:val="24"/>
          <w:szCs w:val="24"/>
        </w:rPr>
        <w:t>Rakeshbhai</w:t>
      </w:r>
      <w:proofErr w:type="spellEnd"/>
    </w:p>
    <w:p w14:paraId="4D26E2BE" w14:textId="77777777" w:rsidR="00441B85" w:rsidRDefault="00000000">
      <w:pPr>
        <w:jc w:val="center"/>
        <w:rPr>
          <w:rFonts w:ascii="Arial" w:eastAsia="Arial" w:hAnsi="Arial" w:cs="Arial"/>
          <w:sz w:val="24"/>
          <w:szCs w:val="24"/>
        </w:rPr>
      </w:pPr>
      <w:r>
        <w:rPr>
          <w:rFonts w:ascii="Arial" w:eastAsia="Arial" w:hAnsi="Arial" w:cs="Arial"/>
          <w:sz w:val="24"/>
          <w:szCs w:val="24"/>
        </w:rPr>
        <w:t>Student ID:2428531</w:t>
      </w:r>
    </w:p>
    <w:p w14:paraId="67D579D3" w14:textId="77777777" w:rsidR="00441B85" w:rsidRDefault="00000000">
      <w:pPr>
        <w:jc w:val="center"/>
        <w:rPr>
          <w:rFonts w:ascii="Arial" w:eastAsia="Arial" w:hAnsi="Arial" w:cs="Arial"/>
          <w:sz w:val="24"/>
          <w:szCs w:val="24"/>
        </w:rPr>
      </w:pPr>
      <w:r>
        <w:rPr>
          <w:rFonts w:ascii="Arial" w:eastAsia="Arial" w:hAnsi="Arial" w:cs="Arial"/>
          <w:sz w:val="24"/>
          <w:szCs w:val="24"/>
        </w:rPr>
        <w:t>Word Count: 2609</w:t>
      </w:r>
    </w:p>
    <w:p w14:paraId="03AF7596" w14:textId="77777777" w:rsidR="00441B85" w:rsidRDefault="00000000">
      <w:pPr>
        <w:jc w:val="center"/>
        <w:rPr>
          <w:rFonts w:ascii="Arial" w:eastAsia="Arial" w:hAnsi="Arial" w:cs="Arial"/>
          <w:sz w:val="24"/>
          <w:szCs w:val="24"/>
        </w:rPr>
      </w:pPr>
      <w:r>
        <w:rPr>
          <w:rFonts w:ascii="Arial" w:eastAsia="Arial" w:hAnsi="Arial" w:cs="Arial"/>
          <w:sz w:val="24"/>
          <w:szCs w:val="24"/>
        </w:rPr>
        <w:t>Submission Date: 28</w:t>
      </w:r>
      <w:r>
        <w:rPr>
          <w:rFonts w:ascii="Arial" w:eastAsia="Arial" w:hAnsi="Arial" w:cs="Arial"/>
          <w:sz w:val="24"/>
          <w:szCs w:val="24"/>
          <w:vertAlign w:val="superscript"/>
        </w:rPr>
        <w:t>th</w:t>
      </w:r>
      <w:r>
        <w:rPr>
          <w:rFonts w:ascii="Arial" w:eastAsia="Arial" w:hAnsi="Arial" w:cs="Arial"/>
          <w:sz w:val="24"/>
          <w:szCs w:val="24"/>
        </w:rPr>
        <w:t xml:space="preserve"> March 2025</w:t>
      </w:r>
    </w:p>
    <w:p w14:paraId="7D3EBE7A" w14:textId="77777777" w:rsidR="00441B85" w:rsidRDefault="00000000">
      <w:pPr>
        <w:rPr>
          <w:rFonts w:ascii="Arial" w:eastAsia="Arial" w:hAnsi="Arial" w:cs="Arial"/>
          <w:b/>
          <w:sz w:val="24"/>
          <w:szCs w:val="24"/>
        </w:rPr>
      </w:pPr>
      <w:r>
        <w:br w:type="page"/>
      </w:r>
    </w:p>
    <w:p w14:paraId="6B1E36FE" w14:textId="77777777" w:rsidR="00441B85" w:rsidRDefault="00000000">
      <w:pPr>
        <w:jc w:val="center"/>
        <w:rPr>
          <w:rFonts w:ascii="Arial" w:eastAsia="Arial" w:hAnsi="Arial" w:cs="Arial"/>
          <w:b/>
          <w:sz w:val="24"/>
          <w:szCs w:val="24"/>
        </w:rPr>
      </w:pPr>
      <w:r>
        <w:rPr>
          <w:rFonts w:ascii="Arial" w:eastAsia="Arial" w:hAnsi="Arial" w:cs="Arial"/>
          <w:b/>
          <w:sz w:val="24"/>
          <w:szCs w:val="24"/>
        </w:rPr>
        <w:lastRenderedPageBreak/>
        <w:t>Table of Contents</w:t>
      </w:r>
    </w:p>
    <w:p w14:paraId="0130A50A" w14:textId="77777777" w:rsidR="00441B85" w:rsidRDefault="00441B85">
      <w:pPr>
        <w:keepNext/>
        <w:keepLines/>
        <w:pBdr>
          <w:top w:val="nil"/>
          <w:left w:val="nil"/>
          <w:bottom w:val="nil"/>
          <w:right w:val="nil"/>
          <w:between w:val="nil"/>
        </w:pBdr>
        <w:spacing w:before="240" w:after="0"/>
        <w:rPr>
          <w:rFonts w:ascii="Arial" w:eastAsia="Arial" w:hAnsi="Arial" w:cs="Arial"/>
          <w:color w:val="2F5496"/>
          <w:sz w:val="24"/>
          <w:szCs w:val="24"/>
        </w:rPr>
      </w:pPr>
    </w:p>
    <w:sdt>
      <w:sdtPr>
        <w:id w:val="-952472036"/>
        <w:docPartObj>
          <w:docPartGallery w:val="Table of Contents"/>
          <w:docPartUnique/>
        </w:docPartObj>
      </w:sdtPr>
      <w:sdtContent>
        <w:p w14:paraId="4238205D"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fp1q7i7mtc1k">
            <w:r>
              <w:rPr>
                <w:rFonts w:ascii="Arial" w:eastAsia="Arial" w:hAnsi="Arial" w:cs="Arial"/>
                <w:color w:val="000000"/>
                <w:sz w:val="24"/>
                <w:szCs w:val="24"/>
              </w:rPr>
              <w:t>Introduction</w:t>
            </w:r>
            <w:r>
              <w:rPr>
                <w:rFonts w:ascii="Arial" w:eastAsia="Arial" w:hAnsi="Arial" w:cs="Arial"/>
                <w:color w:val="000000"/>
                <w:sz w:val="24"/>
                <w:szCs w:val="24"/>
              </w:rPr>
              <w:tab/>
              <w:t>3</w:t>
            </w:r>
          </w:hyperlink>
        </w:p>
        <w:p w14:paraId="7E3E5E4F"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bwh3o2jeyisi">
            <w:r>
              <w:rPr>
                <w:rFonts w:ascii="Arial" w:eastAsia="Arial" w:hAnsi="Arial" w:cs="Arial"/>
                <w:color w:val="000000"/>
                <w:sz w:val="24"/>
                <w:szCs w:val="24"/>
              </w:rPr>
              <w:t>Advantages of Being a Pioneer</w:t>
            </w:r>
            <w:r>
              <w:rPr>
                <w:rFonts w:ascii="Arial" w:eastAsia="Arial" w:hAnsi="Arial" w:cs="Arial"/>
                <w:color w:val="000000"/>
                <w:sz w:val="24"/>
                <w:szCs w:val="24"/>
              </w:rPr>
              <w:tab/>
              <w:t>3</w:t>
            </w:r>
          </w:hyperlink>
        </w:p>
        <w:p w14:paraId="39B4EFCA"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osqwd7ogwip">
            <w:r>
              <w:rPr>
                <w:rFonts w:ascii="Arial" w:eastAsia="Arial" w:hAnsi="Arial" w:cs="Arial"/>
                <w:color w:val="000000"/>
                <w:sz w:val="24"/>
                <w:szCs w:val="24"/>
              </w:rPr>
              <w:t>Advantages of Being a Follower</w:t>
            </w:r>
            <w:r>
              <w:rPr>
                <w:rFonts w:ascii="Arial" w:eastAsia="Arial" w:hAnsi="Arial" w:cs="Arial"/>
                <w:color w:val="000000"/>
                <w:sz w:val="24"/>
                <w:szCs w:val="24"/>
              </w:rPr>
              <w:tab/>
              <w:t>4</w:t>
            </w:r>
          </w:hyperlink>
        </w:p>
        <w:p w14:paraId="6D5FF238"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u2ta8omz3olh">
            <w:r>
              <w:rPr>
                <w:rFonts w:ascii="Arial" w:eastAsia="Arial" w:hAnsi="Arial" w:cs="Arial"/>
                <w:color w:val="000000"/>
                <w:sz w:val="24"/>
                <w:szCs w:val="24"/>
              </w:rPr>
              <w:t>Product Life Cycle Strategies for Pioneers</w:t>
            </w:r>
            <w:r>
              <w:rPr>
                <w:rFonts w:ascii="Arial" w:eastAsia="Arial" w:hAnsi="Arial" w:cs="Arial"/>
                <w:color w:val="000000"/>
                <w:sz w:val="24"/>
                <w:szCs w:val="24"/>
              </w:rPr>
              <w:tab/>
              <w:t>5</w:t>
            </w:r>
          </w:hyperlink>
        </w:p>
        <w:p w14:paraId="14DC4662"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gxz6hjf4bqrn">
            <w:r>
              <w:rPr>
                <w:rFonts w:ascii="Arial" w:eastAsia="Arial" w:hAnsi="Arial" w:cs="Arial"/>
                <w:color w:val="000000"/>
                <w:sz w:val="24"/>
                <w:szCs w:val="24"/>
              </w:rPr>
              <w:t>Product Life Cycle Strategies for Followers</w:t>
            </w:r>
            <w:r>
              <w:rPr>
                <w:rFonts w:ascii="Arial" w:eastAsia="Arial" w:hAnsi="Arial" w:cs="Arial"/>
                <w:color w:val="000000"/>
                <w:sz w:val="24"/>
                <w:szCs w:val="24"/>
              </w:rPr>
              <w:tab/>
              <w:t>8</w:t>
            </w:r>
          </w:hyperlink>
        </w:p>
        <w:p w14:paraId="6184D0C7"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v5dlxs92r9n5">
            <w:r>
              <w:rPr>
                <w:rFonts w:ascii="Arial" w:eastAsia="Arial" w:hAnsi="Arial" w:cs="Arial"/>
                <w:color w:val="000000"/>
                <w:sz w:val="24"/>
                <w:szCs w:val="24"/>
              </w:rPr>
              <w:t>Comparison of Pioneer and Follower Strategies</w:t>
            </w:r>
            <w:r>
              <w:rPr>
                <w:rFonts w:ascii="Arial" w:eastAsia="Arial" w:hAnsi="Arial" w:cs="Arial"/>
                <w:color w:val="000000"/>
                <w:sz w:val="24"/>
                <w:szCs w:val="24"/>
              </w:rPr>
              <w:tab/>
              <w:t>9</w:t>
            </w:r>
          </w:hyperlink>
        </w:p>
        <w:p w14:paraId="3F4A3E75"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185mxigdf5jg">
            <w:r>
              <w:rPr>
                <w:rFonts w:ascii="Arial" w:eastAsia="Arial" w:hAnsi="Arial" w:cs="Arial"/>
                <w:color w:val="000000"/>
                <w:sz w:val="24"/>
                <w:szCs w:val="24"/>
              </w:rPr>
              <w:t>Conclusion</w:t>
            </w:r>
            <w:r>
              <w:rPr>
                <w:rFonts w:ascii="Arial" w:eastAsia="Arial" w:hAnsi="Arial" w:cs="Arial"/>
                <w:color w:val="000000"/>
                <w:sz w:val="24"/>
                <w:szCs w:val="24"/>
              </w:rPr>
              <w:tab/>
              <w:t>10</w:t>
            </w:r>
          </w:hyperlink>
        </w:p>
        <w:p w14:paraId="1E4AD204" w14:textId="77777777" w:rsidR="00441B85" w:rsidRDefault="00000000">
          <w:pPr>
            <w:pBdr>
              <w:top w:val="nil"/>
              <w:left w:val="nil"/>
              <w:bottom w:val="nil"/>
              <w:right w:val="nil"/>
              <w:between w:val="nil"/>
            </w:pBdr>
            <w:tabs>
              <w:tab w:val="right" w:leader="dot" w:pos="9016"/>
            </w:tabs>
            <w:spacing w:after="100"/>
            <w:rPr>
              <w:rFonts w:ascii="Arial" w:eastAsia="Arial" w:hAnsi="Arial" w:cs="Arial"/>
              <w:color w:val="000000"/>
              <w:sz w:val="24"/>
              <w:szCs w:val="24"/>
            </w:rPr>
          </w:pPr>
          <w:hyperlink w:anchor="_4yvxnleqkv5t">
            <w:r>
              <w:rPr>
                <w:rFonts w:ascii="Arial" w:eastAsia="Arial" w:hAnsi="Arial" w:cs="Arial"/>
                <w:color w:val="000000"/>
                <w:sz w:val="24"/>
                <w:szCs w:val="24"/>
              </w:rPr>
              <w:t>References</w:t>
            </w:r>
            <w:r>
              <w:rPr>
                <w:rFonts w:ascii="Arial" w:eastAsia="Arial" w:hAnsi="Arial" w:cs="Arial"/>
                <w:color w:val="000000"/>
                <w:sz w:val="24"/>
                <w:szCs w:val="24"/>
              </w:rPr>
              <w:tab/>
              <w:t>12</w:t>
            </w:r>
          </w:hyperlink>
        </w:p>
        <w:p w14:paraId="3767B02E" w14:textId="77777777" w:rsidR="00441B85" w:rsidRDefault="00000000">
          <w:r>
            <w:fldChar w:fldCharType="end"/>
          </w:r>
        </w:p>
      </w:sdtContent>
    </w:sdt>
    <w:p w14:paraId="1FDEAE8D" w14:textId="77777777" w:rsidR="00441B85" w:rsidRDefault="00000000">
      <w:pPr>
        <w:jc w:val="center"/>
        <w:rPr>
          <w:rFonts w:ascii="Arial" w:eastAsia="Arial" w:hAnsi="Arial" w:cs="Arial"/>
          <w:b/>
          <w:sz w:val="24"/>
          <w:szCs w:val="24"/>
        </w:rPr>
      </w:pPr>
      <w:r>
        <w:br w:type="page"/>
      </w:r>
    </w:p>
    <w:p w14:paraId="3CDB28E5" w14:textId="77777777" w:rsidR="00441B85" w:rsidRDefault="00000000">
      <w:pPr>
        <w:pStyle w:val="Heading1"/>
        <w:rPr>
          <w:rFonts w:ascii="Arial" w:eastAsia="Arial" w:hAnsi="Arial" w:cs="Arial"/>
        </w:rPr>
      </w:pPr>
      <w:bookmarkStart w:id="0" w:name="_fp1q7i7mtc1k" w:colFirst="0" w:colLast="0"/>
      <w:bookmarkEnd w:id="0"/>
      <w:r>
        <w:rPr>
          <w:rFonts w:ascii="Arial" w:eastAsia="Arial" w:hAnsi="Arial" w:cs="Arial"/>
        </w:rPr>
        <w:lastRenderedPageBreak/>
        <w:t>Introduction</w:t>
      </w:r>
    </w:p>
    <w:p w14:paraId="3EBCB295"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Pioneers and followers are two key players in the business world, each employing distinct strategies throughout the product life cycle. This essay explores the approaches that pioneers and followers take to navigate different stages of the cycle, from introduction to decline. It begins by examining how pioneers, like Tesla and Apple, focus on innovation and market education to establish their leadership. It then discusses how followers, such as Samsung and Facebook, enter validated markets and use adaptation to refine and improve products. The essay also compares the strengths and challenges of both approaches, highlighting examples of companies that have excelled in their respective roles. Through these comparisons, the essay demonstrates how pioneers and followers contribute to industry growth and innovation in complementary ways.</w:t>
      </w:r>
    </w:p>
    <w:p w14:paraId="681BCC5A" w14:textId="77777777" w:rsidR="00441B85" w:rsidRDefault="00000000">
      <w:pPr>
        <w:pStyle w:val="Heading1"/>
        <w:rPr>
          <w:rFonts w:ascii="Arial" w:eastAsia="Arial" w:hAnsi="Arial" w:cs="Arial"/>
        </w:rPr>
      </w:pPr>
      <w:bookmarkStart w:id="1" w:name="_bwh3o2jeyisi" w:colFirst="0" w:colLast="0"/>
      <w:bookmarkEnd w:id="1"/>
      <w:r>
        <w:rPr>
          <w:rFonts w:ascii="Arial" w:eastAsia="Arial" w:hAnsi="Arial" w:cs="Arial"/>
        </w:rPr>
        <w:t xml:space="preserve">Advantages of Being a Pioneer </w:t>
      </w:r>
    </w:p>
    <w:p w14:paraId="0D7B8AD1"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Timing is a critical factor in the strategic marketing process, and companies face a fundamental decision: whether to be a pioneer and introduce new products/technologies or to wait and follow the pioneers into the market. For companies opting to be pioneers, the advantages are both significant and challenging to sustain (Gómez </w:t>
      </w:r>
      <w:r>
        <w:rPr>
          <w:rFonts w:ascii="Arial" w:eastAsia="Arial" w:hAnsi="Arial" w:cs="Arial"/>
          <w:i/>
          <w:sz w:val="24"/>
          <w:szCs w:val="24"/>
        </w:rPr>
        <w:t xml:space="preserve">et al. </w:t>
      </w:r>
      <w:r>
        <w:rPr>
          <w:rFonts w:ascii="Arial" w:eastAsia="Arial" w:hAnsi="Arial" w:cs="Arial"/>
          <w:sz w:val="24"/>
          <w:szCs w:val="24"/>
        </w:rPr>
        <w:t xml:space="preserve">2022). Pioneers often enjoy a unique position as market leaders, benefiting from first-mover advantages and establishing brand recognition before competitors enter the scene. One of the primary benefits of being a pioneer is the ability to set industry standards. For example, Apple revolutionized the smartphone market in 2007 with the launch of the iPhone. By introducing a product that combined a phone, iPod, and internet device, Apple established itself as a trailblazer in the industry (Tien </w:t>
      </w:r>
      <w:r>
        <w:rPr>
          <w:rFonts w:ascii="Arial" w:eastAsia="Arial" w:hAnsi="Arial" w:cs="Arial"/>
          <w:i/>
          <w:sz w:val="24"/>
          <w:szCs w:val="24"/>
        </w:rPr>
        <w:t xml:space="preserve">et al. </w:t>
      </w:r>
      <w:r>
        <w:rPr>
          <w:rFonts w:ascii="Arial" w:eastAsia="Arial" w:hAnsi="Arial" w:cs="Arial"/>
          <w:sz w:val="24"/>
          <w:szCs w:val="24"/>
        </w:rPr>
        <w:t>2020). The first-mover advantage allowed Apple to dictate terms in design and user experience, forcing competitors to adapt to its innovations. This not only solidified Apple’s position as a market leader but also cultivated a loyal customer base.</w:t>
      </w:r>
    </w:p>
    <w:p w14:paraId="5789198A"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 additional benefit of being a pioneer is the opportunity to establish a competitive moat. Pioneers may get market share, establish economies of scale, and use network effects that inhibit competition. For instance, Netflix innovated the streaming sector by providing on-demand video material prior to the shift of conventional media corporations to digital platforms. By pioneering the industry, Netflix cultivated a </w:t>
      </w:r>
      <w:r>
        <w:rPr>
          <w:rFonts w:ascii="Arial" w:eastAsia="Arial" w:hAnsi="Arial" w:cs="Arial"/>
          <w:sz w:val="24"/>
          <w:szCs w:val="24"/>
        </w:rPr>
        <w:lastRenderedPageBreak/>
        <w:t>substantial subscriber base and developed an extensive content collection, making it challenging for rivals to replicate its offers. Nonetheless, the innovative methodology entails considerable hazards (</w:t>
      </w:r>
      <w:proofErr w:type="spellStart"/>
      <w:r>
        <w:rPr>
          <w:rFonts w:ascii="Arial" w:eastAsia="Arial" w:hAnsi="Arial" w:cs="Arial"/>
          <w:sz w:val="24"/>
          <w:szCs w:val="24"/>
        </w:rPr>
        <w:t>Suntsova</w:t>
      </w:r>
      <w:proofErr w:type="spellEnd"/>
      <w:r>
        <w:rPr>
          <w:rFonts w:ascii="Arial" w:eastAsia="Arial" w:hAnsi="Arial" w:cs="Arial"/>
          <w:sz w:val="24"/>
          <w:szCs w:val="24"/>
        </w:rPr>
        <w:t>, 2024). Market volatility is a significant obstacle, since innovators are compelled to spend substantially in research, development, and marketing without guarantees of success. Polaroid exemplifies a cautionary narrative. The firm, a pioneer in instant photography, failed to adapt to the digital revolution, resulting in its demise. This underscores the significance of ongoing innovation and the capacity to anticipate changes in customer preferences.</w:t>
      </w:r>
    </w:p>
    <w:p w14:paraId="41A5A404"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A further danger exists in the possibility of rivals replicating and enhancing initial innovations (Gómez</w:t>
      </w:r>
      <w:r>
        <w:rPr>
          <w:rFonts w:ascii="Arial" w:eastAsia="Arial" w:hAnsi="Arial" w:cs="Arial"/>
          <w:i/>
          <w:sz w:val="24"/>
          <w:szCs w:val="24"/>
        </w:rPr>
        <w:t xml:space="preserve"> et al.</w:t>
      </w:r>
      <w:r>
        <w:rPr>
          <w:rFonts w:ascii="Arial" w:eastAsia="Arial" w:hAnsi="Arial" w:cs="Arial"/>
          <w:sz w:val="24"/>
          <w:szCs w:val="24"/>
        </w:rPr>
        <w:t xml:space="preserve"> 2022). Despite first-mover advantages, pioneers have the difficulty of sustaining their market position amid competition. For instance, BlackBerry was an initial frontrunner in the smartphone sector but did not develop swiftly enough, enabling rivals such as Apple and Samsung to seize considerable market share (</w:t>
      </w:r>
      <w:proofErr w:type="spellStart"/>
      <w:r>
        <w:rPr>
          <w:rFonts w:ascii="Arial" w:eastAsia="Arial" w:hAnsi="Arial" w:cs="Arial"/>
          <w:sz w:val="24"/>
          <w:szCs w:val="24"/>
        </w:rPr>
        <w:t>Querbes</w:t>
      </w:r>
      <w:proofErr w:type="spellEnd"/>
      <w:r>
        <w:rPr>
          <w:rFonts w:ascii="Arial" w:eastAsia="Arial" w:hAnsi="Arial" w:cs="Arial"/>
          <w:sz w:val="24"/>
          <w:szCs w:val="24"/>
        </w:rPr>
        <w:t xml:space="preserve"> and </w:t>
      </w:r>
      <w:proofErr w:type="spellStart"/>
      <w:r>
        <w:rPr>
          <w:rFonts w:ascii="Arial" w:eastAsia="Arial" w:hAnsi="Arial" w:cs="Arial"/>
          <w:sz w:val="24"/>
          <w:szCs w:val="24"/>
        </w:rPr>
        <w:t>Frenken</w:t>
      </w:r>
      <w:proofErr w:type="spellEnd"/>
      <w:r>
        <w:rPr>
          <w:rFonts w:ascii="Arial" w:eastAsia="Arial" w:hAnsi="Arial" w:cs="Arial"/>
          <w:sz w:val="24"/>
          <w:szCs w:val="24"/>
        </w:rPr>
        <w:t xml:space="preserve">, 2017). Notwithstanding these hazards, innovators possess the unique chance to establish markets and influence consumer behaviour. Tesla has established the benchmark for electric cars and has prompted global automobile manufacturers to embrace environmental principles. Tesla maintains its dominance in the electric vehicle industry via the use of innovation and progressive techniques. </w:t>
      </w:r>
    </w:p>
    <w:p w14:paraId="0A9201FA" w14:textId="77777777" w:rsidR="00441B85" w:rsidRDefault="00000000">
      <w:pPr>
        <w:pStyle w:val="Heading1"/>
        <w:rPr>
          <w:rFonts w:ascii="Arial" w:eastAsia="Arial" w:hAnsi="Arial" w:cs="Arial"/>
        </w:rPr>
      </w:pPr>
      <w:bookmarkStart w:id="2" w:name="_osqwd7ogwip" w:colFirst="0" w:colLast="0"/>
      <w:bookmarkEnd w:id="2"/>
      <w:r>
        <w:rPr>
          <w:rFonts w:ascii="Arial" w:eastAsia="Arial" w:hAnsi="Arial" w:cs="Arial"/>
        </w:rPr>
        <w:t xml:space="preserve">Advantages of Being a Follower </w:t>
      </w:r>
    </w:p>
    <w:p w14:paraId="1E62831A"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Being a follower company has many benefits, allowing businesses to achieve success by learning from pioneers and improving on their ideas. One of the biggest advantages is reduced risk. Pioneers often deal with uncertainty, such as guessing what customers want or whether a market will respond well to their product (Wurzel </w:t>
      </w:r>
      <w:r>
        <w:rPr>
          <w:rFonts w:ascii="Arial" w:eastAsia="Arial" w:hAnsi="Arial" w:cs="Arial"/>
          <w:i/>
          <w:sz w:val="24"/>
          <w:szCs w:val="24"/>
        </w:rPr>
        <w:t xml:space="preserve">et al. </w:t>
      </w:r>
      <w:r>
        <w:rPr>
          <w:rFonts w:ascii="Arial" w:eastAsia="Arial" w:hAnsi="Arial" w:cs="Arial"/>
          <w:sz w:val="24"/>
          <w:szCs w:val="24"/>
        </w:rPr>
        <w:t xml:space="preserve">2019). Followers can learn from pioneers' successes and mistakes, helping them avoid costly errors. For instance, Samsung entered the smartphone market after Apple introduced the iPhone. By observing Apple, Samsung developed its Galaxy series with features like larger screens and greater customization, allowing it to compete strongly and even rival Apple's position in the market (Tien, 2019). Another advantage for follower companies is saving money on research and development. Pioneers spend heavily on developing new technologies, while followers can adapt existing ones and make them better. Facebook is a great example of this. It came after social networking platforms like </w:t>
      </w:r>
      <w:proofErr w:type="spellStart"/>
      <w:r>
        <w:rPr>
          <w:rFonts w:ascii="Arial" w:eastAsia="Arial" w:hAnsi="Arial" w:cs="Arial"/>
          <w:sz w:val="24"/>
          <w:szCs w:val="24"/>
        </w:rPr>
        <w:t>MySpace</w:t>
      </w:r>
      <w:proofErr w:type="spellEnd"/>
      <w:r>
        <w:rPr>
          <w:rFonts w:ascii="Arial" w:eastAsia="Arial" w:hAnsi="Arial" w:cs="Arial"/>
          <w:sz w:val="24"/>
          <w:szCs w:val="24"/>
        </w:rPr>
        <w:t xml:space="preserve"> and Friendster but succeeded by learning from their problems. </w:t>
      </w:r>
      <w:r>
        <w:rPr>
          <w:rFonts w:ascii="Arial" w:eastAsia="Arial" w:hAnsi="Arial" w:cs="Arial"/>
          <w:sz w:val="24"/>
          <w:szCs w:val="24"/>
        </w:rPr>
        <w:lastRenderedPageBreak/>
        <w:t>Facebook made a simpler and more user-friendly platform, which helped it become the leader in social media while spending less on innovation compared to the pioneers.</w:t>
      </w:r>
    </w:p>
    <w:p w14:paraId="444C4786"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Followers also benefit from entering markets that have already been tested by pioneers. They do not need to find out whether customers are interested in the product—the market already exists. This allows followers to focus on refining their offerings. Google did this in the search engine market. It came after Yahoo and AltaVista but improved upon their ideas with better algorithms and a more efficient user interface (Wen and Zhu, 2019). By capitalizing on the existing demand for search engines, Google became the dominant player in the industry. Another key benefit is the ability to improve on the pioneer’s product. Followers can analyse feedback, identify flaws, and create better versions. Toyota’s success in the hybrid car market demonstrates this point. Honda was the first to introduce a hybrid car with the Insight, but Toyota developed the Prius after observing consumer feedback (Kawai, 2020). The Prius offered better fuel efficiency and design, which made it more appealing to customers and established Toyota as the leader in hybrid vehicles.</w:t>
      </w:r>
    </w:p>
    <w:p w14:paraId="3D60B9AB"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Flexibility is also an important advantage for followers. They can adapt more quickly to market changes because they are not tied to the original ideas of pioneers. Microsoft showed this flexibility when it entered the gaming console market with the Xbox. Sony and Nintendo were the pioneers, but Microsoft introduced features like Xbox Live, which made online gaming popular (</w:t>
      </w:r>
      <w:proofErr w:type="spellStart"/>
      <w:r>
        <w:rPr>
          <w:rFonts w:ascii="Arial" w:eastAsia="Arial" w:hAnsi="Arial" w:cs="Arial"/>
          <w:sz w:val="24"/>
          <w:szCs w:val="24"/>
        </w:rPr>
        <w:t>Kadirov</w:t>
      </w:r>
      <w:proofErr w:type="spellEnd"/>
      <w:r>
        <w:rPr>
          <w:rFonts w:ascii="Arial" w:eastAsia="Arial" w:hAnsi="Arial" w:cs="Arial"/>
          <w:sz w:val="24"/>
          <w:szCs w:val="24"/>
        </w:rPr>
        <w:t xml:space="preserve"> and Harrison, 2024). This helped Microsoft gain a significant share in the market. Follower companies can succeed by avoiding risks, saving money, entering established markets, improving existing products, and adapting quickly. Examples such as Samsung, Facebook, Google, Toyota, and Microsoft show that being a follower can lead to great achievements. These companies learned from the pioneers and improved upon their ideas, proving that followers can thrive and sometimes even outperform the innovators in competitive industries. By observing and refining, followers can create value and establish themselves as major players in their fields.</w:t>
      </w:r>
    </w:p>
    <w:p w14:paraId="42BFB4BB" w14:textId="77777777" w:rsidR="00441B85" w:rsidRDefault="00000000">
      <w:pPr>
        <w:pStyle w:val="Heading1"/>
        <w:rPr>
          <w:rFonts w:ascii="Arial" w:eastAsia="Arial" w:hAnsi="Arial" w:cs="Arial"/>
        </w:rPr>
      </w:pPr>
      <w:bookmarkStart w:id="3" w:name="_u2ta8omz3olh" w:colFirst="0" w:colLast="0"/>
      <w:bookmarkEnd w:id="3"/>
      <w:r>
        <w:rPr>
          <w:rFonts w:ascii="Arial" w:eastAsia="Arial" w:hAnsi="Arial" w:cs="Arial"/>
        </w:rPr>
        <w:t>Product Life Cycle Strategies for Pioneers</w:t>
      </w:r>
    </w:p>
    <w:p w14:paraId="4F853B15"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Pioneers, being the first participants in a market, may encounter distinct obstacles and opportunities along the product life cycle. To achieve success, they must implement targeted plans for each phase: introduction, growth, maturity, and decline. By </w:t>
      </w:r>
      <w:r>
        <w:rPr>
          <w:rFonts w:ascii="Arial" w:eastAsia="Arial" w:hAnsi="Arial" w:cs="Arial"/>
          <w:sz w:val="24"/>
          <w:szCs w:val="24"/>
        </w:rPr>
        <w:lastRenderedPageBreak/>
        <w:t xml:space="preserve">comprehending the characteristics of these phases and executing successful plans, pioneers may use their first-mover advantage while managing market uncertainty (Stark, 2022). </w:t>
      </w:r>
    </w:p>
    <w:p w14:paraId="4538639A" w14:textId="77777777" w:rsidR="00441B85" w:rsidRDefault="00000000">
      <w:pPr>
        <w:spacing w:line="360" w:lineRule="auto"/>
        <w:jc w:val="both"/>
        <w:rPr>
          <w:rFonts w:ascii="Arial" w:eastAsia="Arial" w:hAnsi="Arial" w:cs="Arial"/>
          <w:sz w:val="24"/>
          <w:szCs w:val="24"/>
        </w:rPr>
      </w:pPr>
      <w:r>
        <w:rPr>
          <w:rFonts w:ascii="Arial" w:eastAsia="Arial" w:hAnsi="Arial" w:cs="Arial"/>
          <w:noProof/>
        </w:rPr>
        <w:drawing>
          <wp:inline distT="0" distB="0" distL="0" distR="0" wp14:anchorId="49AD242E" wp14:editId="1251E31D">
            <wp:extent cx="5731510" cy="4378960"/>
            <wp:effectExtent l="0" t="0" r="0" b="0"/>
            <wp:docPr id="2" name="image2.png" descr="What is a Product Life Cycle? (Definition, Stages and Examples) - TWI"/>
            <wp:cNvGraphicFramePr/>
            <a:graphic xmlns:a="http://schemas.openxmlformats.org/drawingml/2006/main">
              <a:graphicData uri="http://schemas.openxmlformats.org/drawingml/2006/picture">
                <pic:pic xmlns:pic="http://schemas.openxmlformats.org/drawingml/2006/picture">
                  <pic:nvPicPr>
                    <pic:cNvPr id="0" name="image2.png" descr="What is a Product Life Cycle? (Definition, Stages and Examples) - TWI"/>
                    <pic:cNvPicPr preferRelativeResize="0"/>
                  </pic:nvPicPr>
                  <pic:blipFill>
                    <a:blip r:embed="rId7"/>
                    <a:srcRect/>
                    <a:stretch>
                      <a:fillRect/>
                    </a:stretch>
                  </pic:blipFill>
                  <pic:spPr>
                    <a:xfrm>
                      <a:off x="0" y="0"/>
                      <a:ext cx="5731510" cy="4378960"/>
                    </a:xfrm>
                    <a:prstGeom prst="rect">
                      <a:avLst/>
                    </a:prstGeom>
                    <a:ln/>
                  </pic:spPr>
                </pic:pic>
              </a:graphicData>
            </a:graphic>
          </wp:inline>
        </w:drawing>
      </w:r>
    </w:p>
    <w:p w14:paraId="1F51F605" w14:textId="77777777" w:rsidR="00441B85" w:rsidRDefault="00000000">
      <w:pPr>
        <w:spacing w:line="360" w:lineRule="auto"/>
        <w:jc w:val="center"/>
        <w:rPr>
          <w:rFonts w:ascii="Arial" w:eastAsia="Arial" w:hAnsi="Arial" w:cs="Arial"/>
          <w:b/>
          <w:sz w:val="24"/>
          <w:szCs w:val="24"/>
        </w:rPr>
      </w:pPr>
      <w:r>
        <w:rPr>
          <w:rFonts w:ascii="Arial" w:eastAsia="Arial" w:hAnsi="Arial" w:cs="Arial"/>
          <w:b/>
          <w:sz w:val="24"/>
          <w:szCs w:val="24"/>
        </w:rPr>
        <w:t>Figure 1: Product Life Cycle Model</w:t>
      </w:r>
    </w:p>
    <w:p w14:paraId="2657E6F3" w14:textId="77777777" w:rsidR="00441B85" w:rsidRDefault="00000000">
      <w:pPr>
        <w:spacing w:line="360" w:lineRule="auto"/>
        <w:jc w:val="center"/>
        <w:rPr>
          <w:rFonts w:ascii="Arial" w:eastAsia="Arial" w:hAnsi="Arial" w:cs="Arial"/>
          <w:sz w:val="24"/>
          <w:szCs w:val="24"/>
        </w:rPr>
      </w:pPr>
      <w:r>
        <w:rPr>
          <w:rFonts w:ascii="Arial" w:eastAsia="Arial" w:hAnsi="Arial" w:cs="Arial"/>
          <w:sz w:val="24"/>
          <w:szCs w:val="24"/>
        </w:rPr>
        <w:t>(Source: Stark, 2022)</w:t>
      </w:r>
    </w:p>
    <w:p w14:paraId="1543B68C"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During the introduction phase, a pioneer primarily concentrates on generating awareness and cultivating demand for its product. Due to the market's unproven nature, pioneers often devote substantial resources to marketing and education to persuade prospective buyers of the product's worth. They concentrate on establishing a dependable supply chain and resolving initial technological obstacles. Tesla, a trailblazer in the electric car sector, encountered scepticism about the viability of EVs with the launch of the Roadster (Thomas and Maine, 2019). Tesla effectively cultivated public interest and established a basis for future expansion via robust branding, assertive marketing, and the demonstration of the vehicle's performance and environmental advantages.</w:t>
      </w:r>
    </w:p>
    <w:p w14:paraId="61BECA29"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In the growth phase, demand escalates, and innovators reap the rewards of heightened sales. The emphasis transitions to augmenting output, enhancing efficiency, and broadening market penetration. Companies engage in improving their product characteristics to sustain a competitive advantage when rivals begin to emerge. For instance, Apple’s iPhone first launched touchscreen </w:t>
      </w:r>
      <w:proofErr w:type="spellStart"/>
      <w:r>
        <w:rPr>
          <w:rFonts w:ascii="Arial" w:eastAsia="Arial" w:hAnsi="Arial" w:cs="Arial"/>
          <w:sz w:val="24"/>
          <w:szCs w:val="24"/>
        </w:rPr>
        <w:t>cellphones</w:t>
      </w:r>
      <w:proofErr w:type="spellEnd"/>
      <w:r>
        <w:rPr>
          <w:rFonts w:ascii="Arial" w:eastAsia="Arial" w:hAnsi="Arial" w:cs="Arial"/>
          <w:sz w:val="24"/>
          <w:szCs w:val="24"/>
        </w:rPr>
        <w:t>, revolutionising the mobile sector. During the expansion phase, Apple persisted in innovation via enhanced designs and services like as the App Store, while also expanding internationally to reinforce its status as the market leader (Ewa et al. 2017). The mature stage is characterised by decelerated growth due to market saturation and heightened competition. Pioneers prioritise differentiation, investigate new consumer niches, and enhance their processes to sustain profitability in order to remain relevant. They may also launch ancillary goods or services to prolong the lifespan of their product. Coca-Cola exemplifies a pioneer that thrived in this phase. Coca-Cola, having established itself as the preeminent soda brand, expanded into other beverages, adopted novel packaging styles, and initiated worldwide marketing efforts to maintain its dominance in the mature carbonated drinks industry (</w:t>
      </w:r>
      <w:proofErr w:type="spellStart"/>
      <w:r>
        <w:rPr>
          <w:rFonts w:ascii="Arial" w:eastAsia="Arial" w:hAnsi="Arial" w:cs="Arial"/>
          <w:sz w:val="24"/>
          <w:szCs w:val="24"/>
        </w:rPr>
        <w:t>Uwera</w:t>
      </w:r>
      <w:proofErr w:type="spellEnd"/>
      <w:r>
        <w:rPr>
          <w:rFonts w:ascii="Arial" w:eastAsia="Arial" w:hAnsi="Arial" w:cs="Arial"/>
          <w:sz w:val="24"/>
          <w:szCs w:val="24"/>
        </w:rPr>
        <w:t>, 2022).</w:t>
      </w:r>
    </w:p>
    <w:p w14:paraId="6F5E74A9"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During the decline phase, demand for the product diminishes as consumer tastes evolve or new technologies arise. Pioneers may choose to rejuvenate their product, transition to alternate products, or systematically discontinue the product to concentrate on emerging prospects. Kodak, once a leader in photographic film, had a downturn owing to the emergence of digital photography (Nugroho and Harjanto, 2020). Kodak's first efforts to retain its film business were unsuccessful; nonetheless, it ultimately transitioned to digital imaging and printing technologies, responding to the evolving market. Innovators must use customised methods at every phase of the product life cycle to achieve success. In the introduction phase, the emphasis is on generating awareness and demand. During the expansion phase, they expand and innovate to maintain their dominant position. During the maturity stage, distinctiveness and operational efficiency emerge as primary concerns. Ultimately, during the decline phase, they may choose to revitalise, redirect, or discontinue their items. Companies such as Tesla, Apple, Coca-Cola, and Kodak exemplify how innovators may adeptly traverse the product life cycle to optimise their influence and maintain their success in dynamic marketplaces. </w:t>
      </w:r>
    </w:p>
    <w:p w14:paraId="15AE7B92" w14:textId="77777777" w:rsidR="00441B85" w:rsidRDefault="00000000">
      <w:pPr>
        <w:pStyle w:val="Heading1"/>
        <w:rPr>
          <w:rFonts w:ascii="Arial" w:eastAsia="Arial" w:hAnsi="Arial" w:cs="Arial"/>
        </w:rPr>
      </w:pPr>
      <w:bookmarkStart w:id="4" w:name="_gxz6hjf4bqrn" w:colFirst="0" w:colLast="0"/>
      <w:bookmarkEnd w:id="4"/>
      <w:r>
        <w:rPr>
          <w:rFonts w:ascii="Arial" w:eastAsia="Arial" w:hAnsi="Arial" w:cs="Arial"/>
        </w:rPr>
        <w:t>Product Life Cycle Strategies for Followers</w:t>
      </w:r>
    </w:p>
    <w:p w14:paraId="61C75366"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Follower enterprises have a unique strategy regarding the product life cycle, focussing on the improvement of existing products and the detection of market gaps. Their methodologies vary throughout the introduction, development, maturity, and decline stages, enabling them to use lessons from pioneers while cultivating a competitive position. During the introduction phase, followers focus on releasing improved versions of existing products. They rigorously assess the shortcomings of innovative items and address user feedback to create more appealing alternatives. This allows followers to get market share even in a competitive environment. For example, Samsung entered the smartphone sector as a rival to Apple's iPhone. By integrating larger screens, customisation possibilities, and compatibility with Android apps, Samsung positioned itself as a significant competitor and rapidly earned customer trust (Tien, 2019).</w:t>
      </w:r>
    </w:p>
    <w:p w14:paraId="36D75535"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During the expansion phase, followers capitalise on the heightened demand created by pioneers and endeavour to further distinguish themselves. They augment product features, broaden market presence, and optimise manufacturing processes to reduce costs and promote efficiency. Facebook exemplifies this method well. Although </w:t>
      </w:r>
      <w:proofErr w:type="spellStart"/>
      <w:r>
        <w:rPr>
          <w:rFonts w:ascii="Arial" w:eastAsia="Arial" w:hAnsi="Arial" w:cs="Arial"/>
          <w:sz w:val="24"/>
          <w:szCs w:val="24"/>
        </w:rPr>
        <w:t>MySpace</w:t>
      </w:r>
      <w:proofErr w:type="spellEnd"/>
      <w:r>
        <w:rPr>
          <w:rFonts w:ascii="Arial" w:eastAsia="Arial" w:hAnsi="Arial" w:cs="Arial"/>
          <w:sz w:val="24"/>
          <w:szCs w:val="24"/>
        </w:rPr>
        <w:t xml:space="preserve"> and Friendster pioneered social networking, Facebook leveraged the increasing interest by offering a more streamlined and aesthetically pleasing user experience (Kraus </w:t>
      </w:r>
      <w:r>
        <w:rPr>
          <w:rFonts w:ascii="Arial" w:eastAsia="Arial" w:hAnsi="Arial" w:cs="Arial"/>
          <w:i/>
          <w:sz w:val="24"/>
          <w:szCs w:val="24"/>
        </w:rPr>
        <w:t>et al.</w:t>
      </w:r>
      <w:r>
        <w:rPr>
          <w:rFonts w:ascii="Arial" w:eastAsia="Arial" w:hAnsi="Arial" w:cs="Arial"/>
          <w:sz w:val="24"/>
          <w:szCs w:val="24"/>
        </w:rPr>
        <w:t xml:space="preserve"> 2022). The platform's capacity for efficient scaling and audience expansion allowed it to dominate the social media scene throughout its boom era. As the market evolves, participants concentrate on sustaining profitability via operational optimisation, targeting new consumer groups, and launching supplementary goods or services. Differentiation becomes essential when competition intensifies and development decelerates. Microsoft's Xbox exemplifies this technique throughout the gaming console sector. Following Sony's PlayStation and Nintendo's consoles, Microsoft distinguished themselves with Xbox Live, which provided a smooth online gaming experience (</w:t>
      </w:r>
      <w:proofErr w:type="spellStart"/>
      <w:r>
        <w:rPr>
          <w:rFonts w:ascii="Arial" w:eastAsia="Arial" w:hAnsi="Arial" w:cs="Arial"/>
          <w:sz w:val="24"/>
          <w:szCs w:val="24"/>
        </w:rPr>
        <w:t>Kadirov</w:t>
      </w:r>
      <w:proofErr w:type="spellEnd"/>
      <w:r>
        <w:rPr>
          <w:rFonts w:ascii="Arial" w:eastAsia="Arial" w:hAnsi="Arial" w:cs="Arial"/>
          <w:sz w:val="24"/>
          <w:szCs w:val="24"/>
        </w:rPr>
        <w:t xml:space="preserve"> and Harrison, 2024). In the mature phase, Microsoft augmented the Xbox ecosystem with iterations such as Xbox One and Xbox Series X, maintaining interest and propelling ongoing sales.</w:t>
      </w:r>
    </w:p>
    <w:p w14:paraId="7DECB455"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During the decline phase, followers either enhance and reintroduce their items or diversify into other sectors to maintain relevance. This phase is a chance for followers to develop and engage clients seeking novel solutions. An example is Toyota's strategy in the hybrid automobile sector. Although Honda's Insight was the first hybrid </w:t>
      </w:r>
      <w:r>
        <w:rPr>
          <w:rFonts w:ascii="Arial" w:eastAsia="Arial" w:hAnsi="Arial" w:cs="Arial"/>
          <w:sz w:val="24"/>
          <w:szCs w:val="24"/>
        </w:rPr>
        <w:lastRenderedPageBreak/>
        <w:t xml:space="preserve">vehicle, Toyota launched the Prius, which had superior features and marketing strategies. As the hybrid vehicle market encountered competition from electric cars, Toyota expanded its offerings to include plug-in hybrids and completely electric models, ensuring its continued relevance amid industry evolution. Follower firms adjust their strategy for each phase of the product life cycle to optimise possibilities and surpass pioneers (Kawai, 2020). By enhancing items, addressing market need, and establishing differentiation, followers may attain significant success. Samsung, Facebook, Microsoft, and Toyota exemplify how followers may capitalise on the initiatives of pioneers while establishing their own identity in competitive sectors. These tactics underscore the possibility for followers to flourish throughout the introduction, development, maturity, and decline phases. Through meticulous planning and implementation, follower firms may maintain their success and continue to be significant competitors in their particular marketplaces. </w:t>
      </w:r>
    </w:p>
    <w:p w14:paraId="7CCF1829" w14:textId="77777777" w:rsidR="00441B85" w:rsidRDefault="00000000">
      <w:pPr>
        <w:pStyle w:val="Heading1"/>
        <w:rPr>
          <w:rFonts w:ascii="Arial" w:eastAsia="Arial" w:hAnsi="Arial" w:cs="Arial"/>
        </w:rPr>
      </w:pPr>
      <w:bookmarkStart w:id="5" w:name="_v5dlxs92r9n5" w:colFirst="0" w:colLast="0"/>
      <w:bookmarkEnd w:id="5"/>
      <w:r>
        <w:rPr>
          <w:rFonts w:ascii="Arial" w:eastAsia="Arial" w:hAnsi="Arial" w:cs="Arial"/>
        </w:rPr>
        <w:t>Comparison of Pioneer and Follower Strategies</w:t>
      </w:r>
    </w:p>
    <w:p w14:paraId="2FDEE3B1"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Pioneers and followers use different ways to traverse the product life cycle, each presenting unique benefits and obstacles. Pioneers are the first entities to launch novel items, venturing into uncharted areas with the objective of generating demand and securing a competitive advantage (Giachetti and Pira, 2022). Their tactics emphasise market education, branding, and technology innovation in the first phase. Tesla, for example, emerged as a trailblazer in the electric vehicle industry, investing in the promotion of EV advantages and establishing robust brand awareness. Pioneers often encounter elevated risks, as they must overcome scepticism and technological challenges while navigating an ambiguous market. Followers, however, join the market subsequent to pioneers validating its potential and establishing demand. Their tactics prioritise observation, adaption, and enhancement. They evaluate the achievements and shortcomings of innovators to enhance goods, lower expenses, and fulfil unaddressed demands. For instance, Samsung entered the smartphone industry after Apple but distinguished itself by providing bigger displays and customisable features, so acquiring substantial market share without the risks encountered by the innovator.</w:t>
      </w:r>
    </w:p>
    <w:p w14:paraId="14D1CE73"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Pioneers aim to maintain their competitive edge throughout the expansion phase by expanding operations, improving efficiency, and inventing further. This tactic is on </w:t>
      </w:r>
      <w:r>
        <w:rPr>
          <w:rFonts w:ascii="Arial" w:eastAsia="Arial" w:hAnsi="Arial" w:cs="Arial"/>
          <w:sz w:val="24"/>
          <w:szCs w:val="24"/>
        </w:rPr>
        <w:lastRenderedPageBreak/>
        <w:t xml:space="preserve">display with Apple's iPhone, which has been steadily adding new features and going global to keep up with demand. The focus of followers is on increasing their exposure and developing ways to succeed in competition. Facebook improved its social networking site to surpass early rivals like </w:t>
      </w:r>
      <w:proofErr w:type="spellStart"/>
      <w:r>
        <w:rPr>
          <w:rFonts w:ascii="Arial" w:eastAsia="Arial" w:hAnsi="Arial" w:cs="Arial"/>
          <w:sz w:val="24"/>
          <w:szCs w:val="24"/>
        </w:rPr>
        <w:t>MySpace</w:t>
      </w:r>
      <w:proofErr w:type="spellEnd"/>
      <w:r>
        <w:rPr>
          <w:rFonts w:ascii="Arial" w:eastAsia="Arial" w:hAnsi="Arial" w:cs="Arial"/>
          <w:sz w:val="24"/>
          <w:szCs w:val="24"/>
        </w:rPr>
        <w:t>. Pioneers in the maturity period try to stay relevant by focussing on differentiating themselves and introducing supplemental items. Coca-Cola maintained its market domination by branching out into other types of beverages. If you're a fan of Microsoft's Xbox, for example, you can take use of the ecosystem already in place to make your game even better or to make money with services like Xbox Live. Adapting and cost optimisation are the strategies of the followers, whereas inventiveness and high risk are the tactics of the pioneers, both of which are based on their market position.</w:t>
      </w:r>
    </w:p>
    <w:p w14:paraId="4FE9E0C0" w14:textId="77777777" w:rsidR="00441B85" w:rsidRDefault="00000000">
      <w:pPr>
        <w:pStyle w:val="Heading1"/>
        <w:rPr>
          <w:rFonts w:ascii="Arial" w:eastAsia="Arial" w:hAnsi="Arial" w:cs="Arial"/>
        </w:rPr>
      </w:pPr>
      <w:bookmarkStart w:id="6" w:name="_185mxigdf5jg" w:colFirst="0" w:colLast="0"/>
      <w:bookmarkEnd w:id="6"/>
      <w:r>
        <w:rPr>
          <w:rFonts w:ascii="Arial" w:eastAsia="Arial" w:hAnsi="Arial" w:cs="Arial"/>
        </w:rPr>
        <w:t>Conclusion</w:t>
      </w:r>
    </w:p>
    <w:p w14:paraId="5A6010D2" w14:textId="77777777" w:rsidR="00441B85" w:rsidRDefault="00000000">
      <w:pPr>
        <w:spacing w:line="360" w:lineRule="auto"/>
        <w:jc w:val="both"/>
        <w:rPr>
          <w:rFonts w:ascii="Arial" w:eastAsia="Arial" w:hAnsi="Arial" w:cs="Arial"/>
          <w:sz w:val="24"/>
          <w:szCs w:val="24"/>
        </w:rPr>
      </w:pPr>
      <w:r>
        <w:rPr>
          <w:rFonts w:ascii="Arial" w:eastAsia="Arial" w:hAnsi="Arial" w:cs="Arial"/>
          <w:sz w:val="24"/>
          <w:szCs w:val="24"/>
        </w:rPr>
        <w:t>Pioneers and followers use distinct techniques to thrive in the product life cycle, each contributing significantly to innovation and market expansion. Pioneers undertake audacious initiatives to launch innovative goods, establishing new businesses and influencing consumer behaviour. Pioneers such as Tesla and Apple position themselves as innovators via risk-taking, significant investment in invention, and market education. Their emphasis on generating demand, expanding operations, and sustaining leadership exemplifies the advantages of being a market pioneer. Conversely, followers use the foundation established by pioneers, meticulously analysing their strengths and weaknesses to enhance goods and secure a competitive edge. By capitalising on existing demand, minimising expenses, and fulfilling unmet requirements, companies such as Samsung and Facebook demonstrate that entering the market later may provide significant success. Their flexibility, adaptability, and commitment to improvement often enable them to excel in established markets, perhaps even outpacing the innovators. Ultimately, both innovators and adherents substantially contribute to advancement and success within industries, although via distinct methodologies. Innovators provide the foundation with revolutionary ideas, while adherents enhance and optimise. They establish a dynamic ecosystem of competition and cooperation, advancing businesses and offering customers progressively enhanced goods and services. Both positions are essential in influencing contemporary marketplaces.</w:t>
      </w:r>
    </w:p>
    <w:p w14:paraId="327237C9" w14:textId="77777777" w:rsidR="00441B85" w:rsidRDefault="00000000">
      <w:pPr>
        <w:rPr>
          <w:rFonts w:ascii="Arial" w:eastAsia="Arial" w:hAnsi="Arial" w:cs="Arial"/>
          <w:sz w:val="24"/>
          <w:szCs w:val="24"/>
        </w:rPr>
      </w:pPr>
      <w:r>
        <w:lastRenderedPageBreak/>
        <w:br w:type="page"/>
      </w:r>
    </w:p>
    <w:p w14:paraId="62D2D848" w14:textId="77777777" w:rsidR="00441B85" w:rsidRDefault="00000000">
      <w:pPr>
        <w:pStyle w:val="Heading1"/>
        <w:rPr>
          <w:rFonts w:ascii="Arial" w:eastAsia="Arial" w:hAnsi="Arial" w:cs="Arial"/>
        </w:rPr>
      </w:pPr>
      <w:bookmarkStart w:id="7" w:name="_4yvxnleqkv5t" w:colFirst="0" w:colLast="0"/>
      <w:bookmarkEnd w:id="7"/>
      <w:r>
        <w:rPr>
          <w:rFonts w:ascii="Arial" w:eastAsia="Arial" w:hAnsi="Arial" w:cs="Arial"/>
        </w:rPr>
        <w:lastRenderedPageBreak/>
        <w:t>References</w:t>
      </w:r>
    </w:p>
    <w:p w14:paraId="4DC0402F"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Ewa, W.J., Milosz, P., Martyna, K. and Michal, N. (2017) ‘Apple products: A discussion of the product life cycle’, In </w:t>
      </w:r>
      <w:r>
        <w:rPr>
          <w:rFonts w:ascii="Arial" w:eastAsia="Arial" w:hAnsi="Arial" w:cs="Arial"/>
          <w:i/>
          <w:sz w:val="24"/>
          <w:szCs w:val="24"/>
        </w:rPr>
        <w:t>2017 International Conference on Management Science and Management Innovation (MSMI 2017)</w:t>
      </w:r>
      <w:r>
        <w:rPr>
          <w:rFonts w:ascii="Arial" w:eastAsia="Arial" w:hAnsi="Arial" w:cs="Arial"/>
          <w:sz w:val="24"/>
          <w:szCs w:val="24"/>
        </w:rPr>
        <w:t xml:space="preserve"> (pp. 159-164). Atlantis Press. Available at: </w:t>
      </w:r>
      <w:hyperlink r:id="rId8">
        <w:r>
          <w:rPr>
            <w:rFonts w:ascii="Arial" w:eastAsia="Arial" w:hAnsi="Arial" w:cs="Arial"/>
            <w:color w:val="0563C1"/>
            <w:sz w:val="24"/>
            <w:szCs w:val="24"/>
            <w:u w:val="single"/>
          </w:rPr>
          <w:t>https://www.atlantis-press.com/article/25881512.pdf</w:t>
        </w:r>
      </w:hyperlink>
      <w:r>
        <w:rPr>
          <w:rFonts w:ascii="Arial" w:eastAsia="Arial" w:hAnsi="Arial" w:cs="Arial"/>
          <w:sz w:val="24"/>
          <w:szCs w:val="24"/>
        </w:rPr>
        <w:t xml:space="preserve"> </w:t>
      </w:r>
    </w:p>
    <w:p w14:paraId="636B38D8"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García-Villaverde, P.M., Parra-Requena, G. and Ruiz-Ortega, M.J. (2017) ‘From pioneering orientation to new product performance through competitive tactics in SMEs’ </w:t>
      </w:r>
      <w:r>
        <w:rPr>
          <w:rFonts w:ascii="Arial" w:eastAsia="Arial" w:hAnsi="Arial" w:cs="Arial"/>
          <w:i/>
          <w:sz w:val="24"/>
          <w:szCs w:val="24"/>
        </w:rPr>
        <w:t>BRQ Business Research Quarterly</w:t>
      </w:r>
      <w:r>
        <w:rPr>
          <w:rFonts w:ascii="Arial" w:eastAsia="Arial" w:hAnsi="Arial" w:cs="Arial"/>
          <w:sz w:val="24"/>
          <w:szCs w:val="24"/>
        </w:rPr>
        <w:t>, </w:t>
      </w:r>
      <w:r>
        <w:rPr>
          <w:rFonts w:ascii="Arial" w:eastAsia="Arial" w:hAnsi="Arial" w:cs="Arial"/>
          <w:i/>
          <w:sz w:val="24"/>
          <w:szCs w:val="24"/>
        </w:rPr>
        <w:t>20</w:t>
      </w:r>
      <w:r>
        <w:rPr>
          <w:rFonts w:ascii="Arial" w:eastAsia="Arial" w:hAnsi="Arial" w:cs="Arial"/>
          <w:sz w:val="24"/>
          <w:szCs w:val="24"/>
        </w:rPr>
        <w:t xml:space="preserve">(4), pp.275-290. Available at: </w:t>
      </w:r>
      <w:hyperlink r:id="rId9">
        <w:r>
          <w:rPr>
            <w:rFonts w:ascii="Arial" w:eastAsia="Arial" w:hAnsi="Arial" w:cs="Arial"/>
            <w:color w:val="0563C1"/>
            <w:sz w:val="24"/>
            <w:szCs w:val="24"/>
            <w:u w:val="single"/>
          </w:rPr>
          <w:t>https://journals.sagepub.com/doi/pdf/10.1016/j.brq.2017.05.002</w:t>
        </w:r>
      </w:hyperlink>
      <w:r>
        <w:rPr>
          <w:rFonts w:ascii="Arial" w:eastAsia="Arial" w:hAnsi="Arial" w:cs="Arial"/>
          <w:sz w:val="24"/>
          <w:szCs w:val="24"/>
        </w:rPr>
        <w:t xml:space="preserve"> </w:t>
      </w:r>
    </w:p>
    <w:p w14:paraId="23709448"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Giachetti, C. and Pira, S.L. (2022) ‘Catching up with the market leader: Does it pay to rapidly imitate its innovations?’ </w:t>
      </w:r>
      <w:r>
        <w:rPr>
          <w:rFonts w:ascii="Arial" w:eastAsia="Arial" w:hAnsi="Arial" w:cs="Arial"/>
          <w:i/>
          <w:sz w:val="24"/>
          <w:szCs w:val="24"/>
        </w:rPr>
        <w:t>Research Policy</w:t>
      </w:r>
      <w:r>
        <w:rPr>
          <w:rFonts w:ascii="Arial" w:eastAsia="Arial" w:hAnsi="Arial" w:cs="Arial"/>
          <w:sz w:val="24"/>
          <w:szCs w:val="24"/>
        </w:rPr>
        <w:t>, </w:t>
      </w:r>
      <w:r>
        <w:rPr>
          <w:rFonts w:ascii="Arial" w:eastAsia="Arial" w:hAnsi="Arial" w:cs="Arial"/>
          <w:i/>
          <w:sz w:val="24"/>
          <w:szCs w:val="24"/>
        </w:rPr>
        <w:t>51</w:t>
      </w:r>
      <w:r>
        <w:rPr>
          <w:rFonts w:ascii="Arial" w:eastAsia="Arial" w:hAnsi="Arial" w:cs="Arial"/>
          <w:sz w:val="24"/>
          <w:szCs w:val="24"/>
        </w:rPr>
        <w:t xml:space="preserve">(5), p.104505. Available at: </w:t>
      </w:r>
      <w:hyperlink r:id="rId10">
        <w:r>
          <w:rPr>
            <w:rFonts w:ascii="Arial" w:eastAsia="Arial" w:hAnsi="Arial" w:cs="Arial"/>
            <w:color w:val="0563C1"/>
            <w:sz w:val="24"/>
            <w:szCs w:val="24"/>
            <w:u w:val="single"/>
          </w:rPr>
          <w:t>https://cris.unibo.it/bitstream/11585/952829/4/Giachetti-LiPira-2022_RESPOL-D-21-00205_R3.pdf</w:t>
        </w:r>
      </w:hyperlink>
      <w:r>
        <w:rPr>
          <w:rFonts w:ascii="Arial" w:eastAsia="Arial" w:hAnsi="Arial" w:cs="Arial"/>
          <w:sz w:val="24"/>
          <w:szCs w:val="24"/>
        </w:rPr>
        <w:t xml:space="preserve"> </w:t>
      </w:r>
    </w:p>
    <w:p w14:paraId="30F55185"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Gómez, J., Perez-</w:t>
      </w:r>
      <w:proofErr w:type="spellStart"/>
      <w:r>
        <w:rPr>
          <w:rFonts w:ascii="Arial" w:eastAsia="Arial" w:hAnsi="Arial" w:cs="Arial"/>
          <w:sz w:val="24"/>
          <w:szCs w:val="24"/>
        </w:rPr>
        <w:t>Aradros</w:t>
      </w:r>
      <w:proofErr w:type="spellEnd"/>
      <w:r>
        <w:rPr>
          <w:rFonts w:ascii="Arial" w:eastAsia="Arial" w:hAnsi="Arial" w:cs="Arial"/>
          <w:sz w:val="24"/>
          <w:szCs w:val="24"/>
        </w:rPr>
        <w:t>, B. and Salazar, I. (2022) ‘How to beat early movers: The role of competitive strategy and industry dynamism on followers’ performance in the telecommunications industry’, </w:t>
      </w:r>
      <w:r>
        <w:rPr>
          <w:rFonts w:ascii="Arial" w:eastAsia="Arial" w:hAnsi="Arial" w:cs="Arial"/>
          <w:i/>
          <w:sz w:val="24"/>
          <w:szCs w:val="24"/>
        </w:rPr>
        <w:t>Long Range Planning</w:t>
      </w:r>
      <w:r>
        <w:rPr>
          <w:rFonts w:ascii="Arial" w:eastAsia="Arial" w:hAnsi="Arial" w:cs="Arial"/>
          <w:sz w:val="24"/>
          <w:szCs w:val="24"/>
        </w:rPr>
        <w:t>, </w:t>
      </w:r>
      <w:r>
        <w:rPr>
          <w:rFonts w:ascii="Arial" w:eastAsia="Arial" w:hAnsi="Arial" w:cs="Arial"/>
          <w:i/>
          <w:sz w:val="24"/>
          <w:szCs w:val="24"/>
        </w:rPr>
        <w:t>55</w:t>
      </w:r>
      <w:r>
        <w:rPr>
          <w:rFonts w:ascii="Arial" w:eastAsia="Arial" w:hAnsi="Arial" w:cs="Arial"/>
          <w:sz w:val="24"/>
          <w:szCs w:val="24"/>
        </w:rPr>
        <w:t xml:space="preserve">(5), p.102244. Available at: </w:t>
      </w:r>
      <w:hyperlink r:id="rId11">
        <w:r>
          <w:rPr>
            <w:rFonts w:ascii="Arial" w:eastAsia="Arial" w:hAnsi="Arial" w:cs="Arial"/>
            <w:color w:val="0563C1"/>
            <w:sz w:val="24"/>
            <w:szCs w:val="24"/>
            <w:u w:val="single"/>
          </w:rPr>
          <w:t>https://www.sciencedirect.com/science/article/pii/S0024630122000632</w:t>
        </w:r>
      </w:hyperlink>
      <w:r>
        <w:rPr>
          <w:rFonts w:ascii="Arial" w:eastAsia="Arial" w:hAnsi="Arial" w:cs="Arial"/>
          <w:sz w:val="24"/>
          <w:szCs w:val="24"/>
        </w:rPr>
        <w:t xml:space="preserve"> </w:t>
      </w:r>
    </w:p>
    <w:p w14:paraId="4E451A1B" w14:textId="77777777" w:rsidR="00441B85" w:rsidRDefault="00000000">
      <w:pPr>
        <w:spacing w:before="240" w:line="360" w:lineRule="auto"/>
        <w:jc w:val="both"/>
        <w:rPr>
          <w:rFonts w:ascii="Arial" w:eastAsia="Arial" w:hAnsi="Arial" w:cs="Arial"/>
          <w:sz w:val="24"/>
          <w:szCs w:val="24"/>
        </w:rPr>
      </w:pPr>
      <w:proofErr w:type="spellStart"/>
      <w:r>
        <w:rPr>
          <w:rFonts w:ascii="Arial" w:eastAsia="Arial" w:hAnsi="Arial" w:cs="Arial"/>
          <w:sz w:val="24"/>
          <w:szCs w:val="24"/>
        </w:rPr>
        <w:t>Kadirov</w:t>
      </w:r>
      <w:proofErr w:type="spellEnd"/>
      <w:r>
        <w:rPr>
          <w:rFonts w:ascii="Arial" w:eastAsia="Arial" w:hAnsi="Arial" w:cs="Arial"/>
          <w:sz w:val="24"/>
          <w:szCs w:val="24"/>
        </w:rPr>
        <w:t xml:space="preserve">, R. and Harrison, J.S. (2024) ‘Microsoft and Activision Blizzard: The Rise of the Video Gaming Giant’. Available at: </w:t>
      </w:r>
      <w:hyperlink r:id="rId12">
        <w:r>
          <w:rPr>
            <w:rFonts w:ascii="Arial" w:eastAsia="Arial" w:hAnsi="Arial" w:cs="Arial"/>
            <w:color w:val="0563C1"/>
            <w:sz w:val="24"/>
            <w:szCs w:val="24"/>
            <w:u w:val="single"/>
          </w:rPr>
          <w:t>https://scholarship.richmond.edu/cgi/viewcontent.cgi?article=1022&amp;context=robins-case-network</w:t>
        </w:r>
      </w:hyperlink>
      <w:r>
        <w:rPr>
          <w:rFonts w:ascii="Arial" w:eastAsia="Arial" w:hAnsi="Arial" w:cs="Arial"/>
          <w:sz w:val="24"/>
          <w:szCs w:val="24"/>
        </w:rPr>
        <w:t xml:space="preserve"> </w:t>
      </w:r>
    </w:p>
    <w:p w14:paraId="4C075FE4"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Kawai, T. (2020) ‘Evaluation of Toyota’s Strategy for Connected Cars—Based on the Theory of Dynamic Managerial Capabilities’, </w:t>
      </w:r>
      <w:r>
        <w:rPr>
          <w:rFonts w:ascii="Arial" w:eastAsia="Arial" w:hAnsi="Arial" w:cs="Arial"/>
          <w:i/>
          <w:sz w:val="24"/>
          <w:szCs w:val="24"/>
        </w:rPr>
        <w:t>Journal of strategic management studies</w:t>
      </w:r>
      <w:r>
        <w:rPr>
          <w:rFonts w:ascii="Arial" w:eastAsia="Arial" w:hAnsi="Arial" w:cs="Arial"/>
          <w:sz w:val="24"/>
          <w:szCs w:val="24"/>
        </w:rPr>
        <w:t>, </w:t>
      </w:r>
      <w:r>
        <w:rPr>
          <w:rFonts w:ascii="Arial" w:eastAsia="Arial" w:hAnsi="Arial" w:cs="Arial"/>
          <w:i/>
          <w:sz w:val="24"/>
          <w:szCs w:val="24"/>
        </w:rPr>
        <w:t>12</w:t>
      </w:r>
      <w:r>
        <w:rPr>
          <w:rFonts w:ascii="Arial" w:eastAsia="Arial" w:hAnsi="Arial" w:cs="Arial"/>
          <w:sz w:val="24"/>
          <w:szCs w:val="24"/>
        </w:rPr>
        <w:t xml:space="preserve">(1), pp.41-57. Available at: </w:t>
      </w:r>
      <w:hyperlink r:id="rId13">
        <w:r>
          <w:rPr>
            <w:rFonts w:ascii="Arial" w:eastAsia="Arial" w:hAnsi="Arial" w:cs="Arial"/>
            <w:color w:val="0563C1"/>
            <w:sz w:val="24"/>
            <w:szCs w:val="24"/>
            <w:u w:val="single"/>
          </w:rPr>
          <w:t>https://www.jstage.jst.go.jp/article/iasme/12/1/12_120105/_pdf</w:t>
        </w:r>
      </w:hyperlink>
      <w:r>
        <w:rPr>
          <w:rFonts w:ascii="Arial" w:eastAsia="Arial" w:hAnsi="Arial" w:cs="Arial"/>
          <w:sz w:val="24"/>
          <w:szCs w:val="24"/>
        </w:rPr>
        <w:t xml:space="preserve"> </w:t>
      </w:r>
    </w:p>
    <w:p w14:paraId="51F67EC0"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 xml:space="preserve">Kraus, S., </w:t>
      </w:r>
      <w:proofErr w:type="spellStart"/>
      <w:r>
        <w:rPr>
          <w:rFonts w:ascii="Arial" w:eastAsia="Arial" w:hAnsi="Arial" w:cs="Arial"/>
          <w:sz w:val="24"/>
          <w:szCs w:val="24"/>
        </w:rPr>
        <w:t>Kanbach</w:t>
      </w:r>
      <w:proofErr w:type="spellEnd"/>
      <w:r>
        <w:rPr>
          <w:rFonts w:ascii="Arial" w:eastAsia="Arial" w:hAnsi="Arial" w:cs="Arial"/>
          <w:sz w:val="24"/>
          <w:szCs w:val="24"/>
        </w:rPr>
        <w:t xml:space="preserve">, D.K., Krysta, P.M., Steinhoff, M.M. and </w:t>
      </w:r>
      <w:proofErr w:type="spellStart"/>
      <w:r>
        <w:rPr>
          <w:rFonts w:ascii="Arial" w:eastAsia="Arial" w:hAnsi="Arial" w:cs="Arial"/>
          <w:sz w:val="24"/>
          <w:szCs w:val="24"/>
        </w:rPr>
        <w:t>Tomini</w:t>
      </w:r>
      <w:proofErr w:type="spellEnd"/>
      <w:r>
        <w:rPr>
          <w:rFonts w:ascii="Arial" w:eastAsia="Arial" w:hAnsi="Arial" w:cs="Arial"/>
          <w:sz w:val="24"/>
          <w:szCs w:val="24"/>
        </w:rPr>
        <w:t>, N. (2022) ‘Facebook and the creation of the metaverse: radical business model innovation or incremental transformation?’, </w:t>
      </w:r>
      <w:r>
        <w:rPr>
          <w:rFonts w:ascii="Arial" w:eastAsia="Arial" w:hAnsi="Arial" w:cs="Arial"/>
          <w:i/>
          <w:sz w:val="24"/>
          <w:szCs w:val="24"/>
        </w:rPr>
        <w:t xml:space="preserve">International Journal of Entrepreneurial </w:t>
      </w:r>
      <w:proofErr w:type="spellStart"/>
      <w:r>
        <w:rPr>
          <w:rFonts w:ascii="Arial" w:eastAsia="Arial" w:hAnsi="Arial" w:cs="Arial"/>
          <w:i/>
          <w:sz w:val="24"/>
          <w:szCs w:val="24"/>
        </w:rPr>
        <w:t>Behavior</w:t>
      </w:r>
      <w:proofErr w:type="spellEnd"/>
      <w:r>
        <w:rPr>
          <w:rFonts w:ascii="Arial" w:eastAsia="Arial" w:hAnsi="Arial" w:cs="Arial"/>
          <w:i/>
          <w:sz w:val="24"/>
          <w:szCs w:val="24"/>
        </w:rPr>
        <w:t xml:space="preserve"> &amp; </w:t>
      </w:r>
      <w:r>
        <w:rPr>
          <w:rFonts w:ascii="Arial" w:eastAsia="Arial" w:hAnsi="Arial" w:cs="Arial"/>
          <w:i/>
          <w:sz w:val="24"/>
          <w:szCs w:val="24"/>
        </w:rPr>
        <w:lastRenderedPageBreak/>
        <w:t>Research</w:t>
      </w:r>
      <w:r>
        <w:rPr>
          <w:rFonts w:ascii="Arial" w:eastAsia="Arial" w:hAnsi="Arial" w:cs="Arial"/>
          <w:sz w:val="24"/>
          <w:szCs w:val="24"/>
        </w:rPr>
        <w:t>, </w:t>
      </w:r>
      <w:r>
        <w:rPr>
          <w:rFonts w:ascii="Arial" w:eastAsia="Arial" w:hAnsi="Arial" w:cs="Arial"/>
          <w:i/>
          <w:sz w:val="24"/>
          <w:szCs w:val="24"/>
        </w:rPr>
        <w:t>28</w:t>
      </w:r>
      <w:r>
        <w:rPr>
          <w:rFonts w:ascii="Arial" w:eastAsia="Arial" w:hAnsi="Arial" w:cs="Arial"/>
          <w:sz w:val="24"/>
          <w:szCs w:val="24"/>
        </w:rPr>
        <w:t xml:space="preserve">(9), pp.52-77. Available at: </w:t>
      </w:r>
      <w:hyperlink r:id="rId14">
        <w:r>
          <w:rPr>
            <w:rFonts w:ascii="Arial" w:eastAsia="Arial" w:hAnsi="Arial" w:cs="Arial"/>
            <w:color w:val="0563C1"/>
            <w:sz w:val="24"/>
            <w:szCs w:val="24"/>
            <w:u w:val="single"/>
          </w:rPr>
          <w:t>https://www.emerald.com/insight/content/doi/10.1108/ijebr-12-2021-0984/full/pdf</w:t>
        </w:r>
      </w:hyperlink>
      <w:r>
        <w:rPr>
          <w:rFonts w:ascii="Arial" w:eastAsia="Arial" w:hAnsi="Arial" w:cs="Arial"/>
          <w:sz w:val="24"/>
          <w:szCs w:val="24"/>
        </w:rPr>
        <w:t xml:space="preserve"> </w:t>
      </w:r>
    </w:p>
    <w:p w14:paraId="78696C2E"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Nugroho, M.A. and Harjanto, R. (2020) ‘Impact of brand life cycle to extend product’s life cycle’, </w:t>
      </w:r>
      <w:r>
        <w:rPr>
          <w:rFonts w:ascii="Arial" w:eastAsia="Arial" w:hAnsi="Arial" w:cs="Arial"/>
          <w:i/>
          <w:sz w:val="24"/>
          <w:szCs w:val="24"/>
        </w:rPr>
        <w:t>International Journal of Management (IJM)</w:t>
      </w:r>
      <w:r>
        <w:rPr>
          <w:rFonts w:ascii="Arial" w:eastAsia="Arial" w:hAnsi="Arial" w:cs="Arial"/>
          <w:sz w:val="24"/>
          <w:szCs w:val="24"/>
        </w:rPr>
        <w:t>, </w:t>
      </w:r>
      <w:r>
        <w:rPr>
          <w:rFonts w:ascii="Arial" w:eastAsia="Arial" w:hAnsi="Arial" w:cs="Arial"/>
          <w:i/>
          <w:sz w:val="24"/>
          <w:szCs w:val="24"/>
        </w:rPr>
        <w:t>11</w:t>
      </w:r>
      <w:r>
        <w:rPr>
          <w:rFonts w:ascii="Arial" w:eastAsia="Arial" w:hAnsi="Arial" w:cs="Arial"/>
          <w:sz w:val="24"/>
          <w:szCs w:val="24"/>
        </w:rPr>
        <w:t xml:space="preserve">(8), pp.970-981. Available at: </w:t>
      </w:r>
      <w:hyperlink r:id="rId15">
        <w:r>
          <w:rPr>
            <w:rFonts w:ascii="Arial" w:eastAsia="Arial" w:hAnsi="Arial" w:cs="Arial"/>
            <w:color w:val="0563C1"/>
            <w:sz w:val="24"/>
            <w:szCs w:val="24"/>
            <w:u w:val="single"/>
          </w:rPr>
          <w:t>https://www.academia.edu/download/66055968/IJM_11_08_088.pdf</w:t>
        </w:r>
      </w:hyperlink>
      <w:r>
        <w:rPr>
          <w:rFonts w:ascii="Arial" w:eastAsia="Arial" w:hAnsi="Arial" w:cs="Arial"/>
          <w:sz w:val="24"/>
          <w:szCs w:val="24"/>
        </w:rPr>
        <w:t xml:space="preserve"> </w:t>
      </w:r>
    </w:p>
    <w:p w14:paraId="7F681825" w14:textId="77777777" w:rsidR="00441B85" w:rsidRDefault="00000000">
      <w:pPr>
        <w:spacing w:before="240" w:line="360" w:lineRule="auto"/>
        <w:jc w:val="both"/>
        <w:rPr>
          <w:rFonts w:ascii="Arial" w:eastAsia="Arial" w:hAnsi="Arial" w:cs="Arial"/>
          <w:sz w:val="24"/>
          <w:szCs w:val="24"/>
        </w:rPr>
      </w:pPr>
      <w:proofErr w:type="spellStart"/>
      <w:r>
        <w:rPr>
          <w:rFonts w:ascii="Arial" w:eastAsia="Arial" w:hAnsi="Arial" w:cs="Arial"/>
          <w:sz w:val="24"/>
          <w:szCs w:val="24"/>
        </w:rPr>
        <w:t>Querbes</w:t>
      </w:r>
      <w:proofErr w:type="spellEnd"/>
      <w:r>
        <w:rPr>
          <w:rFonts w:ascii="Arial" w:eastAsia="Arial" w:hAnsi="Arial" w:cs="Arial"/>
          <w:sz w:val="24"/>
          <w:szCs w:val="24"/>
        </w:rPr>
        <w:t xml:space="preserve">, A. and </w:t>
      </w:r>
      <w:proofErr w:type="spellStart"/>
      <w:r>
        <w:rPr>
          <w:rFonts w:ascii="Arial" w:eastAsia="Arial" w:hAnsi="Arial" w:cs="Arial"/>
          <w:sz w:val="24"/>
          <w:szCs w:val="24"/>
        </w:rPr>
        <w:t>Frenken</w:t>
      </w:r>
      <w:proofErr w:type="spellEnd"/>
      <w:r>
        <w:rPr>
          <w:rFonts w:ascii="Arial" w:eastAsia="Arial" w:hAnsi="Arial" w:cs="Arial"/>
          <w:sz w:val="24"/>
          <w:szCs w:val="24"/>
        </w:rPr>
        <w:t>, K. (2017) ‘Evolving user needs and late-mover advantage’, </w:t>
      </w:r>
      <w:r>
        <w:rPr>
          <w:rFonts w:ascii="Arial" w:eastAsia="Arial" w:hAnsi="Arial" w:cs="Arial"/>
          <w:i/>
          <w:sz w:val="24"/>
          <w:szCs w:val="24"/>
        </w:rPr>
        <w:t>Strategic organization</w:t>
      </w:r>
      <w:r>
        <w:rPr>
          <w:rFonts w:ascii="Arial" w:eastAsia="Arial" w:hAnsi="Arial" w:cs="Arial"/>
          <w:sz w:val="24"/>
          <w:szCs w:val="24"/>
        </w:rPr>
        <w:t>, </w:t>
      </w:r>
      <w:r>
        <w:rPr>
          <w:rFonts w:ascii="Arial" w:eastAsia="Arial" w:hAnsi="Arial" w:cs="Arial"/>
          <w:i/>
          <w:sz w:val="24"/>
          <w:szCs w:val="24"/>
        </w:rPr>
        <w:t>15</w:t>
      </w:r>
      <w:r>
        <w:rPr>
          <w:rFonts w:ascii="Arial" w:eastAsia="Arial" w:hAnsi="Arial" w:cs="Arial"/>
          <w:sz w:val="24"/>
          <w:szCs w:val="24"/>
        </w:rPr>
        <w:t xml:space="preserve">(1), pp.67-90. Available at: </w:t>
      </w:r>
      <w:hyperlink r:id="rId16">
        <w:r>
          <w:rPr>
            <w:rFonts w:ascii="Arial" w:eastAsia="Arial" w:hAnsi="Arial" w:cs="Arial"/>
            <w:color w:val="0563C1"/>
            <w:sz w:val="24"/>
            <w:szCs w:val="24"/>
            <w:u w:val="single"/>
          </w:rPr>
          <w:t>https://journals.sagepub.com/doi/pdf/10.1177/1476127016648498</w:t>
        </w:r>
      </w:hyperlink>
      <w:r>
        <w:rPr>
          <w:rFonts w:ascii="Arial" w:eastAsia="Arial" w:hAnsi="Arial" w:cs="Arial"/>
          <w:sz w:val="24"/>
          <w:szCs w:val="24"/>
        </w:rPr>
        <w:t xml:space="preserve"> </w:t>
      </w:r>
    </w:p>
    <w:p w14:paraId="577331F6"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Stark, J. (2022) ‘Product lifecycle management (PLM)’ In </w:t>
      </w:r>
      <w:r>
        <w:rPr>
          <w:rFonts w:ascii="Arial" w:eastAsia="Arial" w:hAnsi="Arial" w:cs="Arial"/>
          <w:i/>
          <w:sz w:val="24"/>
          <w:szCs w:val="24"/>
        </w:rPr>
        <w:t>Product lifecycle management (volume 1) 21st Century paradigm for product realisation</w:t>
      </w:r>
      <w:r>
        <w:rPr>
          <w:rFonts w:ascii="Arial" w:eastAsia="Arial" w:hAnsi="Arial" w:cs="Arial"/>
          <w:sz w:val="24"/>
          <w:szCs w:val="24"/>
        </w:rPr>
        <w:t xml:space="preserve"> (pp. 1-32). Cham: Springer International Publishing. </w:t>
      </w:r>
    </w:p>
    <w:p w14:paraId="79508135" w14:textId="77777777" w:rsidR="00441B85" w:rsidRDefault="00000000">
      <w:pPr>
        <w:spacing w:before="240" w:line="360" w:lineRule="auto"/>
        <w:jc w:val="both"/>
        <w:rPr>
          <w:rFonts w:ascii="Arial" w:eastAsia="Arial" w:hAnsi="Arial" w:cs="Arial"/>
          <w:sz w:val="24"/>
          <w:szCs w:val="24"/>
        </w:rPr>
      </w:pPr>
      <w:proofErr w:type="spellStart"/>
      <w:r>
        <w:rPr>
          <w:rFonts w:ascii="Arial" w:eastAsia="Arial" w:hAnsi="Arial" w:cs="Arial"/>
          <w:sz w:val="24"/>
          <w:szCs w:val="24"/>
        </w:rPr>
        <w:t>Suntsova</w:t>
      </w:r>
      <w:proofErr w:type="spellEnd"/>
      <w:r>
        <w:rPr>
          <w:rFonts w:ascii="Arial" w:eastAsia="Arial" w:hAnsi="Arial" w:cs="Arial"/>
          <w:sz w:val="24"/>
          <w:szCs w:val="24"/>
        </w:rPr>
        <w:t xml:space="preserve">, O. (2024) ‘The impact of “first-mover advantage” on global market structure and </w:t>
      </w:r>
      <w:proofErr w:type="gramStart"/>
      <w:r>
        <w:rPr>
          <w:rFonts w:ascii="Arial" w:eastAsia="Arial" w:hAnsi="Arial" w:cs="Arial"/>
          <w:sz w:val="24"/>
          <w:szCs w:val="24"/>
        </w:rPr>
        <w:t>dynamics’</w:t>
      </w:r>
      <w:proofErr w:type="gramEnd"/>
      <w:r>
        <w:rPr>
          <w:rFonts w:ascii="Arial" w:eastAsia="Arial" w:hAnsi="Arial" w:cs="Arial"/>
          <w:sz w:val="24"/>
          <w:szCs w:val="24"/>
        </w:rPr>
        <w:t xml:space="preserve">. Available at: </w:t>
      </w:r>
      <w:hyperlink r:id="rId17">
        <w:r>
          <w:rPr>
            <w:rFonts w:ascii="Arial" w:eastAsia="Arial" w:hAnsi="Arial" w:cs="Arial"/>
            <w:color w:val="0563C1"/>
            <w:sz w:val="24"/>
            <w:szCs w:val="24"/>
            <w:u w:val="single"/>
          </w:rPr>
          <w:t>https://papers.ssrn.com/sol3/Delivery.cfm?abstractid=5125609</w:t>
        </w:r>
      </w:hyperlink>
      <w:r>
        <w:rPr>
          <w:rFonts w:ascii="Arial" w:eastAsia="Arial" w:hAnsi="Arial" w:cs="Arial"/>
          <w:sz w:val="24"/>
          <w:szCs w:val="24"/>
        </w:rPr>
        <w:t xml:space="preserve"> </w:t>
      </w:r>
    </w:p>
    <w:p w14:paraId="2079BC1A"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Thomas, V.J. and Maine, E. (2019) ‘Market entry strategies for electric vehicle start-ups in the automotive industry–Lessons from Tesla Motors’, </w:t>
      </w:r>
      <w:r>
        <w:rPr>
          <w:rFonts w:ascii="Arial" w:eastAsia="Arial" w:hAnsi="Arial" w:cs="Arial"/>
          <w:i/>
          <w:sz w:val="24"/>
          <w:szCs w:val="24"/>
        </w:rPr>
        <w:t>Journal of Cleaner Production</w:t>
      </w:r>
      <w:r>
        <w:rPr>
          <w:rFonts w:ascii="Arial" w:eastAsia="Arial" w:hAnsi="Arial" w:cs="Arial"/>
          <w:sz w:val="24"/>
          <w:szCs w:val="24"/>
        </w:rPr>
        <w:t>, </w:t>
      </w:r>
      <w:r>
        <w:rPr>
          <w:rFonts w:ascii="Arial" w:eastAsia="Arial" w:hAnsi="Arial" w:cs="Arial"/>
          <w:i/>
          <w:sz w:val="24"/>
          <w:szCs w:val="24"/>
        </w:rPr>
        <w:t>235</w:t>
      </w:r>
      <w:r>
        <w:rPr>
          <w:rFonts w:ascii="Arial" w:eastAsia="Arial" w:hAnsi="Arial" w:cs="Arial"/>
          <w:sz w:val="24"/>
          <w:szCs w:val="24"/>
        </w:rPr>
        <w:t xml:space="preserve">, pp.653-663. Available at: </w:t>
      </w:r>
      <w:hyperlink r:id="rId18">
        <w:r>
          <w:rPr>
            <w:rFonts w:ascii="Arial" w:eastAsia="Arial" w:hAnsi="Arial" w:cs="Arial"/>
            <w:color w:val="0563C1"/>
            <w:sz w:val="24"/>
            <w:szCs w:val="24"/>
            <w:u w:val="single"/>
          </w:rPr>
          <w:t>https://ufv.arcabc.ca/islandora/object/ufv%3A55046/datastream/PDF/view</w:t>
        </w:r>
      </w:hyperlink>
      <w:r>
        <w:rPr>
          <w:rFonts w:ascii="Arial" w:eastAsia="Arial" w:hAnsi="Arial" w:cs="Arial"/>
          <w:sz w:val="24"/>
          <w:szCs w:val="24"/>
        </w:rPr>
        <w:t xml:space="preserve"> </w:t>
      </w:r>
    </w:p>
    <w:p w14:paraId="7931F002"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Tien, N.H. (2019) ‘International distribution policy comparative analysis between Samsung and Apple’ </w:t>
      </w:r>
      <w:r>
        <w:rPr>
          <w:rFonts w:ascii="Arial" w:eastAsia="Arial" w:hAnsi="Arial" w:cs="Arial"/>
          <w:i/>
          <w:sz w:val="24"/>
          <w:szCs w:val="24"/>
        </w:rPr>
        <w:t>International journal of research in marketing management and sales</w:t>
      </w:r>
      <w:r>
        <w:rPr>
          <w:rFonts w:ascii="Arial" w:eastAsia="Arial" w:hAnsi="Arial" w:cs="Arial"/>
          <w:sz w:val="24"/>
          <w:szCs w:val="24"/>
        </w:rPr>
        <w:t>, </w:t>
      </w:r>
      <w:r>
        <w:rPr>
          <w:rFonts w:ascii="Arial" w:eastAsia="Arial" w:hAnsi="Arial" w:cs="Arial"/>
          <w:i/>
          <w:sz w:val="24"/>
          <w:szCs w:val="24"/>
        </w:rPr>
        <w:t>2020</w:t>
      </w:r>
      <w:r>
        <w:rPr>
          <w:rFonts w:ascii="Arial" w:eastAsia="Arial" w:hAnsi="Arial" w:cs="Arial"/>
          <w:sz w:val="24"/>
          <w:szCs w:val="24"/>
        </w:rPr>
        <w:t xml:space="preserve">(1), p.2. Available at: </w:t>
      </w:r>
      <w:hyperlink r:id="rId19">
        <w:r>
          <w:rPr>
            <w:rFonts w:ascii="Arial" w:eastAsia="Arial" w:hAnsi="Arial" w:cs="Arial"/>
            <w:color w:val="0563C1"/>
            <w:sz w:val="24"/>
            <w:szCs w:val="24"/>
            <w:u w:val="single"/>
          </w:rPr>
          <w:t>https://www.researchgate.net/profile/Hoang-Tien-Nguyen-2/publication/338719419_International_distribution_policy_comparative_analysis_between_samsung_and_apple/links/613c55f401846e45ef3e4a14/International-distribution-policy-comparative-analysis-between-samsung-and-apple.pdf</w:t>
        </w:r>
      </w:hyperlink>
      <w:r>
        <w:rPr>
          <w:rFonts w:ascii="Arial" w:eastAsia="Arial" w:hAnsi="Arial" w:cs="Arial"/>
          <w:sz w:val="24"/>
          <w:szCs w:val="24"/>
        </w:rPr>
        <w:t xml:space="preserve"> </w:t>
      </w:r>
    </w:p>
    <w:p w14:paraId="0BD17045"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Tien, N.H., Thoi, B.V. and Chi, D.T.P. (2020) ‘Comparative analysis of international marketing strategies of Apple and Oppo’, </w:t>
      </w:r>
      <w:r>
        <w:rPr>
          <w:rFonts w:ascii="Arial" w:eastAsia="Arial" w:hAnsi="Arial" w:cs="Arial"/>
          <w:i/>
          <w:sz w:val="24"/>
          <w:szCs w:val="24"/>
        </w:rPr>
        <w:t>International Journal of Research in Marketing Management and Sales</w:t>
      </w:r>
      <w:r>
        <w:rPr>
          <w:rFonts w:ascii="Arial" w:eastAsia="Arial" w:hAnsi="Arial" w:cs="Arial"/>
          <w:sz w:val="24"/>
          <w:szCs w:val="24"/>
        </w:rPr>
        <w:t xml:space="preserve">. Available at: </w:t>
      </w:r>
      <w:hyperlink r:id="rId20">
        <w:r>
          <w:rPr>
            <w:rFonts w:ascii="Arial" w:eastAsia="Arial" w:hAnsi="Arial" w:cs="Arial"/>
            <w:color w:val="0563C1"/>
            <w:sz w:val="24"/>
            <w:szCs w:val="24"/>
            <w:u w:val="single"/>
          </w:rPr>
          <w:t>https://file.siu.edu.vn/Phongban/KhoahocvaHTQT/cong-trinh-nghien-cuu-khoa-hoc/giang-vien/2019/12/1-2-8-974.pdf</w:t>
        </w:r>
      </w:hyperlink>
      <w:r>
        <w:rPr>
          <w:rFonts w:ascii="Arial" w:eastAsia="Arial" w:hAnsi="Arial" w:cs="Arial"/>
          <w:sz w:val="24"/>
          <w:szCs w:val="24"/>
        </w:rPr>
        <w:t xml:space="preserve"> </w:t>
      </w:r>
    </w:p>
    <w:p w14:paraId="7CCCBE23" w14:textId="77777777" w:rsidR="00441B85" w:rsidRDefault="00000000">
      <w:pPr>
        <w:spacing w:before="240" w:line="360" w:lineRule="auto"/>
        <w:jc w:val="both"/>
        <w:rPr>
          <w:rFonts w:ascii="Arial" w:eastAsia="Arial" w:hAnsi="Arial" w:cs="Arial"/>
          <w:sz w:val="24"/>
          <w:szCs w:val="24"/>
        </w:rPr>
      </w:pPr>
      <w:proofErr w:type="spellStart"/>
      <w:r>
        <w:rPr>
          <w:rFonts w:ascii="Arial" w:eastAsia="Arial" w:hAnsi="Arial" w:cs="Arial"/>
          <w:sz w:val="24"/>
          <w:szCs w:val="24"/>
        </w:rPr>
        <w:t>Uwera</w:t>
      </w:r>
      <w:proofErr w:type="spellEnd"/>
      <w:r>
        <w:rPr>
          <w:rFonts w:ascii="Arial" w:eastAsia="Arial" w:hAnsi="Arial" w:cs="Arial"/>
          <w:sz w:val="24"/>
          <w:szCs w:val="24"/>
        </w:rPr>
        <w:t xml:space="preserve">, J. (2022) ‘Product Design and Its Impact on Consumer Purchase Decision. Case Study of TBL, Azam, Coca-Cola, </w:t>
      </w:r>
      <w:proofErr w:type="spellStart"/>
      <w:r>
        <w:rPr>
          <w:rFonts w:ascii="Arial" w:eastAsia="Arial" w:hAnsi="Arial" w:cs="Arial"/>
          <w:sz w:val="24"/>
          <w:szCs w:val="24"/>
        </w:rPr>
        <w:t>MeTL</w:t>
      </w:r>
      <w:proofErr w:type="spellEnd"/>
      <w:r>
        <w:rPr>
          <w:rFonts w:ascii="Arial" w:eastAsia="Arial" w:hAnsi="Arial" w:cs="Arial"/>
          <w:sz w:val="24"/>
          <w:szCs w:val="24"/>
        </w:rPr>
        <w:t xml:space="preserve"> and Tanga Fresh Milk in Tanzania’, </w:t>
      </w:r>
      <w:r>
        <w:rPr>
          <w:rFonts w:ascii="Arial" w:eastAsia="Arial" w:hAnsi="Arial" w:cs="Arial"/>
          <w:i/>
          <w:sz w:val="24"/>
          <w:szCs w:val="24"/>
        </w:rPr>
        <w:t>African Journal of Economics, Politics and Social Studies</w:t>
      </w:r>
      <w:r>
        <w:rPr>
          <w:rFonts w:ascii="Arial" w:eastAsia="Arial" w:hAnsi="Arial" w:cs="Arial"/>
          <w:sz w:val="24"/>
          <w:szCs w:val="24"/>
        </w:rPr>
        <w:t>, </w:t>
      </w:r>
      <w:r>
        <w:rPr>
          <w:rFonts w:ascii="Arial" w:eastAsia="Arial" w:hAnsi="Arial" w:cs="Arial"/>
          <w:i/>
          <w:sz w:val="24"/>
          <w:szCs w:val="24"/>
        </w:rPr>
        <w:t>1</w:t>
      </w:r>
      <w:r>
        <w:rPr>
          <w:rFonts w:ascii="Arial" w:eastAsia="Arial" w:hAnsi="Arial" w:cs="Arial"/>
          <w:sz w:val="24"/>
          <w:szCs w:val="24"/>
        </w:rPr>
        <w:t xml:space="preserve">(1), pp.129-153. Available at: </w:t>
      </w:r>
      <w:hyperlink r:id="rId21">
        <w:r>
          <w:rPr>
            <w:rFonts w:ascii="Arial" w:eastAsia="Arial" w:hAnsi="Arial" w:cs="Arial"/>
            <w:color w:val="0563C1"/>
            <w:sz w:val="24"/>
            <w:szCs w:val="24"/>
            <w:u w:val="single"/>
          </w:rPr>
          <w:t>https://bibliotekanauki.pl/articles/2205017.pdf</w:t>
        </w:r>
      </w:hyperlink>
      <w:r>
        <w:rPr>
          <w:rFonts w:ascii="Arial" w:eastAsia="Arial" w:hAnsi="Arial" w:cs="Arial"/>
          <w:sz w:val="24"/>
          <w:szCs w:val="24"/>
        </w:rPr>
        <w:t xml:space="preserve"> </w:t>
      </w:r>
    </w:p>
    <w:p w14:paraId="55A731F6"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Wen, W. and Zhu, F. (2019) ‘Threat of platform</w:t>
      </w:r>
      <w:r>
        <w:rPr>
          <w:rFonts w:ascii="Cambria Math" w:eastAsia="Cambria Math" w:hAnsi="Cambria Math" w:cs="Cambria Math"/>
          <w:sz w:val="24"/>
          <w:szCs w:val="24"/>
        </w:rPr>
        <w:t>‐</w:t>
      </w:r>
      <w:r>
        <w:rPr>
          <w:rFonts w:ascii="Arial" w:eastAsia="Arial" w:hAnsi="Arial" w:cs="Arial"/>
          <w:sz w:val="24"/>
          <w:szCs w:val="24"/>
        </w:rPr>
        <w:t>owner entry and complementor responses: Evidence from the mobile app market’, </w:t>
      </w:r>
      <w:r>
        <w:rPr>
          <w:rFonts w:ascii="Arial" w:eastAsia="Arial" w:hAnsi="Arial" w:cs="Arial"/>
          <w:i/>
          <w:sz w:val="24"/>
          <w:szCs w:val="24"/>
        </w:rPr>
        <w:t>Strategic Management Journal</w:t>
      </w:r>
      <w:r>
        <w:rPr>
          <w:rFonts w:ascii="Arial" w:eastAsia="Arial" w:hAnsi="Arial" w:cs="Arial"/>
          <w:sz w:val="24"/>
          <w:szCs w:val="24"/>
        </w:rPr>
        <w:t>, </w:t>
      </w:r>
      <w:r>
        <w:rPr>
          <w:rFonts w:ascii="Arial" w:eastAsia="Arial" w:hAnsi="Arial" w:cs="Arial"/>
          <w:i/>
          <w:sz w:val="24"/>
          <w:szCs w:val="24"/>
        </w:rPr>
        <w:t>40</w:t>
      </w:r>
      <w:r>
        <w:rPr>
          <w:rFonts w:ascii="Arial" w:eastAsia="Arial" w:hAnsi="Arial" w:cs="Arial"/>
          <w:sz w:val="24"/>
          <w:szCs w:val="24"/>
        </w:rPr>
        <w:t xml:space="preserve">(9), pp.1336-1367. Available at: </w:t>
      </w:r>
      <w:hyperlink r:id="rId22">
        <w:r>
          <w:rPr>
            <w:rFonts w:ascii="Arial" w:eastAsia="Arial" w:hAnsi="Arial" w:cs="Arial"/>
            <w:color w:val="0563C1"/>
            <w:sz w:val="24"/>
            <w:szCs w:val="24"/>
            <w:u w:val="single"/>
          </w:rPr>
          <w:t>https://papers.ssrn.com/sol3/Delivery.cfm?abstractid=2848533</w:t>
        </w:r>
      </w:hyperlink>
      <w:r>
        <w:rPr>
          <w:rFonts w:ascii="Arial" w:eastAsia="Arial" w:hAnsi="Arial" w:cs="Arial"/>
          <w:sz w:val="24"/>
          <w:szCs w:val="24"/>
        </w:rPr>
        <w:t xml:space="preserve"> </w:t>
      </w:r>
    </w:p>
    <w:p w14:paraId="0A347DEA" w14:textId="77777777" w:rsidR="00441B85" w:rsidRDefault="00000000">
      <w:pPr>
        <w:spacing w:before="240" w:line="360" w:lineRule="auto"/>
        <w:jc w:val="both"/>
        <w:rPr>
          <w:rFonts w:ascii="Arial" w:eastAsia="Arial" w:hAnsi="Arial" w:cs="Arial"/>
          <w:sz w:val="24"/>
          <w:szCs w:val="24"/>
        </w:rPr>
      </w:pPr>
      <w:r>
        <w:rPr>
          <w:rFonts w:ascii="Arial" w:eastAsia="Arial" w:hAnsi="Arial" w:cs="Arial"/>
          <w:sz w:val="24"/>
          <w:szCs w:val="24"/>
        </w:rPr>
        <w:t xml:space="preserve">Wurzel, R.K., </w:t>
      </w:r>
      <w:proofErr w:type="spellStart"/>
      <w:r>
        <w:rPr>
          <w:rFonts w:ascii="Arial" w:eastAsia="Arial" w:hAnsi="Arial" w:cs="Arial"/>
          <w:sz w:val="24"/>
          <w:szCs w:val="24"/>
        </w:rPr>
        <w:t>Liefferink</w:t>
      </w:r>
      <w:proofErr w:type="spellEnd"/>
      <w:r>
        <w:rPr>
          <w:rFonts w:ascii="Arial" w:eastAsia="Arial" w:hAnsi="Arial" w:cs="Arial"/>
          <w:sz w:val="24"/>
          <w:szCs w:val="24"/>
        </w:rPr>
        <w:t>, D. and Torney, D. (2019) ‘Pioneers, leaders and followers in multilevel and polycentric climate governance’ </w:t>
      </w:r>
      <w:r>
        <w:rPr>
          <w:rFonts w:ascii="Arial" w:eastAsia="Arial" w:hAnsi="Arial" w:cs="Arial"/>
          <w:i/>
          <w:sz w:val="24"/>
          <w:szCs w:val="24"/>
        </w:rPr>
        <w:t>Environmental Politics</w:t>
      </w:r>
      <w:r>
        <w:rPr>
          <w:rFonts w:ascii="Arial" w:eastAsia="Arial" w:hAnsi="Arial" w:cs="Arial"/>
          <w:sz w:val="24"/>
          <w:szCs w:val="24"/>
        </w:rPr>
        <w:t>, </w:t>
      </w:r>
      <w:r>
        <w:rPr>
          <w:rFonts w:ascii="Arial" w:eastAsia="Arial" w:hAnsi="Arial" w:cs="Arial"/>
          <w:i/>
          <w:sz w:val="24"/>
          <w:szCs w:val="24"/>
        </w:rPr>
        <w:t>28</w:t>
      </w:r>
      <w:r>
        <w:rPr>
          <w:rFonts w:ascii="Arial" w:eastAsia="Arial" w:hAnsi="Arial" w:cs="Arial"/>
          <w:sz w:val="24"/>
          <w:szCs w:val="24"/>
        </w:rPr>
        <w:t xml:space="preserve">(1), pp.1-21. Available at: </w:t>
      </w:r>
      <w:hyperlink r:id="rId23">
        <w:r>
          <w:rPr>
            <w:rFonts w:ascii="Arial" w:eastAsia="Arial" w:hAnsi="Arial" w:cs="Arial"/>
            <w:color w:val="0563C1"/>
            <w:sz w:val="24"/>
            <w:szCs w:val="24"/>
            <w:u w:val="single"/>
          </w:rPr>
          <w:t>https://www.tandfonline.com/doi/pdf/10.1080/09644016.2019.1522033</w:t>
        </w:r>
      </w:hyperlink>
      <w:r>
        <w:rPr>
          <w:rFonts w:ascii="Arial" w:eastAsia="Arial" w:hAnsi="Arial" w:cs="Arial"/>
          <w:sz w:val="24"/>
          <w:szCs w:val="24"/>
        </w:rPr>
        <w:t xml:space="preserve"> </w:t>
      </w:r>
    </w:p>
    <w:p w14:paraId="1ACF41CB" w14:textId="77777777" w:rsidR="00441B85" w:rsidRDefault="00441B85"/>
    <w:p w14:paraId="1C1BBCAD" w14:textId="77777777" w:rsidR="00441B85" w:rsidRDefault="00441B85">
      <w:pPr>
        <w:spacing w:line="360" w:lineRule="auto"/>
        <w:jc w:val="both"/>
        <w:rPr>
          <w:rFonts w:ascii="Arial" w:eastAsia="Arial" w:hAnsi="Arial" w:cs="Arial"/>
          <w:sz w:val="24"/>
          <w:szCs w:val="24"/>
        </w:rPr>
      </w:pPr>
    </w:p>
    <w:p w14:paraId="6F21E79A" w14:textId="77777777" w:rsidR="00441B85" w:rsidRDefault="00441B85">
      <w:pPr>
        <w:spacing w:line="360" w:lineRule="auto"/>
        <w:rPr>
          <w:rFonts w:ascii="Arial" w:eastAsia="Arial" w:hAnsi="Arial" w:cs="Arial"/>
          <w:b/>
          <w:sz w:val="24"/>
          <w:szCs w:val="24"/>
        </w:rPr>
      </w:pPr>
    </w:p>
    <w:p w14:paraId="02BEE5FA" w14:textId="77777777" w:rsidR="00441B85" w:rsidRDefault="00441B85">
      <w:pPr>
        <w:spacing w:line="360" w:lineRule="auto"/>
        <w:rPr>
          <w:rFonts w:ascii="Arial" w:eastAsia="Arial" w:hAnsi="Arial" w:cs="Arial"/>
          <w:sz w:val="24"/>
          <w:szCs w:val="24"/>
        </w:rPr>
      </w:pPr>
    </w:p>
    <w:sectPr w:rsidR="00441B85">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CEE4C" w14:textId="77777777" w:rsidR="00E60775" w:rsidRDefault="00E60775">
      <w:pPr>
        <w:spacing w:after="0" w:line="240" w:lineRule="auto"/>
      </w:pPr>
      <w:r>
        <w:separator/>
      </w:r>
    </w:p>
  </w:endnote>
  <w:endnote w:type="continuationSeparator" w:id="0">
    <w:p w14:paraId="1B25484C" w14:textId="77777777" w:rsidR="00E60775" w:rsidRDefault="00E6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0BDEB" w14:textId="77777777" w:rsidR="00441B85"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B64AB">
      <w:rPr>
        <w:noProof/>
        <w:color w:val="000000"/>
      </w:rPr>
      <w:t>1</w:t>
    </w:r>
    <w:r>
      <w:rPr>
        <w:color w:val="000000"/>
      </w:rPr>
      <w:fldChar w:fldCharType="end"/>
    </w:r>
    <w:r>
      <w:rPr>
        <w:color w:val="000000"/>
      </w:rPr>
      <w:t xml:space="preserve"> | </w:t>
    </w:r>
    <w:r>
      <w:rPr>
        <w:color w:val="7F7F7F"/>
      </w:rPr>
      <w:t>Page</w:t>
    </w:r>
  </w:p>
  <w:p w14:paraId="5D62AC0C" w14:textId="77777777" w:rsidR="00441B85" w:rsidRDefault="00441B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E4407" w14:textId="77777777" w:rsidR="00E60775" w:rsidRDefault="00E60775">
      <w:pPr>
        <w:spacing w:after="0" w:line="240" w:lineRule="auto"/>
      </w:pPr>
      <w:r>
        <w:separator/>
      </w:r>
    </w:p>
  </w:footnote>
  <w:footnote w:type="continuationSeparator" w:id="0">
    <w:p w14:paraId="5282340C" w14:textId="77777777" w:rsidR="00E60775" w:rsidRDefault="00E607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B85"/>
    <w:rsid w:val="00441B85"/>
    <w:rsid w:val="00562764"/>
    <w:rsid w:val="006F1B6F"/>
    <w:rsid w:val="008B64AB"/>
    <w:rsid w:val="00E60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0E0C"/>
  <w15:docId w15:val="{8DA71F8B-F81A-4BE6-90A9-6A003D22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tlantis-press.com/article/25881512.pdf" TargetMode="External"/><Relationship Id="rId13" Type="http://schemas.openxmlformats.org/officeDocument/2006/relationships/hyperlink" Target="https://www.jstage.jst.go.jp/article/iasme/12/1/12_120105/_pdf" TargetMode="External"/><Relationship Id="rId18" Type="http://schemas.openxmlformats.org/officeDocument/2006/relationships/hyperlink" Target="https://ufv.arcabc.ca/islandora/object/ufv%3A55046/datastream/PDF/view"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bibliotekanauki.pl/articles/2205017.pdf" TargetMode="External"/><Relationship Id="rId7" Type="http://schemas.openxmlformats.org/officeDocument/2006/relationships/image" Target="media/image2.png"/><Relationship Id="rId12" Type="http://schemas.openxmlformats.org/officeDocument/2006/relationships/hyperlink" Target="https://scholarship.richmond.edu/cgi/viewcontent.cgi?article=1022&amp;context=robins-case-network" TargetMode="External"/><Relationship Id="rId17" Type="http://schemas.openxmlformats.org/officeDocument/2006/relationships/hyperlink" Target="https://papers.ssrn.com/sol3/Delivery.cfm?abstractid=5125609"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journals.sagepub.com/doi/pdf/10.1177/1476127016648498" TargetMode="External"/><Relationship Id="rId20" Type="http://schemas.openxmlformats.org/officeDocument/2006/relationships/hyperlink" Target="https://file.siu.edu.vn/Phongban/KhoahocvaHTQT/cong-trinh-nghien-cuu-khoa-hoc/giang-vien/2019/12/1-2-8-974.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024630122000632"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academia.edu/download/66055968/IJM_11_08_088.pdf" TargetMode="External"/><Relationship Id="rId23" Type="http://schemas.openxmlformats.org/officeDocument/2006/relationships/hyperlink" Target="https://www.tandfonline.com/doi/pdf/10.1080/09644016.2019.1522033" TargetMode="External"/><Relationship Id="rId10" Type="http://schemas.openxmlformats.org/officeDocument/2006/relationships/hyperlink" Target="https://cris.unibo.it/bitstream/11585/952829/4/Giachetti-LiPira-2022_RESPOL-D-21-00205_R3.pdf" TargetMode="External"/><Relationship Id="rId19" Type="http://schemas.openxmlformats.org/officeDocument/2006/relationships/hyperlink" Target="https://www.researchgate.net/profile/Hoang-Tien-Nguyen-2/publication/338719419_International_distribution_policy_comparative_analysis_between_samsung_and_apple/links/613c55f401846e45ef3e4a14/International-distribution-policy-comparative-analysis-between-samsung-and-apple.pdf" TargetMode="External"/><Relationship Id="rId4" Type="http://schemas.openxmlformats.org/officeDocument/2006/relationships/footnotes" Target="footnotes.xml"/><Relationship Id="rId9" Type="http://schemas.openxmlformats.org/officeDocument/2006/relationships/hyperlink" Target="https://journals.sagepub.com/doi/pdf/10.1016/j.brq.2017.05.002" TargetMode="External"/><Relationship Id="rId14" Type="http://schemas.openxmlformats.org/officeDocument/2006/relationships/hyperlink" Target="https://www.emerald.com/insight/content/doi/10.1108/ijebr-12-2021-0984/full/pdf" TargetMode="External"/><Relationship Id="rId22" Type="http://schemas.openxmlformats.org/officeDocument/2006/relationships/hyperlink" Target="https://papers.ssrn.com/sol3/Delivery.cfm?abstractid=2848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3899</Words>
  <Characters>22227</Characters>
  <Application>Microsoft Office Word</Application>
  <DocSecurity>0</DocSecurity>
  <Lines>185</Lines>
  <Paragraphs>52</Paragraphs>
  <ScaleCrop>false</ScaleCrop>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Manthan Desai</cp:lastModifiedBy>
  <cp:revision>2</cp:revision>
  <dcterms:created xsi:type="dcterms:W3CDTF">2025-03-27T11:15:00Z</dcterms:created>
  <dcterms:modified xsi:type="dcterms:W3CDTF">2025-03-27T11:15:00Z</dcterms:modified>
</cp:coreProperties>
</file>