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D1318B" w14:textId="77777777" w:rsidR="002B797B" w:rsidRDefault="002B797B" w:rsidP="002B797B">
      <w:pPr>
        <w:jc w:val="center"/>
        <w:rPr>
          <w:b/>
          <w:u w:val="single"/>
        </w:rPr>
      </w:pPr>
      <w:r>
        <w:rPr>
          <w:b/>
          <w:u w:val="single"/>
        </w:rPr>
        <w:t>What role do histories play in the dissemination of the ‘Norman Myth’?</w:t>
      </w:r>
    </w:p>
    <w:p w14:paraId="44E65DEA" w14:textId="77777777" w:rsidR="002B797B" w:rsidRDefault="002B797B" w:rsidP="002B797B">
      <w:pPr>
        <w:jc w:val="center"/>
      </w:pPr>
    </w:p>
    <w:p w14:paraId="185A59A0" w14:textId="152FAB2C" w:rsidR="006D6D90" w:rsidRDefault="00767B40" w:rsidP="006D6D90">
      <w:pPr>
        <w:spacing w:line="480" w:lineRule="auto"/>
        <w:jc w:val="both"/>
      </w:pPr>
      <w:r>
        <w:t xml:space="preserve">At some point between 996 and 1015 AD, </w:t>
      </w:r>
      <w:proofErr w:type="spellStart"/>
      <w:r>
        <w:t>Dudo</w:t>
      </w:r>
      <w:proofErr w:type="spellEnd"/>
      <w:r>
        <w:t xml:space="preserve"> of St. Quentin was </w:t>
      </w:r>
      <w:proofErr w:type="spellStart"/>
      <w:r>
        <w:t>comissioned</w:t>
      </w:r>
      <w:proofErr w:type="spellEnd"/>
      <w:r>
        <w:t xml:space="preserve"> the first</w:t>
      </w:r>
      <w:r w:rsidR="00F130C6">
        <w:t xml:space="preserve"> to write the first (known)</w:t>
      </w:r>
      <w:r>
        <w:t xml:space="preserve"> account of the Normans in Europe. Written in lofty </w:t>
      </w:r>
      <w:r w:rsidR="00F130C6">
        <w:t>Latin</w:t>
      </w:r>
      <w:r>
        <w:t xml:space="preserve">, his account was the first in a series of histories </w:t>
      </w:r>
      <w:r w:rsidR="00F130C6">
        <w:t>ostensibly intended to describe the deeds and accomplishments of his Norman patrons. It has since been suggested that these ‘histories’ form a distinctly Norman literary tradition</w:t>
      </w:r>
      <w:r w:rsidR="00F130C6">
        <w:rPr>
          <w:rStyle w:val="FootnoteReference"/>
        </w:rPr>
        <w:footnoteReference w:id="1"/>
      </w:r>
      <w:r>
        <w:t xml:space="preserve"> </w:t>
      </w:r>
      <w:r w:rsidR="00F130C6">
        <w:t xml:space="preserve">and that their content formed the basis of what has been called the ‘Norman Myth’. </w:t>
      </w:r>
      <w:r w:rsidR="006D6D90">
        <w:t>R. H. C. Davi</w:t>
      </w:r>
      <w:r w:rsidR="00AD3C58">
        <w:t>e</w:t>
      </w:r>
      <w:r w:rsidR="006D6D90">
        <w:t>s in his work ‘</w:t>
      </w:r>
      <w:bookmarkStart w:id="0" w:name="_GoBack"/>
      <w:bookmarkEnd w:id="0"/>
      <w:r w:rsidR="006D6D90">
        <w:t xml:space="preserve">The </w:t>
      </w:r>
      <w:r w:rsidR="006D6D90">
        <w:t>Norman</w:t>
      </w:r>
      <w:r w:rsidR="006D6D90">
        <w:t>s and their</w:t>
      </w:r>
      <w:r w:rsidR="006D6D90">
        <w:t xml:space="preserve"> </w:t>
      </w:r>
      <w:r w:rsidR="006D6D90">
        <w:t>M</w:t>
      </w:r>
      <w:r w:rsidR="006D6D90">
        <w:t>yth’ defines a myth as ‘the acceptance of a belief about the past, whether that belief be false or true</w:t>
      </w:r>
      <w:r w:rsidR="006D6D90">
        <w:rPr>
          <w:rStyle w:val="FootnoteReference"/>
        </w:rPr>
        <w:footnoteReference w:id="2"/>
      </w:r>
      <w:r w:rsidR="006D6D90">
        <w:t>’. This essay will explore the truths hidden in the historical writings of the Normans</w:t>
      </w:r>
      <w:r>
        <w:t xml:space="preserve"> and the intentions behind them. Davi</w:t>
      </w:r>
      <w:r w:rsidR="00AD3C58">
        <w:t>e</w:t>
      </w:r>
      <w:r>
        <w:t>s further articulates the notion that the myths that a society or people create can be used to signpost their aspirations for the future</w:t>
      </w:r>
      <w:r>
        <w:rPr>
          <w:rStyle w:val="FootnoteReference"/>
        </w:rPr>
        <w:footnoteReference w:id="3"/>
      </w:r>
      <w:r>
        <w:t xml:space="preserve">. </w:t>
      </w:r>
      <w:proofErr w:type="gramStart"/>
      <w:r>
        <w:t>With this in mind, this</w:t>
      </w:r>
      <w:proofErr w:type="gramEnd"/>
      <w:r>
        <w:t xml:space="preserve"> essay will further</w:t>
      </w:r>
      <w:r w:rsidR="006D6D90">
        <w:t xml:space="preserve"> </w:t>
      </w:r>
      <w:r w:rsidR="00F130C6">
        <w:t xml:space="preserve">explore the way that the histories were a part of a larger Norman agenda for a </w:t>
      </w:r>
      <w:r w:rsidR="006D6D90">
        <w:t xml:space="preserve">self-formed heritage </w:t>
      </w:r>
      <w:r w:rsidR="00F130C6">
        <w:t>that used</w:t>
      </w:r>
      <w:r w:rsidR="006D6D90">
        <w:t xml:space="preserve"> </w:t>
      </w:r>
      <w:r w:rsidR="00F130C6">
        <w:t>a carefully constructed</w:t>
      </w:r>
      <w:r w:rsidR="006D6D90">
        <w:t xml:space="preserve"> past as a currency for the future</w:t>
      </w:r>
    </w:p>
    <w:p w14:paraId="20409761" w14:textId="0017391E" w:rsidR="00B364EA" w:rsidRDefault="00B364EA" w:rsidP="00B364EA">
      <w:pPr>
        <w:spacing w:line="480" w:lineRule="auto"/>
        <w:jc w:val="both"/>
      </w:pPr>
    </w:p>
    <w:p w14:paraId="05C739A7" w14:textId="2C6AA2B2" w:rsidR="000F603F" w:rsidRDefault="000F603F" w:rsidP="000F603F">
      <w:pPr>
        <w:spacing w:line="480" w:lineRule="auto"/>
        <w:jc w:val="both"/>
      </w:pPr>
      <w:r>
        <w:t xml:space="preserve">Although any discussion of the Norman historical canon should be precluded by the caveat that all scholarship is based on the relatively small sample of surviving manuscripts alone and should therefore tread carefully before making any grand declarations, </w:t>
      </w:r>
      <w:proofErr w:type="gramStart"/>
      <w:r>
        <w:t>it is clear that the</w:t>
      </w:r>
      <w:proofErr w:type="gramEnd"/>
      <w:r>
        <w:t xml:space="preserve"> histories were formed in a sequence.  For example, it has long been accepted that William of Jumieges was heavily influenced by </w:t>
      </w:r>
      <w:proofErr w:type="spellStart"/>
      <w:r>
        <w:t>Dudo</w:t>
      </w:r>
      <w:proofErr w:type="spellEnd"/>
      <w:r>
        <w:t xml:space="preserve"> of St Quentin’s </w:t>
      </w:r>
      <w:r w:rsidR="00F130C6">
        <w:t>account</w:t>
      </w:r>
      <w:r w:rsidR="00FB6409">
        <w:t xml:space="preserve"> and that</w:t>
      </w:r>
      <w:r>
        <w:t xml:space="preserve"> Jumieges was, in turn a key influence in the work of </w:t>
      </w:r>
      <w:proofErr w:type="spellStart"/>
      <w:r>
        <w:t>Orderic</w:t>
      </w:r>
      <w:proofErr w:type="spellEnd"/>
      <w:r>
        <w:t xml:space="preserve"> Vitalis</w:t>
      </w:r>
      <w:r w:rsidR="00FB6409">
        <w:t>, and it goes on well into the twelfth century</w:t>
      </w:r>
      <w:r>
        <w:t>. Davis suggests that it was in this way that the Norman myth became ‘magnified or transformed when passed on from one generation to another.</w:t>
      </w:r>
      <w:r w:rsidR="00F130C6">
        <w:rPr>
          <w:rStyle w:val="FootnoteReference"/>
        </w:rPr>
        <w:footnoteReference w:id="4"/>
      </w:r>
      <w:r>
        <w:t xml:space="preserve">’ </w:t>
      </w:r>
      <w:r w:rsidR="00F130C6">
        <w:t>It is the latent intertextuality of these texts that give credence, somewhat paradoxically, to both the notion of a cohesive Norman identity but, equally, to the superficiality of that identity.</w:t>
      </w:r>
    </w:p>
    <w:p w14:paraId="072B1BCB" w14:textId="472802C4" w:rsidR="00943F58" w:rsidRDefault="00943F58" w:rsidP="004221D7">
      <w:pPr>
        <w:spacing w:line="480" w:lineRule="auto"/>
        <w:jc w:val="both"/>
      </w:pPr>
    </w:p>
    <w:p w14:paraId="58EA9CC9" w14:textId="66C6E550" w:rsidR="00FB6409" w:rsidRDefault="00FB6409" w:rsidP="000F603F">
      <w:pPr>
        <w:spacing w:line="480" w:lineRule="auto"/>
        <w:jc w:val="both"/>
      </w:pPr>
      <w:r>
        <w:t>A</w:t>
      </w:r>
      <w:r w:rsidR="00F726C9">
        <w:t xml:space="preserve"> key aspect of the Norman myth ‘The fact which must strike any student of the </w:t>
      </w:r>
      <w:r>
        <w:t>N</w:t>
      </w:r>
      <w:r w:rsidR="00F726C9">
        <w:t>ormans is the large number of historians they produced in the eleventh and twel</w:t>
      </w:r>
      <w:r>
        <w:t>f</w:t>
      </w:r>
      <w:r w:rsidR="00F726C9">
        <w:t xml:space="preserve">th </w:t>
      </w:r>
      <w:r>
        <w:t>centuries</w:t>
      </w:r>
      <w:r w:rsidR="00F726C9">
        <w:t>; one gets the impression that they could never have stopped talking or writing about themselves.</w:t>
      </w:r>
      <w:r>
        <w:rPr>
          <w:rStyle w:val="FootnoteReference"/>
        </w:rPr>
        <w:footnoteReference w:id="5"/>
      </w:r>
      <w:r w:rsidR="00F726C9">
        <w:t xml:space="preserve">’ While Davies suggests this as evidence for why they were so confident of their identity, it is possible to suggest quite the opposite. </w:t>
      </w:r>
      <w:r>
        <w:t>Perhaps</w:t>
      </w:r>
      <w:r w:rsidR="00F726C9">
        <w:t xml:space="preserve"> it was the Norman sense of exclusion and ‘otherness’ that left them with such a need to self-legitimise</w:t>
      </w:r>
      <w:r>
        <w:t>?</w:t>
      </w:r>
    </w:p>
    <w:p w14:paraId="47FF6F4B" w14:textId="77777777" w:rsidR="00FB6409" w:rsidRDefault="00FB6409" w:rsidP="000F603F">
      <w:pPr>
        <w:spacing w:line="480" w:lineRule="auto"/>
        <w:jc w:val="both"/>
      </w:pPr>
    </w:p>
    <w:p w14:paraId="5ADC7D16" w14:textId="246EF0B9" w:rsidR="009E6492" w:rsidRDefault="000F603F" w:rsidP="009E6492">
      <w:pPr>
        <w:spacing w:line="480" w:lineRule="auto"/>
        <w:jc w:val="both"/>
      </w:pPr>
      <w:r>
        <w:t>It has been suggested</w:t>
      </w:r>
      <w:r w:rsidR="00FB6409">
        <w:rPr>
          <w:rStyle w:val="FootnoteReference"/>
        </w:rPr>
        <w:footnoteReference w:id="6"/>
      </w:r>
      <w:r>
        <w:t xml:space="preserve"> that much of the Norman’s true prowess was in their military </w:t>
      </w:r>
      <w:r>
        <w:t>efficiency</w:t>
      </w:r>
      <w:r>
        <w:t xml:space="preserve"> and organisation. However, while some account </w:t>
      </w:r>
      <w:proofErr w:type="gramStart"/>
      <w:r>
        <w:t>do</w:t>
      </w:r>
      <w:proofErr w:type="gramEnd"/>
      <w:r>
        <w:t xml:space="preserve"> pay lip service</w:t>
      </w:r>
      <w:r w:rsidR="00FB6409">
        <w:t>,</w:t>
      </w:r>
      <w:r>
        <w:t xml:space="preserve"> </w:t>
      </w:r>
      <w:r>
        <w:t>for example in William of Poitiers account of the Norman invasion of England</w:t>
      </w:r>
      <w:r>
        <w:t xml:space="preserve"> to the military capabilities of the Normans, once again, they to te</w:t>
      </w:r>
      <w:r>
        <w:t>n</w:t>
      </w:r>
      <w:r>
        <w:t>d to dwell on the epic heroism of the individual.</w:t>
      </w:r>
      <w:r w:rsidR="00FB6409">
        <w:t xml:space="preserve"> This can be seen in the almost exclusive focus that much of the writers give to the most powerful character in each of their accounts, for example </w:t>
      </w:r>
      <w:proofErr w:type="spellStart"/>
      <w:r w:rsidR="00FB6409">
        <w:t>Dudo</w:t>
      </w:r>
      <w:proofErr w:type="spellEnd"/>
      <w:r w:rsidR="00FB6409">
        <w:t xml:space="preserve"> of St Quentin’s interminable </w:t>
      </w:r>
      <w:r w:rsidR="001B6374">
        <w:t>sycophancy</w:t>
      </w:r>
      <w:r w:rsidR="00FB6409">
        <w:t xml:space="preserve"> over Rollo or William of Poitier’s focus on the deeds of William of Normandy. </w:t>
      </w:r>
      <w:r>
        <w:t xml:space="preserve"> </w:t>
      </w:r>
      <w:r>
        <w:t>This is an indication that the purpose and intention of Norman history was not to portray the Normans as they were but, perhaps, more as they wished to be seen.</w:t>
      </w:r>
      <w:r w:rsidR="001B6374">
        <w:t xml:space="preserve"> While this does not make for the most reliable of historical writing, the cinematic portrayal of Norman heroes may very well have pushed their histories into a wider readership. Furthermore, t</w:t>
      </w:r>
      <w:r w:rsidR="009E6492">
        <w:t xml:space="preserve">he Norman writers may have taken advantage of the performative element of medieval European culture. The dramatic apostrophes of </w:t>
      </w:r>
      <w:proofErr w:type="spellStart"/>
      <w:r w:rsidR="009E6492">
        <w:t>Dudo</w:t>
      </w:r>
      <w:proofErr w:type="spellEnd"/>
      <w:r w:rsidR="009E6492">
        <w:t xml:space="preserve"> of St Quentin’s</w:t>
      </w:r>
      <w:r w:rsidR="001B6374">
        <w:t xml:space="preserve"> </w:t>
      </w:r>
      <w:r w:rsidR="009E6492">
        <w:t xml:space="preserve">account of </w:t>
      </w:r>
      <w:proofErr w:type="spellStart"/>
      <w:r w:rsidR="009E6492">
        <w:t>Rollos’s</w:t>
      </w:r>
      <w:proofErr w:type="spellEnd"/>
      <w:r w:rsidR="009E6492">
        <w:t xml:space="preserve"> arrival in Rouen and the </w:t>
      </w:r>
      <w:r w:rsidR="001B6374">
        <w:t>intrigue</w:t>
      </w:r>
      <w:r w:rsidR="009E6492">
        <w:t xml:space="preserve"> </w:t>
      </w:r>
      <w:r w:rsidR="001B6374">
        <w:t>demonstrated</w:t>
      </w:r>
      <w:r w:rsidR="009E6492">
        <w:t xml:space="preserve"> in the battle scenes of the anonymous writer of the </w:t>
      </w:r>
      <w:proofErr w:type="spellStart"/>
      <w:r w:rsidR="009E6492" w:rsidRPr="00532827">
        <w:rPr>
          <w:i/>
        </w:rPr>
        <w:t>Gesta</w:t>
      </w:r>
      <w:proofErr w:type="spellEnd"/>
      <w:r w:rsidR="009E6492" w:rsidRPr="00532827">
        <w:rPr>
          <w:i/>
        </w:rPr>
        <w:t xml:space="preserve"> Francorum</w:t>
      </w:r>
      <w:r w:rsidR="009E6492">
        <w:t>’s</w:t>
      </w:r>
      <w:r w:rsidR="001B6374">
        <w:t xml:space="preserve"> first-hand </w:t>
      </w:r>
      <w:r w:rsidR="009E6492">
        <w:t xml:space="preserve">account of the </w:t>
      </w:r>
      <w:r w:rsidR="00532827">
        <w:t>Siege</w:t>
      </w:r>
      <w:r w:rsidR="001B6374">
        <w:t xml:space="preserve"> of Antioch would have doubtlessly piqued the interest of court performers.</w:t>
      </w:r>
    </w:p>
    <w:p w14:paraId="06E12D7A" w14:textId="77777777" w:rsidR="009E6492" w:rsidRDefault="009E6492" w:rsidP="004221D7">
      <w:pPr>
        <w:spacing w:line="480" w:lineRule="auto"/>
        <w:jc w:val="both"/>
      </w:pPr>
    </w:p>
    <w:p w14:paraId="1590008C" w14:textId="5A9A1ED3" w:rsidR="009E6492" w:rsidRDefault="001B6374" w:rsidP="009E6492">
      <w:pPr>
        <w:spacing w:line="480" w:lineRule="auto"/>
        <w:jc w:val="both"/>
      </w:pPr>
      <w:r>
        <w:lastRenderedPageBreak/>
        <w:t>One of the literary forms employed consistently by the writers of histories was t</w:t>
      </w:r>
      <w:r w:rsidR="000F603F">
        <w:t>h</w:t>
      </w:r>
      <w:r>
        <w:t>e</w:t>
      </w:r>
      <w:r w:rsidR="0058246E">
        <w:t xml:space="preserve"> use of classical epic tropes and motifs</w:t>
      </w:r>
      <w:r w:rsidR="00532827">
        <w:t xml:space="preserve">. </w:t>
      </w:r>
      <w:r w:rsidR="009E6492">
        <w:t xml:space="preserve">The use of classical allusion in the histories both scandalises and dignifies the Norman identity. An episode described by both </w:t>
      </w:r>
      <w:proofErr w:type="spellStart"/>
      <w:r w:rsidR="009E6492">
        <w:t>Dudo</w:t>
      </w:r>
      <w:proofErr w:type="spellEnd"/>
      <w:r w:rsidR="009E6492">
        <w:t xml:space="preserve"> of St Quentin and William of Jumieges in which, Hasting, a typical Norman </w:t>
      </w:r>
      <w:r w:rsidR="00532827">
        <w:t>warrior</w:t>
      </w:r>
      <w:r w:rsidR="009E6492">
        <w:t xml:space="preserve"> feigns death </w:t>
      </w:r>
      <w:proofErr w:type="gramStart"/>
      <w:r w:rsidR="009E6492">
        <w:t>in order to</w:t>
      </w:r>
      <w:proofErr w:type="gramEnd"/>
      <w:r w:rsidR="009E6492">
        <w:t xml:space="preserve"> take a city by being smuggled in in a coffin could be considered a reference to the Trojan horse of Homeric epic. The undignified, yet indubitably entertaining, notion of smuggling of bodies </w:t>
      </w:r>
      <w:proofErr w:type="gramStart"/>
      <w:r w:rsidR="009E6492">
        <w:t>in order to</w:t>
      </w:r>
      <w:proofErr w:type="gramEnd"/>
      <w:r w:rsidR="009E6492">
        <w:t xml:space="preserve"> gain a city is a motif that is repeated and consequently reinforced through Norman literature. Variations on the theme of Hasting the Norman and his trickery continue well into the thirteenth century with examples appearing in accounts by Anna Comnena, Otto of Fre</w:t>
      </w:r>
      <w:r w:rsidR="00532827">
        <w:t>i</w:t>
      </w:r>
      <w:r w:rsidR="009E6492">
        <w:t>sing and Matthew Paris</w:t>
      </w:r>
      <w:r w:rsidR="00532827">
        <w:rPr>
          <w:rStyle w:val="FootnoteReference"/>
        </w:rPr>
        <w:footnoteReference w:id="7"/>
      </w:r>
      <w:r w:rsidR="009E6492">
        <w:t xml:space="preserve">. The Norman guile exhibited in these accounts became a key facet in Norman identity. If the Norman writers were, indeed, writing intentionally to establish a cohesive Norman identity it would not be advantageous for them to point out their inconsistencies. This theory could explain why, in his account of Norman achievements, William of Jumieges makes no reference to the Norman ‘conquests’ in Italy or </w:t>
      </w:r>
      <w:r w:rsidR="00532827">
        <w:t>Sicily</w:t>
      </w:r>
      <w:r w:rsidR="00532827">
        <w:rPr>
          <w:rStyle w:val="FootnoteReference"/>
        </w:rPr>
        <w:footnoteReference w:id="8"/>
      </w:r>
      <w:r w:rsidR="009E6492">
        <w:t xml:space="preserve"> due to their inconsistencies with the previously employed ‘promised land’ justification for invasion.</w:t>
      </w:r>
      <w:r w:rsidR="00532827">
        <w:t xml:space="preserve"> A preoccupation with their Roman legacy is also reinforced in </w:t>
      </w:r>
      <w:r w:rsidR="009E6492">
        <w:t xml:space="preserve">William of Poitiers </w:t>
      </w:r>
      <w:r w:rsidR="00532827">
        <w:t>c</w:t>
      </w:r>
      <w:r w:rsidR="009E6492">
        <w:t>omparisons</w:t>
      </w:r>
      <w:r w:rsidR="00532827">
        <w:t xml:space="preserve"> of William of Normandy</w:t>
      </w:r>
      <w:r w:rsidR="009E6492">
        <w:t xml:space="preserve"> with </w:t>
      </w:r>
      <w:r w:rsidR="00532827">
        <w:t>Julius Caesar in relation to the</w:t>
      </w:r>
      <w:r w:rsidR="009E6492">
        <w:t xml:space="preserve"> </w:t>
      </w:r>
      <w:r w:rsidR="00532827">
        <w:t>conquest</w:t>
      </w:r>
      <w:r w:rsidR="009E6492">
        <w:t xml:space="preserve"> of Britain</w:t>
      </w:r>
      <w:r w:rsidR="00F748FA">
        <w:rPr>
          <w:rStyle w:val="FootnoteReference"/>
        </w:rPr>
        <w:footnoteReference w:id="9"/>
      </w:r>
      <w:r w:rsidR="00532827">
        <w:t>. This notion is bolstered by the fact that the Normans intentionally built their fortifications close to</w:t>
      </w:r>
      <w:r w:rsidR="00F748FA">
        <w:t xml:space="preserve"> the sites</w:t>
      </w:r>
      <w:r w:rsidR="00532827">
        <w:t>, and in the style</w:t>
      </w:r>
      <w:r w:rsidR="00F748FA">
        <w:t>, of their Roman predecessors</w:t>
      </w:r>
      <w:r w:rsidR="00F748FA">
        <w:rPr>
          <w:rStyle w:val="FootnoteReference"/>
        </w:rPr>
        <w:footnoteReference w:id="10"/>
      </w:r>
      <w:r w:rsidR="00F748FA">
        <w:t>.</w:t>
      </w:r>
    </w:p>
    <w:p w14:paraId="5C4F3782" w14:textId="77777777" w:rsidR="00F748FA" w:rsidRDefault="00F748FA" w:rsidP="001B6374">
      <w:pPr>
        <w:spacing w:line="480" w:lineRule="auto"/>
        <w:jc w:val="both"/>
      </w:pPr>
    </w:p>
    <w:p w14:paraId="0E6744E1" w14:textId="36E0C12A" w:rsidR="00532827" w:rsidRDefault="001B6374" w:rsidP="00532827">
      <w:pPr>
        <w:spacing w:line="480" w:lineRule="auto"/>
        <w:jc w:val="both"/>
      </w:pPr>
      <w:r>
        <w:t xml:space="preserve">The use of biblical and classical allusions </w:t>
      </w:r>
      <w:r w:rsidR="00F748FA">
        <w:t xml:space="preserve">was equally used by the Normans </w:t>
      </w:r>
      <w:proofErr w:type="gramStart"/>
      <w:r w:rsidR="00F748FA">
        <w:t>in</w:t>
      </w:r>
      <w:r>
        <w:t xml:space="preserve"> an attempt to</w:t>
      </w:r>
      <w:proofErr w:type="gramEnd"/>
      <w:r>
        <w:t xml:space="preserve"> integrate themselves into enduring strands of history</w:t>
      </w:r>
      <w:r w:rsidR="00F748FA">
        <w:t xml:space="preserve">. </w:t>
      </w:r>
      <w:r w:rsidR="00532827">
        <w:t xml:space="preserve">A key aspect of the ‘Norman Myth’ was the perpetuated sense of </w:t>
      </w:r>
      <w:r w:rsidR="00F748FA">
        <w:t>God-given</w:t>
      </w:r>
      <w:r w:rsidR="00532827">
        <w:t xml:space="preserve"> entitlement use to justify Norman conquest. The appropriation of religious language and allusion employed by Norman </w:t>
      </w:r>
      <w:r w:rsidR="00F748FA">
        <w:t>historians</w:t>
      </w:r>
      <w:r w:rsidR="00532827">
        <w:t xml:space="preserve"> would have </w:t>
      </w:r>
      <w:r w:rsidR="00F748FA">
        <w:t>subtly</w:t>
      </w:r>
      <w:r w:rsidR="00532827">
        <w:t xml:space="preserve"> aligned the audacious </w:t>
      </w:r>
      <w:r w:rsidR="00532827">
        <w:lastRenderedPageBreak/>
        <w:t xml:space="preserve">invaders </w:t>
      </w:r>
      <w:r w:rsidR="00F748FA">
        <w:t xml:space="preserve">with the God that their conquests were devoted to. This can be seen in </w:t>
      </w:r>
      <w:proofErr w:type="spellStart"/>
      <w:r w:rsidR="00F748FA">
        <w:t>Dudo</w:t>
      </w:r>
      <w:proofErr w:type="spellEnd"/>
      <w:r w:rsidR="00F748FA">
        <w:t xml:space="preserve"> of St Quentin’s sublimations that Rollo was entering a promised land as he sailed down the Seine to Rouen and in </w:t>
      </w:r>
      <w:proofErr w:type="spellStart"/>
      <w:r w:rsidR="00F748FA">
        <w:t>Amatus</w:t>
      </w:r>
      <w:proofErr w:type="spellEnd"/>
      <w:r w:rsidR="00F748FA">
        <w:t xml:space="preserve"> of </w:t>
      </w:r>
      <w:proofErr w:type="spellStart"/>
      <w:r w:rsidR="00F748FA">
        <w:t>Montecassino’s</w:t>
      </w:r>
      <w:proofErr w:type="spellEnd"/>
      <w:r w:rsidR="00F748FA">
        <w:t xml:space="preserve"> depiction of the Normans in Italy as the children of God in the wilderness of the desert. </w:t>
      </w:r>
    </w:p>
    <w:p w14:paraId="3A693721" w14:textId="005DDA67" w:rsidR="00E72DE1" w:rsidRDefault="00E72DE1" w:rsidP="004221D7">
      <w:pPr>
        <w:spacing w:line="480" w:lineRule="auto"/>
        <w:jc w:val="both"/>
      </w:pPr>
    </w:p>
    <w:p w14:paraId="5D5D7E94" w14:textId="55361F54" w:rsidR="00F601B2" w:rsidRDefault="00F601B2" w:rsidP="00F601B2">
      <w:pPr>
        <w:spacing w:line="480" w:lineRule="auto"/>
        <w:jc w:val="both"/>
      </w:pPr>
      <w:r>
        <w:t xml:space="preserve">Unlike the occasionally dry accounts of the </w:t>
      </w:r>
      <w:proofErr w:type="gramStart"/>
      <w:r>
        <w:t>Anglo Saxon</w:t>
      </w:r>
      <w:proofErr w:type="gramEnd"/>
      <w:r>
        <w:t xml:space="preserve"> Chronicle,</w:t>
      </w:r>
      <w:r w:rsidRPr="000F603F">
        <w:t xml:space="preserve"> </w:t>
      </w:r>
      <w:r>
        <w:t xml:space="preserve">the histories can take on a compellingly personal nature.  In many cases, it is possible for the reader to come under the influence of the personable charisma of the historian. </w:t>
      </w:r>
      <w:proofErr w:type="spellStart"/>
      <w:r>
        <w:t>Orderic</w:t>
      </w:r>
      <w:proofErr w:type="spellEnd"/>
      <w:r>
        <w:t xml:space="preserve"> of Vitalis’s deep expression of regret for the effects of the Norman conquest on England and William of Poitier’s evident respect for his lord, William of Normandy are prime examples of Norman passion breaking into the </w:t>
      </w:r>
      <w:proofErr w:type="spellStart"/>
      <w:r>
        <w:t>narritives</w:t>
      </w:r>
      <w:proofErr w:type="spellEnd"/>
      <w:r>
        <w:t xml:space="preserve"> of the writers.</w:t>
      </w:r>
    </w:p>
    <w:p w14:paraId="2B90532C" w14:textId="77777777" w:rsidR="00F601B2" w:rsidRDefault="00F601B2" w:rsidP="004221D7">
      <w:pPr>
        <w:spacing w:line="480" w:lineRule="auto"/>
        <w:jc w:val="both"/>
      </w:pPr>
    </w:p>
    <w:p w14:paraId="0EC6EC24" w14:textId="77777777" w:rsidR="00F601B2" w:rsidRDefault="00F601B2" w:rsidP="004221D7">
      <w:pPr>
        <w:spacing w:line="480" w:lineRule="auto"/>
        <w:jc w:val="both"/>
      </w:pPr>
    </w:p>
    <w:p w14:paraId="3075BD6C" w14:textId="197AC865" w:rsidR="00421A8B" w:rsidRDefault="00E72DE1" w:rsidP="004221D7">
      <w:pPr>
        <w:spacing w:line="480" w:lineRule="auto"/>
        <w:jc w:val="both"/>
      </w:pPr>
      <w:r>
        <w:t>While each writer possesse</w:t>
      </w:r>
      <w:r w:rsidR="00F748FA">
        <w:t>d</w:t>
      </w:r>
      <w:r>
        <w:t xml:space="preserve"> their own </w:t>
      </w:r>
      <w:r w:rsidR="00F601B2">
        <w:t>specific</w:t>
      </w:r>
      <w:r>
        <w:t xml:space="preserve"> </w:t>
      </w:r>
      <w:r w:rsidR="00F601B2">
        <w:t>subjectivities,</w:t>
      </w:r>
      <w:r>
        <w:t xml:space="preserve"> which influence their portrayal of the Normans, the diversity of motivations and angles may have only served to enforce the fluidity which formed the foundation of their perceived identity</w:t>
      </w:r>
      <w:r w:rsidR="0058246E">
        <w:t xml:space="preserve">. For example, it is possible that the ostensible subversion employed by </w:t>
      </w:r>
      <w:proofErr w:type="spellStart"/>
      <w:r w:rsidR="0058246E">
        <w:t>Dudo</w:t>
      </w:r>
      <w:proofErr w:type="spellEnd"/>
      <w:r w:rsidR="0058246E">
        <w:t xml:space="preserve"> of St Quentin may have served to bolster the Norman identity as much as his saccharine panegyric. In his attempts to undermine his own rapturous elegy on the </w:t>
      </w:r>
      <w:r w:rsidR="00F601B2">
        <w:t>Norman</w:t>
      </w:r>
      <w:r w:rsidR="0058246E">
        <w:t xml:space="preserve"> newcomers</w:t>
      </w:r>
      <w:r w:rsidR="00F601B2">
        <w:t xml:space="preserve"> </w:t>
      </w:r>
      <w:proofErr w:type="spellStart"/>
      <w:r w:rsidR="00F601B2">
        <w:t>Dudo</w:t>
      </w:r>
      <w:proofErr w:type="spellEnd"/>
      <w:r w:rsidR="00F601B2">
        <w:t xml:space="preserve"> may have given his work a wider readership in the form of those curious about his powerful patrons. </w:t>
      </w:r>
      <w:r w:rsidR="0058246E">
        <w:t xml:space="preserve"> </w:t>
      </w:r>
      <w:r w:rsidR="00F748FA">
        <w:t xml:space="preserve">The use of hyperbole, as exemplified </w:t>
      </w:r>
      <w:proofErr w:type="spellStart"/>
      <w:r w:rsidR="00F748FA">
        <w:t>Dudo</w:t>
      </w:r>
      <w:proofErr w:type="spellEnd"/>
      <w:r w:rsidR="00F748FA">
        <w:t xml:space="preserve"> of St Quentin’s assertions that Normandy was essentially destroyed by the Scandinavian newcomers further served to bolster both the </w:t>
      </w:r>
      <w:proofErr w:type="gramStart"/>
      <w:r w:rsidR="00F748FA">
        <w:t>aforementioned performative</w:t>
      </w:r>
      <w:proofErr w:type="gramEnd"/>
      <w:r w:rsidR="00F748FA">
        <w:t xml:space="preserve"> element of the perpetuation of the Norman myth and also reinforced links to a constructed biblical and classical heritage.</w:t>
      </w:r>
      <w:r w:rsidR="00F601B2">
        <w:t xml:space="preserve"> </w:t>
      </w:r>
      <w:r w:rsidR="0058246E">
        <w:t>In a similar way, William of Poitier</w:t>
      </w:r>
      <w:r w:rsidR="00B94669">
        <w:t xml:space="preserve">’s evident predisposition to write favourably of his employer, William of Normandy, only serves to </w:t>
      </w:r>
      <w:r w:rsidR="00B94669">
        <w:lastRenderedPageBreak/>
        <w:t xml:space="preserve">reinforce the notion of his sincerity in his writing. Where the bias is obvious, it becomes almost excusable in its </w:t>
      </w:r>
      <w:r w:rsidR="00F601B2">
        <w:t>earnestness</w:t>
      </w:r>
      <w:r w:rsidR="00B94669">
        <w:t xml:space="preserve">. </w:t>
      </w:r>
    </w:p>
    <w:p w14:paraId="3DE6EBDA" w14:textId="687C5F07" w:rsidR="00421A8B" w:rsidRPr="00DA5216" w:rsidRDefault="00421A8B" w:rsidP="004221D7">
      <w:pPr>
        <w:spacing w:line="480" w:lineRule="auto"/>
        <w:jc w:val="both"/>
      </w:pPr>
      <w:r>
        <w:t xml:space="preserve">In </w:t>
      </w:r>
      <w:proofErr w:type="gramStart"/>
      <w:r>
        <w:t>general</w:t>
      </w:r>
      <w:proofErr w:type="gramEnd"/>
      <w:r>
        <w:t xml:space="preserve"> most historical accounts of the Normans focus almost entirely on the leaders and aristocracy. </w:t>
      </w:r>
      <w:r w:rsidR="00F601B2">
        <w:t>I</w:t>
      </w:r>
      <w:r w:rsidR="001A0E75">
        <w:t xml:space="preserve">n focusing chiefly on the </w:t>
      </w:r>
      <w:r w:rsidR="00F601B2">
        <w:t>Norman</w:t>
      </w:r>
      <w:r w:rsidR="001A0E75">
        <w:t xml:space="preserve"> aristocracy that was established the historians could evade recording the apparent reality that the lower classes of conquered Norman </w:t>
      </w:r>
      <w:proofErr w:type="gramStart"/>
      <w:r w:rsidR="001A0E75">
        <w:t xml:space="preserve">territories </w:t>
      </w:r>
      <w:r w:rsidR="00F83FED">
        <w:t xml:space="preserve"> remained</w:t>
      </w:r>
      <w:proofErr w:type="gramEnd"/>
      <w:r w:rsidR="00F83FED">
        <w:t xml:space="preserve"> to a certain extent unaltered in their nationality. This can be seen in the retention of native place names and language by the lower classes in </w:t>
      </w:r>
      <w:r w:rsidR="00F601B2">
        <w:t>Norman</w:t>
      </w:r>
      <w:r w:rsidR="00F83FED">
        <w:t xml:space="preserve"> lands</w:t>
      </w:r>
      <w:r w:rsidR="00F601B2">
        <w:rPr>
          <w:rStyle w:val="FootnoteReference"/>
        </w:rPr>
        <w:footnoteReference w:id="11"/>
      </w:r>
      <w:r w:rsidR="00F83FED">
        <w:t xml:space="preserve"> .</w:t>
      </w:r>
      <w:r w:rsidR="00C83979">
        <w:t xml:space="preserve"> It could be surmised that Norman commentators moderated the realities of Norman assimilation in recording chiefly the conflicts and deeds of their leaders. Some were quite transparent about this in their naming of their accounts,</w:t>
      </w:r>
      <w:r w:rsidR="00DA5216">
        <w:t xml:space="preserve"> William of </w:t>
      </w:r>
      <w:proofErr w:type="spellStart"/>
      <w:r w:rsidR="00DA5216">
        <w:t>Jumieges’s</w:t>
      </w:r>
      <w:proofErr w:type="spellEnd"/>
      <w:r w:rsidR="00DA5216">
        <w:t xml:space="preserve"> </w:t>
      </w:r>
      <w:proofErr w:type="spellStart"/>
      <w:r w:rsidR="00DA5216">
        <w:rPr>
          <w:i/>
        </w:rPr>
        <w:t>Gesta</w:t>
      </w:r>
      <w:proofErr w:type="spellEnd"/>
      <w:r w:rsidR="00DA5216">
        <w:rPr>
          <w:i/>
        </w:rPr>
        <w:t xml:space="preserve"> </w:t>
      </w:r>
      <w:proofErr w:type="spellStart"/>
      <w:r w:rsidR="00DA5216">
        <w:rPr>
          <w:i/>
        </w:rPr>
        <w:t>Normannorum</w:t>
      </w:r>
      <w:proofErr w:type="spellEnd"/>
      <w:r w:rsidR="00DA5216">
        <w:rPr>
          <w:i/>
        </w:rPr>
        <w:t xml:space="preserve"> </w:t>
      </w:r>
      <w:proofErr w:type="spellStart"/>
      <w:r w:rsidR="00DA5216">
        <w:rPr>
          <w:i/>
        </w:rPr>
        <w:t>Ducum</w:t>
      </w:r>
      <w:proofErr w:type="spellEnd"/>
      <w:r w:rsidR="00DA5216">
        <w:rPr>
          <w:i/>
        </w:rPr>
        <w:t xml:space="preserve"> </w:t>
      </w:r>
      <w:r w:rsidR="00DA5216">
        <w:t xml:space="preserve">(Deeds of the Norman Dukes), William of </w:t>
      </w:r>
      <w:proofErr w:type="spellStart"/>
      <w:r w:rsidR="00DA5216">
        <w:t>Poiter’s</w:t>
      </w:r>
      <w:proofErr w:type="spellEnd"/>
      <w:r w:rsidR="00DA5216">
        <w:t xml:space="preserve"> </w:t>
      </w:r>
      <w:proofErr w:type="spellStart"/>
      <w:r w:rsidR="00F601B2">
        <w:rPr>
          <w:i/>
        </w:rPr>
        <w:t>Gesta</w:t>
      </w:r>
      <w:proofErr w:type="spellEnd"/>
      <w:r w:rsidR="00F601B2">
        <w:rPr>
          <w:i/>
        </w:rPr>
        <w:t xml:space="preserve"> </w:t>
      </w:r>
      <w:proofErr w:type="spellStart"/>
      <w:r w:rsidR="00F601B2">
        <w:rPr>
          <w:i/>
        </w:rPr>
        <w:t>Willelmi</w:t>
      </w:r>
      <w:proofErr w:type="spellEnd"/>
      <w:r w:rsidR="00AC0843">
        <w:t xml:space="preserve">, and William of </w:t>
      </w:r>
      <w:proofErr w:type="spellStart"/>
      <w:r w:rsidR="00F601B2">
        <w:t>Jumiege</w:t>
      </w:r>
      <w:r w:rsidR="00AC0843">
        <w:t>’s</w:t>
      </w:r>
      <w:proofErr w:type="spellEnd"/>
      <w:r w:rsidR="00AC0843">
        <w:t xml:space="preserve"> </w:t>
      </w:r>
      <w:proofErr w:type="spellStart"/>
      <w:r w:rsidR="00F601B2">
        <w:rPr>
          <w:i/>
        </w:rPr>
        <w:t>Gesta</w:t>
      </w:r>
      <w:proofErr w:type="spellEnd"/>
      <w:r w:rsidR="00F601B2">
        <w:rPr>
          <w:i/>
        </w:rPr>
        <w:t xml:space="preserve"> </w:t>
      </w:r>
      <w:proofErr w:type="spellStart"/>
      <w:r w:rsidR="00F601B2">
        <w:rPr>
          <w:i/>
        </w:rPr>
        <w:t>Normannorum</w:t>
      </w:r>
      <w:proofErr w:type="spellEnd"/>
      <w:r w:rsidR="00F601B2">
        <w:rPr>
          <w:i/>
        </w:rPr>
        <w:t xml:space="preserve"> </w:t>
      </w:r>
      <w:proofErr w:type="spellStart"/>
      <w:r w:rsidR="00F601B2">
        <w:rPr>
          <w:i/>
        </w:rPr>
        <w:t>Ducum</w:t>
      </w:r>
      <w:proofErr w:type="spellEnd"/>
      <w:r w:rsidR="00AC0843">
        <w:t xml:space="preserve">, to name but a few. </w:t>
      </w:r>
      <w:r w:rsidR="00B62FF5">
        <w:t xml:space="preserve"> </w:t>
      </w:r>
    </w:p>
    <w:p w14:paraId="4D8CEA91" w14:textId="2577EEF0" w:rsidR="00F83FED" w:rsidRDefault="00F83FED" w:rsidP="004221D7">
      <w:pPr>
        <w:spacing w:line="480" w:lineRule="auto"/>
        <w:jc w:val="both"/>
      </w:pPr>
    </w:p>
    <w:p w14:paraId="19068231" w14:textId="11A25DC0" w:rsidR="00E72DE1" w:rsidRDefault="002876F9" w:rsidP="004221D7">
      <w:pPr>
        <w:spacing w:line="480" w:lineRule="auto"/>
        <w:jc w:val="both"/>
      </w:pPr>
      <w:r>
        <w:t>Davis</w:t>
      </w:r>
      <w:r w:rsidR="00F601B2">
        <w:t>,</w:t>
      </w:r>
      <w:r w:rsidR="00F601B2">
        <w:rPr>
          <w:rStyle w:val="FootnoteReference"/>
        </w:rPr>
        <w:footnoteReference w:id="12"/>
      </w:r>
      <w:r>
        <w:t xml:space="preserve"> has suggested that the Normans of the tenth century and the Normans of the </w:t>
      </w:r>
      <w:r w:rsidR="00F601B2">
        <w:t>twelfth</w:t>
      </w:r>
      <w:r>
        <w:t xml:space="preserve"> are utterly different from one another</w:t>
      </w:r>
      <w:r w:rsidR="00BF02ED">
        <w:t xml:space="preserve"> and </w:t>
      </w:r>
      <w:r w:rsidR="00F601B2">
        <w:t>further</w:t>
      </w:r>
      <w:r w:rsidR="00BF02ED">
        <w:t xml:space="preserve"> that the </w:t>
      </w:r>
      <w:r w:rsidR="00F601B2">
        <w:t>Normans</w:t>
      </w:r>
      <w:r w:rsidR="00BF02ED">
        <w:t xml:space="preserve"> did not have their </w:t>
      </w:r>
      <w:r w:rsidR="00F601B2">
        <w:t>Norman</w:t>
      </w:r>
      <w:r w:rsidR="00BF02ED">
        <w:t xml:space="preserve"> identity until they had essentially </w:t>
      </w:r>
      <w:r w:rsidR="00F601B2">
        <w:t>become</w:t>
      </w:r>
      <w:r w:rsidR="00BF02ED">
        <w:t xml:space="preserve"> </w:t>
      </w:r>
      <w:r w:rsidR="00F601B2">
        <w:t>French</w:t>
      </w:r>
      <w:r>
        <w:t>. While it is reasonable to propose that</w:t>
      </w:r>
      <w:r w:rsidR="00BF02ED">
        <w:t xml:space="preserve"> across</w:t>
      </w:r>
      <w:r>
        <w:t xml:space="preserve"> two hundred</w:t>
      </w:r>
      <w:r w:rsidR="00BF02ED">
        <w:t xml:space="preserve"> </w:t>
      </w:r>
      <w:proofErr w:type="gramStart"/>
      <w:r w:rsidR="00BF02ED">
        <w:t>year</w:t>
      </w:r>
      <w:proofErr w:type="gramEnd"/>
      <w:r w:rsidR="00BF02ED">
        <w:t xml:space="preserve"> of conquest, assimilation and progress, the Norman culture would have changed substantially, it can be posited that their characterisation as being outsiders of slightly dubious morality is a thread that does run through their history. </w:t>
      </w:r>
      <w:r w:rsidR="00602C4A">
        <w:t>T</w:t>
      </w:r>
      <w:r w:rsidR="006C3BA3">
        <w:t xml:space="preserve">he historians do not hesitate to place their successes on a foundation of dishonesty. That this moral ambiguity is directly linked to their Scandinavian roots in both </w:t>
      </w:r>
      <w:proofErr w:type="spellStart"/>
      <w:r w:rsidR="006C3BA3">
        <w:t>Dudo</w:t>
      </w:r>
      <w:proofErr w:type="spellEnd"/>
      <w:r w:rsidR="006C3BA3">
        <w:t xml:space="preserve"> of St Quentin’s account of them</w:t>
      </w:r>
      <w:r w:rsidR="000B44EF">
        <w:t xml:space="preserve">, in the </w:t>
      </w:r>
      <w:proofErr w:type="spellStart"/>
      <w:r w:rsidR="000B44EF" w:rsidRPr="000B44EF">
        <w:rPr>
          <w:i/>
        </w:rPr>
        <w:t>Gesta</w:t>
      </w:r>
      <w:proofErr w:type="spellEnd"/>
      <w:r w:rsidR="000B44EF" w:rsidRPr="000B44EF">
        <w:rPr>
          <w:i/>
        </w:rPr>
        <w:t xml:space="preserve"> Francorum</w:t>
      </w:r>
      <w:r w:rsidR="000B44EF">
        <w:t xml:space="preserve"> in their behaviour in Antioch</w:t>
      </w:r>
      <w:r w:rsidR="000B44EF">
        <w:rPr>
          <w:rStyle w:val="FootnoteReference"/>
        </w:rPr>
        <w:footnoteReference w:id="13"/>
      </w:r>
      <w:r w:rsidR="006C3BA3">
        <w:t xml:space="preserve"> and further in </w:t>
      </w:r>
      <w:proofErr w:type="spellStart"/>
      <w:r w:rsidR="006C3BA3">
        <w:t>Amatus</w:t>
      </w:r>
      <w:proofErr w:type="spellEnd"/>
      <w:r w:rsidR="006C3BA3">
        <w:t xml:space="preserve"> of </w:t>
      </w:r>
      <w:proofErr w:type="spellStart"/>
      <w:r w:rsidR="006C3BA3">
        <w:t>Montecassino</w:t>
      </w:r>
      <w:proofErr w:type="spellEnd"/>
      <w:r w:rsidR="006C3BA3">
        <w:t xml:space="preserve"> where they are characterised by lupine descriptions.</w:t>
      </w:r>
    </w:p>
    <w:p w14:paraId="59AE5F79" w14:textId="11918FBC" w:rsidR="006D3ECC" w:rsidRDefault="006D3ECC" w:rsidP="004221D7">
      <w:pPr>
        <w:spacing w:line="480" w:lineRule="auto"/>
        <w:jc w:val="both"/>
      </w:pPr>
    </w:p>
    <w:p w14:paraId="41B94B8B" w14:textId="2CD9679B" w:rsidR="00BF02ED" w:rsidRDefault="006D3ECC" w:rsidP="004221D7">
      <w:pPr>
        <w:spacing w:line="480" w:lineRule="auto"/>
        <w:jc w:val="both"/>
      </w:pPr>
      <w:r>
        <w:lastRenderedPageBreak/>
        <w:t>While it may not have had the most direct effect on the way that Norman historians</w:t>
      </w:r>
      <w:r w:rsidR="00C31DE5">
        <w:t xml:space="preserve"> portrayed their patrons, the way that the Normans formed </w:t>
      </w:r>
      <w:r w:rsidR="00A81106">
        <w:t>m</w:t>
      </w:r>
      <w:r w:rsidR="00C31DE5">
        <w:t xml:space="preserve">onastic community may have influenced the literary culture of the time.  </w:t>
      </w:r>
      <w:r>
        <w:t xml:space="preserve">The Normans established </w:t>
      </w:r>
      <w:r w:rsidR="00602C4A">
        <w:t>monasteries</w:t>
      </w:r>
      <w:r>
        <w:t xml:space="preserve"> as inorganically as they constructed their heritage</w:t>
      </w:r>
      <w:r w:rsidR="00A81106">
        <w:t>. Their monks were often handpicked and imported from Italy, as with many facets of Norman culture, only the finest would do</w:t>
      </w:r>
      <w:r w:rsidR="00602C4A">
        <w:rPr>
          <w:rStyle w:val="FootnoteReference"/>
        </w:rPr>
        <w:footnoteReference w:id="14"/>
      </w:r>
      <w:r w:rsidR="00A81106">
        <w:t xml:space="preserve">. With </w:t>
      </w:r>
      <w:r w:rsidR="00602C4A">
        <w:t>monasteries</w:t>
      </w:r>
      <w:r w:rsidR="00A81106">
        <w:t xml:space="preserve"> as the chief hubs of education and literacy it should be unsurprising that the works regarding the Normans would achieve their goals of </w:t>
      </w:r>
      <w:r w:rsidR="00602C4A">
        <w:t>legitimising</w:t>
      </w:r>
      <w:r w:rsidR="00A81106">
        <w:t xml:space="preserve"> and promoting Norman rule with such success. Additionally, this may partially account for the hints of doubt over Norman morality or general subversion that </w:t>
      </w:r>
      <w:r w:rsidR="0060532D">
        <w:t>are</w:t>
      </w:r>
      <w:r w:rsidR="00A81106">
        <w:t xml:space="preserve"> exhibited in some of the accounts of their deeds</w:t>
      </w:r>
      <w:r w:rsidR="0060532D">
        <w:t xml:space="preserve">. The consequence of the multicultural nature of many of the writers may have, at times, divided their loyalties. This can be seen in the work of </w:t>
      </w:r>
      <w:proofErr w:type="spellStart"/>
      <w:r w:rsidR="0060532D">
        <w:t>Oderic</w:t>
      </w:r>
      <w:proofErr w:type="spellEnd"/>
      <w:r w:rsidR="0060532D">
        <w:t xml:space="preserve"> Vitalis, a half </w:t>
      </w:r>
      <w:proofErr w:type="spellStart"/>
      <w:r w:rsidR="0060532D">
        <w:t>anglo-saxon</w:t>
      </w:r>
      <w:proofErr w:type="spellEnd"/>
      <w:r w:rsidR="0060532D">
        <w:t xml:space="preserve">, half </w:t>
      </w:r>
      <w:proofErr w:type="spellStart"/>
      <w:r w:rsidR="0060532D">
        <w:t>norman</w:t>
      </w:r>
      <w:proofErr w:type="spellEnd"/>
      <w:r w:rsidR="0060532D">
        <w:t xml:space="preserve"> writer, who detailed many Norman deeds in his </w:t>
      </w:r>
      <w:r w:rsidR="0060532D">
        <w:rPr>
          <w:i/>
        </w:rPr>
        <w:t xml:space="preserve">Historia </w:t>
      </w:r>
      <w:proofErr w:type="spellStart"/>
      <w:r w:rsidR="0060532D">
        <w:rPr>
          <w:i/>
        </w:rPr>
        <w:t>Ecclesiastica</w:t>
      </w:r>
      <w:proofErr w:type="spellEnd"/>
      <w:r w:rsidR="0060532D">
        <w:rPr>
          <w:i/>
        </w:rPr>
        <w:t xml:space="preserve"> </w:t>
      </w:r>
      <w:proofErr w:type="gramStart"/>
      <w:r w:rsidR="0060532D">
        <w:t>and also</w:t>
      </w:r>
      <w:proofErr w:type="gramEnd"/>
      <w:r w:rsidR="0060532D">
        <w:t xml:space="preserve"> in the work of </w:t>
      </w:r>
      <w:proofErr w:type="spellStart"/>
      <w:r w:rsidR="0060532D">
        <w:t>Dudo</w:t>
      </w:r>
      <w:proofErr w:type="spellEnd"/>
      <w:r w:rsidR="0060532D">
        <w:t xml:space="preserve"> of St Quentin who, thought an accomplished writer, was not Norman at all</w:t>
      </w:r>
      <w:r w:rsidR="00602C4A">
        <w:rPr>
          <w:rStyle w:val="FootnoteReference"/>
        </w:rPr>
        <w:footnoteReference w:id="15"/>
      </w:r>
      <w:r w:rsidR="0060532D">
        <w:rPr>
          <w:i/>
        </w:rPr>
        <w:t xml:space="preserve">. </w:t>
      </w:r>
    </w:p>
    <w:p w14:paraId="2B687FF9" w14:textId="77777777" w:rsidR="00602C4A" w:rsidRDefault="00602C4A" w:rsidP="004221D7">
      <w:pPr>
        <w:spacing w:line="480" w:lineRule="auto"/>
        <w:jc w:val="both"/>
      </w:pPr>
    </w:p>
    <w:p w14:paraId="3F127EA2" w14:textId="3FBDCEF9" w:rsidR="000F603F" w:rsidRPr="00F42230" w:rsidRDefault="000F603F" w:rsidP="000F603F">
      <w:pPr>
        <w:spacing w:line="480" w:lineRule="auto"/>
        <w:jc w:val="both"/>
      </w:pPr>
      <w:r>
        <w:t xml:space="preserve">Another way in which the Norman histories participated in the </w:t>
      </w:r>
      <w:r w:rsidR="00602C4A">
        <w:t>dissemination</w:t>
      </w:r>
      <w:r>
        <w:t xml:space="preserve"> of the Norman myth was in their use of the Norman vernacular. ‘The Song of Roland’ and other vernacular works of the period would have appealed more to the general populace than, for example the mighty </w:t>
      </w:r>
      <w:r>
        <w:rPr>
          <w:i/>
        </w:rPr>
        <w:t xml:space="preserve">Historia </w:t>
      </w:r>
      <w:proofErr w:type="spellStart"/>
      <w:r>
        <w:rPr>
          <w:i/>
        </w:rPr>
        <w:t>Eccle</w:t>
      </w:r>
      <w:r w:rsidR="00602C4A">
        <w:rPr>
          <w:i/>
        </w:rPr>
        <w:t>s</w:t>
      </w:r>
      <w:r>
        <w:rPr>
          <w:i/>
        </w:rPr>
        <w:t>ia</w:t>
      </w:r>
      <w:r w:rsidR="00602C4A">
        <w:rPr>
          <w:i/>
        </w:rPr>
        <w:t>stica</w:t>
      </w:r>
      <w:proofErr w:type="spellEnd"/>
      <w:r w:rsidR="00602C4A">
        <w:rPr>
          <w:i/>
        </w:rPr>
        <w:t xml:space="preserve"> </w:t>
      </w:r>
      <w:r w:rsidR="00602C4A">
        <w:t>of</w:t>
      </w:r>
      <w:r>
        <w:t xml:space="preserve"> </w:t>
      </w:r>
      <w:proofErr w:type="spellStart"/>
      <w:r>
        <w:t>Orderic</w:t>
      </w:r>
      <w:proofErr w:type="spellEnd"/>
      <w:r>
        <w:t xml:space="preserve"> Vitalis, for example. For the first time on a larger scale the world history and further literature in general was now open to the laity.  Additionally, while histories, in terms of subject matter, provided little devotional utility to the monks and clergy</w:t>
      </w:r>
      <w:r w:rsidR="00602C4A">
        <w:rPr>
          <w:rStyle w:val="FootnoteReference"/>
        </w:rPr>
        <w:footnoteReference w:id="16"/>
      </w:r>
      <w:r>
        <w:t xml:space="preserve"> but may have provided political advantage to the </w:t>
      </w:r>
      <w:r w:rsidR="00602C4A">
        <w:t>institutions</w:t>
      </w:r>
      <w:r>
        <w:t xml:space="preserve"> via patronage.</w:t>
      </w:r>
    </w:p>
    <w:p w14:paraId="0DF0AB0E" w14:textId="705275D1" w:rsidR="0060532D" w:rsidRDefault="0060532D" w:rsidP="004221D7">
      <w:pPr>
        <w:spacing w:line="480" w:lineRule="auto"/>
        <w:jc w:val="both"/>
      </w:pPr>
    </w:p>
    <w:p w14:paraId="7279A9C3" w14:textId="26B55EA1" w:rsidR="00352F33" w:rsidRPr="0026243C" w:rsidRDefault="00BB0037" w:rsidP="004221D7">
      <w:pPr>
        <w:spacing w:line="480" w:lineRule="auto"/>
        <w:jc w:val="both"/>
      </w:pPr>
      <w:r>
        <w:lastRenderedPageBreak/>
        <w:t xml:space="preserve">The turmoil of the political instability of </w:t>
      </w:r>
      <w:r w:rsidR="00602C4A">
        <w:t>twelfth</w:t>
      </w:r>
      <w:r>
        <w:t xml:space="preserve"> century provided historians with another motive for perpetuating the ‘Norman Myth’. As England transitioned into a more assimilated entity with the intermarrying or Normans and </w:t>
      </w:r>
      <w:r w:rsidR="00602C4A">
        <w:t>English</w:t>
      </w:r>
      <w:r>
        <w:t xml:space="preserve"> at even the lower </w:t>
      </w:r>
      <w:r w:rsidR="00602C4A">
        <w:t>strata</w:t>
      </w:r>
      <w:r>
        <w:t xml:space="preserve"> of society</w:t>
      </w:r>
      <w:r w:rsidR="00602C4A">
        <w:rPr>
          <w:rStyle w:val="FootnoteReference"/>
        </w:rPr>
        <w:footnoteReference w:id="17"/>
      </w:r>
      <w:r>
        <w:t xml:space="preserve">, the distinctions between ‘Norman’ and ‘English’ may have blurred and consequently become superfluous. This may have had a negative impact on societal </w:t>
      </w:r>
      <w:r w:rsidR="00602C4A">
        <w:t>identity</w:t>
      </w:r>
      <w:r>
        <w:t xml:space="preserve"> hence necessitating an increased dissemination of the ‘Norman Myth’. This </w:t>
      </w:r>
      <w:r w:rsidR="003870EA">
        <w:t xml:space="preserve">notion is well illustrated by the fact that Henry of Huntingdon added references to Rollo in the battle speech in the 1139 edition of his </w:t>
      </w:r>
      <w:r w:rsidR="00602C4A">
        <w:rPr>
          <w:i/>
        </w:rPr>
        <w:t xml:space="preserve">Historia </w:t>
      </w:r>
      <w:proofErr w:type="spellStart"/>
      <w:r w:rsidR="00602C4A">
        <w:rPr>
          <w:i/>
        </w:rPr>
        <w:t>Anglorum</w:t>
      </w:r>
      <w:proofErr w:type="spellEnd"/>
      <w:r w:rsidR="000B44EF">
        <w:rPr>
          <w:rStyle w:val="FootnoteReference"/>
          <w:i/>
        </w:rPr>
        <w:footnoteReference w:id="18"/>
      </w:r>
      <w:r w:rsidR="003870EA">
        <w:t>, it is unlikely to be a coincidence that it was written in the throes of a contested monarchy and was therefore potentially a symptom of nostalgia during a troubled time</w:t>
      </w:r>
      <w:r w:rsidR="00352F33">
        <w:t xml:space="preserve"> and therefore no longer an attempt by </w:t>
      </w:r>
      <w:r w:rsidR="00B02D04">
        <w:t>Scandinavian outsiders to self-</w:t>
      </w:r>
      <w:r w:rsidR="00602C4A">
        <w:t>legitimise</w:t>
      </w:r>
      <w:r w:rsidR="00B02D04">
        <w:t xml:space="preserve">. By the </w:t>
      </w:r>
      <w:r w:rsidR="00602C4A">
        <w:t>twelfth</w:t>
      </w:r>
      <w:r w:rsidR="00B02D04">
        <w:t xml:space="preserve"> century the apathy</w:t>
      </w:r>
      <w:r w:rsidR="002D6DD7">
        <w:t xml:space="preserve"> </w:t>
      </w:r>
      <w:r w:rsidR="00B02D04">
        <w:t xml:space="preserve">of a people who may have felt somewhat distant from their raiding ancestors may have begun </w:t>
      </w:r>
      <w:r w:rsidR="0026243C">
        <w:t>to set in, this is support</w:t>
      </w:r>
      <w:r w:rsidR="004F026B">
        <w:t>ed</w:t>
      </w:r>
      <w:r w:rsidR="0026243C">
        <w:t xml:space="preserve"> in the surprisingly unbiased account of the Normans that </w:t>
      </w:r>
      <w:proofErr w:type="spellStart"/>
      <w:r w:rsidR="0026243C">
        <w:t>Geffrei</w:t>
      </w:r>
      <w:proofErr w:type="spellEnd"/>
      <w:r w:rsidR="0026243C">
        <w:t xml:space="preserve"> of </w:t>
      </w:r>
      <w:proofErr w:type="spellStart"/>
      <w:r w:rsidR="0026243C">
        <w:t>Gaimar</w:t>
      </w:r>
      <w:proofErr w:type="spellEnd"/>
      <w:r w:rsidR="0026243C">
        <w:t xml:space="preserve"> offered in his </w:t>
      </w:r>
      <w:proofErr w:type="spellStart"/>
      <w:r w:rsidR="0026243C">
        <w:rPr>
          <w:i/>
        </w:rPr>
        <w:t>L’Estoire</w:t>
      </w:r>
      <w:proofErr w:type="spellEnd"/>
      <w:r w:rsidR="0026243C">
        <w:rPr>
          <w:i/>
        </w:rPr>
        <w:t xml:space="preserve"> des </w:t>
      </w:r>
      <w:proofErr w:type="spellStart"/>
      <w:r w:rsidR="0026243C">
        <w:rPr>
          <w:i/>
        </w:rPr>
        <w:t>Engleis</w:t>
      </w:r>
      <w:proofErr w:type="spellEnd"/>
      <w:r w:rsidR="0026243C">
        <w:rPr>
          <w:i/>
        </w:rPr>
        <w:t xml:space="preserve">, </w:t>
      </w:r>
      <w:r w:rsidR="0026243C">
        <w:t>written c. 1135 – 40</w:t>
      </w:r>
      <w:r w:rsidR="00602C4A">
        <w:rPr>
          <w:rStyle w:val="FootnoteReference"/>
        </w:rPr>
        <w:footnoteReference w:id="19"/>
      </w:r>
      <w:r w:rsidR="0026243C">
        <w:t>.</w:t>
      </w:r>
    </w:p>
    <w:p w14:paraId="04240459" w14:textId="77777777" w:rsidR="00602C4A" w:rsidRDefault="00602C4A" w:rsidP="00B364EA">
      <w:pPr>
        <w:spacing w:line="480" w:lineRule="auto"/>
        <w:jc w:val="both"/>
      </w:pPr>
    </w:p>
    <w:p w14:paraId="5FA8B764" w14:textId="3CA2DC58" w:rsidR="006D0E7C" w:rsidRDefault="006D0E7C" w:rsidP="006D0E7C">
      <w:pPr>
        <w:spacing w:line="480" w:lineRule="auto"/>
        <w:jc w:val="both"/>
      </w:pPr>
    </w:p>
    <w:p w14:paraId="703A7F44" w14:textId="091D742C" w:rsidR="006D6D90" w:rsidRDefault="00AD3C58" w:rsidP="006D6D90">
      <w:pPr>
        <w:spacing w:line="480" w:lineRule="auto"/>
        <w:jc w:val="both"/>
      </w:pPr>
      <w:r>
        <w:t xml:space="preserve"> </w:t>
      </w:r>
      <w:r w:rsidR="00B364EA">
        <w:t>‘It is almost impossible to pin them down because they kept on changing.</w:t>
      </w:r>
      <w:r w:rsidR="00602C4A">
        <w:rPr>
          <w:rStyle w:val="FootnoteReference"/>
        </w:rPr>
        <w:footnoteReference w:id="20"/>
      </w:r>
      <w:r w:rsidR="00B364EA">
        <w:t>’</w:t>
      </w:r>
      <w:r w:rsidR="00602C4A">
        <w:t>, as</w:t>
      </w:r>
      <w:r w:rsidR="00B364EA">
        <w:t xml:space="preserve"> Davi</w:t>
      </w:r>
      <w:r>
        <w:t>e</w:t>
      </w:r>
      <w:r w:rsidR="00602C4A">
        <w:t>s summarises the fluidity of the Norman identity.</w:t>
      </w:r>
      <w:r w:rsidR="000B44EF">
        <w:t xml:space="preserve"> </w:t>
      </w:r>
      <w:proofErr w:type="gramStart"/>
      <w:r w:rsidR="000B44EF">
        <w:t>However</w:t>
      </w:r>
      <w:proofErr w:type="gramEnd"/>
      <w:r w:rsidR="000B44EF">
        <w:t xml:space="preserve"> it could be suggested that it was the fluidity of the Norman identity that insured it’s relevancy as Norman society evolved. For although h</w:t>
      </w:r>
      <w:r w:rsidR="00B364EA">
        <w:t xml:space="preserve">istories do not offer in any way a cohesive image of who the Normans </w:t>
      </w:r>
      <w:proofErr w:type="gramStart"/>
      <w:r w:rsidR="00B364EA">
        <w:t>actually were</w:t>
      </w:r>
      <w:proofErr w:type="gramEnd"/>
      <w:r w:rsidR="00B364EA">
        <w:t>, they cannot even agree on what to call them</w:t>
      </w:r>
      <w:r w:rsidR="000B44EF">
        <w:rPr>
          <w:rStyle w:val="FootnoteReference"/>
        </w:rPr>
        <w:footnoteReference w:id="21"/>
      </w:r>
      <w:r w:rsidR="00B364EA">
        <w:t xml:space="preserve"> but they do offer a cohesive image of how they desired to be perceived</w:t>
      </w:r>
      <w:r>
        <w:t xml:space="preserve">. </w:t>
      </w:r>
      <w:r w:rsidR="006D6D90">
        <w:t>Davi</w:t>
      </w:r>
      <w:r>
        <w:t>e</w:t>
      </w:r>
      <w:r w:rsidR="006D6D90">
        <w:t>s</w:t>
      </w:r>
      <w:r>
        <w:t>,</w:t>
      </w:r>
      <w:r w:rsidR="006D6D90">
        <w:t xml:space="preserve"> questioned whether Norman</w:t>
      </w:r>
      <w:r>
        <w:t xml:space="preserve"> identity</w:t>
      </w:r>
      <w:r w:rsidR="006D6D90">
        <w:t xml:space="preserve"> was a myth that was only effective if it was believed</w:t>
      </w:r>
      <w:r>
        <w:rPr>
          <w:rStyle w:val="FootnoteReference"/>
        </w:rPr>
        <w:footnoteReference w:id="22"/>
      </w:r>
      <w:r w:rsidR="006D6D90">
        <w:t xml:space="preserve">, and, while </w:t>
      </w:r>
      <w:r w:rsidR="006D6D90">
        <w:lastRenderedPageBreak/>
        <w:t xml:space="preserve">this question does form the core of the discourse </w:t>
      </w:r>
      <w:proofErr w:type="gramStart"/>
      <w:r w:rsidR="006D6D90">
        <w:t>on the subject of the</w:t>
      </w:r>
      <w:proofErr w:type="gramEnd"/>
      <w:r w:rsidR="006D6D90">
        <w:t xml:space="preserve"> Norman myth, it is also undermined by the fact that it is a myth that is still </w:t>
      </w:r>
      <w:r>
        <w:t>believed</w:t>
      </w:r>
      <w:r w:rsidR="006D6D90">
        <w:t xml:space="preserve"> to this day. </w:t>
      </w:r>
    </w:p>
    <w:p w14:paraId="089978BD" w14:textId="77777777" w:rsidR="002B797B" w:rsidRDefault="002B797B" w:rsidP="002B797B">
      <w:pPr>
        <w:jc w:val="center"/>
        <w:rPr>
          <w:b/>
          <w:u w:val="single"/>
        </w:rPr>
      </w:pPr>
    </w:p>
    <w:p w14:paraId="26C92CD2" w14:textId="77777777" w:rsidR="002B797B" w:rsidRDefault="002B797B" w:rsidP="002B797B">
      <w:pPr>
        <w:jc w:val="center"/>
        <w:rPr>
          <w:b/>
          <w:u w:val="single"/>
        </w:rPr>
      </w:pPr>
    </w:p>
    <w:p w14:paraId="5640F04A" w14:textId="77777777" w:rsidR="002B797B" w:rsidRDefault="002B797B" w:rsidP="002B797B">
      <w:pPr>
        <w:jc w:val="center"/>
        <w:rPr>
          <w:b/>
          <w:u w:val="single"/>
        </w:rPr>
      </w:pPr>
    </w:p>
    <w:p w14:paraId="3E1F62EB" w14:textId="77777777" w:rsidR="002B797B" w:rsidRDefault="002B797B" w:rsidP="002B797B">
      <w:pPr>
        <w:jc w:val="center"/>
        <w:rPr>
          <w:b/>
          <w:u w:val="single"/>
        </w:rPr>
      </w:pPr>
    </w:p>
    <w:p w14:paraId="2CE135DF" w14:textId="77777777" w:rsidR="002B797B" w:rsidRDefault="002B797B" w:rsidP="002B797B">
      <w:pPr>
        <w:jc w:val="center"/>
        <w:rPr>
          <w:b/>
          <w:u w:val="single"/>
        </w:rPr>
      </w:pPr>
    </w:p>
    <w:p w14:paraId="60D1DE5D" w14:textId="77777777" w:rsidR="002B797B" w:rsidRDefault="002B797B" w:rsidP="002B797B">
      <w:pPr>
        <w:jc w:val="center"/>
        <w:rPr>
          <w:b/>
          <w:u w:val="single"/>
        </w:rPr>
      </w:pPr>
    </w:p>
    <w:p w14:paraId="06F2ACD3" w14:textId="77777777" w:rsidR="002B797B" w:rsidRDefault="002B797B" w:rsidP="002B797B">
      <w:pPr>
        <w:jc w:val="center"/>
        <w:rPr>
          <w:b/>
          <w:u w:val="single"/>
        </w:rPr>
      </w:pPr>
    </w:p>
    <w:p w14:paraId="0032D5C9" w14:textId="77777777" w:rsidR="002B797B" w:rsidRDefault="002B797B" w:rsidP="002B797B">
      <w:pPr>
        <w:jc w:val="center"/>
        <w:rPr>
          <w:b/>
          <w:u w:val="single"/>
        </w:rPr>
      </w:pPr>
    </w:p>
    <w:p w14:paraId="6DAB7054" w14:textId="77777777" w:rsidR="002B797B" w:rsidRDefault="002B797B" w:rsidP="002B797B">
      <w:pPr>
        <w:jc w:val="center"/>
        <w:rPr>
          <w:b/>
          <w:u w:val="single"/>
        </w:rPr>
      </w:pPr>
    </w:p>
    <w:p w14:paraId="78B8C3FD" w14:textId="77777777" w:rsidR="002B797B" w:rsidRDefault="002B797B" w:rsidP="002B797B">
      <w:pPr>
        <w:jc w:val="center"/>
        <w:rPr>
          <w:b/>
          <w:u w:val="single"/>
        </w:rPr>
      </w:pPr>
    </w:p>
    <w:p w14:paraId="3A8219A1" w14:textId="77777777" w:rsidR="002B797B" w:rsidRDefault="002B797B" w:rsidP="002B797B">
      <w:pPr>
        <w:jc w:val="center"/>
        <w:rPr>
          <w:b/>
          <w:u w:val="single"/>
        </w:rPr>
      </w:pPr>
    </w:p>
    <w:p w14:paraId="16928E76" w14:textId="77777777" w:rsidR="002B797B" w:rsidRDefault="002B797B" w:rsidP="002B797B">
      <w:pPr>
        <w:jc w:val="center"/>
        <w:rPr>
          <w:b/>
          <w:u w:val="single"/>
        </w:rPr>
      </w:pPr>
    </w:p>
    <w:p w14:paraId="558E7A07" w14:textId="77777777" w:rsidR="002B797B" w:rsidRDefault="002B797B" w:rsidP="002B797B">
      <w:pPr>
        <w:jc w:val="center"/>
        <w:rPr>
          <w:b/>
          <w:u w:val="single"/>
        </w:rPr>
      </w:pPr>
    </w:p>
    <w:p w14:paraId="6404E4B5" w14:textId="77777777" w:rsidR="002B797B" w:rsidRDefault="002B797B" w:rsidP="002B797B">
      <w:pPr>
        <w:jc w:val="center"/>
        <w:rPr>
          <w:b/>
          <w:u w:val="single"/>
        </w:rPr>
      </w:pPr>
    </w:p>
    <w:p w14:paraId="2D02B5C1" w14:textId="77777777" w:rsidR="002B797B" w:rsidRDefault="002B797B" w:rsidP="002B797B">
      <w:pPr>
        <w:jc w:val="center"/>
        <w:rPr>
          <w:b/>
          <w:u w:val="single"/>
        </w:rPr>
      </w:pPr>
    </w:p>
    <w:p w14:paraId="0E93ADDC" w14:textId="77777777" w:rsidR="002B797B" w:rsidRDefault="002B797B" w:rsidP="002B797B">
      <w:pPr>
        <w:jc w:val="center"/>
      </w:pPr>
    </w:p>
    <w:p w14:paraId="4D737238" w14:textId="77777777" w:rsidR="002B797B" w:rsidRDefault="002B797B" w:rsidP="002B797B">
      <w:pPr>
        <w:jc w:val="center"/>
        <w:rPr>
          <w:b/>
          <w:u w:val="single"/>
        </w:rPr>
      </w:pPr>
    </w:p>
    <w:p w14:paraId="32ED84C1" w14:textId="16DF9D6D" w:rsidR="002B797B" w:rsidRPr="00AD3C58" w:rsidRDefault="002B797B" w:rsidP="002B797B">
      <w:pPr>
        <w:rPr>
          <w:rFonts w:cstheme="minorHAnsi"/>
          <w:sz w:val="16"/>
          <w:szCs w:val="16"/>
          <w:u w:val="single"/>
        </w:rPr>
      </w:pPr>
      <w:r w:rsidRPr="00AD3C58">
        <w:rPr>
          <w:rFonts w:cstheme="minorHAnsi"/>
          <w:sz w:val="16"/>
          <w:szCs w:val="16"/>
          <w:u w:val="single"/>
        </w:rPr>
        <w:t>Bibliography</w:t>
      </w:r>
    </w:p>
    <w:p w14:paraId="1BA711C7" w14:textId="7361B517" w:rsidR="000B44EF" w:rsidRPr="00AD3C58" w:rsidRDefault="000B44EF" w:rsidP="002B797B">
      <w:pPr>
        <w:rPr>
          <w:rFonts w:cstheme="minorHAnsi"/>
          <w:sz w:val="16"/>
          <w:szCs w:val="16"/>
          <w:u w:val="single"/>
        </w:rPr>
      </w:pPr>
    </w:p>
    <w:p w14:paraId="066D1D3C" w14:textId="044FE544" w:rsidR="000B44EF" w:rsidRPr="00AD3C58" w:rsidRDefault="000B44EF" w:rsidP="002B797B">
      <w:pPr>
        <w:rPr>
          <w:rFonts w:cstheme="minorHAnsi"/>
          <w:sz w:val="16"/>
          <w:szCs w:val="16"/>
          <w:u w:val="single"/>
        </w:rPr>
      </w:pPr>
      <w:r w:rsidRPr="00AD3C58">
        <w:rPr>
          <w:rFonts w:cstheme="minorHAnsi"/>
          <w:sz w:val="16"/>
          <w:szCs w:val="16"/>
          <w:u w:val="single"/>
        </w:rPr>
        <w:t xml:space="preserve">Primary sources </w:t>
      </w:r>
    </w:p>
    <w:p w14:paraId="7E265F5B" w14:textId="59A980EE" w:rsidR="000B44EF" w:rsidRPr="00AD3C58" w:rsidRDefault="000B44EF" w:rsidP="000B44EF">
      <w:pPr>
        <w:ind w:right="170"/>
        <w:rPr>
          <w:rFonts w:cstheme="minorHAnsi"/>
          <w:spacing w:val="-3"/>
          <w:sz w:val="16"/>
          <w:szCs w:val="16"/>
        </w:rPr>
      </w:pPr>
      <w:proofErr w:type="spellStart"/>
      <w:r w:rsidRPr="00AD3C58">
        <w:rPr>
          <w:rFonts w:cstheme="minorHAnsi"/>
          <w:spacing w:val="-3"/>
          <w:sz w:val="16"/>
          <w:szCs w:val="16"/>
        </w:rPr>
        <w:t>Dudo</w:t>
      </w:r>
      <w:proofErr w:type="spellEnd"/>
      <w:r w:rsidRPr="00AD3C58">
        <w:rPr>
          <w:rFonts w:cstheme="minorHAnsi"/>
          <w:spacing w:val="-3"/>
          <w:sz w:val="16"/>
          <w:szCs w:val="16"/>
        </w:rPr>
        <w:t xml:space="preserve"> of St. Quentin's </w:t>
      </w:r>
      <w:proofErr w:type="spellStart"/>
      <w:r w:rsidRPr="00AD3C58">
        <w:rPr>
          <w:rFonts w:cstheme="minorHAnsi"/>
          <w:i/>
          <w:spacing w:val="-3"/>
          <w:sz w:val="16"/>
          <w:szCs w:val="16"/>
        </w:rPr>
        <w:t>Gesta</w:t>
      </w:r>
      <w:proofErr w:type="spellEnd"/>
      <w:r w:rsidRPr="00AD3C58">
        <w:rPr>
          <w:rFonts w:cstheme="minorHAnsi"/>
          <w:i/>
          <w:spacing w:val="-3"/>
          <w:sz w:val="16"/>
          <w:szCs w:val="16"/>
        </w:rPr>
        <w:t xml:space="preserve"> </w:t>
      </w:r>
      <w:proofErr w:type="spellStart"/>
      <w:r w:rsidRPr="00AD3C58">
        <w:rPr>
          <w:rFonts w:cstheme="minorHAnsi"/>
          <w:i/>
          <w:spacing w:val="-3"/>
          <w:sz w:val="16"/>
          <w:szCs w:val="16"/>
        </w:rPr>
        <w:t>Normannorum</w:t>
      </w:r>
      <w:proofErr w:type="spellEnd"/>
      <w:r w:rsidRPr="00AD3C58">
        <w:rPr>
          <w:rFonts w:cstheme="minorHAnsi"/>
          <w:i/>
          <w:spacing w:val="-3"/>
          <w:sz w:val="16"/>
          <w:szCs w:val="16"/>
        </w:rPr>
        <w:t>: An English Translation</w:t>
      </w:r>
      <w:r w:rsidRPr="00AD3C58">
        <w:rPr>
          <w:rFonts w:cstheme="minorHAnsi"/>
          <w:spacing w:val="-3"/>
          <w:sz w:val="16"/>
          <w:szCs w:val="16"/>
        </w:rPr>
        <w:t xml:space="preserve">, ed. Felice </w:t>
      </w:r>
      <w:proofErr w:type="spellStart"/>
      <w:r w:rsidRPr="00AD3C58">
        <w:rPr>
          <w:rFonts w:cstheme="minorHAnsi"/>
          <w:spacing w:val="-3"/>
          <w:sz w:val="16"/>
          <w:szCs w:val="16"/>
        </w:rPr>
        <w:t>Lifshitz</w:t>
      </w:r>
      <w:proofErr w:type="spellEnd"/>
    </w:p>
    <w:p w14:paraId="26B8A6DA" w14:textId="41F8EFAA" w:rsidR="000B44EF" w:rsidRPr="00AD3C58" w:rsidRDefault="000B44EF" w:rsidP="000B44EF">
      <w:pPr>
        <w:ind w:right="170"/>
        <w:rPr>
          <w:rFonts w:cstheme="minorHAnsi"/>
          <w:spacing w:val="-3"/>
          <w:sz w:val="16"/>
          <w:szCs w:val="16"/>
        </w:rPr>
      </w:pPr>
      <w:r w:rsidRPr="00AD3C58">
        <w:rPr>
          <w:rFonts w:cstheme="minorHAnsi"/>
          <w:spacing w:val="-3"/>
          <w:sz w:val="16"/>
          <w:szCs w:val="16"/>
        </w:rPr>
        <w:t xml:space="preserve">Henry of Huntingdon, </w:t>
      </w:r>
      <w:r w:rsidRPr="00AD3C58">
        <w:rPr>
          <w:rFonts w:cstheme="minorHAnsi"/>
          <w:i/>
          <w:spacing w:val="-3"/>
          <w:sz w:val="16"/>
          <w:szCs w:val="16"/>
        </w:rPr>
        <w:t>The History of the English people, 1000-1154</w:t>
      </w:r>
      <w:r w:rsidRPr="00AD3C58">
        <w:rPr>
          <w:rFonts w:cstheme="minorHAnsi"/>
          <w:spacing w:val="-3"/>
          <w:sz w:val="16"/>
          <w:szCs w:val="16"/>
        </w:rPr>
        <w:t>, ed. Diana E. Greenway (Oxford, 2002)</w:t>
      </w:r>
    </w:p>
    <w:p w14:paraId="484F4CE5" w14:textId="56C4165B" w:rsidR="000B44EF" w:rsidRPr="00AD3C58" w:rsidRDefault="000B44EF" w:rsidP="000B44EF">
      <w:pPr>
        <w:ind w:right="170"/>
        <w:rPr>
          <w:rFonts w:cstheme="minorHAnsi"/>
          <w:spacing w:val="-3"/>
          <w:sz w:val="16"/>
          <w:szCs w:val="16"/>
        </w:rPr>
      </w:pPr>
      <w:proofErr w:type="spellStart"/>
      <w:r w:rsidRPr="00AD3C58">
        <w:rPr>
          <w:rFonts w:cstheme="minorHAnsi"/>
          <w:spacing w:val="-3"/>
          <w:sz w:val="16"/>
          <w:szCs w:val="16"/>
        </w:rPr>
        <w:t>Ordericus</w:t>
      </w:r>
      <w:proofErr w:type="spellEnd"/>
      <w:r w:rsidRPr="00AD3C58">
        <w:rPr>
          <w:rFonts w:cstheme="minorHAnsi"/>
          <w:spacing w:val="-3"/>
          <w:sz w:val="16"/>
          <w:szCs w:val="16"/>
        </w:rPr>
        <w:t xml:space="preserve"> Vitalis, </w:t>
      </w:r>
      <w:r w:rsidRPr="00AD3C58">
        <w:rPr>
          <w:rFonts w:cstheme="minorHAnsi"/>
          <w:i/>
          <w:spacing w:val="-3"/>
          <w:sz w:val="16"/>
          <w:szCs w:val="16"/>
        </w:rPr>
        <w:t xml:space="preserve">The ecclesiastical history of </w:t>
      </w:r>
      <w:proofErr w:type="spellStart"/>
      <w:r w:rsidRPr="00AD3C58">
        <w:rPr>
          <w:rFonts w:cstheme="minorHAnsi"/>
          <w:i/>
          <w:spacing w:val="-3"/>
          <w:sz w:val="16"/>
          <w:szCs w:val="16"/>
        </w:rPr>
        <w:t>Orderic</w:t>
      </w:r>
      <w:proofErr w:type="spellEnd"/>
      <w:r w:rsidRPr="00AD3C58">
        <w:rPr>
          <w:rFonts w:cstheme="minorHAnsi"/>
          <w:i/>
          <w:spacing w:val="-3"/>
          <w:sz w:val="16"/>
          <w:szCs w:val="16"/>
        </w:rPr>
        <w:t xml:space="preserve"> Vitalis</w:t>
      </w:r>
      <w:r w:rsidRPr="00AD3C58">
        <w:rPr>
          <w:rFonts w:cstheme="minorHAnsi"/>
          <w:spacing w:val="-3"/>
          <w:sz w:val="16"/>
          <w:szCs w:val="16"/>
        </w:rPr>
        <w:t>, ed. Marjorie Chibnall Vol.2, Books 3 and 4 (Oxford, 1969)</w:t>
      </w:r>
    </w:p>
    <w:p w14:paraId="02A35C0E" w14:textId="4DBC0AD8" w:rsidR="000B44EF" w:rsidRPr="00AD3C58" w:rsidRDefault="000B44EF" w:rsidP="000B44EF">
      <w:pPr>
        <w:ind w:right="170"/>
        <w:rPr>
          <w:rStyle w:val="Emphasis"/>
          <w:rFonts w:cstheme="minorHAnsi"/>
          <w:i w:val="0"/>
          <w:iCs w:val="0"/>
          <w:spacing w:val="-3"/>
          <w:sz w:val="16"/>
          <w:szCs w:val="16"/>
        </w:rPr>
      </w:pPr>
      <w:r w:rsidRPr="00AD3C58">
        <w:rPr>
          <w:rFonts w:cstheme="minorHAnsi"/>
          <w:i/>
          <w:spacing w:val="-3"/>
          <w:sz w:val="16"/>
          <w:szCs w:val="16"/>
        </w:rPr>
        <w:t xml:space="preserve">The </w:t>
      </w:r>
      <w:proofErr w:type="spellStart"/>
      <w:r w:rsidRPr="00AD3C58">
        <w:rPr>
          <w:rFonts w:cstheme="minorHAnsi"/>
          <w:i/>
          <w:spacing w:val="-3"/>
          <w:sz w:val="16"/>
          <w:szCs w:val="16"/>
        </w:rPr>
        <w:t>gesta</w:t>
      </w:r>
      <w:proofErr w:type="spellEnd"/>
      <w:r w:rsidRPr="00AD3C58">
        <w:rPr>
          <w:rFonts w:cstheme="minorHAnsi"/>
          <w:i/>
          <w:spacing w:val="-3"/>
          <w:sz w:val="16"/>
          <w:szCs w:val="16"/>
        </w:rPr>
        <w:t xml:space="preserve"> </w:t>
      </w:r>
      <w:proofErr w:type="spellStart"/>
      <w:r w:rsidRPr="00AD3C58">
        <w:rPr>
          <w:rFonts w:cstheme="minorHAnsi"/>
          <w:i/>
          <w:spacing w:val="-3"/>
          <w:sz w:val="16"/>
          <w:szCs w:val="16"/>
        </w:rPr>
        <w:t>Normannorum</w:t>
      </w:r>
      <w:proofErr w:type="spellEnd"/>
      <w:r w:rsidRPr="00AD3C58">
        <w:rPr>
          <w:rFonts w:cstheme="minorHAnsi"/>
          <w:i/>
          <w:spacing w:val="-3"/>
          <w:sz w:val="16"/>
          <w:szCs w:val="16"/>
        </w:rPr>
        <w:t xml:space="preserve"> </w:t>
      </w:r>
      <w:proofErr w:type="spellStart"/>
      <w:r w:rsidRPr="00AD3C58">
        <w:rPr>
          <w:rFonts w:cstheme="minorHAnsi"/>
          <w:i/>
          <w:spacing w:val="-3"/>
          <w:sz w:val="16"/>
          <w:szCs w:val="16"/>
        </w:rPr>
        <w:t>ducum</w:t>
      </w:r>
      <w:proofErr w:type="spellEnd"/>
      <w:r w:rsidRPr="00AD3C58">
        <w:rPr>
          <w:rFonts w:cstheme="minorHAnsi"/>
          <w:i/>
          <w:spacing w:val="-3"/>
          <w:sz w:val="16"/>
          <w:szCs w:val="16"/>
        </w:rPr>
        <w:t xml:space="preserve"> of William of </w:t>
      </w:r>
      <w:proofErr w:type="spellStart"/>
      <w:r w:rsidRPr="00AD3C58">
        <w:rPr>
          <w:rFonts w:cstheme="minorHAnsi"/>
          <w:i/>
          <w:spacing w:val="-3"/>
          <w:sz w:val="16"/>
          <w:szCs w:val="16"/>
        </w:rPr>
        <w:t>Jumièges</w:t>
      </w:r>
      <w:proofErr w:type="spellEnd"/>
      <w:r w:rsidRPr="00AD3C58">
        <w:rPr>
          <w:rFonts w:cstheme="minorHAnsi"/>
          <w:i/>
          <w:spacing w:val="-3"/>
          <w:sz w:val="16"/>
          <w:szCs w:val="16"/>
        </w:rPr>
        <w:t xml:space="preserve">, </w:t>
      </w:r>
      <w:proofErr w:type="spellStart"/>
      <w:r w:rsidRPr="00AD3C58">
        <w:rPr>
          <w:rFonts w:cstheme="minorHAnsi"/>
          <w:i/>
          <w:spacing w:val="-3"/>
          <w:sz w:val="16"/>
          <w:szCs w:val="16"/>
        </w:rPr>
        <w:t>Orderic</w:t>
      </w:r>
      <w:proofErr w:type="spellEnd"/>
      <w:r w:rsidRPr="00AD3C58">
        <w:rPr>
          <w:rFonts w:cstheme="minorHAnsi"/>
          <w:i/>
          <w:spacing w:val="-3"/>
          <w:sz w:val="16"/>
          <w:szCs w:val="16"/>
        </w:rPr>
        <w:t xml:space="preserve"> Vitalis, and Robert of </w:t>
      </w:r>
      <w:proofErr w:type="spellStart"/>
      <w:r w:rsidRPr="00AD3C58">
        <w:rPr>
          <w:rFonts w:cstheme="minorHAnsi"/>
          <w:i/>
          <w:spacing w:val="-3"/>
          <w:sz w:val="16"/>
          <w:szCs w:val="16"/>
        </w:rPr>
        <w:t>Torigni</w:t>
      </w:r>
      <w:proofErr w:type="spellEnd"/>
      <w:r w:rsidRPr="00AD3C58">
        <w:rPr>
          <w:rFonts w:cstheme="minorHAnsi"/>
          <w:spacing w:val="-3"/>
          <w:sz w:val="16"/>
          <w:szCs w:val="16"/>
        </w:rPr>
        <w:t>, vols. 1 and 2, Books V-VIII (Oxford, 1992-5)</w:t>
      </w:r>
    </w:p>
    <w:p w14:paraId="74AB0F06" w14:textId="426592C3" w:rsidR="000B44EF" w:rsidRPr="00AD3C58" w:rsidRDefault="000B44EF" w:rsidP="000B44EF">
      <w:pPr>
        <w:ind w:right="170"/>
        <w:rPr>
          <w:rFonts w:cstheme="minorHAnsi"/>
          <w:spacing w:val="-3"/>
          <w:sz w:val="16"/>
          <w:szCs w:val="16"/>
        </w:rPr>
      </w:pPr>
      <w:r w:rsidRPr="00AD3C58">
        <w:rPr>
          <w:rStyle w:val="Emphasis"/>
          <w:rFonts w:cstheme="minorHAnsi"/>
          <w:sz w:val="16"/>
          <w:szCs w:val="16"/>
          <w:bdr w:val="none" w:sz="0" w:space="0" w:color="auto" w:frame="1"/>
          <w:shd w:val="clear" w:color="auto" w:fill="FFFFFF"/>
        </w:rPr>
        <w:t>The History of the Normans</w:t>
      </w:r>
      <w:r w:rsidRPr="00AD3C58">
        <w:rPr>
          <w:rStyle w:val="Emphasis"/>
          <w:rFonts w:cstheme="minorHAnsi"/>
          <w:i w:val="0"/>
          <w:sz w:val="16"/>
          <w:szCs w:val="16"/>
          <w:bdr w:val="none" w:sz="0" w:space="0" w:color="auto" w:frame="1"/>
          <w:shd w:val="clear" w:color="auto" w:fill="FFFFFF"/>
        </w:rPr>
        <w:t xml:space="preserve">, by </w:t>
      </w:r>
      <w:proofErr w:type="spellStart"/>
      <w:r w:rsidRPr="00AD3C58">
        <w:rPr>
          <w:rStyle w:val="Emphasis"/>
          <w:rFonts w:cstheme="minorHAnsi"/>
          <w:i w:val="0"/>
          <w:sz w:val="16"/>
          <w:szCs w:val="16"/>
          <w:bdr w:val="none" w:sz="0" w:space="0" w:color="auto" w:frame="1"/>
          <w:shd w:val="clear" w:color="auto" w:fill="FFFFFF"/>
        </w:rPr>
        <w:t>Amatus</w:t>
      </w:r>
      <w:proofErr w:type="spellEnd"/>
      <w:r w:rsidRPr="00AD3C58">
        <w:rPr>
          <w:rStyle w:val="Emphasis"/>
          <w:rFonts w:cstheme="minorHAnsi"/>
          <w:i w:val="0"/>
          <w:sz w:val="16"/>
          <w:szCs w:val="16"/>
          <w:bdr w:val="none" w:sz="0" w:space="0" w:color="auto" w:frame="1"/>
          <w:shd w:val="clear" w:color="auto" w:fill="FFFFFF"/>
        </w:rPr>
        <w:t xml:space="preserve"> of </w:t>
      </w:r>
      <w:proofErr w:type="spellStart"/>
      <w:r w:rsidRPr="00AD3C58">
        <w:rPr>
          <w:rStyle w:val="Emphasis"/>
          <w:rFonts w:cstheme="minorHAnsi"/>
          <w:i w:val="0"/>
          <w:sz w:val="16"/>
          <w:szCs w:val="16"/>
          <w:bdr w:val="none" w:sz="0" w:space="0" w:color="auto" w:frame="1"/>
          <w:shd w:val="clear" w:color="auto" w:fill="FFFFFF"/>
        </w:rPr>
        <w:t>Montecassino</w:t>
      </w:r>
      <w:proofErr w:type="spellEnd"/>
      <w:r w:rsidRPr="00AD3C58">
        <w:rPr>
          <w:rStyle w:val="Emphasis"/>
          <w:rFonts w:cstheme="minorHAnsi"/>
          <w:color w:val="5C5B56"/>
          <w:sz w:val="16"/>
          <w:szCs w:val="16"/>
          <w:bdr w:val="none" w:sz="0" w:space="0" w:color="auto" w:frame="1"/>
          <w:shd w:val="clear" w:color="auto" w:fill="FFFFFF"/>
        </w:rPr>
        <w:t xml:space="preserve"> </w:t>
      </w:r>
    </w:p>
    <w:p w14:paraId="616C3F28" w14:textId="77777777" w:rsidR="000B44EF" w:rsidRPr="00AD3C58" w:rsidRDefault="000B44EF" w:rsidP="000B44EF">
      <w:pPr>
        <w:ind w:right="170"/>
        <w:rPr>
          <w:rFonts w:cstheme="minorHAnsi"/>
          <w:spacing w:val="-3"/>
          <w:sz w:val="16"/>
          <w:szCs w:val="16"/>
        </w:rPr>
      </w:pPr>
      <w:r w:rsidRPr="00AD3C58">
        <w:rPr>
          <w:rFonts w:cstheme="minorHAnsi"/>
          <w:spacing w:val="-3"/>
          <w:sz w:val="16"/>
          <w:szCs w:val="16"/>
        </w:rPr>
        <w:t xml:space="preserve">William of Poitiers, </w:t>
      </w:r>
      <w:r w:rsidRPr="00AD3C58">
        <w:rPr>
          <w:rFonts w:cstheme="minorHAnsi"/>
          <w:i/>
          <w:spacing w:val="-3"/>
          <w:sz w:val="16"/>
          <w:szCs w:val="16"/>
        </w:rPr>
        <w:t xml:space="preserve">The </w:t>
      </w:r>
      <w:proofErr w:type="spellStart"/>
      <w:r w:rsidRPr="00AD3C58">
        <w:rPr>
          <w:rFonts w:cstheme="minorHAnsi"/>
          <w:i/>
          <w:spacing w:val="-3"/>
          <w:sz w:val="16"/>
          <w:szCs w:val="16"/>
        </w:rPr>
        <w:t>Gesta</w:t>
      </w:r>
      <w:proofErr w:type="spellEnd"/>
      <w:r w:rsidRPr="00AD3C58">
        <w:rPr>
          <w:rFonts w:cstheme="minorHAnsi"/>
          <w:i/>
          <w:spacing w:val="-3"/>
          <w:sz w:val="16"/>
          <w:szCs w:val="16"/>
        </w:rPr>
        <w:t xml:space="preserve"> </w:t>
      </w:r>
      <w:proofErr w:type="spellStart"/>
      <w:r w:rsidRPr="00AD3C58">
        <w:rPr>
          <w:rFonts w:cstheme="minorHAnsi"/>
          <w:i/>
          <w:spacing w:val="-3"/>
          <w:sz w:val="16"/>
          <w:szCs w:val="16"/>
        </w:rPr>
        <w:t>Guillelmi</w:t>
      </w:r>
      <w:proofErr w:type="spellEnd"/>
      <w:r w:rsidRPr="00AD3C58">
        <w:rPr>
          <w:rFonts w:cstheme="minorHAnsi"/>
          <w:spacing w:val="-3"/>
          <w:sz w:val="16"/>
          <w:szCs w:val="16"/>
        </w:rPr>
        <w:t>, eds. R H C Davis and Marjorie Chibnall (Oxford, 1998)</w:t>
      </w:r>
    </w:p>
    <w:p w14:paraId="10BFC39E" w14:textId="77777777" w:rsidR="000B44EF" w:rsidRPr="00AD3C58" w:rsidRDefault="000B44EF" w:rsidP="000B44EF">
      <w:pPr>
        <w:ind w:right="170"/>
        <w:rPr>
          <w:rFonts w:cstheme="minorHAnsi"/>
          <w:spacing w:val="-3"/>
          <w:sz w:val="16"/>
          <w:szCs w:val="16"/>
        </w:rPr>
      </w:pPr>
    </w:p>
    <w:p w14:paraId="081B2212" w14:textId="611CBCAD" w:rsidR="000B44EF" w:rsidRPr="00AD3C58" w:rsidRDefault="000B44EF" w:rsidP="002B797B">
      <w:pPr>
        <w:rPr>
          <w:rFonts w:cstheme="minorHAnsi"/>
          <w:sz w:val="16"/>
          <w:szCs w:val="16"/>
          <w:u w:val="single"/>
        </w:rPr>
      </w:pPr>
      <w:r w:rsidRPr="00AD3C58">
        <w:rPr>
          <w:rFonts w:cstheme="minorHAnsi"/>
          <w:sz w:val="16"/>
          <w:szCs w:val="16"/>
          <w:u w:val="single"/>
        </w:rPr>
        <w:t>Secondary sources</w:t>
      </w:r>
    </w:p>
    <w:p w14:paraId="339ADDFA" w14:textId="0AE2FB1C" w:rsidR="00D03614" w:rsidRPr="00AD3C58" w:rsidRDefault="00D03614" w:rsidP="00D03614">
      <w:pPr>
        <w:spacing w:after="0" w:line="240" w:lineRule="auto"/>
        <w:rPr>
          <w:rFonts w:eastAsia="Times New Roman" w:cstheme="minorHAnsi"/>
          <w:sz w:val="16"/>
          <w:szCs w:val="16"/>
        </w:rPr>
      </w:pPr>
      <w:proofErr w:type="spellStart"/>
      <w:r w:rsidRPr="00AD3C58">
        <w:rPr>
          <w:rFonts w:eastAsia="Times New Roman" w:cstheme="minorHAnsi"/>
          <w:spacing w:val="-3"/>
          <w:sz w:val="16"/>
          <w:szCs w:val="16"/>
        </w:rPr>
        <w:t>Albu</w:t>
      </w:r>
      <w:proofErr w:type="spellEnd"/>
      <w:r w:rsidRPr="00AD3C58">
        <w:rPr>
          <w:rFonts w:eastAsia="Times New Roman" w:cstheme="minorHAnsi"/>
          <w:spacing w:val="-3"/>
          <w:sz w:val="16"/>
          <w:szCs w:val="16"/>
        </w:rPr>
        <w:t xml:space="preserve">, Emily, </w:t>
      </w:r>
      <w:r w:rsidRPr="00AD3C58">
        <w:rPr>
          <w:rFonts w:eastAsia="Times New Roman" w:cstheme="minorHAnsi"/>
          <w:i/>
          <w:spacing w:val="-3"/>
          <w:sz w:val="16"/>
          <w:szCs w:val="16"/>
        </w:rPr>
        <w:t>The Normans in their Histories: propaganda, myth, and subversion</w:t>
      </w:r>
      <w:r w:rsidRPr="00AD3C58">
        <w:rPr>
          <w:rFonts w:eastAsia="Times New Roman" w:cstheme="minorHAnsi"/>
          <w:spacing w:val="-3"/>
          <w:sz w:val="16"/>
          <w:szCs w:val="16"/>
        </w:rPr>
        <w:t xml:space="preserve"> (Woodbridge, 2001)</w:t>
      </w:r>
      <w:r w:rsidRPr="00AD3C58">
        <w:rPr>
          <w:rFonts w:eastAsia="Times New Roman" w:cstheme="minorHAnsi"/>
          <w:sz w:val="16"/>
          <w:szCs w:val="16"/>
        </w:rPr>
        <w:t xml:space="preserve"> </w:t>
      </w:r>
    </w:p>
    <w:p w14:paraId="57428F2B" w14:textId="77777777" w:rsidR="00D03614" w:rsidRPr="00AD3C58" w:rsidRDefault="00D03614" w:rsidP="00D03614">
      <w:pPr>
        <w:spacing w:after="0" w:line="240" w:lineRule="auto"/>
        <w:rPr>
          <w:rFonts w:eastAsia="Times New Roman" w:cstheme="minorHAnsi"/>
          <w:sz w:val="16"/>
          <w:szCs w:val="16"/>
        </w:rPr>
      </w:pPr>
    </w:p>
    <w:p w14:paraId="2F7B4C2C" w14:textId="77777777" w:rsidR="00D03614" w:rsidRPr="00AD3C58" w:rsidRDefault="00D03614" w:rsidP="00D03614">
      <w:pPr>
        <w:spacing w:after="0" w:line="240" w:lineRule="auto"/>
        <w:rPr>
          <w:rFonts w:eastAsia="Times New Roman" w:cstheme="minorHAnsi"/>
          <w:sz w:val="16"/>
          <w:szCs w:val="16"/>
        </w:rPr>
      </w:pPr>
      <w:r w:rsidRPr="00AD3C58">
        <w:rPr>
          <w:rFonts w:eastAsia="Times New Roman" w:cstheme="minorHAnsi"/>
          <w:sz w:val="16"/>
          <w:szCs w:val="16"/>
        </w:rPr>
        <w:t xml:space="preserve">Bates, David, ‘1066: does the date still matter?’, </w:t>
      </w:r>
      <w:r w:rsidRPr="00AD3C58">
        <w:rPr>
          <w:rFonts w:eastAsia="Times New Roman" w:cstheme="minorHAnsi"/>
          <w:i/>
          <w:sz w:val="16"/>
          <w:szCs w:val="16"/>
        </w:rPr>
        <w:t>Historical Research</w:t>
      </w:r>
      <w:r w:rsidRPr="00AD3C58">
        <w:rPr>
          <w:rFonts w:eastAsia="Times New Roman" w:cstheme="minorHAnsi"/>
          <w:sz w:val="16"/>
          <w:szCs w:val="16"/>
        </w:rPr>
        <w:t>, 78 (2005), 443-64</w:t>
      </w:r>
    </w:p>
    <w:p w14:paraId="28260EE0" w14:textId="77777777" w:rsidR="00D03614" w:rsidRPr="00AD3C58" w:rsidRDefault="00D03614" w:rsidP="00D03614">
      <w:pPr>
        <w:spacing w:after="0" w:line="240" w:lineRule="auto"/>
        <w:rPr>
          <w:rFonts w:eastAsia="Times New Roman" w:cstheme="minorHAnsi"/>
          <w:sz w:val="16"/>
          <w:szCs w:val="16"/>
        </w:rPr>
      </w:pPr>
    </w:p>
    <w:p w14:paraId="57156783" w14:textId="1592C6B5" w:rsidR="00D03614" w:rsidRPr="00AD3C58" w:rsidRDefault="00D03614" w:rsidP="00D03614">
      <w:pPr>
        <w:spacing w:after="0" w:line="240" w:lineRule="auto"/>
        <w:rPr>
          <w:rFonts w:eastAsia="Times New Roman" w:cstheme="minorHAnsi"/>
          <w:sz w:val="16"/>
          <w:szCs w:val="16"/>
        </w:rPr>
      </w:pPr>
      <w:r w:rsidRPr="00AD3C58">
        <w:rPr>
          <w:rFonts w:eastAsia="Times New Roman" w:cstheme="minorHAnsi"/>
          <w:sz w:val="16"/>
          <w:szCs w:val="16"/>
        </w:rPr>
        <w:t xml:space="preserve">Bates, David, </w:t>
      </w:r>
      <w:bookmarkStart w:id="3" w:name="_Hlk505440093"/>
      <w:r w:rsidRPr="00AD3C58">
        <w:rPr>
          <w:rFonts w:eastAsia="Times New Roman" w:cstheme="minorHAnsi"/>
          <w:i/>
          <w:sz w:val="16"/>
          <w:szCs w:val="16"/>
        </w:rPr>
        <w:t>The Normans and Empire</w:t>
      </w:r>
      <w:bookmarkEnd w:id="3"/>
      <w:r w:rsidRPr="00AD3C58">
        <w:rPr>
          <w:rFonts w:eastAsia="Times New Roman" w:cstheme="minorHAnsi"/>
          <w:sz w:val="16"/>
          <w:szCs w:val="16"/>
        </w:rPr>
        <w:t xml:space="preserve">, (Oxford, 2013) </w:t>
      </w:r>
    </w:p>
    <w:p w14:paraId="6B30F902" w14:textId="77777777" w:rsidR="00D03614" w:rsidRPr="00AD3C58" w:rsidRDefault="00D03614" w:rsidP="00D03614">
      <w:pPr>
        <w:spacing w:after="0" w:line="240" w:lineRule="auto"/>
        <w:rPr>
          <w:rFonts w:eastAsia="Times New Roman" w:cstheme="minorHAnsi"/>
          <w:sz w:val="16"/>
          <w:szCs w:val="16"/>
        </w:rPr>
      </w:pPr>
    </w:p>
    <w:p w14:paraId="50CDBB8F" w14:textId="1948854A" w:rsidR="00D03614" w:rsidRPr="00AD3C58" w:rsidRDefault="00D03614" w:rsidP="00D03614">
      <w:pPr>
        <w:spacing w:after="0" w:line="240" w:lineRule="auto"/>
        <w:rPr>
          <w:rFonts w:eastAsia="Times New Roman" w:cstheme="minorHAnsi"/>
          <w:sz w:val="16"/>
          <w:szCs w:val="16"/>
        </w:rPr>
      </w:pPr>
      <w:r w:rsidRPr="00AD3C58">
        <w:rPr>
          <w:rFonts w:eastAsia="Times New Roman" w:cstheme="minorHAnsi"/>
          <w:sz w:val="16"/>
          <w:szCs w:val="16"/>
        </w:rPr>
        <w:t xml:space="preserve">Baxter Wolf, Kenneth, </w:t>
      </w:r>
      <w:r w:rsidRPr="00AD3C58">
        <w:rPr>
          <w:rFonts w:eastAsia="Times New Roman" w:cstheme="minorHAnsi"/>
          <w:i/>
          <w:sz w:val="16"/>
          <w:szCs w:val="16"/>
        </w:rPr>
        <w:t>Making History: The Normans and their Historians in Eleventh-Century Italy</w:t>
      </w:r>
      <w:r w:rsidRPr="00AD3C58">
        <w:rPr>
          <w:rFonts w:eastAsia="Times New Roman" w:cstheme="minorHAnsi"/>
          <w:sz w:val="16"/>
          <w:szCs w:val="16"/>
        </w:rPr>
        <w:t xml:space="preserve"> (Pennsylvania, 1995) </w:t>
      </w:r>
    </w:p>
    <w:p w14:paraId="7FA14446" w14:textId="77777777" w:rsidR="00D03614" w:rsidRPr="00AD3C58" w:rsidRDefault="00D03614" w:rsidP="00D03614">
      <w:pPr>
        <w:spacing w:after="0" w:line="240" w:lineRule="auto"/>
        <w:rPr>
          <w:rFonts w:eastAsia="Times New Roman" w:cstheme="minorHAnsi"/>
          <w:sz w:val="16"/>
          <w:szCs w:val="16"/>
        </w:rPr>
      </w:pPr>
    </w:p>
    <w:p w14:paraId="394D41C9" w14:textId="76501C83" w:rsidR="00D03614" w:rsidRPr="00AD3C58" w:rsidRDefault="00D03614" w:rsidP="00E035BC">
      <w:pPr>
        <w:spacing w:after="0" w:line="240" w:lineRule="auto"/>
        <w:rPr>
          <w:rFonts w:eastAsia="Times New Roman" w:cstheme="minorHAnsi"/>
          <w:sz w:val="16"/>
          <w:szCs w:val="16"/>
        </w:rPr>
      </w:pPr>
      <w:r w:rsidRPr="00AD3C58">
        <w:rPr>
          <w:rFonts w:eastAsia="Times New Roman" w:cstheme="minorHAnsi"/>
          <w:sz w:val="16"/>
          <w:szCs w:val="16"/>
        </w:rPr>
        <w:t xml:space="preserve">Brown, R. A., </w:t>
      </w:r>
      <w:r w:rsidRPr="00AD3C58">
        <w:rPr>
          <w:rFonts w:eastAsia="Times New Roman" w:cstheme="minorHAnsi"/>
          <w:i/>
          <w:sz w:val="16"/>
          <w:szCs w:val="16"/>
        </w:rPr>
        <w:t>The Normans</w:t>
      </w:r>
      <w:r w:rsidRPr="00AD3C58">
        <w:rPr>
          <w:rFonts w:eastAsia="Times New Roman" w:cstheme="minorHAnsi"/>
          <w:sz w:val="16"/>
          <w:szCs w:val="16"/>
        </w:rPr>
        <w:t xml:space="preserve"> (1984)</w:t>
      </w:r>
      <w:r w:rsidR="004221D7" w:rsidRPr="00AD3C58">
        <w:rPr>
          <w:rFonts w:eastAsia="Times New Roman" w:cstheme="minorHAnsi"/>
          <w:sz w:val="16"/>
          <w:szCs w:val="16"/>
        </w:rPr>
        <w:t xml:space="preserve"> </w:t>
      </w:r>
    </w:p>
    <w:p w14:paraId="63E191F6" w14:textId="77777777" w:rsidR="00D03614" w:rsidRPr="00AD3C58" w:rsidRDefault="00D03614" w:rsidP="00D03614">
      <w:pPr>
        <w:spacing w:after="0" w:line="240" w:lineRule="auto"/>
        <w:rPr>
          <w:rFonts w:eastAsia="Times New Roman" w:cstheme="minorHAnsi"/>
          <w:sz w:val="16"/>
          <w:szCs w:val="16"/>
        </w:rPr>
      </w:pPr>
    </w:p>
    <w:p w14:paraId="5F9F6C1F" w14:textId="0C797B2B" w:rsidR="00D03614" w:rsidRPr="00AD3C58" w:rsidRDefault="00D03614" w:rsidP="00D03614">
      <w:pPr>
        <w:spacing w:after="0" w:line="240" w:lineRule="auto"/>
        <w:rPr>
          <w:rFonts w:eastAsia="Times New Roman" w:cstheme="minorHAnsi"/>
          <w:sz w:val="16"/>
          <w:szCs w:val="16"/>
        </w:rPr>
      </w:pPr>
      <w:r w:rsidRPr="00AD3C58">
        <w:rPr>
          <w:rFonts w:eastAsia="Times New Roman" w:cstheme="minorHAnsi"/>
          <w:sz w:val="16"/>
          <w:szCs w:val="16"/>
        </w:rPr>
        <w:t xml:space="preserve">Chibnall, Marjorie, </w:t>
      </w:r>
      <w:r w:rsidRPr="00AD3C58">
        <w:rPr>
          <w:rFonts w:eastAsia="Times New Roman" w:cstheme="minorHAnsi"/>
          <w:i/>
          <w:sz w:val="16"/>
          <w:szCs w:val="16"/>
        </w:rPr>
        <w:t xml:space="preserve">The world of </w:t>
      </w:r>
      <w:proofErr w:type="spellStart"/>
      <w:r w:rsidRPr="00AD3C58">
        <w:rPr>
          <w:rFonts w:eastAsia="Times New Roman" w:cstheme="minorHAnsi"/>
          <w:i/>
          <w:sz w:val="16"/>
          <w:szCs w:val="16"/>
        </w:rPr>
        <w:t>Orderic</w:t>
      </w:r>
      <w:proofErr w:type="spellEnd"/>
      <w:r w:rsidRPr="00AD3C58">
        <w:rPr>
          <w:rFonts w:eastAsia="Times New Roman" w:cstheme="minorHAnsi"/>
          <w:i/>
          <w:sz w:val="16"/>
          <w:szCs w:val="16"/>
        </w:rPr>
        <w:t xml:space="preserve"> Vitalis: Norman monks and Norman knights</w:t>
      </w:r>
      <w:r w:rsidRPr="00AD3C58">
        <w:rPr>
          <w:rFonts w:eastAsia="Times New Roman" w:cstheme="minorHAnsi"/>
          <w:sz w:val="16"/>
          <w:szCs w:val="16"/>
        </w:rPr>
        <w:t xml:space="preserve"> (Rochester, NY, 1996)</w:t>
      </w:r>
    </w:p>
    <w:p w14:paraId="6524DAFE" w14:textId="77777777" w:rsidR="00D03614" w:rsidRPr="00AD3C58" w:rsidRDefault="00D03614" w:rsidP="00D03614">
      <w:pPr>
        <w:spacing w:after="0" w:line="240" w:lineRule="auto"/>
        <w:rPr>
          <w:rFonts w:eastAsia="Times New Roman" w:cstheme="minorHAnsi"/>
          <w:sz w:val="16"/>
          <w:szCs w:val="16"/>
        </w:rPr>
      </w:pPr>
    </w:p>
    <w:p w14:paraId="4EAEBA76" w14:textId="41D7BCF9" w:rsidR="00D03614" w:rsidRPr="00AD3C58" w:rsidRDefault="00D03614" w:rsidP="00D03614">
      <w:pPr>
        <w:spacing w:after="0" w:line="240" w:lineRule="auto"/>
        <w:rPr>
          <w:rFonts w:eastAsia="Times New Roman" w:cstheme="minorHAnsi"/>
          <w:sz w:val="16"/>
          <w:szCs w:val="16"/>
        </w:rPr>
      </w:pPr>
      <w:r w:rsidRPr="00AD3C58">
        <w:rPr>
          <w:rFonts w:eastAsia="Times New Roman" w:cstheme="minorHAnsi"/>
          <w:sz w:val="16"/>
          <w:szCs w:val="16"/>
        </w:rPr>
        <w:t xml:space="preserve">Davies, R. H. C, </w:t>
      </w:r>
      <w:r w:rsidRPr="00AD3C58">
        <w:rPr>
          <w:rFonts w:eastAsia="Times New Roman" w:cstheme="minorHAnsi"/>
          <w:i/>
          <w:sz w:val="16"/>
          <w:szCs w:val="16"/>
        </w:rPr>
        <w:t>The Normans and their Myth</w:t>
      </w:r>
      <w:r w:rsidRPr="00AD3C58">
        <w:rPr>
          <w:rFonts w:eastAsia="Times New Roman" w:cstheme="minorHAnsi"/>
          <w:sz w:val="16"/>
          <w:szCs w:val="16"/>
        </w:rPr>
        <w:t xml:space="preserve"> (London, 1976)</w:t>
      </w:r>
    </w:p>
    <w:p w14:paraId="16E4F143" w14:textId="77777777" w:rsidR="00D03614" w:rsidRPr="00AD3C58" w:rsidRDefault="00D03614" w:rsidP="00D03614">
      <w:pPr>
        <w:spacing w:after="0" w:line="240" w:lineRule="auto"/>
        <w:ind w:right="170"/>
        <w:rPr>
          <w:rFonts w:eastAsia="Times New Roman" w:cstheme="minorHAnsi"/>
          <w:sz w:val="16"/>
          <w:szCs w:val="16"/>
        </w:rPr>
      </w:pPr>
    </w:p>
    <w:p w14:paraId="7C6AC285" w14:textId="77777777" w:rsidR="000B44EF" w:rsidRPr="00AD3C58" w:rsidRDefault="000B44EF" w:rsidP="000B44EF">
      <w:pPr>
        <w:rPr>
          <w:rFonts w:cstheme="minorHAnsi"/>
          <w:sz w:val="16"/>
          <w:szCs w:val="16"/>
        </w:rPr>
      </w:pPr>
      <w:proofErr w:type="spellStart"/>
      <w:r w:rsidRPr="00AD3C58">
        <w:rPr>
          <w:rFonts w:cstheme="minorHAnsi"/>
          <w:color w:val="000000"/>
          <w:sz w:val="16"/>
          <w:szCs w:val="16"/>
        </w:rPr>
        <w:t>Krey</w:t>
      </w:r>
      <w:proofErr w:type="spellEnd"/>
      <w:r w:rsidRPr="00AD3C58">
        <w:rPr>
          <w:rFonts w:cstheme="minorHAnsi"/>
          <w:color w:val="000000"/>
          <w:sz w:val="16"/>
          <w:szCs w:val="16"/>
        </w:rPr>
        <w:t>, A. </w:t>
      </w:r>
      <w:r w:rsidRPr="00AD3C58">
        <w:rPr>
          <w:rFonts w:cstheme="minorHAnsi"/>
          <w:i/>
          <w:iCs/>
          <w:color w:val="000000"/>
          <w:sz w:val="16"/>
          <w:szCs w:val="16"/>
        </w:rPr>
        <w:t>The First Crusade: The Accounts of Eyewitnesses and Participants</w:t>
      </w:r>
      <w:r w:rsidRPr="00AD3C58">
        <w:rPr>
          <w:rFonts w:cstheme="minorHAnsi"/>
          <w:color w:val="000000"/>
          <w:sz w:val="16"/>
          <w:szCs w:val="16"/>
        </w:rPr>
        <w:t xml:space="preserve">, (Princeton: 1921)  </w:t>
      </w:r>
    </w:p>
    <w:p w14:paraId="225E97C3" w14:textId="3ECB35F7" w:rsidR="00D03614" w:rsidRPr="00AD3C58" w:rsidRDefault="00D03614" w:rsidP="00D03614">
      <w:pPr>
        <w:spacing w:after="0" w:line="240" w:lineRule="auto"/>
        <w:rPr>
          <w:rFonts w:eastAsia="Times New Roman" w:cstheme="minorHAnsi"/>
          <w:sz w:val="16"/>
          <w:szCs w:val="16"/>
        </w:rPr>
      </w:pPr>
    </w:p>
    <w:p w14:paraId="21F0DA46" w14:textId="77777777" w:rsidR="00D03614" w:rsidRPr="00AD3C58" w:rsidRDefault="00D03614" w:rsidP="00D03614">
      <w:pPr>
        <w:spacing w:after="0" w:line="240" w:lineRule="auto"/>
        <w:rPr>
          <w:rFonts w:eastAsia="Times New Roman" w:cstheme="minorHAnsi"/>
          <w:sz w:val="16"/>
          <w:szCs w:val="16"/>
        </w:rPr>
      </w:pPr>
      <w:r w:rsidRPr="00AD3C58">
        <w:rPr>
          <w:rFonts w:eastAsia="Times New Roman" w:cstheme="minorHAnsi"/>
          <w:sz w:val="16"/>
          <w:szCs w:val="16"/>
        </w:rPr>
        <w:t xml:space="preserve">Lindsay, J, </w:t>
      </w:r>
      <w:r w:rsidRPr="00AD3C58">
        <w:rPr>
          <w:rFonts w:eastAsia="Times New Roman" w:cstheme="minorHAnsi"/>
          <w:i/>
          <w:sz w:val="16"/>
          <w:szCs w:val="16"/>
        </w:rPr>
        <w:t>The Normans and their World</w:t>
      </w:r>
      <w:r w:rsidRPr="00AD3C58">
        <w:rPr>
          <w:rFonts w:eastAsia="Times New Roman" w:cstheme="minorHAnsi"/>
          <w:sz w:val="16"/>
          <w:szCs w:val="16"/>
        </w:rPr>
        <w:t xml:space="preserve"> (1973)</w:t>
      </w:r>
    </w:p>
    <w:p w14:paraId="32C21653" w14:textId="77777777" w:rsidR="00D03614" w:rsidRPr="00AD3C58" w:rsidRDefault="00D03614" w:rsidP="00D03614">
      <w:pPr>
        <w:spacing w:after="0" w:line="240" w:lineRule="auto"/>
        <w:rPr>
          <w:rFonts w:eastAsia="Times New Roman" w:cstheme="minorHAnsi"/>
          <w:sz w:val="16"/>
          <w:szCs w:val="16"/>
        </w:rPr>
      </w:pPr>
    </w:p>
    <w:p w14:paraId="5ADF364F" w14:textId="5E9C85E8" w:rsidR="00D03614" w:rsidRPr="00AD3C58" w:rsidRDefault="00D03614" w:rsidP="00D03614">
      <w:pPr>
        <w:spacing w:after="0" w:line="240" w:lineRule="auto"/>
        <w:rPr>
          <w:rFonts w:eastAsia="Times New Roman" w:cstheme="minorHAnsi"/>
          <w:sz w:val="16"/>
          <w:szCs w:val="16"/>
        </w:rPr>
      </w:pPr>
      <w:r w:rsidRPr="00AD3C58">
        <w:rPr>
          <w:rFonts w:eastAsia="Times New Roman" w:cstheme="minorHAnsi"/>
          <w:sz w:val="16"/>
          <w:szCs w:val="16"/>
        </w:rPr>
        <w:t>Otter,</w:t>
      </w:r>
      <w:r w:rsidR="000B44EF" w:rsidRPr="00AD3C58">
        <w:rPr>
          <w:rFonts w:eastAsia="Times New Roman" w:cstheme="minorHAnsi"/>
          <w:sz w:val="16"/>
          <w:szCs w:val="16"/>
        </w:rPr>
        <w:t xml:space="preserve"> M</w:t>
      </w:r>
      <w:r w:rsidRPr="00AD3C58">
        <w:rPr>
          <w:rFonts w:eastAsia="Times New Roman" w:cstheme="minorHAnsi"/>
          <w:sz w:val="16"/>
          <w:szCs w:val="16"/>
        </w:rPr>
        <w:t xml:space="preserve">, ‘1066: the moment of transition in two narratives of the Norman Conquest’, </w:t>
      </w:r>
      <w:r w:rsidRPr="00AD3C58">
        <w:rPr>
          <w:rFonts w:eastAsia="Times New Roman" w:cstheme="minorHAnsi"/>
          <w:i/>
          <w:sz w:val="16"/>
          <w:szCs w:val="16"/>
        </w:rPr>
        <w:t>Speculum</w:t>
      </w:r>
      <w:r w:rsidRPr="00AD3C58">
        <w:rPr>
          <w:rFonts w:eastAsia="Times New Roman" w:cstheme="minorHAnsi"/>
          <w:sz w:val="16"/>
          <w:szCs w:val="16"/>
        </w:rPr>
        <w:t>, 74 (1999), 565-86</w:t>
      </w:r>
    </w:p>
    <w:p w14:paraId="7583A1E6" w14:textId="77777777" w:rsidR="00AD3C58" w:rsidRDefault="00AD3C58" w:rsidP="002B797B">
      <w:pPr>
        <w:rPr>
          <w:sz w:val="16"/>
          <w:szCs w:val="16"/>
        </w:rPr>
      </w:pPr>
    </w:p>
    <w:p w14:paraId="23C70974" w14:textId="37F96425" w:rsidR="002B797B" w:rsidRDefault="00AD3C58" w:rsidP="002B797B">
      <w:pPr>
        <w:rPr>
          <w:sz w:val="16"/>
          <w:szCs w:val="16"/>
        </w:rPr>
      </w:pPr>
      <w:r w:rsidRPr="00AD3C58">
        <w:rPr>
          <w:sz w:val="16"/>
          <w:szCs w:val="16"/>
        </w:rPr>
        <w:t xml:space="preserve">Pounds, N., </w:t>
      </w:r>
      <w:r w:rsidRPr="00AD3C58">
        <w:rPr>
          <w:i/>
          <w:sz w:val="16"/>
          <w:szCs w:val="16"/>
        </w:rPr>
        <w:t xml:space="preserve">The Medieval Castle in England and Wales </w:t>
      </w:r>
      <w:r w:rsidRPr="00AD3C58">
        <w:rPr>
          <w:sz w:val="16"/>
          <w:szCs w:val="16"/>
        </w:rPr>
        <w:t>(Cambridge: Cambridge University Press, 1994</w:t>
      </w:r>
    </w:p>
    <w:p w14:paraId="20F7DA2F" w14:textId="5811A525" w:rsidR="00AD3C58" w:rsidRPr="00AD3C58" w:rsidRDefault="00AD3C58" w:rsidP="002B797B">
      <w:pPr>
        <w:rPr>
          <w:sz w:val="16"/>
          <w:szCs w:val="16"/>
        </w:rPr>
      </w:pPr>
      <w:r w:rsidRPr="00AD3C58">
        <w:rPr>
          <w:sz w:val="16"/>
          <w:szCs w:val="16"/>
        </w:rPr>
        <w:t xml:space="preserve">Winkler, E., ‘The Norman Conquest of the Classical Past: William of Poitiers, Language and History’, </w:t>
      </w:r>
      <w:r w:rsidRPr="00AD3C58">
        <w:rPr>
          <w:i/>
          <w:sz w:val="16"/>
          <w:szCs w:val="16"/>
        </w:rPr>
        <w:t xml:space="preserve">Journal of Medieval History, </w:t>
      </w:r>
      <w:r w:rsidRPr="00AD3C58">
        <w:rPr>
          <w:sz w:val="16"/>
          <w:szCs w:val="16"/>
        </w:rPr>
        <w:t>No. 42 (2016</w:t>
      </w:r>
    </w:p>
    <w:p w14:paraId="7BD5221E" w14:textId="77777777" w:rsidR="002B797B" w:rsidRDefault="002B797B" w:rsidP="002B797B">
      <w:pPr>
        <w:jc w:val="center"/>
        <w:rPr>
          <w:b/>
          <w:u w:val="single"/>
        </w:rPr>
      </w:pPr>
    </w:p>
    <w:p w14:paraId="7919CA66" w14:textId="77777777" w:rsidR="002B797B" w:rsidRDefault="002B797B" w:rsidP="002B797B">
      <w:pPr>
        <w:jc w:val="center"/>
        <w:rPr>
          <w:b/>
          <w:u w:val="single"/>
        </w:rPr>
      </w:pPr>
    </w:p>
    <w:p w14:paraId="79059DCB" w14:textId="77777777" w:rsidR="002B797B" w:rsidRDefault="002B797B" w:rsidP="002B797B">
      <w:pPr>
        <w:jc w:val="center"/>
        <w:rPr>
          <w:b/>
          <w:u w:val="single"/>
        </w:rPr>
      </w:pPr>
    </w:p>
    <w:p w14:paraId="35C08757" w14:textId="77777777" w:rsidR="002B797B" w:rsidRDefault="002B797B" w:rsidP="002B797B">
      <w:pPr>
        <w:jc w:val="center"/>
        <w:rPr>
          <w:b/>
          <w:u w:val="single"/>
        </w:rPr>
      </w:pPr>
    </w:p>
    <w:p w14:paraId="5B0C8898" w14:textId="77777777" w:rsidR="002B797B" w:rsidRDefault="002B797B" w:rsidP="002B797B">
      <w:pPr>
        <w:jc w:val="center"/>
        <w:rPr>
          <w:b/>
          <w:u w:val="single"/>
        </w:rPr>
      </w:pPr>
    </w:p>
    <w:p w14:paraId="794D11C7" w14:textId="77777777" w:rsidR="002B797B" w:rsidRDefault="002B797B" w:rsidP="002B797B">
      <w:pPr>
        <w:jc w:val="center"/>
        <w:rPr>
          <w:b/>
          <w:u w:val="single"/>
        </w:rPr>
      </w:pPr>
    </w:p>
    <w:p w14:paraId="25C72A06" w14:textId="77777777" w:rsidR="002B797B" w:rsidRDefault="002B797B" w:rsidP="002B797B">
      <w:pPr>
        <w:jc w:val="center"/>
        <w:rPr>
          <w:b/>
          <w:u w:val="single"/>
        </w:rPr>
      </w:pPr>
    </w:p>
    <w:p w14:paraId="7E56A061" w14:textId="77777777" w:rsidR="002B797B" w:rsidRDefault="002B797B" w:rsidP="002B797B">
      <w:pPr>
        <w:jc w:val="center"/>
        <w:rPr>
          <w:b/>
          <w:u w:val="single"/>
        </w:rPr>
      </w:pPr>
    </w:p>
    <w:p w14:paraId="10280AC5" w14:textId="77777777" w:rsidR="002B797B" w:rsidRDefault="002B797B" w:rsidP="002B797B">
      <w:pPr>
        <w:jc w:val="center"/>
        <w:rPr>
          <w:b/>
          <w:u w:val="single"/>
        </w:rPr>
      </w:pPr>
    </w:p>
    <w:p w14:paraId="73B29AE5" w14:textId="77777777" w:rsidR="002B797B" w:rsidRDefault="002B797B" w:rsidP="002B797B">
      <w:pPr>
        <w:jc w:val="center"/>
        <w:rPr>
          <w:b/>
          <w:u w:val="single"/>
        </w:rPr>
      </w:pPr>
    </w:p>
    <w:p w14:paraId="1B7B7D37" w14:textId="77777777" w:rsidR="002B797B" w:rsidRDefault="002B797B" w:rsidP="002B797B">
      <w:pPr>
        <w:jc w:val="center"/>
        <w:rPr>
          <w:b/>
          <w:u w:val="single"/>
        </w:rPr>
      </w:pPr>
    </w:p>
    <w:p w14:paraId="11C654C5" w14:textId="77777777" w:rsidR="002B797B" w:rsidRDefault="002B797B" w:rsidP="002B797B">
      <w:pPr>
        <w:jc w:val="center"/>
        <w:rPr>
          <w:b/>
          <w:u w:val="single"/>
        </w:rPr>
      </w:pPr>
    </w:p>
    <w:p w14:paraId="4DBBFC75" w14:textId="77777777" w:rsidR="002B797B" w:rsidRDefault="002B797B" w:rsidP="002B797B">
      <w:pPr>
        <w:jc w:val="center"/>
        <w:rPr>
          <w:b/>
          <w:u w:val="single"/>
        </w:rPr>
      </w:pPr>
    </w:p>
    <w:p w14:paraId="4CD0490E" w14:textId="77777777" w:rsidR="002B797B" w:rsidRDefault="002B797B" w:rsidP="002B797B">
      <w:pPr>
        <w:jc w:val="center"/>
        <w:rPr>
          <w:b/>
          <w:u w:val="single"/>
        </w:rPr>
      </w:pPr>
    </w:p>
    <w:p w14:paraId="325D8344" w14:textId="77777777" w:rsidR="002B797B" w:rsidRDefault="002B797B" w:rsidP="002B797B">
      <w:pPr>
        <w:jc w:val="center"/>
        <w:rPr>
          <w:b/>
          <w:u w:val="single"/>
        </w:rPr>
      </w:pPr>
    </w:p>
    <w:p w14:paraId="2C64CE1B" w14:textId="77777777" w:rsidR="002B797B" w:rsidRDefault="002B797B" w:rsidP="002B797B">
      <w:pPr>
        <w:jc w:val="center"/>
        <w:rPr>
          <w:b/>
          <w:u w:val="single"/>
        </w:rPr>
      </w:pPr>
    </w:p>
    <w:p w14:paraId="6982F7FF" w14:textId="77777777" w:rsidR="002B797B" w:rsidRDefault="002B797B" w:rsidP="002B797B">
      <w:pPr>
        <w:jc w:val="center"/>
        <w:rPr>
          <w:b/>
          <w:u w:val="single"/>
        </w:rPr>
      </w:pPr>
    </w:p>
    <w:p w14:paraId="62DBD1C0" w14:textId="77777777" w:rsidR="002B797B" w:rsidRDefault="002B797B" w:rsidP="002B797B">
      <w:pPr>
        <w:jc w:val="center"/>
        <w:rPr>
          <w:b/>
          <w:u w:val="single"/>
        </w:rPr>
      </w:pPr>
    </w:p>
    <w:p w14:paraId="7D981056" w14:textId="77777777" w:rsidR="002B797B" w:rsidRDefault="002B797B" w:rsidP="002B797B">
      <w:pPr>
        <w:jc w:val="center"/>
        <w:rPr>
          <w:b/>
          <w:u w:val="single"/>
        </w:rPr>
      </w:pPr>
    </w:p>
    <w:p w14:paraId="18808FCA" w14:textId="77777777" w:rsidR="002B797B" w:rsidRDefault="002B797B" w:rsidP="002B797B">
      <w:pPr>
        <w:jc w:val="center"/>
        <w:rPr>
          <w:b/>
          <w:u w:val="single"/>
        </w:rPr>
      </w:pPr>
    </w:p>
    <w:p w14:paraId="32AFC200" w14:textId="77777777" w:rsidR="002B797B" w:rsidRDefault="002B797B" w:rsidP="002B797B">
      <w:pPr>
        <w:jc w:val="center"/>
        <w:rPr>
          <w:b/>
          <w:u w:val="single"/>
        </w:rPr>
      </w:pPr>
    </w:p>
    <w:p w14:paraId="2075B13E" w14:textId="77777777" w:rsidR="002B797B" w:rsidRDefault="002B797B" w:rsidP="002B797B">
      <w:pPr>
        <w:jc w:val="center"/>
        <w:rPr>
          <w:b/>
          <w:u w:val="single"/>
        </w:rPr>
      </w:pPr>
    </w:p>
    <w:p w14:paraId="248B33E8" w14:textId="77777777" w:rsidR="002B797B" w:rsidRDefault="002B797B" w:rsidP="002B797B">
      <w:pPr>
        <w:jc w:val="center"/>
        <w:rPr>
          <w:b/>
          <w:u w:val="single"/>
        </w:rPr>
      </w:pPr>
    </w:p>
    <w:p w14:paraId="0DE3DD89" w14:textId="77777777" w:rsidR="002B797B" w:rsidRDefault="002B797B" w:rsidP="002B797B">
      <w:pPr>
        <w:jc w:val="center"/>
        <w:rPr>
          <w:b/>
          <w:u w:val="single"/>
        </w:rPr>
      </w:pPr>
    </w:p>
    <w:p w14:paraId="6991DB57" w14:textId="77777777" w:rsidR="002B797B" w:rsidRDefault="002B797B" w:rsidP="002B797B">
      <w:pPr>
        <w:jc w:val="center"/>
        <w:rPr>
          <w:b/>
          <w:u w:val="single"/>
        </w:rPr>
      </w:pPr>
    </w:p>
    <w:p w14:paraId="47F75133" w14:textId="77777777" w:rsidR="002B797B" w:rsidRDefault="002B797B" w:rsidP="002B797B">
      <w:pPr>
        <w:jc w:val="center"/>
        <w:rPr>
          <w:b/>
          <w:u w:val="single"/>
        </w:rPr>
      </w:pPr>
    </w:p>
    <w:p w14:paraId="02C94BFF" w14:textId="77777777" w:rsidR="002B797B" w:rsidRDefault="002B797B" w:rsidP="002B797B">
      <w:pPr>
        <w:jc w:val="center"/>
        <w:rPr>
          <w:b/>
          <w:u w:val="single"/>
        </w:rPr>
      </w:pPr>
    </w:p>
    <w:p w14:paraId="4E607C12" w14:textId="77777777" w:rsidR="002B797B" w:rsidRDefault="002B797B" w:rsidP="002B797B">
      <w:pPr>
        <w:jc w:val="center"/>
        <w:rPr>
          <w:b/>
          <w:u w:val="single"/>
        </w:rPr>
      </w:pPr>
    </w:p>
    <w:p w14:paraId="06106759" w14:textId="77777777" w:rsidR="002B797B" w:rsidRDefault="002B797B" w:rsidP="002B797B">
      <w:pPr>
        <w:jc w:val="center"/>
        <w:rPr>
          <w:b/>
          <w:u w:val="single"/>
        </w:rPr>
      </w:pPr>
    </w:p>
    <w:p w14:paraId="08A97D76" w14:textId="77777777" w:rsidR="002B797B" w:rsidRDefault="002B797B" w:rsidP="002B797B">
      <w:pPr>
        <w:jc w:val="center"/>
        <w:rPr>
          <w:b/>
          <w:u w:val="single"/>
        </w:rPr>
      </w:pPr>
    </w:p>
    <w:p w14:paraId="29D4F797" w14:textId="77777777" w:rsidR="002B797B" w:rsidRDefault="002B797B" w:rsidP="002B797B">
      <w:pPr>
        <w:jc w:val="center"/>
        <w:rPr>
          <w:b/>
          <w:u w:val="single"/>
        </w:rPr>
      </w:pPr>
    </w:p>
    <w:p w14:paraId="2090E7AE" w14:textId="693ED096" w:rsidR="00F844AC" w:rsidRPr="002B797B" w:rsidRDefault="002B797B" w:rsidP="002B797B">
      <w:pPr>
        <w:jc w:val="center"/>
        <w:rPr>
          <w:b/>
          <w:u w:val="single"/>
        </w:rPr>
      </w:pPr>
      <w:r>
        <w:rPr>
          <w:b/>
          <w:u w:val="single"/>
        </w:rPr>
        <w:t xml:space="preserve"> </w:t>
      </w:r>
    </w:p>
    <w:sectPr w:rsidR="00F844AC" w:rsidRPr="002B79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55E15C" w14:textId="77777777" w:rsidR="0011357C" w:rsidRDefault="0011357C" w:rsidP="006D6D90">
      <w:pPr>
        <w:spacing w:after="0" w:line="240" w:lineRule="auto"/>
      </w:pPr>
      <w:r>
        <w:separator/>
      </w:r>
    </w:p>
  </w:endnote>
  <w:endnote w:type="continuationSeparator" w:id="0">
    <w:p w14:paraId="32A645D7" w14:textId="77777777" w:rsidR="0011357C" w:rsidRDefault="0011357C" w:rsidP="006D6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E63E7A" w14:textId="77777777" w:rsidR="0011357C" w:rsidRDefault="0011357C" w:rsidP="006D6D90">
      <w:pPr>
        <w:spacing w:after="0" w:line="240" w:lineRule="auto"/>
      </w:pPr>
      <w:r>
        <w:separator/>
      </w:r>
    </w:p>
  </w:footnote>
  <w:footnote w:type="continuationSeparator" w:id="0">
    <w:p w14:paraId="59F058A2" w14:textId="77777777" w:rsidR="0011357C" w:rsidRDefault="0011357C" w:rsidP="006D6D90">
      <w:pPr>
        <w:spacing w:after="0" w:line="240" w:lineRule="auto"/>
      </w:pPr>
      <w:r>
        <w:continuationSeparator/>
      </w:r>
    </w:p>
  </w:footnote>
  <w:footnote w:id="1">
    <w:p w14:paraId="461142B3" w14:textId="6A19BA6D" w:rsidR="00F130C6" w:rsidRDefault="00F130C6">
      <w:pPr>
        <w:pStyle w:val="FootnoteText"/>
      </w:pPr>
      <w:r>
        <w:rPr>
          <w:rStyle w:val="FootnoteReference"/>
        </w:rPr>
        <w:footnoteRef/>
      </w:r>
      <w:r>
        <w:t xml:space="preserve"> </w:t>
      </w:r>
      <w:proofErr w:type="spellStart"/>
      <w:r>
        <w:t>Albu</w:t>
      </w:r>
      <w:proofErr w:type="spellEnd"/>
      <w:r>
        <w:t xml:space="preserve"> 2</w:t>
      </w:r>
    </w:p>
  </w:footnote>
  <w:footnote w:id="2">
    <w:p w14:paraId="17001AE7" w14:textId="77777777" w:rsidR="006D6D90" w:rsidRDefault="006D6D90" w:rsidP="006D6D90">
      <w:pPr>
        <w:pStyle w:val="FootnoteText"/>
      </w:pPr>
      <w:r>
        <w:rPr>
          <w:rStyle w:val="FootnoteReference"/>
        </w:rPr>
        <w:footnoteRef/>
      </w:r>
      <w:r>
        <w:t xml:space="preserve"> </w:t>
      </w:r>
      <w:proofErr w:type="spellStart"/>
      <w:r>
        <w:t>Dvis</w:t>
      </w:r>
      <w:proofErr w:type="spellEnd"/>
      <w:r>
        <w:t xml:space="preserve"> 16</w:t>
      </w:r>
    </w:p>
  </w:footnote>
  <w:footnote w:id="3">
    <w:p w14:paraId="2E225461" w14:textId="0027E1C1" w:rsidR="00767B40" w:rsidRDefault="00767B40">
      <w:pPr>
        <w:pStyle w:val="FootnoteText"/>
      </w:pPr>
      <w:r>
        <w:rPr>
          <w:rStyle w:val="FootnoteReference"/>
        </w:rPr>
        <w:footnoteRef/>
      </w:r>
      <w:r>
        <w:t xml:space="preserve"> Davis 16</w:t>
      </w:r>
    </w:p>
  </w:footnote>
  <w:footnote w:id="4">
    <w:p w14:paraId="6235B24C" w14:textId="0DA3C486" w:rsidR="00F130C6" w:rsidRDefault="00F130C6">
      <w:pPr>
        <w:pStyle w:val="FootnoteText"/>
      </w:pPr>
      <w:r>
        <w:rPr>
          <w:rStyle w:val="FootnoteReference"/>
        </w:rPr>
        <w:footnoteRef/>
      </w:r>
      <w:r>
        <w:t xml:space="preserve"> </w:t>
      </w:r>
      <w:r w:rsidR="00AD3C58">
        <w:t>Davies 11</w:t>
      </w:r>
    </w:p>
  </w:footnote>
  <w:footnote w:id="5">
    <w:p w14:paraId="185ABF31" w14:textId="5EB6EDFE" w:rsidR="00FB6409" w:rsidRDefault="00FB6409">
      <w:pPr>
        <w:pStyle w:val="FootnoteText"/>
      </w:pPr>
      <w:r>
        <w:rPr>
          <w:rStyle w:val="FootnoteReference"/>
        </w:rPr>
        <w:footnoteRef/>
      </w:r>
      <w:r>
        <w:t xml:space="preserve"> Davi</w:t>
      </w:r>
      <w:r w:rsidR="00AD3C58">
        <w:t>e</w:t>
      </w:r>
      <w:r>
        <w:t>s 15</w:t>
      </w:r>
    </w:p>
  </w:footnote>
  <w:footnote w:id="6">
    <w:p w14:paraId="76C97C7C" w14:textId="76760DE6" w:rsidR="00FB6409" w:rsidRDefault="00FB6409">
      <w:pPr>
        <w:pStyle w:val="FootnoteText"/>
      </w:pPr>
      <w:r>
        <w:rPr>
          <w:rStyle w:val="FootnoteReference"/>
        </w:rPr>
        <w:footnoteRef/>
      </w:r>
      <w:r>
        <w:t xml:space="preserve"> Davies 30</w:t>
      </w:r>
    </w:p>
  </w:footnote>
  <w:footnote w:id="7">
    <w:p w14:paraId="3AA6B661" w14:textId="3CB31C26" w:rsidR="00532827" w:rsidRDefault="00532827">
      <w:pPr>
        <w:pStyle w:val="FootnoteText"/>
      </w:pPr>
      <w:r>
        <w:rPr>
          <w:rStyle w:val="FootnoteReference"/>
        </w:rPr>
        <w:footnoteRef/>
      </w:r>
      <w:r>
        <w:t xml:space="preserve"> </w:t>
      </w:r>
      <w:proofErr w:type="spellStart"/>
      <w:r>
        <w:t>Albu</w:t>
      </w:r>
      <w:proofErr w:type="spellEnd"/>
      <w:r>
        <w:t xml:space="preserve"> 4</w:t>
      </w:r>
    </w:p>
  </w:footnote>
  <w:footnote w:id="8">
    <w:p w14:paraId="27B48AD0" w14:textId="2AD514A6" w:rsidR="00532827" w:rsidRDefault="00532827">
      <w:pPr>
        <w:pStyle w:val="FootnoteText"/>
      </w:pPr>
      <w:r>
        <w:rPr>
          <w:rStyle w:val="FootnoteReference"/>
        </w:rPr>
        <w:footnoteRef/>
      </w:r>
      <w:r>
        <w:t xml:space="preserve"> Davi</w:t>
      </w:r>
      <w:r w:rsidR="00AD3C58">
        <w:t>e</w:t>
      </w:r>
      <w:r>
        <w:t>s 65</w:t>
      </w:r>
    </w:p>
  </w:footnote>
  <w:footnote w:id="9">
    <w:p w14:paraId="1CB8A940" w14:textId="65F0E322" w:rsidR="00F748FA" w:rsidRDefault="00F748FA">
      <w:pPr>
        <w:pStyle w:val="FootnoteText"/>
      </w:pPr>
      <w:r>
        <w:rPr>
          <w:rStyle w:val="FootnoteReference"/>
        </w:rPr>
        <w:footnoteRef/>
      </w:r>
      <w:r>
        <w:t xml:space="preserve"> </w:t>
      </w:r>
      <w:bookmarkStart w:id="1" w:name="_Hlk505984226"/>
      <w:r w:rsidRPr="006C00C9">
        <w:rPr>
          <w:sz w:val="18"/>
          <w:szCs w:val="18"/>
        </w:rPr>
        <w:t>Winkler</w:t>
      </w:r>
      <w:bookmarkEnd w:id="1"/>
      <w:r w:rsidR="00AD3C58">
        <w:rPr>
          <w:sz w:val="18"/>
          <w:szCs w:val="18"/>
        </w:rPr>
        <w:t xml:space="preserve"> </w:t>
      </w:r>
      <w:r w:rsidRPr="006C00C9">
        <w:rPr>
          <w:sz w:val="18"/>
          <w:szCs w:val="18"/>
        </w:rPr>
        <w:t>455</w:t>
      </w:r>
    </w:p>
  </w:footnote>
  <w:footnote w:id="10">
    <w:p w14:paraId="6ADA7876" w14:textId="5F770C8E" w:rsidR="00F748FA" w:rsidRPr="006C00C9" w:rsidRDefault="00F748FA" w:rsidP="00F748FA">
      <w:pPr>
        <w:ind w:left="720" w:hanging="720"/>
        <w:rPr>
          <w:sz w:val="18"/>
          <w:szCs w:val="18"/>
        </w:rPr>
      </w:pPr>
      <w:r>
        <w:rPr>
          <w:rStyle w:val="FootnoteReference"/>
        </w:rPr>
        <w:footnoteRef/>
      </w:r>
      <w:r>
        <w:t xml:space="preserve"> </w:t>
      </w:r>
      <w:bookmarkStart w:id="2" w:name="_Hlk505984145"/>
      <w:r w:rsidRPr="006C00C9">
        <w:rPr>
          <w:sz w:val="18"/>
          <w:szCs w:val="18"/>
        </w:rPr>
        <w:t>Pounds</w:t>
      </w:r>
      <w:bookmarkEnd w:id="2"/>
      <w:r w:rsidR="00AD3C58">
        <w:rPr>
          <w:sz w:val="18"/>
          <w:szCs w:val="18"/>
        </w:rPr>
        <w:t xml:space="preserve"> </w:t>
      </w:r>
      <w:r w:rsidRPr="006C00C9">
        <w:rPr>
          <w:sz w:val="18"/>
          <w:szCs w:val="18"/>
        </w:rPr>
        <w:t>3</w:t>
      </w:r>
    </w:p>
    <w:p w14:paraId="547A6F2D" w14:textId="64EA2A2F" w:rsidR="00F748FA" w:rsidRDefault="00F748FA">
      <w:pPr>
        <w:pStyle w:val="FootnoteText"/>
      </w:pPr>
    </w:p>
  </w:footnote>
  <w:footnote w:id="11">
    <w:p w14:paraId="058F818A" w14:textId="772F5C90" w:rsidR="00F601B2" w:rsidRDefault="00F601B2">
      <w:pPr>
        <w:pStyle w:val="FootnoteText"/>
      </w:pPr>
      <w:r>
        <w:rPr>
          <w:rStyle w:val="FootnoteReference"/>
        </w:rPr>
        <w:footnoteRef/>
      </w:r>
      <w:r>
        <w:t xml:space="preserve"> Davies 23</w:t>
      </w:r>
    </w:p>
  </w:footnote>
  <w:footnote w:id="12">
    <w:p w14:paraId="41F502A3" w14:textId="4B85E2F2" w:rsidR="00F601B2" w:rsidRDefault="00F601B2">
      <w:pPr>
        <w:pStyle w:val="FootnoteText"/>
      </w:pPr>
      <w:r>
        <w:rPr>
          <w:rStyle w:val="FootnoteReference"/>
        </w:rPr>
        <w:footnoteRef/>
      </w:r>
      <w:r>
        <w:t xml:space="preserve"> </w:t>
      </w:r>
      <w:r w:rsidR="00AD3C58">
        <w:t>Davies</w:t>
      </w:r>
      <w:r>
        <w:t xml:space="preserve"> 27</w:t>
      </w:r>
    </w:p>
  </w:footnote>
  <w:footnote w:id="13">
    <w:p w14:paraId="4F7F2947" w14:textId="2ED76CEF" w:rsidR="000B44EF" w:rsidRDefault="000B44EF" w:rsidP="000B44EF">
      <w:r>
        <w:rPr>
          <w:rStyle w:val="FootnoteReference"/>
        </w:rPr>
        <w:footnoteRef/>
      </w:r>
      <w:r>
        <w:t xml:space="preserve"> </w:t>
      </w:r>
      <w:proofErr w:type="spellStart"/>
      <w:r w:rsidR="00AD3C58">
        <w:rPr>
          <w:rFonts w:ascii="Tahoma" w:hAnsi="Tahoma" w:cs="Tahoma"/>
          <w:color w:val="000000"/>
          <w:sz w:val="18"/>
          <w:szCs w:val="18"/>
        </w:rPr>
        <w:t>Krey</w:t>
      </w:r>
      <w:proofErr w:type="spellEnd"/>
      <w:r w:rsidR="00AD3C58">
        <w:rPr>
          <w:rFonts w:ascii="Tahoma" w:hAnsi="Tahoma" w:cs="Tahoma"/>
          <w:color w:val="000000"/>
          <w:sz w:val="18"/>
          <w:szCs w:val="18"/>
        </w:rPr>
        <w:t xml:space="preserve"> </w:t>
      </w:r>
      <w:r>
        <w:rPr>
          <w:rFonts w:ascii="Tahoma" w:hAnsi="Tahoma" w:cs="Tahoma"/>
          <w:color w:val="000000"/>
          <w:sz w:val="18"/>
          <w:szCs w:val="18"/>
        </w:rPr>
        <w:t xml:space="preserve">151  </w:t>
      </w:r>
    </w:p>
  </w:footnote>
  <w:footnote w:id="14">
    <w:p w14:paraId="41417C9E" w14:textId="6A60320E" w:rsidR="00602C4A" w:rsidRDefault="00602C4A">
      <w:pPr>
        <w:pStyle w:val="FootnoteText"/>
      </w:pPr>
      <w:r>
        <w:rPr>
          <w:rStyle w:val="FootnoteReference"/>
        </w:rPr>
        <w:footnoteRef/>
      </w:r>
      <w:r>
        <w:t xml:space="preserve"> Davi</w:t>
      </w:r>
      <w:r w:rsidR="00AD3C58">
        <w:t>e</w:t>
      </w:r>
      <w:r>
        <w:t>s 44</w:t>
      </w:r>
    </w:p>
  </w:footnote>
  <w:footnote w:id="15">
    <w:p w14:paraId="48E5F505" w14:textId="076D429E" w:rsidR="00602C4A" w:rsidRDefault="00602C4A">
      <w:pPr>
        <w:pStyle w:val="FootnoteText"/>
      </w:pPr>
      <w:r>
        <w:rPr>
          <w:rStyle w:val="FootnoteReference"/>
        </w:rPr>
        <w:footnoteRef/>
      </w:r>
      <w:r>
        <w:t xml:space="preserve"> Davi</w:t>
      </w:r>
      <w:r w:rsidR="00AD3C58">
        <w:t>e</w:t>
      </w:r>
      <w:r>
        <w:t>s 50</w:t>
      </w:r>
    </w:p>
  </w:footnote>
  <w:footnote w:id="16">
    <w:p w14:paraId="1A479B8E" w14:textId="707D065D" w:rsidR="00602C4A" w:rsidRDefault="00602C4A">
      <w:pPr>
        <w:pStyle w:val="FootnoteText"/>
      </w:pPr>
      <w:r>
        <w:rPr>
          <w:rStyle w:val="FootnoteReference"/>
        </w:rPr>
        <w:footnoteRef/>
      </w:r>
      <w:r>
        <w:t xml:space="preserve"> </w:t>
      </w:r>
      <w:proofErr w:type="spellStart"/>
      <w:r>
        <w:t>Shopkow</w:t>
      </w:r>
      <w:proofErr w:type="spellEnd"/>
      <w:r>
        <w:t xml:space="preserve"> 666</w:t>
      </w:r>
    </w:p>
  </w:footnote>
  <w:footnote w:id="17">
    <w:p w14:paraId="28167B95" w14:textId="75A13E5A" w:rsidR="00602C4A" w:rsidRDefault="00602C4A">
      <w:pPr>
        <w:pStyle w:val="FootnoteText"/>
      </w:pPr>
      <w:r>
        <w:rPr>
          <w:rStyle w:val="FootnoteReference"/>
        </w:rPr>
        <w:footnoteRef/>
      </w:r>
      <w:r>
        <w:t xml:space="preserve"> Davi</w:t>
      </w:r>
      <w:r w:rsidR="00AD3C58">
        <w:t>e</w:t>
      </w:r>
      <w:r>
        <w:t>s 124</w:t>
      </w:r>
    </w:p>
  </w:footnote>
  <w:footnote w:id="18">
    <w:p w14:paraId="16FC1923" w14:textId="693371CA" w:rsidR="000B44EF" w:rsidRDefault="000B44EF">
      <w:pPr>
        <w:pStyle w:val="FootnoteText"/>
      </w:pPr>
      <w:r>
        <w:rPr>
          <w:rStyle w:val="FootnoteReference"/>
        </w:rPr>
        <w:footnoteRef/>
      </w:r>
      <w:r>
        <w:t xml:space="preserve"> Davi</w:t>
      </w:r>
      <w:r w:rsidR="00AD3C58">
        <w:t>e</w:t>
      </w:r>
      <w:r>
        <w:t>s 126</w:t>
      </w:r>
    </w:p>
  </w:footnote>
  <w:footnote w:id="19">
    <w:p w14:paraId="20BA90E4" w14:textId="05A160B9" w:rsidR="00602C4A" w:rsidRDefault="00602C4A">
      <w:pPr>
        <w:pStyle w:val="FootnoteText"/>
      </w:pPr>
      <w:r>
        <w:rPr>
          <w:rStyle w:val="FootnoteReference"/>
        </w:rPr>
        <w:footnoteRef/>
      </w:r>
      <w:r>
        <w:t xml:space="preserve"> Davi</w:t>
      </w:r>
      <w:r w:rsidR="00AD3C58">
        <w:t>e</w:t>
      </w:r>
      <w:r>
        <w:t>s 126</w:t>
      </w:r>
    </w:p>
  </w:footnote>
  <w:footnote w:id="20">
    <w:p w14:paraId="221E77CC" w14:textId="39D64D0A" w:rsidR="00602C4A" w:rsidRDefault="00602C4A">
      <w:pPr>
        <w:pStyle w:val="FootnoteText"/>
      </w:pPr>
      <w:r>
        <w:rPr>
          <w:rStyle w:val="FootnoteReference"/>
        </w:rPr>
        <w:footnoteRef/>
      </w:r>
      <w:r>
        <w:t xml:space="preserve"> Davi</w:t>
      </w:r>
      <w:r w:rsidR="00AD3C58">
        <w:t>e</w:t>
      </w:r>
      <w:r>
        <w:t>s 12</w:t>
      </w:r>
    </w:p>
  </w:footnote>
  <w:footnote w:id="21">
    <w:p w14:paraId="46AFCE5B" w14:textId="1CF338CA" w:rsidR="000B44EF" w:rsidRDefault="000B44EF">
      <w:pPr>
        <w:pStyle w:val="FootnoteText"/>
      </w:pPr>
      <w:r>
        <w:rPr>
          <w:rStyle w:val="FootnoteReference"/>
        </w:rPr>
        <w:footnoteRef/>
      </w:r>
      <w:r>
        <w:t xml:space="preserve"> Davi</w:t>
      </w:r>
      <w:r w:rsidR="00AD3C58">
        <w:t>e</w:t>
      </w:r>
      <w:r>
        <w:t>s 12</w:t>
      </w:r>
    </w:p>
  </w:footnote>
  <w:footnote w:id="22">
    <w:p w14:paraId="36D7777F" w14:textId="74969DC1" w:rsidR="00AD3C58" w:rsidRDefault="00AD3C58">
      <w:pPr>
        <w:pStyle w:val="FootnoteText"/>
      </w:pPr>
      <w:r>
        <w:rPr>
          <w:rStyle w:val="FootnoteReference"/>
        </w:rPr>
        <w:footnoteRef/>
      </w:r>
      <w:r>
        <w:t xml:space="preserve"> Davies 12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174"/>
    <w:rsid w:val="0001484E"/>
    <w:rsid w:val="00020FDE"/>
    <w:rsid w:val="0003483C"/>
    <w:rsid w:val="000765F1"/>
    <w:rsid w:val="000A0E85"/>
    <w:rsid w:val="000B44EF"/>
    <w:rsid w:val="000F603F"/>
    <w:rsid w:val="00104C98"/>
    <w:rsid w:val="0011357C"/>
    <w:rsid w:val="001868AE"/>
    <w:rsid w:val="001A0E75"/>
    <w:rsid w:val="001B6374"/>
    <w:rsid w:val="001C406B"/>
    <w:rsid w:val="00210BA6"/>
    <w:rsid w:val="0026243C"/>
    <w:rsid w:val="002876F9"/>
    <w:rsid w:val="002B797B"/>
    <w:rsid w:val="002D6DD7"/>
    <w:rsid w:val="00306404"/>
    <w:rsid w:val="00332314"/>
    <w:rsid w:val="00352F33"/>
    <w:rsid w:val="003614DD"/>
    <w:rsid w:val="003870EA"/>
    <w:rsid w:val="003930A4"/>
    <w:rsid w:val="003A0FBE"/>
    <w:rsid w:val="003F1BC2"/>
    <w:rsid w:val="00421A8B"/>
    <w:rsid w:val="004221D7"/>
    <w:rsid w:val="0043659F"/>
    <w:rsid w:val="004A5A04"/>
    <w:rsid w:val="004D2F5A"/>
    <w:rsid w:val="004D448F"/>
    <w:rsid w:val="004F026B"/>
    <w:rsid w:val="004F183A"/>
    <w:rsid w:val="00500174"/>
    <w:rsid w:val="00532827"/>
    <w:rsid w:val="00534B11"/>
    <w:rsid w:val="0058246E"/>
    <w:rsid w:val="00586ED1"/>
    <w:rsid w:val="005E248C"/>
    <w:rsid w:val="00602C4A"/>
    <w:rsid w:val="0060532D"/>
    <w:rsid w:val="006C3BA3"/>
    <w:rsid w:val="006D0E7C"/>
    <w:rsid w:val="006D3ECC"/>
    <w:rsid w:val="006D6D90"/>
    <w:rsid w:val="006F5ED7"/>
    <w:rsid w:val="00747CC4"/>
    <w:rsid w:val="00767B40"/>
    <w:rsid w:val="008365A2"/>
    <w:rsid w:val="008770A3"/>
    <w:rsid w:val="0089075D"/>
    <w:rsid w:val="00896B97"/>
    <w:rsid w:val="008D27CE"/>
    <w:rsid w:val="008D2809"/>
    <w:rsid w:val="00943F58"/>
    <w:rsid w:val="009E6492"/>
    <w:rsid w:val="00A51A22"/>
    <w:rsid w:val="00A81106"/>
    <w:rsid w:val="00AC0843"/>
    <w:rsid w:val="00AC2D97"/>
    <w:rsid w:val="00AD3C58"/>
    <w:rsid w:val="00AD5F18"/>
    <w:rsid w:val="00B02D04"/>
    <w:rsid w:val="00B0311F"/>
    <w:rsid w:val="00B04E5F"/>
    <w:rsid w:val="00B1249B"/>
    <w:rsid w:val="00B364EA"/>
    <w:rsid w:val="00B4495D"/>
    <w:rsid w:val="00B54A67"/>
    <w:rsid w:val="00B62FF5"/>
    <w:rsid w:val="00B94669"/>
    <w:rsid w:val="00BB0037"/>
    <w:rsid w:val="00BE525F"/>
    <w:rsid w:val="00BF02ED"/>
    <w:rsid w:val="00C31DE5"/>
    <w:rsid w:val="00C821D3"/>
    <w:rsid w:val="00C83979"/>
    <w:rsid w:val="00D03614"/>
    <w:rsid w:val="00D84BF5"/>
    <w:rsid w:val="00DA5216"/>
    <w:rsid w:val="00DE3D7B"/>
    <w:rsid w:val="00E035BC"/>
    <w:rsid w:val="00E72DE1"/>
    <w:rsid w:val="00F121B5"/>
    <w:rsid w:val="00F130C6"/>
    <w:rsid w:val="00F42230"/>
    <w:rsid w:val="00F601B2"/>
    <w:rsid w:val="00F613EE"/>
    <w:rsid w:val="00F726C9"/>
    <w:rsid w:val="00F748FA"/>
    <w:rsid w:val="00F83FED"/>
    <w:rsid w:val="00F844AC"/>
    <w:rsid w:val="00FB6409"/>
    <w:rsid w:val="00FF6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1CB87"/>
  <w15:chartTrackingRefBased/>
  <w15:docId w15:val="{9BD5A9F4-C6EC-4F20-9004-ABDEC9ACE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D6D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6D90"/>
    <w:rPr>
      <w:sz w:val="20"/>
      <w:szCs w:val="20"/>
    </w:rPr>
  </w:style>
  <w:style w:type="character" w:styleId="FootnoteReference">
    <w:name w:val="footnote reference"/>
    <w:basedOn w:val="DefaultParagraphFont"/>
    <w:uiPriority w:val="99"/>
    <w:semiHidden/>
    <w:unhideWhenUsed/>
    <w:rsid w:val="006D6D90"/>
    <w:rPr>
      <w:vertAlign w:val="superscript"/>
    </w:rPr>
  </w:style>
  <w:style w:type="character" w:styleId="Hyperlink">
    <w:name w:val="Hyperlink"/>
    <w:semiHidden/>
    <w:unhideWhenUsed/>
    <w:rsid w:val="000B44EF"/>
    <w:rPr>
      <w:color w:val="0000FF"/>
      <w:u w:val="single"/>
    </w:rPr>
  </w:style>
  <w:style w:type="character" w:styleId="Emphasis">
    <w:name w:val="Emphasis"/>
    <w:basedOn w:val="DefaultParagraphFont"/>
    <w:uiPriority w:val="20"/>
    <w:qFormat/>
    <w:rsid w:val="000B44E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077145">
      <w:bodyDiv w:val="1"/>
      <w:marLeft w:val="0"/>
      <w:marRight w:val="0"/>
      <w:marTop w:val="0"/>
      <w:marBottom w:val="0"/>
      <w:divBdr>
        <w:top w:val="none" w:sz="0" w:space="0" w:color="auto"/>
        <w:left w:val="none" w:sz="0" w:space="0" w:color="auto"/>
        <w:bottom w:val="none" w:sz="0" w:space="0" w:color="auto"/>
        <w:right w:val="none" w:sz="0" w:space="0" w:color="auto"/>
      </w:divBdr>
    </w:div>
    <w:div w:id="83048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713F1-23BE-4098-B2ED-5CE8986D4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4658</TotalTime>
  <Pages>10</Pages>
  <Words>2300</Words>
  <Characters>13113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Hoffman (1501219)</dc:creator>
  <cp:keywords/>
  <dc:description/>
  <cp:lastModifiedBy>Mary Hoffman (1501219)</cp:lastModifiedBy>
  <cp:revision>6</cp:revision>
  <dcterms:created xsi:type="dcterms:W3CDTF">2017-12-16T17:54:00Z</dcterms:created>
  <dcterms:modified xsi:type="dcterms:W3CDTF">2018-02-10T00:05:00Z</dcterms:modified>
</cp:coreProperties>
</file>