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1EC6054A" w:rsidR="000007D5" w:rsidRDefault="65575F34" w:rsidP="51517BC5">
      <w:r>
        <w:rPr>
          <w:noProof/>
        </w:rPr>
        <w:drawing>
          <wp:inline distT="0" distB="0" distL="0" distR="0" wp14:anchorId="0FC8F728" wp14:editId="53CD0979">
            <wp:extent cx="4267200" cy="1504950"/>
            <wp:effectExtent l="0" t="0" r="0" b="0"/>
            <wp:docPr id="50096716" name="drawing" title="Group 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6716" name="Picture 50096716"/>
                    <pic:cNvPicPr/>
                  </pic:nvPicPr>
                  <pic:blipFill>
                    <a:blip r:embed="rId7">
                      <a:extLst>
                        <a:ext uri="{28A0092B-C50C-407E-A947-70E740481C1C}">
                          <a14:useLocalDpi xmlns:a14="http://schemas.microsoft.com/office/drawing/2010/main"/>
                        </a:ext>
                      </a:extLst>
                    </a:blip>
                    <a:stretch>
                      <a:fillRect/>
                    </a:stretch>
                  </pic:blipFill>
                  <pic:spPr>
                    <a:xfrm>
                      <a:off x="0" y="0"/>
                      <a:ext cx="4267200" cy="1504950"/>
                    </a:xfrm>
                    <a:prstGeom prst="rect">
                      <a:avLst/>
                    </a:prstGeom>
                  </pic:spPr>
                </pic:pic>
              </a:graphicData>
            </a:graphic>
          </wp:inline>
        </w:drawing>
      </w:r>
    </w:p>
    <w:p w14:paraId="738C7608" w14:textId="03D5E064" w:rsidR="65575F34" w:rsidRDefault="65575F34" w:rsidP="51517BC5">
      <w:pPr>
        <w:spacing w:line="360" w:lineRule="auto"/>
        <w:jc w:val="cente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Assignment Title: </w:t>
      </w:r>
      <w:r w:rsidR="6C948BE7" w:rsidRPr="51517BC5">
        <w:rPr>
          <w:rFonts w:ascii="Arial" w:eastAsia="Arial" w:hAnsi="Arial" w:cs="Arial"/>
          <w:color w:val="000000" w:themeColor="text1"/>
          <w:sz w:val="32"/>
          <w:szCs w:val="32"/>
        </w:rPr>
        <w:t>Marketing Environment Analysis</w:t>
      </w:r>
    </w:p>
    <w:p w14:paraId="06032E54" w14:textId="7CA703FE"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p>
    <w:p w14:paraId="213140D7" w14:textId="1E6AD4F0"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Module Name:  </w:t>
      </w:r>
    </w:p>
    <w:p w14:paraId="6D56A183" w14:textId="193F03A0"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r w:rsidR="4F53A225" w:rsidRPr="51517BC5">
        <w:rPr>
          <w:rFonts w:ascii="Arial" w:eastAsia="Arial" w:hAnsi="Arial" w:cs="Arial"/>
          <w:color w:val="000000" w:themeColor="text1"/>
          <w:sz w:val="32"/>
          <w:szCs w:val="32"/>
        </w:rPr>
        <w:t xml:space="preserve">     Marketing</w:t>
      </w:r>
      <w:r w:rsidRPr="51517BC5">
        <w:rPr>
          <w:rFonts w:ascii="Arial" w:eastAsia="Arial" w:hAnsi="Arial" w:cs="Arial"/>
          <w:color w:val="000000" w:themeColor="text1"/>
          <w:sz w:val="32"/>
          <w:szCs w:val="32"/>
        </w:rPr>
        <w:t xml:space="preserve"> Management</w:t>
      </w:r>
    </w:p>
    <w:p w14:paraId="22E6EF93" w14:textId="2BC8A5B3"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p>
    <w:p w14:paraId="52B0F800" w14:textId="70CA0305"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Module Code: LCMB702</w:t>
      </w:r>
      <w:r w:rsidR="722A38A7" w:rsidRPr="51517BC5">
        <w:rPr>
          <w:rFonts w:ascii="Arial" w:eastAsia="Arial" w:hAnsi="Arial" w:cs="Arial"/>
          <w:color w:val="000000" w:themeColor="text1"/>
          <w:sz w:val="32"/>
          <w:szCs w:val="32"/>
        </w:rPr>
        <w:t>4</w:t>
      </w:r>
    </w:p>
    <w:p w14:paraId="27BE8DF6" w14:textId="4F5A73AB"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p>
    <w:p w14:paraId="04C3D5CF" w14:textId="769F55E2"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Student Name: Carmen Prodan  </w:t>
      </w:r>
    </w:p>
    <w:p w14:paraId="00BC1818" w14:textId="27FFD1F8"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p>
    <w:p w14:paraId="5B6C9017" w14:textId="08F6F72B"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Student ID: 2223977 </w:t>
      </w:r>
    </w:p>
    <w:p w14:paraId="6EB73CEE" w14:textId="24E960CD"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p>
    <w:p w14:paraId="64D9EB4D" w14:textId="0A2CDA75"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Lecturer name: Dr Taonga Kaonga Sobere Snithers </w:t>
      </w:r>
    </w:p>
    <w:p w14:paraId="0C9BB05F" w14:textId="12B83DF6" w:rsidR="65575F34" w:rsidRDefault="65575F34" w:rsidP="51517BC5">
      <w:pPr>
        <w:rPr>
          <w:rFonts w:ascii="Arial" w:eastAsia="Arial" w:hAnsi="Arial" w:cs="Arial"/>
          <w:color w:val="000000" w:themeColor="text1"/>
          <w:sz w:val="32"/>
          <w:szCs w:val="32"/>
        </w:rPr>
      </w:pPr>
      <w:r w:rsidRPr="51517BC5">
        <w:rPr>
          <w:rFonts w:ascii="Arial" w:eastAsia="Arial" w:hAnsi="Arial" w:cs="Arial"/>
          <w:color w:val="000000" w:themeColor="text1"/>
          <w:sz w:val="32"/>
          <w:szCs w:val="32"/>
        </w:rPr>
        <w:t xml:space="preserve"> </w:t>
      </w:r>
    </w:p>
    <w:p w14:paraId="1882DFC1" w14:textId="2D46FA51" w:rsidR="65575F34" w:rsidRDefault="65575F34" w:rsidP="51517BC5">
      <w:r w:rsidRPr="2667042B">
        <w:rPr>
          <w:rFonts w:ascii="Arial" w:eastAsia="Arial" w:hAnsi="Arial" w:cs="Arial"/>
          <w:color w:val="000000" w:themeColor="text1"/>
          <w:sz w:val="32"/>
          <w:szCs w:val="32"/>
        </w:rPr>
        <w:t xml:space="preserve">  Number of Words</w:t>
      </w:r>
      <w:r w:rsidR="0831472E" w:rsidRPr="2667042B">
        <w:rPr>
          <w:rFonts w:ascii="Arial" w:eastAsia="Arial" w:hAnsi="Arial" w:cs="Arial"/>
          <w:color w:val="000000" w:themeColor="text1"/>
          <w:sz w:val="32"/>
          <w:szCs w:val="32"/>
        </w:rPr>
        <w:t>: 391</w:t>
      </w:r>
      <w:r w:rsidR="00825972">
        <w:rPr>
          <w:rFonts w:ascii="Arial" w:eastAsia="Arial" w:hAnsi="Arial" w:cs="Arial"/>
          <w:color w:val="000000" w:themeColor="text1"/>
          <w:sz w:val="32"/>
          <w:szCs w:val="32"/>
        </w:rPr>
        <w:t>6</w:t>
      </w:r>
      <w:r w:rsidR="0831472E" w:rsidRPr="2667042B">
        <w:rPr>
          <w:rFonts w:ascii="Arial" w:eastAsia="Arial" w:hAnsi="Arial" w:cs="Arial"/>
          <w:color w:val="000000" w:themeColor="text1"/>
          <w:sz w:val="32"/>
          <w:szCs w:val="32"/>
        </w:rPr>
        <w:t xml:space="preserve"> (</w:t>
      </w:r>
      <w:r w:rsidRPr="2667042B">
        <w:rPr>
          <w:rFonts w:ascii="Arial" w:eastAsia="Arial" w:hAnsi="Arial" w:cs="Arial"/>
          <w:color w:val="000000" w:themeColor="text1"/>
          <w:sz w:val="32"/>
          <w:szCs w:val="32"/>
        </w:rPr>
        <w:t>with Abstract, Reference and Appendix)</w:t>
      </w:r>
    </w:p>
    <w:p w14:paraId="5A158D7E" w14:textId="3F192367" w:rsidR="51517BC5" w:rsidRDefault="51517BC5" w:rsidP="51517BC5">
      <w:pPr>
        <w:rPr>
          <w:rFonts w:ascii="Arial" w:eastAsia="Arial" w:hAnsi="Arial" w:cs="Arial"/>
          <w:color w:val="000000" w:themeColor="text1"/>
          <w:sz w:val="32"/>
          <w:szCs w:val="32"/>
        </w:rPr>
      </w:pPr>
    </w:p>
    <w:p w14:paraId="42AA9115" w14:textId="5B3AA253" w:rsidR="51517BC5" w:rsidRDefault="51517BC5">
      <w:r>
        <w:br w:type="page"/>
      </w:r>
    </w:p>
    <w:p w14:paraId="4395C53A" w14:textId="070D2FB5" w:rsidR="071DC2D7" w:rsidRDefault="071DC2D7" w:rsidP="2667042B">
      <w:pPr>
        <w:pStyle w:val="Heading1"/>
        <w:keepNext w:val="0"/>
        <w:keepLines w:val="0"/>
        <w:spacing w:line="360" w:lineRule="auto"/>
        <w:rPr>
          <w:rFonts w:ascii="Arial" w:eastAsia="Arial" w:hAnsi="Arial" w:cs="Arial"/>
          <w:sz w:val="32"/>
          <w:szCs w:val="32"/>
        </w:rPr>
      </w:pPr>
      <w:bookmarkStart w:id="0" w:name="_Toc222503645"/>
      <w:r w:rsidRPr="2667042B">
        <w:rPr>
          <w:rFonts w:ascii="Arial" w:eastAsia="Arial" w:hAnsi="Arial" w:cs="Arial"/>
          <w:sz w:val="32"/>
          <w:szCs w:val="32"/>
        </w:rPr>
        <w:lastRenderedPageBreak/>
        <w:t>Abstract</w:t>
      </w:r>
      <w:bookmarkEnd w:id="0"/>
    </w:p>
    <w:p w14:paraId="1E0D0441" w14:textId="1DA22D5E" w:rsidR="7998F099" w:rsidRDefault="7998F099" w:rsidP="2667042B">
      <w:pPr>
        <w:spacing w:line="360" w:lineRule="auto"/>
        <w:jc w:val="both"/>
        <w:rPr>
          <w:rFonts w:ascii="Arial" w:eastAsia="Arial" w:hAnsi="Arial" w:cs="Arial"/>
        </w:rPr>
      </w:pPr>
      <w:r w:rsidRPr="2667042B">
        <w:rPr>
          <w:rFonts w:ascii="Arial" w:eastAsia="Arial" w:hAnsi="Arial" w:cs="Arial"/>
        </w:rPr>
        <w:t>This study examines the macro marketing landscape of the search engine sector critically, with a particular emphasis on Google as a leader and Microsoft Bing as a follower. The paper uses strategic marketing theory to analyse how the two organisations' competitive dynamics are shaped by technological change, specifically the rise of generative artificial intelligence, and heightened regulatory scrutiny. The analysis shows that</w:t>
      </w:r>
      <w:r w:rsidR="00DF5D1B">
        <w:rPr>
          <w:rFonts w:ascii="Arial" w:eastAsia="Arial" w:hAnsi="Arial" w:cs="Arial"/>
        </w:rPr>
        <w:t>,</w:t>
      </w:r>
      <w:r w:rsidRPr="2667042B">
        <w:rPr>
          <w:rFonts w:ascii="Arial" w:eastAsia="Arial" w:hAnsi="Arial" w:cs="Arial"/>
        </w:rPr>
        <w:t xml:space="preserve"> whereas technology innovation opens doors for both organisations, the pioneer gains disproportionately from </w:t>
      </w:r>
      <w:r w:rsidR="00DF5D1B">
        <w:rPr>
          <w:rFonts w:ascii="Arial" w:eastAsia="Arial" w:hAnsi="Arial" w:cs="Arial"/>
        </w:rPr>
        <w:t xml:space="preserve">the </w:t>
      </w:r>
      <w:r w:rsidRPr="2667042B">
        <w:rPr>
          <w:rFonts w:ascii="Arial" w:eastAsia="Arial" w:hAnsi="Arial" w:cs="Arial"/>
        </w:rPr>
        <w:t xml:space="preserve">structural benefits </w:t>
      </w:r>
      <w:r w:rsidR="00DF5D1B">
        <w:rPr>
          <w:rFonts w:ascii="Arial" w:eastAsia="Arial" w:hAnsi="Arial" w:cs="Arial"/>
        </w:rPr>
        <w:t>of</w:t>
      </w:r>
      <w:r w:rsidRPr="2667042B">
        <w:rPr>
          <w:rFonts w:ascii="Arial" w:eastAsia="Arial" w:hAnsi="Arial" w:cs="Arial"/>
        </w:rPr>
        <w:t xml:space="preserve"> ecosystem integration and data scale. Although the goal of regulatory intervention is to increase market competition, its main effect is to limit the market leader without really upending its dominant position. The report uses Porter's Generic Strategies and Ansoff's Growth Matrix to assess Google and Bing's strategy responses, building on this macroenvironmental analysis. The results show that whereas Bing's innovation-led and flexible strategy fosters incremental development but restricts its capacity to challenge market leadership, Google's differentiation and consolidation-focused growth methods maintain long-term competitive advantage. All things considered, the paper emphasises how pioneers in fiercely competitive digital marketplaces have maintained their strategic resilience over time.</w:t>
      </w:r>
    </w:p>
    <w:p w14:paraId="254A2633" w14:textId="4B7CF741" w:rsidR="51517BC5" w:rsidRDefault="51517BC5" w:rsidP="51517BC5"/>
    <w:p w14:paraId="05EB59BE" w14:textId="084A4333" w:rsidR="51517BC5" w:rsidRDefault="51517BC5">
      <w:r>
        <w:br w:type="page"/>
      </w:r>
    </w:p>
    <w:p w14:paraId="39A713E7" w14:textId="2AC25C99" w:rsidR="1E9C6122" w:rsidRDefault="1E9C6122" w:rsidP="51517BC5">
      <w:pPr>
        <w:rPr>
          <w:rFonts w:ascii="Arial" w:eastAsia="Arial" w:hAnsi="Arial" w:cs="Arial"/>
          <w:sz w:val="32"/>
          <w:szCs w:val="32"/>
        </w:rPr>
      </w:pPr>
      <w:r w:rsidRPr="51517BC5">
        <w:rPr>
          <w:rFonts w:ascii="Arial" w:eastAsia="Arial" w:hAnsi="Arial" w:cs="Arial"/>
          <w:sz w:val="32"/>
          <w:szCs w:val="32"/>
        </w:rPr>
        <w:lastRenderedPageBreak/>
        <w:t xml:space="preserve">Table of </w:t>
      </w:r>
      <w:r w:rsidR="00DF5D1B">
        <w:rPr>
          <w:rFonts w:ascii="Arial" w:eastAsia="Arial" w:hAnsi="Arial" w:cs="Arial"/>
          <w:sz w:val="32"/>
          <w:szCs w:val="32"/>
        </w:rPr>
        <w:t>Contents</w:t>
      </w:r>
    </w:p>
    <w:sdt>
      <w:sdtPr>
        <w:id w:val="1022853176"/>
        <w:docPartObj>
          <w:docPartGallery w:val="Table of Contents"/>
          <w:docPartUnique/>
        </w:docPartObj>
      </w:sdtPr>
      <w:sdtContent>
        <w:p w14:paraId="2547A1F6" w14:textId="092936E5" w:rsidR="00DF5D1B" w:rsidRDefault="2667042B">
          <w:pPr>
            <w:pStyle w:val="TOC1"/>
            <w:tabs>
              <w:tab w:val="right" w:leader="dot" w:pos="9016"/>
            </w:tabs>
            <w:rPr>
              <w:noProof/>
              <w:kern w:val="2"/>
              <w:lang w:eastAsia="en-GB"/>
              <w14:ligatures w14:val="standardContextual"/>
            </w:rPr>
          </w:pPr>
          <w:r>
            <w:fldChar w:fldCharType="begin"/>
          </w:r>
          <w:r w:rsidR="51517BC5">
            <w:instrText>TOC \o "1-9" \z \u \h</w:instrText>
          </w:r>
          <w:r>
            <w:fldChar w:fldCharType="separate"/>
          </w:r>
          <w:hyperlink w:anchor="_Toc222503645" w:history="1">
            <w:r w:rsidR="00DF5D1B" w:rsidRPr="00277DED">
              <w:rPr>
                <w:rStyle w:val="Hyperlink"/>
                <w:rFonts w:ascii="Arial" w:eastAsia="Arial" w:hAnsi="Arial" w:cs="Arial"/>
                <w:noProof/>
              </w:rPr>
              <w:t>Abstract</w:t>
            </w:r>
            <w:r w:rsidR="00DF5D1B">
              <w:rPr>
                <w:noProof/>
                <w:webHidden/>
              </w:rPr>
              <w:tab/>
            </w:r>
            <w:r w:rsidR="00DF5D1B">
              <w:rPr>
                <w:noProof/>
                <w:webHidden/>
              </w:rPr>
              <w:fldChar w:fldCharType="begin"/>
            </w:r>
            <w:r w:rsidR="00DF5D1B">
              <w:rPr>
                <w:noProof/>
                <w:webHidden/>
              </w:rPr>
              <w:instrText xml:space="preserve"> PAGEREF _Toc222503645 \h </w:instrText>
            </w:r>
            <w:r w:rsidR="00DF5D1B">
              <w:rPr>
                <w:noProof/>
                <w:webHidden/>
              </w:rPr>
            </w:r>
            <w:r w:rsidR="00DF5D1B">
              <w:rPr>
                <w:noProof/>
                <w:webHidden/>
              </w:rPr>
              <w:fldChar w:fldCharType="separate"/>
            </w:r>
            <w:r w:rsidR="00DF5D1B">
              <w:rPr>
                <w:noProof/>
                <w:webHidden/>
              </w:rPr>
              <w:t>2</w:t>
            </w:r>
            <w:r w:rsidR="00DF5D1B">
              <w:rPr>
                <w:noProof/>
                <w:webHidden/>
              </w:rPr>
              <w:fldChar w:fldCharType="end"/>
            </w:r>
          </w:hyperlink>
        </w:p>
        <w:p w14:paraId="481D248C" w14:textId="60D52BB8" w:rsidR="00DF5D1B" w:rsidRDefault="00DF5D1B">
          <w:pPr>
            <w:pStyle w:val="TOC1"/>
            <w:tabs>
              <w:tab w:val="right" w:leader="dot" w:pos="9016"/>
            </w:tabs>
            <w:rPr>
              <w:noProof/>
              <w:kern w:val="2"/>
              <w:lang w:eastAsia="en-GB"/>
              <w14:ligatures w14:val="standardContextual"/>
            </w:rPr>
          </w:pPr>
          <w:hyperlink w:anchor="_Toc222503646" w:history="1">
            <w:r w:rsidRPr="00277DED">
              <w:rPr>
                <w:rStyle w:val="Hyperlink"/>
                <w:rFonts w:ascii="Arial" w:eastAsia="Arial" w:hAnsi="Arial" w:cs="Arial"/>
                <w:noProof/>
              </w:rPr>
              <w:t>PART 1: Macro Marketing Environment Analysis</w:t>
            </w:r>
            <w:r>
              <w:rPr>
                <w:noProof/>
                <w:webHidden/>
              </w:rPr>
              <w:tab/>
            </w:r>
            <w:r>
              <w:rPr>
                <w:noProof/>
                <w:webHidden/>
              </w:rPr>
              <w:fldChar w:fldCharType="begin"/>
            </w:r>
            <w:r>
              <w:rPr>
                <w:noProof/>
                <w:webHidden/>
              </w:rPr>
              <w:instrText xml:space="preserve"> PAGEREF _Toc222503646 \h </w:instrText>
            </w:r>
            <w:r>
              <w:rPr>
                <w:noProof/>
                <w:webHidden/>
              </w:rPr>
            </w:r>
            <w:r>
              <w:rPr>
                <w:noProof/>
                <w:webHidden/>
              </w:rPr>
              <w:fldChar w:fldCharType="separate"/>
            </w:r>
            <w:r>
              <w:rPr>
                <w:noProof/>
                <w:webHidden/>
              </w:rPr>
              <w:t>4</w:t>
            </w:r>
            <w:r>
              <w:rPr>
                <w:noProof/>
                <w:webHidden/>
              </w:rPr>
              <w:fldChar w:fldCharType="end"/>
            </w:r>
          </w:hyperlink>
        </w:p>
        <w:p w14:paraId="210FE1F5" w14:textId="77FBB339" w:rsidR="00DF5D1B" w:rsidRDefault="00DF5D1B">
          <w:pPr>
            <w:pStyle w:val="TOC1"/>
            <w:tabs>
              <w:tab w:val="right" w:leader="dot" w:pos="9016"/>
            </w:tabs>
            <w:rPr>
              <w:noProof/>
              <w:kern w:val="2"/>
              <w:lang w:eastAsia="en-GB"/>
              <w14:ligatures w14:val="standardContextual"/>
            </w:rPr>
          </w:pPr>
          <w:hyperlink w:anchor="_Toc222503647" w:history="1">
            <w:r w:rsidRPr="00277DED">
              <w:rPr>
                <w:rStyle w:val="Hyperlink"/>
                <w:rFonts w:ascii="Arial" w:eastAsia="Arial" w:hAnsi="Arial" w:cs="Arial"/>
                <w:noProof/>
              </w:rPr>
              <w:t>1. Introduction</w:t>
            </w:r>
            <w:r>
              <w:rPr>
                <w:noProof/>
                <w:webHidden/>
              </w:rPr>
              <w:tab/>
            </w:r>
            <w:r>
              <w:rPr>
                <w:noProof/>
                <w:webHidden/>
              </w:rPr>
              <w:fldChar w:fldCharType="begin"/>
            </w:r>
            <w:r>
              <w:rPr>
                <w:noProof/>
                <w:webHidden/>
              </w:rPr>
              <w:instrText xml:space="preserve"> PAGEREF _Toc222503647 \h </w:instrText>
            </w:r>
            <w:r>
              <w:rPr>
                <w:noProof/>
                <w:webHidden/>
              </w:rPr>
            </w:r>
            <w:r>
              <w:rPr>
                <w:noProof/>
                <w:webHidden/>
              </w:rPr>
              <w:fldChar w:fldCharType="separate"/>
            </w:r>
            <w:r>
              <w:rPr>
                <w:noProof/>
                <w:webHidden/>
              </w:rPr>
              <w:t>4</w:t>
            </w:r>
            <w:r>
              <w:rPr>
                <w:noProof/>
                <w:webHidden/>
              </w:rPr>
              <w:fldChar w:fldCharType="end"/>
            </w:r>
          </w:hyperlink>
        </w:p>
        <w:p w14:paraId="795C3856" w14:textId="3881F230" w:rsidR="00DF5D1B" w:rsidRDefault="00DF5D1B">
          <w:pPr>
            <w:pStyle w:val="TOC1"/>
            <w:tabs>
              <w:tab w:val="right" w:leader="dot" w:pos="9016"/>
            </w:tabs>
            <w:rPr>
              <w:noProof/>
              <w:kern w:val="2"/>
              <w:lang w:eastAsia="en-GB"/>
              <w14:ligatures w14:val="standardContextual"/>
            </w:rPr>
          </w:pPr>
          <w:hyperlink w:anchor="_Toc222503648" w:history="1">
            <w:r w:rsidRPr="00277DED">
              <w:rPr>
                <w:rStyle w:val="Hyperlink"/>
                <w:rFonts w:ascii="Arial" w:eastAsia="Arial" w:hAnsi="Arial" w:cs="Arial"/>
                <w:noProof/>
              </w:rPr>
              <w:t>2. Industry Context: The Search Engine Market</w:t>
            </w:r>
            <w:r>
              <w:rPr>
                <w:noProof/>
                <w:webHidden/>
              </w:rPr>
              <w:tab/>
            </w:r>
            <w:r>
              <w:rPr>
                <w:noProof/>
                <w:webHidden/>
              </w:rPr>
              <w:fldChar w:fldCharType="begin"/>
            </w:r>
            <w:r>
              <w:rPr>
                <w:noProof/>
                <w:webHidden/>
              </w:rPr>
              <w:instrText xml:space="preserve"> PAGEREF _Toc222503648 \h </w:instrText>
            </w:r>
            <w:r>
              <w:rPr>
                <w:noProof/>
                <w:webHidden/>
              </w:rPr>
            </w:r>
            <w:r>
              <w:rPr>
                <w:noProof/>
                <w:webHidden/>
              </w:rPr>
              <w:fldChar w:fldCharType="separate"/>
            </w:r>
            <w:r>
              <w:rPr>
                <w:noProof/>
                <w:webHidden/>
              </w:rPr>
              <w:t>5</w:t>
            </w:r>
            <w:r>
              <w:rPr>
                <w:noProof/>
                <w:webHidden/>
              </w:rPr>
              <w:fldChar w:fldCharType="end"/>
            </w:r>
          </w:hyperlink>
        </w:p>
        <w:p w14:paraId="61EA2E41" w14:textId="43AD3941" w:rsidR="00DF5D1B" w:rsidRDefault="00DF5D1B">
          <w:pPr>
            <w:pStyle w:val="TOC1"/>
            <w:tabs>
              <w:tab w:val="right" w:leader="dot" w:pos="9016"/>
            </w:tabs>
            <w:rPr>
              <w:noProof/>
              <w:kern w:val="2"/>
              <w:lang w:eastAsia="en-GB"/>
              <w14:ligatures w14:val="standardContextual"/>
            </w:rPr>
          </w:pPr>
          <w:hyperlink w:anchor="_Toc222503649" w:history="1">
            <w:r w:rsidRPr="00277DED">
              <w:rPr>
                <w:rStyle w:val="Hyperlink"/>
                <w:rFonts w:ascii="Arial" w:eastAsia="Arial" w:hAnsi="Arial" w:cs="Arial"/>
                <w:noProof/>
              </w:rPr>
              <w:t>3. Macro Marketing Actor 1: Technological Change and Artificial Intelligence</w:t>
            </w:r>
            <w:r>
              <w:rPr>
                <w:noProof/>
                <w:webHidden/>
              </w:rPr>
              <w:tab/>
            </w:r>
            <w:r>
              <w:rPr>
                <w:noProof/>
                <w:webHidden/>
              </w:rPr>
              <w:fldChar w:fldCharType="begin"/>
            </w:r>
            <w:r>
              <w:rPr>
                <w:noProof/>
                <w:webHidden/>
              </w:rPr>
              <w:instrText xml:space="preserve"> PAGEREF _Toc222503649 \h </w:instrText>
            </w:r>
            <w:r>
              <w:rPr>
                <w:noProof/>
                <w:webHidden/>
              </w:rPr>
            </w:r>
            <w:r>
              <w:rPr>
                <w:noProof/>
                <w:webHidden/>
              </w:rPr>
              <w:fldChar w:fldCharType="separate"/>
            </w:r>
            <w:r>
              <w:rPr>
                <w:noProof/>
                <w:webHidden/>
              </w:rPr>
              <w:t>7</w:t>
            </w:r>
            <w:r>
              <w:rPr>
                <w:noProof/>
                <w:webHidden/>
              </w:rPr>
              <w:fldChar w:fldCharType="end"/>
            </w:r>
          </w:hyperlink>
        </w:p>
        <w:p w14:paraId="6FFD6CEB" w14:textId="592D1750" w:rsidR="00DF5D1B" w:rsidRDefault="00DF5D1B">
          <w:pPr>
            <w:pStyle w:val="TOC1"/>
            <w:tabs>
              <w:tab w:val="right" w:leader="dot" w:pos="9016"/>
            </w:tabs>
            <w:rPr>
              <w:noProof/>
              <w:kern w:val="2"/>
              <w:lang w:eastAsia="en-GB"/>
              <w14:ligatures w14:val="standardContextual"/>
            </w:rPr>
          </w:pPr>
          <w:hyperlink w:anchor="_Toc222503650" w:history="1">
            <w:r w:rsidRPr="00277DED">
              <w:rPr>
                <w:rStyle w:val="Hyperlink"/>
                <w:rFonts w:ascii="Arial" w:eastAsia="Arial" w:hAnsi="Arial" w:cs="Arial"/>
                <w:noProof/>
              </w:rPr>
              <w:t>4. Macro Marketing Actor 2: Government Regulation &amp; Competition Policy</w:t>
            </w:r>
            <w:r>
              <w:rPr>
                <w:noProof/>
                <w:webHidden/>
              </w:rPr>
              <w:tab/>
            </w:r>
            <w:r>
              <w:rPr>
                <w:noProof/>
                <w:webHidden/>
              </w:rPr>
              <w:fldChar w:fldCharType="begin"/>
            </w:r>
            <w:r>
              <w:rPr>
                <w:noProof/>
                <w:webHidden/>
              </w:rPr>
              <w:instrText xml:space="preserve"> PAGEREF _Toc222503650 \h </w:instrText>
            </w:r>
            <w:r>
              <w:rPr>
                <w:noProof/>
                <w:webHidden/>
              </w:rPr>
            </w:r>
            <w:r>
              <w:rPr>
                <w:noProof/>
                <w:webHidden/>
              </w:rPr>
              <w:fldChar w:fldCharType="separate"/>
            </w:r>
            <w:r>
              <w:rPr>
                <w:noProof/>
                <w:webHidden/>
              </w:rPr>
              <w:t>9</w:t>
            </w:r>
            <w:r>
              <w:rPr>
                <w:noProof/>
                <w:webHidden/>
              </w:rPr>
              <w:fldChar w:fldCharType="end"/>
            </w:r>
          </w:hyperlink>
        </w:p>
        <w:p w14:paraId="6848767E" w14:textId="1B9D2E1C" w:rsidR="00DF5D1B" w:rsidRDefault="00DF5D1B">
          <w:pPr>
            <w:pStyle w:val="TOC1"/>
            <w:tabs>
              <w:tab w:val="right" w:leader="dot" w:pos="9016"/>
            </w:tabs>
            <w:rPr>
              <w:noProof/>
              <w:kern w:val="2"/>
              <w:lang w:eastAsia="en-GB"/>
              <w14:ligatures w14:val="standardContextual"/>
            </w:rPr>
          </w:pPr>
          <w:hyperlink w:anchor="_Toc222503651" w:history="1">
            <w:r w:rsidRPr="00277DED">
              <w:rPr>
                <w:rStyle w:val="Hyperlink"/>
                <w:rFonts w:ascii="Arial" w:eastAsia="Arial" w:hAnsi="Arial" w:cs="Arial"/>
                <w:noProof/>
              </w:rPr>
              <w:t>5. Interim Evaluation of the Macro-Marketing Environment</w:t>
            </w:r>
            <w:r>
              <w:rPr>
                <w:noProof/>
                <w:webHidden/>
              </w:rPr>
              <w:tab/>
            </w:r>
            <w:r>
              <w:rPr>
                <w:noProof/>
                <w:webHidden/>
              </w:rPr>
              <w:fldChar w:fldCharType="begin"/>
            </w:r>
            <w:r>
              <w:rPr>
                <w:noProof/>
                <w:webHidden/>
              </w:rPr>
              <w:instrText xml:space="preserve"> PAGEREF _Toc222503651 \h </w:instrText>
            </w:r>
            <w:r>
              <w:rPr>
                <w:noProof/>
                <w:webHidden/>
              </w:rPr>
            </w:r>
            <w:r>
              <w:rPr>
                <w:noProof/>
                <w:webHidden/>
              </w:rPr>
              <w:fldChar w:fldCharType="separate"/>
            </w:r>
            <w:r>
              <w:rPr>
                <w:noProof/>
                <w:webHidden/>
              </w:rPr>
              <w:t>10</w:t>
            </w:r>
            <w:r>
              <w:rPr>
                <w:noProof/>
                <w:webHidden/>
              </w:rPr>
              <w:fldChar w:fldCharType="end"/>
            </w:r>
          </w:hyperlink>
        </w:p>
        <w:p w14:paraId="3EF6BB2E" w14:textId="7D66C3D1" w:rsidR="00DF5D1B" w:rsidRDefault="00DF5D1B">
          <w:pPr>
            <w:pStyle w:val="TOC1"/>
            <w:tabs>
              <w:tab w:val="right" w:leader="dot" w:pos="9016"/>
            </w:tabs>
            <w:rPr>
              <w:noProof/>
              <w:kern w:val="2"/>
              <w:lang w:eastAsia="en-GB"/>
              <w14:ligatures w14:val="standardContextual"/>
            </w:rPr>
          </w:pPr>
          <w:hyperlink w:anchor="_Toc222503652" w:history="1">
            <w:r w:rsidRPr="00277DED">
              <w:rPr>
                <w:rStyle w:val="Hyperlink"/>
                <w:rFonts w:ascii="Arial" w:eastAsia="Arial" w:hAnsi="Arial" w:cs="Arial"/>
                <w:noProof/>
              </w:rPr>
              <w:t>Part 2: Strategic Responses &amp; Growth Evaluation</w:t>
            </w:r>
            <w:r>
              <w:rPr>
                <w:noProof/>
                <w:webHidden/>
              </w:rPr>
              <w:tab/>
            </w:r>
            <w:r>
              <w:rPr>
                <w:noProof/>
                <w:webHidden/>
              </w:rPr>
              <w:fldChar w:fldCharType="begin"/>
            </w:r>
            <w:r>
              <w:rPr>
                <w:noProof/>
                <w:webHidden/>
              </w:rPr>
              <w:instrText xml:space="preserve"> PAGEREF _Toc222503652 \h </w:instrText>
            </w:r>
            <w:r>
              <w:rPr>
                <w:noProof/>
                <w:webHidden/>
              </w:rPr>
            </w:r>
            <w:r>
              <w:rPr>
                <w:noProof/>
                <w:webHidden/>
              </w:rPr>
              <w:fldChar w:fldCharType="separate"/>
            </w:r>
            <w:r>
              <w:rPr>
                <w:noProof/>
                <w:webHidden/>
              </w:rPr>
              <w:t>11</w:t>
            </w:r>
            <w:r>
              <w:rPr>
                <w:noProof/>
                <w:webHidden/>
              </w:rPr>
              <w:fldChar w:fldCharType="end"/>
            </w:r>
          </w:hyperlink>
        </w:p>
        <w:p w14:paraId="1A77B3C6" w14:textId="61031174" w:rsidR="00DF5D1B" w:rsidRDefault="00DF5D1B">
          <w:pPr>
            <w:pStyle w:val="TOC1"/>
            <w:tabs>
              <w:tab w:val="right" w:leader="dot" w:pos="9016"/>
            </w:tabs>
            <w:rPr>
              <w:noProof/>
              <w:kern w:val="2"/>
              <w:lang w:eastAsia="en-GB"/>
              <w14:ligatures w14:val="standardContextual"/>
            </w:rPr>
          </w:pPr>
          <w:hyperlink w:anchor="_Toc222503653" w:history="1">
            <w:r w:rsidRPr="00277DED">
              <w:rPr>
                <w:rStyle w:val="Hyperlink"/>
                <w:rFonts w:ascii="Arial" w:eastAsia="Arial" w:hAnsi="Arial" w:cs="Arial"/>
                <w:noProof/>
              </w:rPr>
              <w:t>6. Strategic Responses to Macro Pressures</w:t>
            </w:r>
            <w:r>
              <w:rPr>
                <w:noProof/>
                <w:webHidden/>
              </w:rPr>
              <w:tab/>
            </w:r>
            <w:r>
              <w:rPr>
                <w:noProof/>
                <w:webHidden/>
              </w:rPr>
              <w:fldChar w:fldCharType="begin"/>
            </w:r>
            <w:r>
              <w:rPr>
                <w:noProof/>
                <w:webHidden/>
              </w:rPr>
              <w:instrText xml:space="preserve"> PAGEREF _Toc222503653 \h </w:instrText>
            </w:r>
            <w:r>
              <w:rPr>
                <w:noProof/>
                <w:webHidden/>
              </w:rPr>
            </w:r>
            <w:r>
              <w:rPr>
                <w:noProof/>
                <w:webHidden/>
              </w:rPr>
              <w:fldChar w:fldCharType="separate"/>
            </w:r>
            <w:r>
              <w:rPr>
                <w:noProof/>
                <w:webHidden/>
              </w:rPr>
              <w:t>11</w:t>
            </w:r>
            <w:r>
              <w:rPr>
                <w:noProof/>
                <w:webHidden/>
              </w:rPr>
              <w:fldChar w:fldCharType="end"/>
            </w:r>
          </w:hyperlink>
        </w:p>
        <w:p w14:paraId="7D386128" w14:textId="14B09FA3" w:rsidR="00DF5D1B" w:rsidRDefault="00DF5D1B">
          <w:pPr>
            <w:pStyle w:val="TOC1"/>
            <w:tabs>
              <w:tab w:val="right" w:leader="dot" w:pos="9016"/>
            </w:tabs>
            <w:rPr>
              <w:noProof/>
              <w:kern w:val="2"/>
              <w:lang w:eastAsia="en-GB"/>
              <w14:ligatures w14:val="standardContextual"/>
            </w:rPr>
          </w:pPr>
          <w:hyperlink w:anchor="_Toc222503654" w:history="1">
            <w:r w:rsidRPr="00277DED">
              <w:rPr>
                <w:rStyle w:val="Hyperlink"/>
                <w:rFonts w:ascii="Arial" w:eastAsia="Arial" w:hAnsi="Arial" w:cs="Arial"/>
                <w:noProof/>
              </w:rPr>
              <w:t>7. Strategic Evaluation and Comparative Analysis</w:t>
            </w:r>
            <w:r>
              <w:rPr>
                <w:noProof/>
                <w:webHidden/>
              </w:rPr>
              <w:tab/>
            </w:r>
            <w:r>
              <w:rPr>
                <w:noProof/>
                <w:webHidden/>
              </w:rPr>
              <w:fldChar w:fldCharType="begin"/>
            </w:r>
            <w:r>
              <w:rPr>
                <w:noProof/>
                <w:webHidden/>
              </w:rPr>
              <w:instrText xml:space="preserve"> PAGEREF _Toc222503654 \h </w:instrText>
            </w:r>
            <w:r>
              <w:rPr>
                <w:noProof/>
                <w:webHidden/>
              </w:rPr>
            </w:r>
            <w:r>
              <w:rPr>
                <w:noProof/>
                <w:webHidden/>
              </w:rPr>
              <w:fldChar w:fldCharType="separate"/>
            </w:r>
            <w:r>
              <w:rPr>
                <w:noProof/>
                <w:webHidden/>
              </w:rPr>
              <w:t>11</w:t>
            </w:r>
            <w:r>
              <w:rPr>
                <w:noProof/>
                <w:webHidden/>
              </w:rPr>
              <w:fldChar w:fldCharType="end"/>
            </w:r>
          </w:hyperlink>
        </w:p>
        <w:p w14:paraId="76F43E81" w14:textId="40232716" w:rsidR="00DF5D1B" w:rsidRDefault="00DF5D1B">
          <w:pPr>
            <w:pStyle w:val="TOC1"/>
            <w:tabs>
              <w:tab w:val="right" w:leader="dot" w:pos="9016"/>
            </w:tabs>
            <w:rPr>
              <w:noProof/>
              <w:kern w:val="2"/>
              <w:lang w:eastAsia="en-GB"/>
              <w14:ligatures w14:val="standardContextual"/>
            </w:rPr>
          </w:pPr>
          <w:hyperlink w:anchor="_Toc222503655" w:history="1">
            <w:r w:rsidRPr="00277DED">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_Toc222503655 \h </w:instrText>
            </w:r>
            <w:r>
              <w:rPr>
                <w:noProof/>
                <w:webHidden/>
              </w:rPr>
            </w:r>
            <w:r>
              <w:rPr>
                <w:noProof/>
                <w:webHidden/>
              </w:rPr>
              <w:fldChar w:fldCharType="separate"/>
            </w:r>
            <w:r>
              <w:rPr>
                <w:noProof/>
                <w:webHidden/>
              </w:rPr>
              <w:t>12</w:t>
            </w:r>
            <w:r>
              <w:rPr>
                <w:noProof/>
                <w:webHidden/>
              </w:rPr>
              <w:fldChar w:fldCharType="end"/>
            </w:r>
          </w:hyperlink>
        </w:p>
        <w:p w14:paraId="130EC830" w14:textId="3AAE126D" w:rsidR="00DF5D1B" w:rsidRDefault="00DF5D1B">
          <w:pPr>
            <w:pStyle w:val="TOC1"/>
            <w:tabs>
              <w:tab w:val="right" w:leader="dot" w:pos="9016"/>
            </w:tabs>
            <w:rPr>
              <w:noProof/>
              <w:kern w:val="2"/>
              <w:lang w:eastAsia="en-GB"/>
              <w14:ligatures w14:val="standardContextual"/>
            </w:rPr>
          </w:pPr>
          <w:hyperlink w:anchor="_Toc222503656" w:history="1">
            <w:r w:rsidRPr="00277DED">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_Toc222503656 \h </w:instrText>
            </w:r>
            <w:r>
              <w:rPr>
                <w:noProof/>
                <w:webHidden/>
              </w:rPr>
            </w:r>
            <w:r>
              <w:rPr>
                <w:noProof/>
                <w:webHidden/>
              </w:rPr>
              <w:fldChar w:fldCharType="separate"/>
            </w:r>
            <w:r>
              <w:rPr>
                <w:noProof/>
                <w:webHidden/>
              </w:rPr>
              <w:t>13</w:t>
            </w:r>
            <w:r>
              <w:rPr>
                <w:noProof/>
                <w:webHidden/>
              </w:rPr>
              <w:fldChar w:fldCharType="end"/>
            </w:r>
          </w:hyperlink>
        </w:p>
        <w:p w14:paraId="39228D83" w14:textId="4DD8AD29" w:rsidR="00DF5D1B" w:rsidRDefault="00DF5D1B">
          <w:pPr>
            <w:pStyle w:val="TOC1"/>
            <w:tabs>
              <w:tab w:val="right" w:leader="dot" w:pos="9016"/>
            </w:tabs>
            <w:rPr>
              <w:noProof/>
              <w:kern w:val="2"/>
              <w:lang w:eastAsia="en-GB"/>
              <w14:ligatures w14:val="standardContextual"/>
            </w:rPr>
          </w:pPr>
          <w:hyperlink w:anchor="_Toc222503657" w:history="1">
            <w:r w:rsidRPr="00277DED">
              <w:rPr>
                <w:rStyle w:val="Hyperlink"/>
                <w:rFonts w:ascii="Arial" w:eastAsia="Arial" w:hAnsi="Arial" w:cs="Arial"/>
                <w:noProof/>
              </w:rPr>
              <w:t>Appendix</w:t>
            </w:r>
            <w:r>
              <w:rPr>
                <w:noProof/>
                <w:webHidden/>
              </w:rPr>
              <w:tab/>
            </w:r>
            <w:r>
              <w:rPr>
                <w:noProof/>
                <w:webHidden/>
              </w:rPr>
              <w:fldChar w:fldCharType="begin"/>
            </w:r>
            <w:r>
              <w:rPr>
                <w:noProof/>
                <w:webHidden/>
              </w:rPr>
              <w:instrText xml:space="preserve"> PAGEREF _Toc222503657 \h </w:instrText>
            </w:r>
            <w:r>
              <w:rPr>
                <w:noProof/>
                <w:webHidden/>
              </w:rPr>
            </w:r>
            <w:r>
              <w:rPr>
                <w:noProof/>
                <w:webHidden/>
              </w:rPr>
              <w:fldChar w:fldCharType="separate"/>
            </w:r>
            <w:r>
              <w:rPr>
                <w:noProof/>
                <w:webHidden/>
              </w:rPr>
              <w:t>16</w:t>
            </w:r>
            <w:r>
              <w:rPr>
                <w:noProof/>
                <w:webHidden/>
              </w:rPr>
              <w:fldChar w:fldCharType="end"/>
            </w:r>
          </w:hyperlink>
        </w:p>
        <w:p w14:paraId="614E2842" w14:textId="7D9BBDA4" w:rsidR="2667042B" w:rsidRDefault="2667042B" w:rsidP="2667042B">
          <w:pPr>
            <w:pStyle w:val="TOC1"/>
            <w:tabs>
              <w:tab w:val="right" w:leader="dot" w:pos="9015"/>
            </w:tabs>
            <w:rPr>
              <w:rStyle w:val="Hyperlink"/>
            </w:rPr>
          </w:pPr>
          <w:r>
            <w:fldChar w:fldCharType="end"/>
          </w:r>
        </w:p>
      </w:sdtContent>
    </w:sdt>
    <w:p w14:paraId="5F61329D" w14:textId="241A39C1" w:rsidR="51517BC5" w:rsidRDefault="51517BC5" w:rsidP="51517BC5">
      <w:pPr>
        <w:rPr>
          <w:rFonts w:ascii="Arial" w:eastAsia="Arial" w:hAnsi="Arial" w:cs="Arial"/>
          <w:sz w:val="32"/>
          <w:szCs w:val="32"/>
        </w:rPr>
      </w:pPr>
    </w:p>
    <w:p w14:paraId="2CDB6391" w14:textId="5719415B" w:rsidR="51517BC5" w:rsidRDefault="51517BC5">
      <w:r>
        <w:br w:type="page"/>
      </w:r>
    </w:p>
    <w:p w14:paraId="33430096" w14:textId="163B4928" w:rsidR="43FC5ACA" w:rsidRDefault="43FC5ACA" w:rsidP="2667042B">
      <w:pPr>
        <w:pStyle w:val="Heading1"/>
        <w:keepNext w:val="0"/>
        <w:keepLines w:val="0"/>
        <w:spacing w:line="360" w:lineRule="auto"/>
        <w:rPr>
          <w:rFonts w:ascii="Arial" w:eastAsia="Arial" w:hAnsi="Arial" w:cs="Arial"/>
          <w:sz w:val="36"/>
          <w:szCs w:val="36"/>
        </w:rPr>
      </w:pPr>
      <w:bookmarkStart w:id="1" w:name="_Toc222503646"/>
      <w:r w:rsidRPr="2667042B">
        <w:rPr>
          <w:rFonts w:ascii="Arial" w:eastAsia="Arial" w:hAnsi="Arial" w:cs="Arial"/>
          <w:sz w:val="36"/>
          <w:szCs w:val="36"/>
        </w:rPr>
        <w:lastRenderedPageBreak/>
        <w:t>PART 1: Macro</w:t>
      </w:r>
      <w:r w:rsidR="407E0097" w:rsidRPr="2667042B">
        <w:rPr>
          <w:rFonts w:ascii="Arial" w:eastAsia="Arial" w:hAnsi="Arial" w:cs="Arial"/>
          <w:sz w:val="36"/>
          <w:szCs w:val="36"/>
        </w:rPr>
        <w:t xml:space="preserve"> </w:t>
      </w:r>
      <w:r w:rsidRPr="2667042B">
        <w:rPr>
          <w:rFonts w:ascii="Arial" w:eastAsia="Arial" w:hAnsi="Arial" w:cs="Arial"/>
          <w:sz w:val="36"/>
          <w:szCs w:val="36"/>
        </w:rPr>
        <w:t>Marketing Environment Analysis</w:t>
      </w:r>
      <w:bookmarkEnd w:id="1"/>
    </w:p>
    <w:p w14:paraId="2387557F" w14:textId="083B4E6B" w:rsidR="51517BC5" w:rsidRDefault="51517BC5" w:rsidP="2667042B">
      <w:pPr>
        <w:pStyle w:val="Heading1"/>
        <w:keepNext w:val="0"/>
        <w:keepLines w:val="0"/>
        <w:spacing w:line="360" w:lineRule="auto"/>
        <w:rPr>
          <w:rFonts w:ascii="Arial" w:eastAsia="Arial" w:hAnsi="Arial" w:cs="Arial"/>
          <w:sz w:val="32"/>
          <w:szCs w:val="32"/>
        </w:rPr>
      </w:pPr>
      <w:bookmarkStart w:id="2" w:name="_Toc222503647"/>
      <w:r w:rsidRPr="2667042B">
        <w:rPr>
          <w:rFonts w:ascii="Arial" w:eastAsia="Arial" w:hAnsi="Arial" w:cs="Arial"/>
          <w:sz w:val="32"/>
          <w:szCs w:val="32"/>
        </w:rPr>
        <w:t xml:space="preserve">1. </w:t>
      </w:r>
      <w:r w:rsidR="3FE5774A" w:rsidRPr="2667042B">
        <w:rPr>
          <w:rFonts w:ascii="Arial" w:eastAsia="Arial" w:hAnsi="Arial" w:cs="Arial"/>
          <w:sz w:val="32"/>
          <w:szCs w:val="32"/>
        </w:rPr>
        <w:t>Introduction</w:t>
      </w:r>
      <w:bookmarkEnd w:id="2"/>
    </w:p>
    <w:p w14:paraId="0E1F2B41" w14:textId="25396248" w:rsidR="3B9B196B" w:rsidRDefault="3B9B196B" w:rsidP="2667042B">
      <w:pPr>
        <w:spacing w:line="360" w:lineRule="auto"/>
        <w:jc w:val="both"/>
        <w:rPr>
          <w:rFonts w:ascii="Arial" w:eastAsia="Arial" w:hAnsi="Arial" w:cs="Arial"/>
        </w:rPr>
      </w:pPr>
      <w:r w:rsidRPr="2667042B">
        <w:rPr>
          <w:rFonts w:ascii="Arial" w:eastAsia="Arial" w:hAnsi="Arial" w:cs="Arial"/>
        </w:rPr>
        <w:t>Organisational strategy is greatly influenced by the macro marketing environment, especially in fast-paced, technologically advanced businesses. In the macro marketing environment, digital transformation is a key factor that is changing marketing strategies and the characteristics of markets around the world.</w:t>
      </w:r>
      <w:r w:rsidR="0A9FE806" w:rsidRPr="2667042B">
        <w:rPr>
          <w:rFonts w:ascii="Arial" w:eastAsia="Arial" w:hAnsi="Arial" w:cs="Arial"/>
        </w:rPr>
        <w:t xml:space="preserve"> Gillpatrick (2019) mainta</w:t>
      </w:r>
      <w:r w:rsidR="6A227BA9" w:rsidRPr="2667042B">
        <w:rPr>
          <w:rFonts w:ascii="Arial" w:eastAsia="Arial" w:hAnsi="Arial" w:cs="Arial"/>
        </w:rPr>
        <w:t>i</w:t>
      </w:r>
      <w:r w:rsidR="0A9FE806" w:rsidRPr="2667042B">
        <w:rPr>
          <w:rFonts w:ascii="Arial" w:eastAsia="Arial" w:hAnsi="Arial" w:cs="Arial"/>
        </w:rPr>
        <w:t>ns that</w:t>
      </w:r>
      <w:r w:rsidRPr="2667042B">
        <w:rPr>
          <w:rFonts w:ascii="Arial" w:eastAsia="Arial" w:hAnsi="Arial" w:cs="Arial"/>
        </w:rPr>
        <w:t xml:space="preserve"> </w:t>
      </w:r>
      <w:r w:rsidR="0FEEDFD4" w:rsidRPr="2667042B">
        <w:rPr>
          <w:rFonts w:ascii="Arial" w:eastAsia="Arial" w:hAnsi="Arial" w:cs="Arial"/>
        </w:rPr>
        <w:t>b</w:t>
      </w:r>
      <w:r w:rsidRPr="2667042B">
        <w:rPr>
          <w:rFonts w:ascii="Arial" w:eastAsia="Arial" w:hAnsi="Arial" w:cs="Arial"/>
        </w:rPr>
        <w:t xml:space="preserve">usinesses must develop new marketing strategies and obtain a greater understanding of the consumer value chain </w:t>
      </w:r>
      <w:r w:rsidR="32ED3EFE" w:rsidRPr="2667042B">
        <w:rPr>
          <w:rFonts w:ascii="Arial" w:eastAsia="Arial" w:hAnsi="Arial" w:cs="Arial"/>
        </w:rPr>
        <w:t>because of</w:t>
      </w:r>
      <w:r w:rsidRPr="2667042B">
        <w:rPr>
          <w:rFonts w:ascii="Arial" w:eastAsia="Arial" w:hAnsi="Arial" w:cs="Arial"/>
        </w:rPr>
        <w:t xml:space="preserve"> the integration of digital technology, which modifies consumer demand patterns and competitive dynamics. This shift affects macroeconomic policies, industry structures, and firm-level competitiveness, underscoring the necessity for businesses to adapt their strategies to changing digital environments.</w:t>
      </w:r>
      <w:r w:rsidR="27A2B4CC" w:rsidRPr="2667042B">
        <w:rPr>
          <w:rFonts w:ascii="Arial" w:eastAsia="Arial" w:hAnsi="Arial" w:cs="Arial"/>
        </w:rPr>
        <w:t xml:space="preserve"> </w:t>
      </w:r>
      <w:r w:rsidR="1107A937" w:rsidRPr="2667042B">
        <w:rPr>
          <w:rFonts w:ascii="Arial" w:eastAsia="Arial" w:hAnsi="Arial" w:cs="Arial"/>
        </w:rPr>
        <w:t>Ibrahim and Harrison (2020) highlight that a</w:t>
      </w:r>
      <w:r w:rsidR="27A2B4CC" w:rsidRPr="2667042B">
        <w:rPr>
          <w:rFonts w:ascii="Arial" w:eastAsia="Arial" w:hAnsi="Arial" w:cs="Arial"/>
        </w:rPr>
        <w:t xml:space="preserve"> </w:t>
      </w:r>
      <w:r w:rsidR="425134AF" w:rsidRPr="2667042B">
        <w:rPr>
          <w:rFonts w:ascii="Arial" w:eastAsia="Arial" w:hAnsi="Arial" w:cs="Arial"/>
        </w:rPr>
        <w:t>business</w:t>
      </w:r>
      <w:r w:rsidR="27A2B4CC" w:rsidRPr="2667042B">
        <w:rPr>
          <w:rFonts w:ascii="Arial" w:eastAsia="Arial" w:hAnsi="Arial" w:cs="Arial"/>
        </w:rPr>
        <w:t xml:space="preserve">'s internal resources and expertise must be successfully matched with its external environment </w:t>
      </w:r>
      <w:r w:rsidR="2FF7F9CA" w:rsidRPr="2667042B">
        <w:rPr>
          <w:rFonts w:ascii="Arial" w:eastAsia="Arial" w:hAnsi="Arial" w:cs="Arial"/>
        </w:rPr>
        <w:t>to</w:t>
      </w:r>
      <w:r w:rsidR="27A2B4CC" w:rsidRPr="2667042B">
        <w:rPr>
          <w:rFonts w:ascii="Arial" w:eastAsia="Arial" w:hAnsi="Arial" w:cs="Arial"/>
        </w:rPr>
        <w:t xml:space="preserve"> develop a successful marketing strategy.</w:t>
      </w:r>
      <w:r w:rsidR="5A3CC5D5" w:rsidRPr="2667042B">
        <w:rPr>
          <w:rFonts w:ascii="Arial" w:eastAsia="Arial" w:hAnsi="Arial" w:cs="Arial"/>
        </w:rPr>
        <w:t xml:space="preserve"> </w:t>
      </w:r>
      <w:r w:rsidR="0AD9A09E" w:rsidRPr="2667042B">
        <w:rPr>
          <w:rFonts w:ascii="Arial" w:eastAsia="Arial" w:hAnsi="Arial" w:cs="Arial"/>
        </w:rPr>
        <w:t>Businesses must monitor these macroenvironmental challenges and take proactive steps to address them to maintain a competitive edge, according to strategic marketing management.</w:t>
      </w:r>
    </w:p>
    <w:p w14:paraId="3977244C" w14:textId="0F3DAA18" w:rsidR="3B9B196B" w:rsidRDefault="5A3CC5D5" w:rsidP="2667042B">
      <w:pPr>
        <w:spacing w:line="360" w:lineRule="auto"/>
        <w:jc w:val="both"/>
        <w:rPr>
          <w:rFonts w:ascii="Arial" w:eastAsia="Arial" w:hAnsi="Arial" w:cs="Arial"/>
        </w:rPr>
      </w:pPr>
      <w:r w:rsidRPr="2667042B">
        <w:rPr>
          <w:rFonts w:ascii="Arial" w:eastAsia="Arial" w:hAnsi="Arial" w:cs="Arial"/>
        </w:rPr>
        <w:t>This study looks at the search engine market, with a particular emphasis on Google as the industry leader and Microsoft Bing as a competitor. Because of its early debut and subsequent dominance, Google has been able to influence consumer behaviour and industry standards. In an increasingly regulated and innovative environment, Bing has evolved adaptable techniques to contest this position. Because of the industry's rapid improvements in artificial intelligence and increased scrutiny from competition authorities, it offers a pertinent background for evaluating pioneer-follower relations.</w:t>
      </w:r>
    </w:p>
    <w:p w14:paraId="556F8874" w14:textId="63456360" w:rsidR="46BE696B" w:rsidRDefault="46BE696B" w:rsidP="2667042B">
      <w:pPr>
        <w:spacing w:line="360" w:lineRule="auto"/>
        <w:jc w:val="both"/>
        <w:rPr>
          <w:rFonts w:ascii="Arial" w:eastAsia="Arial" w:hAnsi="Arial" w:cs="Arial"/>
        </w:rPr>
      </w:pPr>
      <w:r w:rsidRPr="2667042B">
        <w:rPr>
          <w:rFonts w:ascii="Arial" w:eastAsia="Arial" w:hAnsi="Arial" w:cs="Arial"/>
        </w:rPr>
        <w:t xml:space="preserve">             </w:t>
      </w:r>
      <w:r>
        <w:rPr>
          <w:noProof/>
        </w:rPr>
        <w:drawing>
          <wp:inline distT="0" distB="0" distL="0" distR="0" wp14:anchorId="47D06B61" wp14:editId="5C58C43C">
            <wp:extent cx="4686954" cy="1743318"/>
            <wp:effectExtent l="0" t="0" r="0" b="0"/>
            <wp:docPr id="15777531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53149" name="Picture 1577753149"/>
                    <pic:cNvPicPr/>
                  </pic:nvPicPr>
                  <pic:blipFill>
                    <a:blip r:embed="rId8">
                      <a:extLst>
                        <a:ext uri="{28A0092B-C50C-407E-A947-70E740481C1C}">
                          <a14:useLocalDpi xmlns:a14="http://schemas.microsoft.com/office/drawing/2010/main"/>
                        </a:ext>
                      </a:extLst>
                    </a:blip>
                    <a:stretch>
                      <a:fillRect/>
                    </a:stretch>
                  </pic:blipFill>
                  <pic:spPr>
                    <a:xfrm>
                      <a:off x="0" y="0"/>
                      <a:ext cx="4686954" cy="1743318"/>
                    </a:xfrm>
                    <a:prstGeom prst="rect">
                      <a:avLst/>
                    </a:prstGeom>
                  </pic:spPr>
                </pic:pic>
              </a:graphicData>
            </a:graphic>
          </wp:inline>
        </w:drawing>
      </w:r>
    </w:p>
    <w:p w14:paraId="17802DFE" w14:textId="4A53B3DA" w:rsidR="46BE696B" w:rsidRDefault="46BE696B" w:rsidP="2667042B">
      <w:pPr>
        <w:spacing w:line="360" w:lineRule="auto"/>
        <w:jc w:val="both"/>
        <w:rPr>
          <w:rFonts w:ascii="Arial" w:eastAsia="Arial" w:hAnsi="Arial" w:cs="Arial"/>
        </w:rPr>
      </w:pPr>
      <w:r w:rsidRPr="2667042B">
        <w:rPr>
          <w:rFonts w:ascii="Arial" w:eastAsia="Arial" w:hAnsi="Arial" w:cs="Arial"/>
        </w:rPr>
        <w:t>Figure</w:t>
      </w:r>
      <w:r w:rsidR="6A55D9F0" w:rsidRPr="2667042B">
        <w:rPr>
          <w:rFonts w:ascii="Arial" w:eastAsia="Arial" w:hAnsi="Arial" w:cs="Arial"/>
        </w:rPr>
        <w:t xml:space="preserve"> 1</w:t>
      </w:r>
      <w:r w:rsidRPr="2667042B">
        <w:rPr>
          <w:rFonts w:ascii="Arial" w:eastAsia="Arial" w:hAnsi="Arial" w:cs="Arial"/>
        </w:rPr>
        <w:t>: Google and Bing logo</w:t>
      </w:r>
    </w:p>
    <w:p w14:paraId="3FEFF72F" w14:textId="7326993E" w:rsidR="515521EF" w:rsidRDefault="46BE696B" w:rsidP="2667042B">
      <w:pPr>
        <w:spacing w:line="360" w:lineRule="auto"/>
        <w:jc w:val="both"/>
        <w:rPr>
          <w:rFonts w:ascii="Arial" w:eastAsia="Arial" w:hAnsi="Arial" w:cs="Arial"/>
        </w:rPr>
      </w:pPr>
      <w:r w:rsidRPr="2667042B">
        <w:rPr>
          <w:rFonts w:ascii="Arial" w:eastAsia="Arial" w:hAnsi="Arial" w:cs="Arial"/>
        </w:rPr>
        <w:lastRenderedPageBreak/>
        <w:t>Source: 103degrees.com</w:t>
      </w:r>
    </w:p>
    <w:p w14:paraId="5B339B17" w14:textId="4D22A502" w:rsidR="515521EF" w:rsidRDefault="515521EF" w:rsidP="2667042B">
      <w:pPr>
        <w:spacing w:line="360" w:lineRule="auto"/>
        <w:jc w:val="both"/>
        <w:rPr>
          <w:rFonts w:ascii="Arial" w:eastAsia="Arial" w:hAnsi="Arial" w:cs="Arial"/>
        </w:rPr>
      </w:pPr>
      <w:r w:rsidRPr="2667042B">
        <w:rPr>
          <w:rFonts w:ascii="Arial" w:eastAsia="Arial" w:hAnsi="Arial" w:cs="Arial"/>
        </w:rPr>
        <w:t xml:space="preserve">The report is divided into two sections. To evaluate the potential and risks they pose </w:t>
      </w:r>
      <w:r w:rsidR="00DF5D1B">
        <w:rPr>
          <w:rFonts w:ascii="Arial" w:eastAsia="Arial" w:hAnsi="Arial" w:cs="Arial"/>
        </w:rPr>
        <w:t>to both companies and their influence on competitive positioning, Part 1 critically examines two important macro-marketing factors, such as government regulation and technological</w:t>
      </w:r>
      <w:r w:rsidRPr="2667042B">
        <w:rPr>
          <w:rFonts w:ascii="Arial" w:eastAsia="Arial" w:hAnsi="Arial" w:cs="Arial"/>
        </w:rPr>
        <w:t xml:space="preserve"> advancement. Using Porter's Generic Strategies and Ansoff's Growth Matrix to evaluate how each company aims to preserve or improve its competitive advantage, Part 2 expands on this analysis by analysing the strategic responses taken by Google and Bing to sustain growth.</w:t>
      </w:r>
    </w:p>
    <w:p w14:paraId="47856659" w14:textId="07EA41E6" w:rsidR="0382FCD4" w:rsidRDefault="0382FCD4" w:rsidP="2667042B">
      <w:pPr>
        <w:pStyle w:val="Heading1"/>
        <w:keepNext w:val="0"/>
        <w:keepLines w:val="0"/>
        <w:spacing w:line="360" w:lineRule="auto"/>
        <w:rPr>
          <w:rFonts w:ascii="Arial" w:eastAsia="Arial" w:hAnsi="Arial" w:cs="Arial"/>
          <w:sz w:val="32"/>
          <w:szCs w:val="32"/>
        </w:rPr>
      </w:pPr>
      <w:bookmarkStart w:id="3" w:name="_Toc222503648"/>
      <w:r w:rsidRPr="2667042B">
        <w:rPr>
          <w:rFonts w:ascii="Arial" w:eastAsia="Arial" w:hAnsi="Arial" w:cs="Arial"/>
          <w:sz w:val="32"/>
          <w:szCs w:val="32"/>
        </w:rPr>
        <w:t>2. Industry Context: The Search Engine Market</w:t>
      </w:r>
      <w:bookmarkEnd w:id="3"/>
    </w:p>
    <w:p w14:paraId="36DE2256" w14:textId="3ED69E79" w:rsidR="1096F359" w:rsidRDefault="1096F359" w:rsidP="2667042B">
      <w:pPr>
        <w:spacing w:line="360" w:lineRule="auto"/>
        <w:jc w:val="both"/>
        <w:rPr>
          <w:rFonts w:ascii="Arial" w:eastAsia="Arial" w:hAnsi="Arial" w:cs="Arial"/>
        </w:rPr>
      </w:pPr>
      <w:r w:rsidRPr="2667042B">
        <w:rPr>
          <w:rFonts w:ascii="Arial" w:eastAsia="Arial" w:hAnsi="Arial" w:cs="Arial"/>
        </w:rPr>
        <w:t>The global search engine sector, which supports digital advertising, data-driven marketing ecosystems, and online information retrieval, is a key part of the digital economy.</w:t>
      </w:r>
      <w:r w:rsidR="2BFC1AE0" w:rsidRPr="2667042B">
        <w:rPr>
          <w:rFonts w:ascii="Arial" w:eastAsia="Arial" w:hAnsi="Arial" w:cs="Arial"/>
        </w:rPr>
        <w:t xml:space="preserve"> Strong network effects, substantial economies of scale from data collecting and algorithmic learning, and exceptionally high concentration are characteristics of the market. </w:t>
      </w:r>
      <w:r w:rsidR="46C0E1AB" w:rsidRPr="2667042B">
        <w:rPr>
          <w:rFonts w:ascii="Arial" w:eastAsia="Arial" w:hAnsi="Arial" w:cs="Arial"/>
        </w:rPr>
        <w:t>While s</w:t>
      </w:r>
      <w:r w:rsidR="2BFC1AE0" w:rsidRPr="2667042B">
        <w:rPr>
          <w:rFonts w:ascii="Arial" w:eastAsia="Arial" w:hAnsi="Arial" w:cs="Arial"/>
        </w:rPr>
        <w:t xml:space="preserve">everal </w:t>
      </w:r>
      <w:r w:rsidR="5F1BA5CF" w:rsidRPr="2667042B">
        <w:rPr>
          <w:rFonts w:ascii="Arial" w:eastAsia="Arial" w:hAnsi="Arial" w:cs="Arial"/>
        </w:rPr>
        <w:t>researchers</w:t>
      </w:r>
      <w:r w:rsidR="2BFC1AE0" w:rsidRPr="2667042B">
        <w:rPr>
          <w:rFonts w:ascii="Arial" w:eastAsia="Arial" w:hAnsi="Arial" w:cs="Arial"/>
        </w:rPr>
        <w:t xml:space="preserve"> mainta</w:t>
      </w:r>
      <w:r w:rsidR="14CF0DE5" w:rsidRPr="2667042B">
        <w:rPr>
          <w:rFonts w:ascii="Arial" w:eastAsia="Arial" w:hAnsi="Arial" w:cs="Arial"/>
        </w:rPr>
        <w:t xml:space="preserve">in that </w:t>
      </w:r>
      <w:r w:rsidR="3E0AA655" w:rsidRPr="2667042B">
        <w:rPr>
          <w:rFonts w:ascii="Arial" w:eastAsia="Arial" w:hAnsi="Arial" w:cs="Arial"/>
        </w:rPr>
        <w:t xml:space="preserve">the worldwide search engine market is dominated by Google, </w:t>
      </w:r>
      <w:r w:rsidR="2FF30ABF" w:rsidRPr="2667042B">
        <w:rPr>
          <w:rFonts w:ascii="Arial" w:eastAsia="Arial" w:hAnsi="Arial" w:cs="Arial"/>
        </w:rPr>
        <w:t>others firmly believe that Google currently holds a monopoly in the search engine market and will be able to do so in the future (</w:t>
      </w:r>
      <w:r w:rsidR="4611037C" w:rsidRPr="2667042B">
        <w:rPr>
          <w:rFonts w:ascii="Arial" w:eastAsia="Arial" w:hAnsi="Arial" w:cs="Arial"/>
        </w:rPr>
        <w:t>Case</w:t>
      </w:r>
      <w:r w:rsidR="04765361" w:rsidRPr="2667042B">
        <w:rPr>
          <w:rFonts w:ascii="Arial" w:eastAsia="Arial" w:hAnsi="Arial" w:cs="Arial"/>
        </w:rPr>
        <w:t xml:space="preserve">, </w:t>
      </w:r>
      <w:r w:rsidR="4611037C" w:rsidRPr="2667042B">
        <w:rPr>
          <w:rFonts w:ascii="Arial" w:eastAsia="Arial" w:hAnsi="Arial" w:cs="Arial"/>
        </w:rPr>
        <w:t>2020; Smyrnaios, 2019</w:t>
      </w:r>
      <w:r w:rsidR="1F033CC5" w:rsidRPr="2667042B">
        <w:rPr>
          <w:rFonts w:ascii="Arial" w:eastAsia="Arial" w:hAnsi="Arial" w:cs="Arial"/>
        </w:rPr>
        <w:t>; Si and Ye, 2022</w:t>
      </w:r>
      <w:r w:rsidR="4611037C" w:rsidRPr="2667042B">
        <w:rPr>
          <w:rFonts w:ascii="Arial" w:eastAsia="Arial" w:hAnsi="Arial" w:cs="Arial"/>
        </w:rPr>
        <w:t>)</w:t>
      </w:r>
      <w:r w:rsidR="2FF30ABF" w:rsidRPr="2667042B">
        <w:rPr>
          <w:rFonts w:ascii="Arial" w:eastAsia="Arial" w:hAnsi="Arial" w:cs="Arial"/>
        </w:rPr>
        <w:t>.</w:t>
      </w:r>
      <w:r w:rsidR="464B61B4" w:rsidRPr="2667042B">
        <w:rPr>
          <w:rFonts w:ascii="Arial" w:eastAsia="Arial" w:hAnsi="Arial" w:cs="Arial"/>
        </w:rPr>
        <w:t xml:space="preserve"> Figure </w:t>
      </w:r>
      <w:r w:rsidR="00CC61A1" w:rsidRPr="2667042B">
        <w:rPr>
          <w:rFonts w:ascii="Arial" w:eastAsia="Arial" w:hAnsi="Arial" w:cs="Arial"/>
        </w:rPr>
        <w:t>2</w:t>
      </w:r>
      <w:r w:rsidR="464B61B4" w:rsidRPr="2667042B">
        <w:rPr>
          <w:rFonts w:ascii="Arial" w:eastAsia="Arial" w:hAnsi="Arial" w:cs="Arial"/>
        </w:rPr>
        <w:t xml:space="preserve"> shows th</w:t>
      </w:r>
      <w:r w:rsidR="093280E9" w:rsidRPr="2667042B">
        <w:rPr>
          <w:rFonts w:ascii="Arial" w:eastAsia="Arial" w:hAnsi="Arial" w:cs="Arial"/>
        </w:rPr>
        <w:t>at</w:t>
      </w:r>
      <w:r w:rsidR="464B61B4" w:rsidRPr="2667042B">
        <w:rPr>
          <w:rFonts w:ascii="Arial" w:eastAsia="Arial" w:hAnsi="Arial" w:cs="Arial"/>
        </w:rPr>
        <w:t xml:space="preserve"> </w:t>
      </w:r>
      <w:r w:rsidR="123380B5" w:rsidRPr="2667042B">
        <w:rPr>
          <w:rFonts w:ascii="Arial" w:eastAsia="Arial" w:hAnsi="Arial" w:cs="Arial"/>
        </w:rPr>
        <w:t>Google held 91.75</w:t>
      </w:r>
      <w:r w:rsidR="79FB3D87" w:rsidRPr="2667042B">
        <w:rPr>
          <w:rFonts w:ascii="Arial" w:eastAsia="Arial" w:hAnsi="Arial" w:cs="Arial"/>
        </w:rPr>
        <w:t>%</w:t>
      </w:r>
      <w:r w:rsidR="123380B5" w:rsidRPr="2667042B">
        <w:rPr>
          <w:rFonts w:ascii="Arial" w:eastAsia="Arial" w:hAnsi="Arial" w:cs="Arial"/>
        </w:rPr>
        <w:t xml:space="preserve"> of the worldwide search share between June 2019 and June 2020. Bing finished second with 2.75</w:t>
      </w:r>
      <w:r w:rsidR="6554A9FB" w:rsidRPr="2667042B">
        <w:rPr>
          <w:rFonts w:ascii="Arial" w:eastAsia="Arial" w:hAnsi="Arial" w:cs="Arial"/>
        </w:rPr>
        <w:t>%</w:t>
      </w:r>
      <w:r w:rsidR="123380B5" w:rsidRPr="2667042B">
        <w:rPr>
          <w:rFonts w:ascii="Arial" w:eastAsia="Arial" w:hAnsi="Arial" w:cs="Arial"/>
        </w:rPr>
        <w:t>. Other search engines like Yahoo and DuckDuckGo held less than 40% of the market during this time</w:t>
      </w:r>
      <w:r w:rsidR="54B81C93" w:rsidRPr="2667042B">
        <w:rPr>
          <w:rFonts w:ascii="Arial" w:eastAsia="Arial" w:hAnsi="Arial" w:cs="Arial"/>
        </w:rPr>
        <w:t>, according to Brainvire (2021).</w:t>
      </w:r>
    </w:p>
    <w:p w14:paraId="1235D087" w14:textId="63E7C328" w:rsidR="42BDA591" w:rsidRDefault="42BDA591" w:rsidP="2667042B">
      <w:pPr>
        <w:spacing w:line="360" w:lineRule="auto"/>
        <w:rPr>
          <w:rFonts w:ascii="Arial" w:eastAsia="Arial" w:hAnsi="Arial" w:cs="Arial"/>
        </w:rPr>
      </w:pPr>
      <w:r>
        <w:rPr>
          <w:noProof/>
        </w:rPr>
        <w:drawing>
          <wp:inline distT="0" distB="0" distL="0" distR="0" wp14:anchorId="22E5E404" wp14:editId="6051F71B">
            <wp:extent cx="4953000" cy="2800350"/>
            <wp:effectExtent l="0" t="0" r="0" b="0"/>
            <wp:docPr id="5086458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45801" name="Picture 508645801"/>
                    <pic:cNvPicPr/>
                  </pic:nvPicPr>
                  <pic:blipFill>
                    <a:blip r:embed="rId9">
                      <a:extLst>
                        <a:ext uri="{28A0092B-C50C-407E-A947-70E740481C1C}">
                          <a14:useLocalDpi xmlns:a14="http://schemas.microsoft.com/office/drawing/2010/main"/>
                        </a:ext>
                      </a:extLst>
                    </a:blip>
                    <a:stretch>
                      <a:fillRect/>
                    </a:stretch>
                  </pic:blipFill>
                  <pic:spPr>
                    <a:xfrm>
                      <a:off x="0" y="0"/>
                      <a:ext cx="4953000" cy="2800350"/>
                    </a:xfrm>
                    <a:prstGeom prst="rect">
                      <a:avLst/>
                    </a:prstGeom>
                  </pic:spPr>
                </pic:pic>
              </a:graphicData>
            </a:graphic>
          </wp:inline>
        </w:drawing>
      </w:r>
    </w:p>
    <w:p w14:paraId="7FB46613" w14:textId="5727A1F6" w:rsidR="55FF0DC3" w:rsidRDefault="55FF0DC3" w:rsidP="2667042B">
      <w:pPr>
        <w:spacing w:line="360" w:lineRule="auto"/>
        <w:jc w:val="both"/>
        <w:rPr>
          <w:rFonts w:ascii="Arial" w:eastAsia="Arial" w:hAnsi="Arial" w:cs="Arial"/>
        </w:rPr>
      </w:pPr>
      <w:r w:rsidRPr="2667042B">
        <w:rPr>
          <w:rFonts w:ascii="Arial" w:eastAsia="Arial" w:hAnsi="Arial" w:cs="Arial"/>
        </w:rPr>
        <w:lastRenderedPageBreak/>
        <w:t xml:space="preserve">Figure </w:t>
      </w:r>
      <w:r w:rsidR="0DCB7390" w:rsidRPr="2667042B">
        <w:rPr>
          <w:rFonts w:ascii="Arial" w:eastAsia="Arial" w:hAnsi="Arial" w:cs="Arial"/>
        </w:rPr>
        <w:t>2</w:t>
      </w:r>
      <w:r w:rsidRPr="2667042B">
        <w:rPr>
          <w:rFonts w:ascii="Arial" w:eastAsia="Arial" w:hAnsi="Arial" w:cs="Arial"/>
        </w:rPr>
        <w:t xml:space="preserve">: </w:t>
      </w:r>
      <w:r w:rsidR="06DCC512" w:rsidRPr="2667042B">
        <w:rPr>
          <w:rFonts w:ascii="Arial" w:eastAsia="Arial" w:hAnsi="Arial" w:cs="Arial"/>
        </w:rPr>
        <w:t>Search Engine Statistics</w:t>
      </w:r>
    </w:p>
    <w:p w14:paraId="61DF0CF7" w14:textId="436A8AA1" w:rsidR="55FF0DC3" w:rsidRDefault="55FF0DC3" w:rsidP="2667042B">
      <w:pPr>
        <w:spacing w:line="360" w:lineRule="auto"/>
        <w:jc w:val="both"/>
        <w:rPr>
          <w:rFonts w:ascii="Arial" w:eastAsia="Arial" w:hAnsi="Arial" w:cs="Arial"/>
        </w:rPr>
      </w:pPr>
      <w:r w:rsidRPr="2667042B">
        <w:rPr>
          <w:rFonts w:ascii="Arial" w:eastAsia="Arial" w:hAnsi="Arial" w:cs="Arial"/>
        </w:rPr>
        <w:t>Source: Brainvire (2021)</w:t>
      </w:r>
    </w:p>
    <w:p w14:paraId="3CBDC214" w14:textId="4CCC307A" w:rsidR="77ACC7B4" w:rsidRDefault="77ACC7B4" w:rsidP="2667042B">
      <w:pPr>
        <w:spacing w:line="360" w:lineRule="auto"/>
        <w:jc w:val="both"/>
      </w:pPr>
      <w:r w:rsidRPr="2667042B">
        <w:rPr>
          <w:rFonts w:ascii="Arial" w:eastAsia="Arial" w:hAnsi="Arial" w:cs="Arial"/>
        </w:rPr>
        <w:t>However, when it comes to fundamental search features, Google and Bing are identical. In addition to a shopping feature and news feed, both may assist with text, video, image, and map searches.</w:t>
      </w:r>
    </w:p>
    <w:p w14:paraId="686A6813" w14:textId="20FE43C8" w:rsidR="08459DAE" w:rsidRDefault="08459DAE" w:rsidP="2667042B">
      <w:pPr>
        <w:spacing w:line="360" w:lineRule="auto"/>
        <w:jc w:val="both"/>
        <w:rPr>
          <w:rFonts w:ascii="Arial" w:eastAsia="Arial" w:hAnsi="Arial" w:cs="Arial"/>
        </w:rPr>
      </w:pPr>
      <w:r w:rsidRPr="2667042B">
        <w:rPr>
          <w:rFonts w:ascii="Arial" w:eastAsia="Arial" w:hAnsi="Arial" w:cs="Arial"/>
        </w:rPr>
        <w:t xml:space="preserve">Because it entered the market early and set technology standards that changed how people access and process information online, Google might be considered a pioneering company. Its extensive integration across complementary platforms like YouTube, Android, and Google Ads, together with ongoing innovation in search engines, advertising technology, and artificial intelligence, strengthen its first-mover advantage. Because of these interdependencies, Google </w:t>
      </w:r>
      <w:r w:rsidR="1D70126E" w:rsidRPr="2667042B">
        <w:rPr>
          <w:rFonts w:ascii="Arial" w:eastAsia="Arial" w:hAnsi="Arial" w:cs="Arial"/>
        </w:rPr>
        <w:t xml:space="preserve">can </w:t>
      </w:r>
      <w:r w:rsidRPr="2667042B">
        <w:rPr>
          <w:rFonts w:ascii="Arial" w:eastAsia="Arial" w:hAnsi="Arial" w:cs="Arial"/>
        </w:rPr>
        <w:t>maintain its market leadership over time due to high switching costs and client lock-in.</w:t>
      </w:r>
    </w:p>
    <w:p w14:paraId="32BF9F64" w14:textId="46356A9D" w:rsidR="0CF8D7F6" w:rsidRDefault="0CF8D7F6" w:rsidP="2667042B">
      <w:pPr>
        <w:spacing w:line="360" w:lineRule="auto"/>
        <w:jc w:val="both"/>
        <w:rPr>
          <w:rFonts w:ascii="Arial" w:eastAsia="Arial" w:hAnsi="Arial" w:cs="Arial"/>
        </w:rPr>
      </w:pPr>
      <w:r w:rsidRPr="2667042B">
        <w:rPr>
          <w:rFonts w:ascii="Arial" w:eastAsia="Arial" w:hAnsi="Arial" w:cs="Arial"/>
        </w:rPr>
        <w:t>In contrast, Microsoft Bing joined the search engine industry as a follower after Google had taken the lead. In the past, Bing has had difficulty overcoming Google's superior performance metrics and well-known brand. But being a follower has also given Bing more strategic freedom, allowing it to use Microsoft's wider ecosystem and outside alliances to set itself apart. Therefore, the pioneer-follower difference offers a helpful analytical lens for comprehending how competitive positioning within the same market might be affected unevenly by macro-environmental influences. Despite being a part of Microsoft's larger product ecosystem, which includes the Edge browser, Bing's market share is still very small when compared to top rivals like Chrome and Safari. This implies that Bing and related Microsoft products are still solidifying and growing their market dominance despite ecosystem integration (</w:t>
      </w:r>
      <w:r w:rsidR="205E8561" w:rsidRPr="2667042B">
        <w:rPr>
          <w:rFonts w:ascii="Arial" w:eastAsia="Arial" w:hAnsi="Arial" w:cs="Arial"/>
        </w:rPr>
        <w:t>Gralla, 2023)</w:t>
      </w:r>
      <w:r w:rsidRPr="2667042B">
        <w:rPr>
          <w:rFonts w:ascii="Arial" w:eastAsia="Arial" w:hAnsi="Arial" w:cs="Arial"/>
        </w:rPr>
        <w:t>.</w:t>
      </w:r>
    </w:p>
    <w:p w14:paraId="57A56121" w14:textId="7403DD10" w:rsidR="3753AC11" w:rsidRDefault="3753AC11" w:rsidP="2667042B">
      <w:pPr>
        <w:spacing w:line="360" w:lineRule="auto"/>
        <w:jc w:val="both"/>
        <w:rPr>
          <w:rFonts w:ascii="Arial" w:eastAsia="Arial" w:hAnsi="Arial" w:cs="Arial"/>
        </w:rPr>
      </w:pPr>
      <w:r w:rsidRPr="2667042B">
        <w:rPr>
          <w:rFonts w:ascii="Arial" w:eastAsia="Arial" w:hAnsi="Arial" w:cs="Arial"/>
        </w:rPr>
        <w:t xml:space="preserve">Because the search engine sector heavily relies on cutting-edge technologies and uses a lot of personal data, it is especially vulnerable to macro-marketing impacts. What Guay and Birch (2022) refer to as "digital exhaust," which is influenced by socio-technical imaginaries that affect how personal data is perceived as a political-economic asset, determines the economic value produced by search engines. Particularly in countries like the USA and the EU, these shared understandings serve as the foundation for governance models and legislative frameworks, raising concerns about data exploitation, market domination, and advancements in artificial intelligence. Therefore, external technical and regulatory influences are crucial in defining how </w:t>
      </w:r>
      <w:r w:rsidRPr="2667042B">
        <w:rPr>
          <w:rFonts w:ascii="Arial" w:eastAsia="Arial" w:hAnsi="Arial" w:cs="Arial"/>
        </w:rPr>
        <w:lastRenderedPageBreak/>
        <w:t>firms make strategic decisions, how competitive advantage is established and maintained within the industry, and how competitive pressures are shaped.</w:t>
      </w:r>
      <w:r w:rsidR="59ED020A" w:rsidRPr="2667042B">
        <w:rPr>
          <w:rFonts w:ascii="Arial" w:eastAsia="Arial" w:hAnsi="Arial" w:cs="Arial"/>
        </w:rPr>
        <w:t xml:space="preserve"> </w:t>
      </w:r>
    </w:p>
    <w:p w14:paraId="1F5E66D6" w14:textId="7A3872A5" w:rsidR="7B9A3308" w:rsidRDefault="7B9A3308" w:rsidP="2667042B">
      <w:pPr>
        <w:spacing w:line="360" w:lineRule="auto"/>
        <w:jc w:val="both"/>
        <w:rPr>
          <w:rFonts w:ascii="Arial" w:eastAsia="Arial" w:hAnsi="Arial" w:cs="Arial"/>
        </w:rPr>
      </w:pPr>
      <w:r w:rsidRPr="2667042B">
        <w:rPr>
          <w:rFonts w:ascii="Arial" w:eastAsia="Arial" w:hAnsi="Arial" w:cs="Arial"/>
        </w:rPr>
        <w:t xml:space="preserve">Jerzy and Pawełoszek (2023) </w:t>
      </w:r>
      <w:r w:rsidR="757BE398" w:rsidRPr="2667042B">
        <w:rPr>
          <w:rFonts w:ascii="Arial" w:eastAsia="Arial" w:hAnsi="Arial" w:cs="Arial"/>
        </w:rPr>
        <w:t>remark that r</w:t>
      </w:r>
      <w:r w:rsidR="64B5430D" w:rsidRPr="2667042B">
        <w:rPr>
          <w:rFonts w:ascii="Arial" w:eastAsia="Arial" w:hAnsi="Arial" w:cs="Arial"/>
        </w:rPr>
        <w:t>apid advancements in artificial intelligence have significantly intensified competitive pressures within the search engine industry, particularly between Google and Microsoft Bing, as both firms integrate generative AI capabilities into their platforms. This rivalry extends beyond search functionality into cloud-based AI infrastructures, where companies such as Google and Microsoft leverage vertically integrated ecosystems and proprietary data to consolidate market power</w:t>
      </w:r>
      <w:r w:rsidR="4C5A5D6B" w:rsidRPr="2667042B">
        <w:rPr>
          <w:rFonts w:ascii="Arial" w:eastAsia="Arial" w:hAnsi="Arial" w:cs="Arial"/>
        </w:rPr>
        <w:t xml:space="preserve"> (Dieuwertje, 2024)</w:t>
      </w:r>
      <w:r w:rsidR="64B5430D" w:rsidRPr="2667042B">
        <w:rPr>
          <w:rFonts w:ascii="Arial" w:eastAsia="Arial" w:hAnsi="Arial" w:cs="Arial"/>
        </w:rPr>
        <w:t>. At the same time, increasing regulatory scrutiny over market dominance, data usage, and AI governance complicates these strategic moves, shaping the boundaries within which firms can innovate and compete. Consequently, analysing these external technological and regulatory actors is critical for understanding how strategic advantage in the sector is created, sustained, or constrained.</w:t>
      </w:r>
    </w:p>
    <w:p w14:paraId="01647758" w14:textId="3736C2AC" w:rsidR="2500D9C4" w:rsidRDefault="2500D9C4" w:rsidP="2667042B">
      <w:pPr>
        <w:pStyle w:val="Heading1"/>
        <w:keepNext w:val="0"/>
        <w:keepLines w:val="0"/>
        <w:spacing w:line="360" w:lineRule="auto"/>
        <w:rPr>
          <w:rFonts w:ascii="Arial" w:eastAsia="Arial" w:hAnsi="Arial" w:cs="Arial"/>
          <w:sz w:val="32"/>
          <w:szCs w:val="32"/>
        </w:rPr>
      </w:pPr>
      <w:bookmarkStart w:id="4" w:name="_Toc222503649"/>
      <w:r w:rsidRPr="2667042B">
        <w:rPr>
          <w:rFonts w:ascii="Arial" w:eastAsia="Arial" w:hAnsi="Arial" w:cs="Arial"/>
          <w:sz w:val="32"/>
          <w:szCs w:val="32"/>
        </w:rPr>
        <w:t>3. Macro</w:t>
      </w:r>
      <w:r w:rsidR="0836176F" w:rsidRPr="2667042B">
        <w:rPr>
          <w:rFonts w:ascii="Arial" w:eastAsia="Arial" w:hAnsi="Arial" w:cs="Arial"/>
          <w:sz w:val="32"/>
          <w:szCs w:val="32"/>
        </w:rPr>
        <w:t xml:space="preserve"> </w:t>
      </w:r>
      <w:r w:rsidRPr="2667042B">
        <w:rPr>
          <w:rFonts w:ascii="Arial" w:eastAsia="Arial" w:hAnsi="Arial" w:cs="Arial"/>
          <w:sz w:val="32"/>
          <w:szCs w:val="32"/>
        </w:rPr>
        <w:t>Marketing Actor 1: Technological Change and Artificial Intelligence</w:t>
      </w:r>
      <w:bookmarkEnd w:id="4"/>
    </w:p>
    <w:p w14:paraId="305A9D5E" w14:textId="6B408816" w:rsidR="2778A036" w:rsidRDefault="2778A036" w:rsidP="2667042B">
      <w:pPr>
        <w:spacing w:line="360" w:lineRule="auto"/>
        <w:jc w:val="both"/>
        <w:rPr>
          <w:rFonts w:ascii="Arial" w:eastAsia="Arial" w:hAnsi="Arial" w:cs="Arial"/>
        </w:rPr>
      </w:pPr>
      <w:r w:rsidRPr="2667042B">
        <w:rPr>
          <w:rFonts w:ascii="Arial" w:eastAsia="Arial" w:hAnsi="Arial" w:cs="Arial"/>
        </w:rPr>
        <w:t xml:space="preserve">The competitiveness in the search engine sector is being shaped by technological progress, especially the rise of generative artificial intelligence and large language models (LLMs). Historically, search engines served mainly as information retrieval tools, allowing users to conduct keyword-based queries to obtain pre-existing web content. But the incorporation of LLMs has changed search into a generative and cognitive system that can generate unique outputs like text, code, and analytical answers, changing both the value proposition of search platforms and user expectations. </w:t>
      </w:r>
      <w:r w:rsidR="47B5BBB4" w:rsidRPr="2667042B">
        <w:rPr>
          <w:rFonts w:ascii="Arial" w:eastAsia="Arial" w:hAnsi="Arial" w:cs="Arial"/>
        </w:rPr>
        <w:t>In</w:t>
      </w:r>
      <w:r w:rsidR="4D0D7BE2" w:rsidRPr="2667042B">
        <w:rPr>
          <w:rFonts w:ascii="Arial" w:eastAsia="Arial" w:hAnsi="Arial" w:cs="Arial"/>
        </w:rPr>
        <w:t xml:space="preserve"> </w:t>
      </w:r>
      <w:r w:rsidR="7F964C1A" w:rsidRPr="2667042B">
        <w:rPr>
          <w:rFonts w:ascii="Arial" w:eastAsia="Arial" w:hAnsi="Arial" w:cs="Arial"/>
        </w:rPr>
        <w:t xml:space="preserve">a </w:t>
      </w:r>
      <w:r w:rsidR="4D0D7BE2" w:rsidRPr="2667042B">
        <w:rPr>
          <w:rFonts w:ascii="Arial" w:eastAsia="Arial" w:hAnsi="Arial" w:cs="Arial"/>
        </w:rPr>
        <w:t xml:space="preserve">recent study of </w:t>
      </w:r>
      <w:r w:rsidR="69969B09" w:rsidRPr="2667042B">
        <w:rPr>
          <w:rFonts w:ascii="Arial" w:eastAsia="Arial" w:hAnsi="Arial" w:cs="Arial"/>
        </w:rPr>
        <w:t>Sadeddine</w:t>
      </w:r>
      <w:r w:rsidR="1D2FB600" w:rsidRPr="2667042B">
        <w:rPr>
          <w:rFonts w:ascii="Arial" w:eastAsia="Arial" w:hAnsi="Arial" w:cs="Arial"/>
        </w:rPr>
        <w:t xml:space="preserve"> (2025)</w:t>
      </w:r>
      <w:r w:rsidR="3E141A43" w:rsidRPr="2667042B">
        <w:rPr>
          <w:rFonts w:ascii="Arial" w:eastAsia="Arial" w:hAnsi="Arial" w:cs="Arial"/>
        </w:rPr>
        <w:t>,</w:t>
      </w:r>
      <w:r w:rsidR="1D2FB600" w:rsidRPr="2667042B">
        <w:rPr>
          <w:rFonts w:ascii="Arial" w:eastAsia="Arial" w:hAnsi="Arial" w:cs="Arial"/>
        </w:rPr>
        <w:t xml:space="preserve"> </w:t>
      </w:r>
      <w:r w:rsidR="50575EE8" w:rsidRPr="2667042B">
        <w:rPr>
          <w:rFonts w:ascii="Arial" w:eastAsia="Arial" w:hAnsi="Arial" w:cs="Arial"/>
        </w:rPr>
        <w:t>there is a theory that s</w:t>
      </w:r>
      <w:r w:rsidRPr="2667042B">
        <w:rPr>
          <w:rFonts w:ascii="Arial" w:eastAsia="Arial" w:hAnsi="Arial" w:cs="Arial"/>
        </w:rPr>
        <w:t>earch engines may eventually be superseded by Large Language Models (LLMs) as the main online information portal.</w:t>
      </w:r>
    </w:p>
    <w:p w14:paraId="7E8A42FC" w14:textId="27EF4629" w:rsidR="1936AEF5" w:rsidRDefault="1936AEF5" w:rsidP="2667042B">
      <w:pPr>
        <w:spacing w:line="360" w:lineRule="auto"/>
        <w:jc w:val="both"/>
        <w:rPr>
          <w:rFonts w:ascii="Arial" w:eastAsia="Arial" w:hAnsi="Arial" w:cs="Arial"/>
        </w:rPr>
      </w:pPr>
      <w:r w:rsidRPr="2667042B">
        <w:rPr>
          <w:rFonts w:ascii="Arial" w:eastAsia="Arial" w:hAnsi="Arial" w:cs="Arial"/>
        </w:rPr>
        <w:t xml:space="preserve">Research on early generative search engines, such </w:t>
      </w:r>
      <w:r w:rsidR="0999100E" w:rsidRPr="2667042B">
        <w:rPr>
          <w:rFonts w:ascii="Arial" w:eastAsia="Arial" w:hAnsi="Arial" w:cs="Arial"/>
        </w:rPr>
        <w:t xml:space="preserve">as </w:t>
      </w:r>
      <w:r w:rsidRPr="2667042B">
        <w:rPr>
          <w:rFonts w:ascii="Arial" w:eastAsia="Arial" w:hAnsi="Arial" w:cs="Arial"/>
        </w:rPr>
        <w:t xml:space="preserve">Bing Copilot, shows that users are using these tools more frequently for complicated knowledge work activities that call for higher levels of cognitive processing than those usually associated with standard search engines (Suri et al., 2024). This change implies that generative search not only improves efficiency but also modifies the way users engage with </w:t>
      </w:r>
      <w:r w:rsidRPr="2667042B">
        <w:rPr>
          <w:rFonts w:ascii="Arial" w:eastAsia="Arial" w:hAnsi="Arial" w:cs="Arial"/>
        </w:rPr>
        <w:lastRenderedPageBreak/>
        <w:t>search technologies, establishing them as more than just navigational aids but as alternatives to human cognitive support. As a result, technological advancements cause a structural rather than a gradual disruption in the sector.</w:t>
      </w:r>
      <w:r w:rsidR="6C190C9D" w:rsidRPr="2667042B">
        <w:rPr>
          <w:rFonts w:ascii="Arial" w:eastAsia="Arial" w:hAnsi="Arial" w:cs="Arial"/>
        </w:rPr>
        <w:t xml:space="preserve"> </w:t>
      </w:r>
      <w:r w:rsidR="335ABA43" w:rsidRPr="2667042B">
        <w:rPr>
          <w:rFonts w:ascii="Arial" w:eastAsia="Arial" w:hAnsi="Arial" w:cs="Arial"/>
        </w:rPr>
        <w:t>This technical change poses a strategic challenge as well as an opportunity for Google. On the one hand, Google can quickly adapt to generative search thanks to its vast data assets, in-house AI research, and vertically integrated ecosystem, which strengthens its capacity to produce highly accurate and tailored results. However, the rise of generative search puts Google's long-standing search-advertising strategy in jeopardy because AI-generated results might make users less interested in conventional search result pages, which could disrup</w:t>
      </w:r>
      <w:r w:rsidR="3D639332" w:rsidRPr="2667042B">
        <w:rPr>
          <w:rFonts w:ascii="Arial" w:eastAsia="Arial" w:hAnsi="Arial" w:cs="Arial"/>
        </w:rPr>
        <w:t>t</w:t>
      </w:r>
      <w:r w:rsidR="335ABA43" w:rsidRPr="2667042B">
        <w:rPr>
          <w:rFonts w:ascii="Arial" w:eastAsia="Arial" w:hAnsi="Arial" w:cs="Arial"/>
        </w:rPr>
        <w:t xml:space="preserve"> advertising revenue sources.</w:t>
      </w:r>
    </w:p>
    <w:p w14:paraId="50FB0189" w14:textId="248C07C0" w:rsidR="5A662E40" w:rsidRDefault="5A662E40" w:rsidP="2667042B">
      <w:pPr>
        <w:spacing w:line="360" w:lineRule="auto"/>
        <w:jc w:val="both"/>
        <w:rPr>
          <w:rFonts w:ascii="Arial" w:eastAsia="Arial" w:hAnsi="Arial" w:cs="Arial"/>
        </w:rPr>
      </w:pPr>
      <w:r w:rsidRPr="2667042B">
        <w:rPr>
          <w:rFonts w:ascii="Arial" w:eastAsia="Arial" w:hAnsi="Arial" w:cs="Arial"/>
        </w:rPr>
        <w:t xml:space="preserve">ChatGPT and other generative AI chatbots are becoming well-liked substitutes for conventional search engines in online information retrieval. </w:t>
      </w:r>
      <w:r w:rsidR="676540F3" w:rsidRPr="2667042B">
        <w:rPr>
          <w:rFonts w:ascii="Arial" w:eastAsia="Arial" w:hAnsi="Arial" w:cs="Arial"/>
        </w:rPr>
        <w:t>Adomako et al. (2025) f</w:t>
      </w:r>
      <w:r w:rsidR="03B1B0BF" w:rsidRPr="2667042B">
        <w:rPr>
          <w:rFonts w:ascii="Arial" w:eastAsia="Arial" w:hAnsi="Arial" w:cs="Arial"/>
        </w:rPr>
        <w:t>ound that chatbots have become useful tools in the field of artificial intelligence in recent years, transforming how people use technology.</w:t>
      </w:r>
      <w:r w:rsidR="659760BC" w:rsidRPr="2667042B">
        <w:rPr>
          <w:rFonts w:ascii="Arial" w:eastAsia="Arial" w:hAnsi="Arial" w:cs="Arial"/>
        </w:rPr>
        <w:t xml:space="preserve"> Figure 2 illustrates how chatbots are used and how well they work in different industries between 2014 and 2025.</w:t>
      </w:r>
    </w:p>
    <w:p w14:paraId="46C794BD" w14:textId="04FDFDAA" w:rsidR="659760BC" w:rsidRDefault="659760BC" w:rsidP="2667042B">
      <w:pPr>
        <w:spacing w:line="360" w:lineRule="auto"/>
        <w:jc w:val="both"/>
        <w:rPr>
          <w:rFonts w:ascii="Arial" w:eastAsia="Arial" w:hAnsi="Arial" w:cs="Arial"/>
        </w:rPr>
      </w:pPr>
      <w:r>
        <w:rPr>
          <w:noProof/>
        </w:rPr>
        <w:drawing>
          <wp:inline distT="0" distB="0" distL="0" distR="0" wp14:anchorId="0057FFB0" wp14:editId="50B50407">
            <wp:extent cx="4677428" cy="2343478"/>
            <wp:effectExtent l="0" t="0" r="0" b="0"/>
            <wp:docPr id="20667503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50329" name="Picture 2066750329"/>
                    <pic:cNvPicPr/>
                  </pic:nvPicPr>
                  <pic:blipFill>
                    <a:blip r:embed="rId10">
                      <a:extLst>
                        <a:ext uri="{28A0092B-C50C-407E-A947-70E740481C1C}">
                          <a14:useLocalDpi xmlns:a14="http://schemas.microsoft.com/office/drawing/2010/main"/>
                        </a:ext>
                      </a:extLst>
                    </a:blip>
                    <a:stretch>
                      <a:fillRect/>
                    </a:stretch>
                  </pic:blipFill>
                  <pic:spPr>
                    <a:xfrm>
                      <a:off x="0" y="0"/>
                      <a:ext cx="4677428" cy="2343478"/>
                    </a:xfrm>
                    <a:prstGeom prst="rect">
                      <a:avLst/>
                    </a:prstGeom>
                  </pic:spPr>
                </pic:pic>
              </a:graphicData>
            </a:graphic>
          </wp:inline>
        </w:drawing>
      </w:r>
    </w:p>
    <w:p w14:paraId="5A8A5418" w14:textId="1456AEB3" w:rsidR="1CE94B5A" w:rsidRDefault="1CE94B5A" w:rsidP="2667042B">
      <w:pPr>
        <w:spacing w:line="360" w:lineRule="auto"/>
        <w:jc w:val="both"/>
        <w:rPr>
          <w:rFonts w:ascii="Arial" w:eastAsia="Arial" w:hAnsi="Arial" w:cs="Arial"/>
        </w:rPr>
      </w:pPr>
      <w:r w:rsidRPr="2667042B">
        <w:rPr>
          <w:rFonts w:ascii="Arial" w:eastAsia="Arial" w:hAnsi="Arial" w:cs="Arial"/>
        </w:rPr>
        <w:t>Figure 2: Evolution of chatbots and their performance</w:t>
      </w:r>
    </w:p>
    <w:p w14:paraId="254062C0" w14:textId="5BFC558F" w:rsidR="11448501" w:rsidRDefault="11448501" w:rsidP="2667042B">
      <w:pPr>
        <w:spacing w:line="360" w:lineRule="auto"/>
        <w:jc w:val="both"/>
        <w:rPr>
          <w:rFonts w:ascii="Arial" w:eastAsia="Arial" w:hAnsi="Arial" w:cs="Arial"/>
        </w:rPr>
      </w:pPr>
      <w:r w:rsidRPr="2667042B">
        <w:rPr>
          <w:rFonts w:ascii="Arial" w:eastAsia="Arial" w:hAnsi="Arial" w:cs="Arial"/>
        </w:rPr>
        <w:t>Source: Adomako et al. (2025)</w:t>
      </w:r>
    </w:p>
    <w:p w14:paraId="59721A95" w14:textId="62A5045C" w:rsidR="1CE94B5A" w:rsidRDefault="1CE94B5A" w:rsidP="2667042B">
      <w:pPr>
        <w:spacing w:line="360" w:lineRule="auto"/>
        <w:jc w:val="both"/>
        <w:rPr>
          <w:rFonts w:ascii="Arial" w:eastAsia="Arial" w:hAnsi="Arial" w:cs="Arial"/>
        </w:rPr>
      </w:pPr>
      <w:r w:rsidRPr="2667042B">
        <w:rPr>
          <w:rFonts w:ascii="Arial" w:eastAsia="Arial" w:hAnsi="Arial" w:cs="Arial"/>
        </w:rPr>
        <w:t>Even with their increasing popularity, there is still debate and research surrounding chatbots' efficacy.</w:t>
      </w:r>
      <w:r w:rsidR="24AEFD42" w:rsidRPr="2667042B">
        <w:rPr>
          <w:rFonts w:ascii="Arial" w:eastAsia="Arial" w:hAnsi="Arial" w:cs="Arial"/>
        </w:rPr>
        <w:t xml:space="preserve"> Interestingly, </w:t>
      </w:r>
      <w:r w:rsidR="5A662E40" w:rsidRPr="2667042B">
        <w:rPr>
          <w:rFonts w:ascii="Arial" w:eastAsia="Arial" w:hAnsi="Arial" w:cs="Arial"/>
        </w:rPr>
        <w:t>Kaiser et al. (2025)</w:t>
      </w:r>
      <w:r w:rsidR="15FC616A" w:rsidRPr="2667042B">
        <w:rPr>
          <w:rFonts w:ascii="Arial" w:eastAsia="Arial" w:hAnsi="Arial" w:cs="Arial"/>
        </w:rPr>
        <w:t xml:space="preserve"> showed interest in</w:t>
      </w:r>
      <w:r w:rsidR="5A662E40" w:rsidRPr="2667042B">
        <w:rPr>
          <w:rFonts w:ascii="Arial" w:eastAsia="Arial" w:hAnsi="Arial" w:cs="Arial"/>
        </w:rPr>
        <w:t xml:space="preserve"> ma</w:t>
      </w:r>
      <w:r w:rsidR="37205A7D" w:rsidRPr="2667042B">
        <w:rPr>
          <w:rFonts w:ascii="Arial" w:eastAsia="Arial" w:hAnsi="Arial" w:cs="Arial"/>
        </w:rPr>
        <w:t>king</w:t>
      </w:r>
      <w:r w:rsidR="5A662E40" w:rsidRPr="2667042B">
        <w:rPr>
          <w:rFonts w:ascii="Arial" w:eastAsia="Arial" w:hAnsi="Arial" w:cs="Arial"/>
        </w:rPr>
        <w:t xml:space="preserve"> an effort to assess how user behaviour and experience affect routine tasks. A custom-built program was used to track participants' behaviour throughout practical search tasks </w:t>
      </w:r>
      <w:r w:rsidR="5A662E40" w:rsidRPr="2667042B">
        <w:rPr>
          <w:rFonts w:ascii="Arial" w:eastAsia="Arial" w:hAnsi="Arial" w:cs="Arial"/>
        </w:rPr>
        <w:lastRenderedPageBreak/>
        <w:t>using either Google or ChatGPT in a large-scale study (n = 1,526) with a diverse U.S. sample. Users using ChatGPT were quicker and more likely to find the right answers than those using Google. Participants did, however, indicate a subjective preference for Google, with ChatGPT preference being more significantly influenced by users' personality profiles.</w:t>
      </w:r>
    </w:p>
    <w:p w14:paraId="00106E5D" w14:textId="6DA50B87" w:rsidR="0BED27B5" w:rsidRDefault="0BED27B5" w:rsidP="2667042B">
      <w:pPr>
        <w:spacing w:line="360" w:lineRule="auto"/>
        <w:jc w:val="both"/>
        <w:rPr>
          <w:rFonts w:ascii="Arial" w:eastAsia="Arial" w:hAnsi="Arial" w:cs="Arial"/>
        </w:rPr>
      </w:pPr>
      <w:r w:rsidRPr="2667042B">
        <w:rPr>
          <w:rFonts w:ascii="Arial" w:eastAsia="Arial" w:hAnsi="Arial" w:cs="Arial"/>
        </w:rPr>
        <w:t xml:space="preserve">As a follower company, Microsoft Bing, on the other hand, deals with a different strategic dynamic. The emergence of generative AI presents Bing with a significant chance to redefine search and reposition itself in the market. By embedding generative capabilities into its search interface, Bing has been able to differentiate its offering and attract users seeking advanced cognitive assistance rather than conventional information retrieval. </w:t>
      </w:r>
      <w:r w:rsidR="6171D534" w:rsidRPr="2667042B">
        <w:rPr>
          <w:rFonts w:ascii="Arial" w:eastAsia="Arial" w:hAnsi="Arial" w:cs="Arial"/>
        </w:rPr>
        <w:t>Bing's strategy fits in with more general developments in AI services and cognitive computing, like those provided by Microsoft Azure Cognitive Services (</w:t>
      </w:r>
      <w:r w:rsidR="4EED4764" w:rsidRPr="2667042B">
        <w:rPr>
          <w:rFonts w:ascii="Arial" w:eastAsia="Arial" w:hAnsi="Arial" w:cs="Arial"/>
        </w:rPr>
        <w:t>Seferlis et al., 2023)</w:t>
      </w:r>
      <w:r w:rsidR="6171D534" w:rsidRPr="2667042B">
        <w:rPr>
          <w:rFonts w:ascii="Arial" w:eastAsia="Arial" w:hAnsi="Arial" w:cs="Arial"/>
        </w:rPr>
        <w:t xml:space="preserve">. </w:t>
      </w:r>
      <w:r w:rsidRPr="2667042B">
        <w:rPr>
          <w:rFonts w:ascii="Arial" w:eastAsia="Arial" w:hAnsi="Arial" w:cs="Arial"/>
        </w:rPr>
        <w:t xml:space="preserve">However, Bing's smaller historical </w:t>
      </w:r>
      <w:r w:rsidR="2C7B900B" w:rsidRPr="2667042B">
        <w:rPr>
          <w:rFonts w:ascii="Arial" w:eastAsia="Arial" w:hAnsi="Arial" w:cs="Arial"/>
        </w:rPr>
        <w:t>database</w:t>
      </w:r>
      <w:r w:rsidRPr="2667042B">
        <w:rPr>
          <w:rFonts w:ascii="Arial" w:eastAsia="Arial" w:hAnsi="Arial" w:cs="Arial"/>
        </w:rPr>
        <w:t xml:space="preserve"> and relative reliance on outside AI capabilities limit this opportunity, potentially limiting the sustainability of its competitive gains.</w:t>
      </w:r>
    </w:p>
    <w:p w14:paraId="6BE138BA" w14:textId="409A3EA7" w:rsidR="4ED0E390" w:rsidRDefault="4ED0E390" w:rsidP="2667042B">
      <w:pPr>
        <w:spacing w:line="360" w:lineRule="auto"/>
        <w:jc w:val="both"/>
        <w:rPr>
          <w:rFonts w:ascii="Arial" w:eastAsia="Arial" w:hAnsi="Arial" w:cs="Arial"/>
        </w:rPr>
      </w:pPr>
      <w:r w:rsidRPr="2667042B">
        <w:rPr>
          <w:rFonts w:ascii="Arial" w:eastAsia="Arial" w:hAnsi="Arial" w:cs="Arial"/>
        </w:rPr>
        <w:t>Technological advancement exacerbates the asymmetry between innovators and followers from a competitive standpoint. While generative AI speeds up development cycles and reduces barriers to innovation, it also makes infrastructure, ecosystem integration, and data scale strategically more important. As a result, while technological advancements allow Bing to partially catch up, they ultimately strengthen Google's dominant position by consolidating advantages derived from long-term capability accumulation.</w:t>
      </w:r>
    </w:p>
    <w:p w14:paraId="79CCC7EA" w14:textId="6FD45DA4" w:rsidR="46497E09" w:rsidRDefault="46497E09" w:rsidP="2667042B">
      <w:pPr>
        <w:pStyle w:val="Heading1"/>
        <w:keepNext w:val="0"/>
        <w:keepLines w:val="0"/>
        <w:spacing w:line="360" w:lineRule="auto"/>
        <w:rPr>
          <w:rFonts w:ascii="Arial" w:eastAsia="Arial" w:hAnsi="Arial" w:cs="Arial"/>
          <w:sz w:val="32"/>
          <w:szCs w:val="32"/>
        </w:rPr>
      </w:pPr>
      <w:bookmarkStart w:id="5" w:name="_Toc222503650"/>
      <w:r w:rsidRPr="2667042B">
        <w:rPr>
          <w:rFonts w:ascii="Arial" w:eastAsia="Arial" w:hAnsi="Arial" w:cs="Arial"/>
          <w:sz w:val="32"/>
          <w:szCs w:val="32"/>
        </w:rPr>
        <w:t xml:space="preserve">4. Macro </w:t>
      </w:r>
      <w:r w:rsidR="4D5F20A9" w:rsidRPr="2667042B">
        <w:rPr>
          <w:rFonts w:ascii="Arial" w:eastAsia="Arial" w:hAnsi="Arial" w:cs="Arial"/>
          <w:sz w:val="32"/>
          <w:szCs w:val="32"/>
        </w:rPr>
        <w:t xml:space="preserve">Marketing </w:t>
      </w:r>
      <w:r w:rsidRPr="2667042B">
        <w:rPr>
          <w:rFonts w:ascii="Arial" w:eastAsia="Arial" w:hAnsi="Arial" w:cs="Arial"/>
          <w:sz w:val="32"/>
          <w:szCs w:val="32"/>
        </w:rPr>
        <w:t>Actor 2: Government Regulation &amp; Competition Policy</w:t>
      </w:r>
      <w:bookmarkEnd w:id="5"/>
    </w:p>
    <w:p w14:paraId="1A18BF6D" w14:textId="2F8B70D2" w:rsidR="6F057D9C" w:rsidRDefault="6F057D9C" w:rsidP="2667042B">
      <w:pPr>
        <w:spacing w:line="360" w:lineRule="auto"/>
        <w:jc w:val="both"/>
        <w:rPr>
          <w:rFonts w:ascii="Arial" w:eastAsia="Arial" w:hAnsi="Arial" w:cs="Arial"/>
        </w:rPr>
      </w:pPr>
      <w:r w:rsidRPr="2667042B">
        <w:rPr>
          <w:rFonts w:ascii="Arial" w:eastAsia="Arial" w:hAnsi="Arial" w:cs="Arial"/>
        </w:rPr>
        <w:t>Government regulation is a key macro-marketing tool in the search engine sector, especially when it comes to data privacy laws and antitrust enforcement that target the dominance of the digital market. Because of these legislative demands, companies that have a lot of control over user data and online advertising ecosystems are under more scrutiny. Asymmetric data sharing from larger to smaller search engines may boost competition</w:t>
      </w:r>
      <w:r w:rsidR="0A8938DE" w:rsidRPr="2667042B">
        <w:rPr>
          <w:rFonts w:ascii="Arial" w:eastAsia="Arial" w:hAnsi="Arial" w:cs="Arial"/>
        </w:rPr>
        <w:t>,</w:t>
      </w:r>
      <w:r w:rsidRPr="2667042B">
        <w:rPr>
          <w:rFonts w:ascii="Arial" w:eastAsia="Arial" w:hAnsi="Arial" w:cs="Arial"/>
        </w:rPr>
        <w:t xml:space="preserve"> as </w:t>
      </w:r>
      <w:r w:rsidR="528AF85C" w:rsidRPr="2667042B">
        <w:rPr>
          <w:rFonts w:ascii="Arial" w:eastAsia="Arial" w:hAnsi="Arial" w:cs="Arial"/>
        </w:rPr>
        <w:t>Martens (2024)</w:t>
      </w:r>
      <w:r w:rsidR="2014D676" w:rsidRPr="2667042B">
        <w:rPr>
          <w:rFonts w:ascii="Arial" w:eastAsia="Arial" w:hAnsi="Arial" w:cs="Arial"/>
        </w:rPr>
        <w:t xml:space="preserve"> suggests</w:t>
      </w:r>
      <w:r w:rsidR="528AF85C" w:rsidRPr="2667042B">
        <w:rPr>
          <w:rFonts w:ascii="Arial" w:eastAsia="Arial" w:hAnsi="Arial" w:cs="Arial"/>
        </w:rPr>
        <w:t xml:space="preserve">, </w:t>
      </w:r>
      <w:r w:rsidRPr="2667042B">
        <w:rPr>
          <w:rFonts w:ascii="Arial" w:eastAsia="Arial" w:hAnsi="Arial" w:cs="Arial"/>
        </w:rPr>
        <w:t xml:space="preserve">but decrease user welfare because it divides the user data pool that is essential for efficiency, according to the empirical </w:t>
      </w:r>
      <w:r w:rsidRPr="2667042B">
        <w:rPr>
          <w:rFonts w:ascii="Arial" w:eastAsia="Arial" w:hAnsi="Arial" w:cs="Arial"/>
        </w:rPr>
        <w:lastRenderedPageBreak/>
        <w:t>research on search engine efficiency that is currently accessible. Symmetric and reciprocal data sharing between all search engines, regardless of market share, can resolve the conflict between competitiveness and user welfare.</w:t>
      </w:r>
    </w:p>
    <w:p w14:paraId="61B1B5F1" w14:textId="7AF9E010" w:rsidR="4F2F6749" w:rsidRDefault="4F2F6749" w:rsidP="2667042B">
      <w:pPr>
        <w:spacing w:line="360" w:lineRule="auto"/>
        <w:jc w:val="both"/>
      </w:pPr>
      <w:r w:rsidRPr="2667042B">
        <w:rPr>
          <w:rFonts w:ascii="Arial" w:eastAsia="Arial" w:hAnsi="Arial" w:cs="Arial"/>
        </w:rPr>
        <w:t>For Google, regulations pose a serious risk. The scalability of its advertising-driven business model is challenged, and strategic flexibility is limited by ongoing antitrust probes and data governance regulations. Even if Google has the means to comply, ongoing regulatory supervision restricts its capacity to take advantage of data benefits unchecked.</w:t>
      </w:r>
      <w:r w:rsidR="7E707DF8" w:rsidRPr="2667042B">
        <w:rPr>
          <w:rFonts w:ascii="Arial" w:eastAsia="Arial" w:hAnsi="Arial" w:cs="Arial"/>
        </w:rPr>
        <w:t xml:space="preserve"> Conversely, Microsoft Bing may profit from regulations intended to lessen market concentration because it is subject to relatively less regulatory scrutiny. Therefore, by reducing barriers to competition and improving market contestability, regulatory restrictions on Google may open opportunities for Bing.</w:t>
      </w:r>
      <w:r w:rsidR="2D9F6A6C" w:rsidRPr="2667042B">
        <w:rPr>
          <w:rFonts w:ascii="Arial" w:eastAsia="Arial" w:hAnsi="Arial" w:cs="Arial"/>
        </w:rPr>
        <w:t xml:space="preserve"> In general, regulation changes but does not completely eliminate current market power structures by disproportionately restricting the pioneer and providing indirect competitive relief to the follower.</w:t>
      </w:r>
    </w:p>
    <w:p w14:paraId="3A5E585D" w14:textId="5DB094CC" w:rsidR="46497E09" w:rsidRDefault="46497E09" w:rsidP="2667042B">
      <w:pPr>
        <w:pStyle w:val="Heading1"/>
        <w:keepNext w:val="0"/>
        <w:keepLines w:val="0"/>
        <w:spacing w:line="360" w:lineRule="auto"/>
        <w:rPr>
          <w:rFonts w:ascii="Arial" w:eastAsia="Arial" w:hAnsi="Arial" w:cs="Arial"/>
          <w:sz w:val="32"/>
          <w:szCs w:val="32"/>
        </w:rPr>
      </w:pPr>
      <w:bookmarkStart w:id="6" w:name="_Toc222503651"/>
      <w:r w:rsidRPr="2667042B">
        <w:rPr>
          <w:rFonts w:ascii="Arial" w:eastAsia="Arial" w:hAnsi="Arial" w:cs="Arial"/>
          <w:sz w:val="32"/>
          <w:szCs w:val="32"/>
        </w:rPr>
        <w:t>5. Interim Evaluation</w:t>
      </w:r>
      <w:r w:rsidR="1078622C" w:rsidRPr="2667042B">
        <w:rPr>
          <w:rFonts w:ascii="Arial" w:eastAsia="Arial" w:hAnsi="Arial" w:cs="Arial"/>
          <w:sz w:val="32"/>
          <w:szCs w:val="32"/>
        </w:rPr>
        <w:t xml:space="preserve"> of the Macro-Marketing Environment</w:t>
      </w:r>
      <w:bookmarkEnd w:id="6"/>
    </w:p>
    <w:p w14:paraId="420F91E8" w14:textId="01A62856" w:rsidR="470BBDAF" w:rsidRDefault="470BBDAF" w:rsidP="2667042B">
      <w:pPr>
        <w:spacing w:line="360" w:lineRule="auto"/>
        <w:jc w:val="both"/>
        <w:rPr>
          <w:rFonts w:ascii="Arial" w:eastAsia="Arial" w:hAnsi="Arial" w:cs="Arial"/>
        </w:rPr>
      </w:pPr>
      <w:r w:rsidRPr="2667042B">
        <w:rPr>
          <w:rFonts w:ascii="Arial" w:eastAsia="Arial" w:hAnsi="Arial" w:cs="Arial"/>
        </w:rPr>
        <w:t>In the search engine sector, pioneer and follower organisations are impacted asymmetrically by macro-marketing forces, as evidenced by the examination of technology advancement and regulatory involvement. Both businesses can benefit from technological advancements in generative artificial intelligence, but Google is better than Bing at turning innovation into long-term competitive advantage thanks to its interconnected ecosystem and amassed data assets. Though it does not completely counteract structural limitations, technological disruption provides Bing with a strategic repositioning.</w:t>
      </w:r>
      <w:r w:rsidR="39882E5C" w:rsidRPr="2667042B">
        <w:rPr>
          <w:rFonts w:ascii="Arial" w:eastAsia="Arial" w:hAnsi="Arial" w:cs="Arial"/>
        </w:rPr>
        <w:t xml:space="preserve"> This disparity is further reinforced by regulatory forces. Google's strategic independence is limited by competition and data protection regulations, yet its hegemonic position is not undermined. Rather, regulation limits Bing's opportunities without significantly changing its position as the market leader. As a whole, these macroenvironmental factors show how external change modifies competitive dynamics while essentially maintaining the pioneer's advantage. This serves as a crucial basis for assessing strategic responses in Task 2.</w:t>
      </w:r>
    </w:p>
    <w:p w14:paraId="1D4732C5" w14:textId="43AB5904" w:rsidR="2667042B" w:rsidRDefault="2667042B" w:rsidP="2667042B">
      <w:pPr>
        <w:spacing w:line="360" w:lineRule="auto"/>
      </w:pPr>
    </w:p>
    <w:p w14:paraId="61FFB975" w14:textId="6290A086" w:rsidR="46497E09" w:rsidRDefault="46497E09" w:rsidP="2667042B">
      <w:pPr>
        <w:pStyle w:val="Heading1"/>
        <w:keepNext w:val="0"/>
        <w:keepLines w:val="0"/>
        <w:spacing w:line="360" w:lineRule="auto"/>
        <w:rPr>
          <w:rFonts w:ascii="Arial" w:eastAsia="Arial" w:hAnsi="Arial" w:cs="Arial"/>
          <w:sz w:val="36"/>
          <w:szCs w:val="36"/>
        </w:rPr>
      </w:pPr>
      <w:bookmarkStart w:id="7" w:name="_Toc222503652"/>
      <w:r w:rsidRPr="2667042B">
        <w:rPr>
          <w:rFonts w:ascii="Arial" w:eastAsia="Arial" w:hAnsi="Arial" w:cs="Arial"/>
          <w:sz w:val="36"/>
          <w:szCs w:val="36"/>
        </w:rPr>
        <w:lastRenderedPageBreak/>
        <w:t>Part 2: Strategic Responses &amp; Growth Evaluation</w:t>
      </w:r>
      <w:bookmarkEnd w:id="7"/>
    </w:p>
    <w:p w14:paraId="66D41415" w14:textId="40AA4599" w:rsidR="46497E09" w:rsidRDefault="46497E09" w:rsidP="2667042B">
      <w:pPr>
        <w:pStyle w:val="Heading1"/>
        <w:keepNext w:val="0"/>
        <w:keepLines w:val="0"/>
        <w:spacing w:line="360" w:lineRule="auto"/>
        <w:rPr>
          <w:rFonts w:ascii="Arial" w:eastAsia="Arial" w:hAnsi="Arial" w:cs="Arial"/>
          <w:sz w:val="32"/>
          <w:szCs w:val="32"/>
        </w:rPr>
      </w:pPr>
      <w:bookmarkStart w:id="8" w:name="_Toc222503653"/>
      <w:r w:rsidRPr="2667042B">
        <w:rPr>
          <w:rFonts w:ascii="Arial" w:eastAsia="Arial" w:hAnsi="Arial" w:cs="Arial"/>
          <w:sz w:val="32"/>
          <w:szCs w:val="32"/>
        </w:rPr>
        <w:t>6. Strategic Responses to Macro Pressures</w:t>
      </w:r>
      <w:bookmarkEnd w:id="8"/>
    </w:p>
    <w:p w14:paraId="05D92337" w14:textId="4CF59B0E" w:rsidR="6CB84055" w:rsidRDefault="6CB84055" w:rsidP="2667042B">
      <w:pPr>
        <w:spacing w:line="360" w:lineRule="auto"/>
        <w:jc w:val="both"/>
        <w:rPr>
          <w:rFonts w:ascii="Arial" w:eastAsia="Arial" w:hAnsi="Arial" w:cs="Arial"/>
        </w:rPr>
      </w:pPr>
      <w:r w:rsidRPr="2667042B">
        <w:rPr>
          <w:rFonts w:ascii="Arial" w:eastAsia="Arial" w:hAnsi="Arial" w:cs="Arial"/>
        </w:rPr>
        <w:t>Today's economy is mostly dependent on digital and internet technology, and the digital landscape has completely changed how businesses function and engage with customers.</w:t>
      </w:r>
      <w:r w:rsidR="5D964EF8" w:rsidRPr="2667042B">
        <w:rPr>
          <w:rFonts w:ascii="Arial" w:eastAsia="Arial" w:hAnsi="Arial" w:cs="Arial"/>
        </w:rPr>
        <w:t xml:space="preserve"> This view is supported by </w:t>
      </w:r>
      <w:r w:rsidR="1EF46258" w:rsidRPr="2667042B">
        <w:rPr>
          <w:rFonts w:ascii="Arial" w:eastAsia="Arial" w:hAnsi="Arial" w:cs="Arial"/>
        </w:rPr>
        <w:t xml:space="preserve">De Barsy </w:t>
      </w:r>
      <w:r w:rsidR="5D964EF8" w:rsidRPr="2667042B">
        <w:rPr>
          <w:rFonts w:ascii="Arial" w:eastAsia="Arial" w:hAnsi="Arial" w:cs="Arial"/>
        </w:rPr>
        <w:t>(20</w:t>
      </w:r>
      <w:r w:rsidR="4C4E5D0C" w:rsidRPr="2667042B">
        <w:rPr>
          <w:rFonts w:ascii="Arial" w:eastAsia="Arial" w:hAnsi="Arial" w:cs="Arial"/>
        </w:rPr>
        <w:t>24</w:t>
      </w:r>
      <w:r w:rsidR="5D964EF8" w:rsidRPr="2667042B">
        <w:rPr>
          <w:rFonts w:ascii="Arial" w:eastAsia="Arial" w:hAnsi="Arial" w:cs="Arial"/>
        </w:rPr>
        <w:t>), who writes that</w:t>
      </w:r>
      <w:r w:rsidRPr="2667042B">
        <w:rPr>
          <w:rFonts w:ascii="Arial" w:eastAsia="Arial" w:hAnsi="Arial" w:cs="Arial"/>
        </w:rPr>
        <w:t xml:space="preserve"> Google has pursued acquisitions to broaden its capabilities and market reach, formed strategic alliances to enter and expand in important markets, and evolved its business model beyond advertising as part of its strategic initiatives to sustain growth and competitive advantage. However, Google and Microsoft Bing have taken different strategic measures to maintain growth and protect their competitive positions in response to technological change and regulatory pressure.  </w:t>
      </w:r>
    </w:p>
    <w:p w14:paraId="3A3C28F9" w14:textId="18DD7784" w:rsidR="26059AA7" w:rsidRDefault="26059AA7" w:rsidP="2667042B">
      <w:pPr>
        <w:spacing w:line="360" w:lineRule="auto"/>
        <w:jc w:val="both"/>
        <w:rPr>
          <w:rFonts w:ascii="Arial" w:eastAsia="Arial" w:hAnsi="Arial" w:cs="Arial"/>
        </w:rPr>
      </w:pPr>
      <w:r w:rsidRPr="2667042B">
        <w:rPr>
          <w:rFonts w:ascii="Arial" w:eastAsia="Arial" w:hAnsi="Arial" w:cs="Arial"/>
        </w:rPr>
        <w:t xml:space="preserve">These </w:t>
      </w:r>
      <w:r w:rsidR="5960F490" w:rsidRPr="2667042B">
        <w:rPr>
          <w:rFonts w:ascii="Arial" w:eastAsia="Arial" w:hAnsi="Arial" w:cs="Arial"/>
        </w:rPr>
        <w:t>re</w:t>
      </w:r>
      <w:r w:rsidRPr="2667042B">
        <w:rPr>
          <w:rFonts w:ascii="Arial" w:eastAsia="Arial" w:hAnsi="Arial" w:cs="Arial"/>
        </w:rPr>
        <w:t>s</w:t>
      </w:r>
      <w:r w:rsidR="5960F490" w:rsidRPr="2667042B">
        <w:rPr>
          <w:rFonts w:ascii="Arial" w:eastAsia="Arial" w:hAnsi="Arial" w:cs="Arial"/>
        </w:rPr>
        <w:t>ponses</w:t>
      </w:r>
      <w:r w:rsidRPr="2667042B">
        <w:rPr>
          <w:rFonts w:ascii="Arial" w:eastAsia="Arial" w:hAnsi="Arial" w:cs="Arial"/>
        </w:rPr>
        <w:t>, which are in line with pioneer-follower dynamics, show variations in resource endowments, market strength, and strategic intent. Google's approach focuses on maintaining its core search dominance through ongoing AI-driven improvement while controlling regulatory risk through compliance and small adjustments. Bing, on the other hand, takes a more flexible and opportunity-focused approach, using generative AI integration to rethink its value proposition and draw in consumers who are frustrated with conventional search experiences.</w:t>
      </w:r>
      <w:r w:rsidR="610511BD" w:rsidRPr="2667042B">
        <w:rPr>
          <w:rFonts w:ascii="Arial" w:eastAsia="Arial" w:hAnsi="Arial" w:cs="Arial"/>
        </w:rPr>
        <w:t xml:space="preserve"> These contrasting responses provide a foundation for evaluating each firm’s strategic positioning through formal strategic marketing frameworks, including Porter’s Generic Strategies and Ansoff’s Growth Matrix (see Appendix).</w:t>
      </w:r>
    </w:p>
    <w:p w14:paraId="28EA4473" w14:textId="00A39CC0" w:rsidR="46497E09" w:rsidRDefault="7B22CB73" w:rsidP="2667042B">
      <w:pPr>
        <w:pStyle w:val="Heading1"/>
        <w:keepNext w:val="0"/>
        <w:keepLines w:val="0"/>
        <w:spacing w:line="360" w:lineRule="auto"/>
        <w:rPr>
          <w:rFonts w:ascii="Arial" w:eastAsia="Arial" w:hAnsi="Arial" w:cs="Arial"/>
          <w:sz w:val="32"/>
          <w:szCs w:val="32"/>
        </w:rPr>
      </w:pPr>
      <w:bookmarkStart w:id="9" w:name="_Toc222503654"/>
      <w:r w:rsidRPr="2667042B">
        <w:rPr>
          <w:rFonts w:ascii="Arial" w:eastAsia="Arial" w:hAnsi="Arial" w:cs="Arial"/>
          <w:sz w:val="32"/>
          <w:szCs w:val="32"/>
        </w:rPr>
        <w:t>7</w:t>
      </w:r>
      <w:r w:rsidR="46497E09" w:rsidRPr="2667042B">
        <w:rPr>
          <w:rFonts w:ascii="Arial" w:eastAsia="Arial" w:hAnsi="Arial" w:cs="Arial"/>
          <w:sz w:val="32"/>
          <w:szCs w:val="32"/>
        </w:rPr>
        <w:t xml:space="preserve">. </w:t>
      </w:r>
      <w:r w:rsidR="470D0ED7" w:rsidRPr="2667042B">
        <w:rPr>
          <w:rFonts w:ascii="Arial" w:eastAsia="Arial" w:hAnsi="Arial" w:cs="Arial"/>
          <w:sz w:val="32"/>
          <w:szCs w:val="32"/>
        </w:rPr>
        <w:t>Strategic Evaluation and Comparative Analysis</w:t>
      </w:r>
      <w:bookmarkEnd w:id="9"/>
    </w:p>
    <w:p w14:paraId="64B514FF" w14:textId="2ECE4892" w:rsidR="154F27F1" w:rsidRDefault="154F27F1" w:rsidP="2667042B">
      <w:pPr>
        <w:spacing w:line="360" w:lineRule="auto"/>
        <w:jc w:val="both"/>
        <w:rPr>
          <w:rFonts w:ascii="Arial" w:eastAsia="Arial" w:hAnsi="Arial" w:cs="Arial"/>
        </w:rPr>
      </w:pPr>
      <w:r w:rsidRPr="2667042B">
        <w:rPr>
          <w:rFonts w:ascii="Arial" w:eastAsia="Arial" w:hAnsi="Arial" w:cs="Arial"/>
        </w:rPr>
        <w:t>Google's and Microsoft Bing's strategy reactions demonstrate their essentially different abilities to transform macroenvironmental constraints into long-term competitive advantage. Accumulated data volume, ecosystem integration, and organisational capability support Google's differentiation and growth strategy, allowing it to withstand technical upheaval and regulatory limits without jeopardising its market leadership. Although its strategic focus on consolidation guarantees durability, radical innovation may be constrained.</w:t>
      </w:r>
      <w:r w:rsidR="1D4D31BE" w:rsidRPr="2667042B">
        <w:rPr>
          <w:rFonts w:ascii="Arial" w:eastAsia="Arial" w:hAnsi="Arial" w:cs="Arial"/>
        </w:rPr>
        <w:t xml:space="preserve"> In contrast, Bing's AI-driven market expansion and differentiation tactics show strategic flexibility and adaptability to emerging </w:t>
      </w:r>
      <w:r w:rsidR="1D4D31BE" w:rsidRPr="2667042B">
        <w:rPr>
          <w:rFonts w:ascii="Arial" w:eastAsia="Arial" w:hAnsi="Arial" w:cs="Arial"/>
        </w:rPr>
        <w:lastRenderedPageBreak/>
        <w:t>technologies. These methods are nonetheless limited by structural drawbacks, such as a smaller user base and a dependence on outside technology. Bing's approach increases awareness and relevance, but it isn't deep enough in the system to challenge Google's dominance.</w:t>
      </w:r>
      <w:r w:rsidR="0B53DC3C" w:rsidRPr="2667042B">
        <w:rPr>
          <w:rFonts w:ascii="Arial" w:eastAsia="Arial" w:hAnsi="Arial" w:cs="Arial"/>
        </w:rPr>
        <w:t xml:space="preserve"> Overall, changes in the macroenvironment have made competition more fierce but not equal, which has strengthened the pioneer's long-standing strategic advantages over the follower.</w:t>
      </w:r>
    </w:p>
    <w:p w14:paraId="1CCA5B9D" w14:textId="3A2121ED" w:rsidR="2667042B" w:rsidRDefault="2667042B" w:rsidP="2667042B">
      <w:pPr>
        <w:spacing w:line="360" w:lineRule="auto"/>
      </w:pPr>
    </w:p>
    <w:p w14:paraId="36E97208" w14:textId="3F1EE10B" w:rsidR="46497E09" w:rsidRDefault="46497E09" w:rsidP="2667042B">
      <w:pPr>
        <w:pStyle w:val="Heading1"/>
        <w:keepNext w:val="0"/>
        <w:keepLines w:val="0"/>
        <w:spacing w:line="360" w:lineRule="auto"/>
        <w:rPr>
          <w:rFonts w:ascii="Arial" w:eastAsia="Arial" w:hAnsi="Arial" w:cs="Arial"/>
          <w:sz w:val="32"/>
          <w:szCs w:val="32"/>
        </w:rPr>
      </w:pPr>
      <w:bookmarkStart w:id="10" w:name="_Toc222503655"/>
      <w:r w:rsidRPr="2667042B">
        <w:rPr>
          <w:rFonts w:ascii="Arial" w:eastAsia="Arial" w:hAnsi="Arial" w:cs="Arial"/>
          <w:sz w:val="32"/>
          <w:szCs w:val="32"/>
        </w:rPr>
        <w:t>Conclusion</w:t>
      </w:r>
      <w:bookmarkEnd w:id="10"/>
    </w:p>
    <w:p w14:paraId="37AA8E9B" w14:textId="567821AF" w:rsidR="51517BC5" w:rsidRDefault="0F72C894" w:rsidP="2667042B">
      <w:pPr>
        <w:spacing w:line="360" w:lineRule="auto"/>
        <w:jc w:val="both"/>
        <w:rPr>
          <w:rFonts w:ascii="Arial" w:eastAsia="Arial" w:hAnsi="Arial" w:cs="Arial"/>
        </w:rPr>
      </w:pPr>
      <w:r w:rsidRPr="2667042B">
        <w:rPr>
          <w:rFonts w:ascii="Arial" w:eastAsia="Arial" w:hAnsi="Arial" w:cs="Arial"/>
        </w:rPr>
        <w:t xml:space="preserve">Using Google as </w:t>
      </w:r>
      <w:r w:rsidR="29BF9EC4" w:rsidRPr="2667042B">
        <w:rPr>
          <w:rFonts w:ascii="Arial" w:eastAsia="Arial" w:hAnsi="Arial" w:cs="Arial"/>
        </w:rPr>
        <w:t xml:space="preserve">the </w:t>
      </w:r>
      <w:r w:rsidRPr="2667042B">
        <w:rPr>
          <w:rFonts w:ascii="Arial" w:eastAsia="Arial" w:hAnsi="Arial" w:cs="Arial"/>
        </w:rPr>
        <w:t xml:space="preserve">leader and Microsoft Bing as </w:t>
      </w:r>
      <w:r w:rsidR="0626D3E7" w:rsidRPr="2667042B">
        <w:rPr>
          <w:rFonts w:ascii="Arial" w:eastAsia="Arial" w:hAnsi="Arial" w:cs="Arial"/>
        </w:rPr>
        <w:t>the</w:t>
      </w:r>
      <w:r w:rsidRPr="2667042B">
        <w:rPr>
          <w:rFonts w:ascii="Arial" w:eastAsia="Arial" w:hAnsi="Arial" w:cs="Arial"/>
        </w:rPr>
        <w:t xml:space="preserve"> follower, this paper has critically analysed how macro-marketing forces impact competitive dynamics within the search engine business. The study shows that while technology advancements, especially the rise of generative AI, provide both businesses potential, Google gains a disproportionate advantage because of its enormous data set, ecosystem integration, and proven market dominance. Despite limiting Google's strategic flexibility, regulatory limitations haven't radically upended its dominant market position; rather, they've given Bing less room to grow.</w:t>
      </w:r>
      <w:r w:rsidR="00434738" w:rsidRPr="2667042B">
        <w:rPr>
          <w:rFonts w:ascii="Arial" w:eastAsia="Arial" w:hAnsi="Arial" w:cs="Arial"/>
        </w:rPr>
        <w:t xml:space="preserve"> The analysis of strategy responses shows that although Bing's innovation-led and flexible approach fosters incremental competitiveness without allowing for the displacement of market leadership, Google's differentiation and consolidation-focused growth strategies allow for long-term resilience. Overall, the results point to the strategic longevity of pioneers in highly concentrated digital marketplaces, indicating that although macroenvironmental change increases competitive pressure, it does not eliminate first-mover advantages.</w:t>
      </w:r>
    </w:p>
    <w:p w14:paraId="44177674" w14:textId="7D7C5EBD" w:rsidR="2667042B" w:rsidRDefault="2667042B" w:rsidP="2667042B">
      <w:pPr>
        <w:spacing w:line="360" w:lineRule="auto"/>
        <w:jc w:val="both"/>
        <w:rPr>
          <w:rFonts w:ascii="Arial" w:eastAsia="Arial" w:hAnsi="Arial" w:cs="Arial"/>
        </w:rPr>
      </w:pPr>
    </w:p>
    <w:p w14:paraId="6EB87CB3" w14:textId="24195F5B" w:rsidR="2667042B" w:rsidRDefault="2667042B">
      <w:r>
        <w:br w:type="page"/>
      </w:r>
    </w:p>
    <w:p w14:paraId="41FBEDE5" w14:textId="38CD44A8" w:rsidR="53CEDE77" w:rsidRDefault="53CEDE77" w:rsidP="2667042B">
      <w:pPr>
        <w:pStyle w:val="Heading1"/>
        <w:rPr>
          <w:rFonts w:ascii="Arial" w:eastAsia="Arial" w:hAnsi="Arial" w:cs="Arial"/>
          <w:sz w:val="32"/>
          <w:szCs w:val="32"/>
        </w:rPr>
      </w:pPr>
      <w:bookmarkStart w:id="11" w:name="_Toc222503656"/>
      <w:r w:rsidRPr="2667042B">
        <w:rPr>
          <w:rFonts w:ascii="Arial" w:eastAsia="Arial" w:hAnsi="Arial" w:cs="Arial"/>
          <w:sz w:val="32"/>
          <w:szCs w:val="32"/>
        </w:rPr>
        <w:lastRenderedPageBreak/>
        <w:t>References</w:t>
      </w:r>
      <w:bookmarkEnd w:id="11"/>
    </w:p>
    <w:p w14:paraId="7D6875CC" w14:textId="1938AFCB" w:rsidR="2FA74EAD" w:rsidRDefault="2FA74EAD" w:rsidP="2667042B">
      <w:pPr>
        <w:spacing w:line="360" w:lineRule="auto"/>
        <w:jc w:val="both"/>
        <w:rPr>
          <w:rFonts w:ascii="Arial" w:eastAsia="Arial" w:hAnsi="Arial" w:cs="Arial"/>
        </w:rPr>
      </w:pPr>
      <w:r w:rsidRPr="2667042B">
        <w:rPr>
          <w:rFonts w:ascii="Arial" w:eastAsia="Arial" w:hAnsi="Arial" w:cs="Arial"/>
        </w:rPr>
        <w:t xml:space="preserve">Adomako, P., Khan, T.A., Ali, R.H. and Koutaly, R., 2025. Comparison of Leading AI Models an Analytical Study of ChatGPT Google Bard and Microsoft Bing. ADCAIJ: Advances in Distributed Computing and Artificial Intelligence Journal, 14, </w:t>
      </w:r>
      <w:r w:rsidR="612908D4" w:rsidRPr="2667042B">
        <w:rPr>
          <w:rFonts w:ascii="Arial" w:eastAsia="Arial" w:hAnsi="Arial" w:cs="Arial"/>
        </w:rPr>
        <w:t>pp. e</w:t>
      </w:r>
      <w:r w:rsidRPr="2667042B">
        <w:rPr>
          <w:rFonts w:ascii="Arial" w:eastAsia="Arial" w:hAnsi="Arial" w:cs="Arial"/>
        </w:rPr>
        <w:t>31857-e31857.</w:t>
      </w:r>
    </w:p>
    <w:p w14:paraId="1DA8A7AA" w14:textId="12DC0626" w:rsidR="28A6F001" w:rsidRDefault="28A6F001" w:rsidP="2667042B">
      <w:pPr>
        <w:spacing w:after="0" w:line="360" w:lineRule="auto"/>
        <w:jc w:val="both"/>
      </w:pPr>
      <w:r w:rsidRPr="2667042B">
        <w:rPr>
          <w:rFonts w:ascii="Arial" w:eastAsia="Arial" w:hAnsi="Arial" w:cs="Arial"/>
          <w:color w:val="000000" w:themeColor="text1"/>
        </w:rPr>
        <w:t xml:space="preserve">Afaqs (2022) “Google announces product innovations across Ads and Commerce at Google Marketing Live,” </w:t>
      </w:r>
      <w:r w:rsidRPr="2667042B">
        <w:rPr>
          <w:rFonts w:ascii="Arial" w:eastAsia="Arial" w:hAnsi="Arial" w:cs="Arial"/>
          <w:i/>
          <w:iCs/>
          <w:color w:val="000000" w:themeColor="text1"/>
        </w:rPr>
        <w:t>afaqs</w:t>
      </w:r>
      <w:r w:rsidRPr="2667042B">
        <w:rPr>
          <w:rFonts w:ascii="Arial" w:eastAsia="Arial" w:hAnsi="Arial" w:cs="Arial"/>
          <w:color w:val="000000" w:themeColor="text1"/>
        </w:rPr>
        <w:t xml:space="preserve"> [Preprint]. </w:t>
      </w:r>
      <w:r w:rsidRPr="2667042B">
        <w:rPr>
          <w:rFonts w:ascii="Arial" w:eastAsia="Arial" w:hAnsi="Arial" w:cs="Arial"/>
          <w:i/>
          <w:iCs/>
          <w:color w:val="000000" w:themeColor="text1"/>
        </w:rPr>
        <w:t xml:space="preserve">Available at: </w:t>
      </w:r>
      <w:hyperlink r:id="rId11">
        <w:r w:rsidRPr="2667042B">
          <w:rPr>
            <w:rStyle w:val="Hyperlink"/>
            <w:rFonts w:ascii="Arial" w:eastAsia="Arial" w:hAnsi="Arial" w:cs="Arial"/>
            <w:i/>
            <w:iCs/>
            <w:color w:val="000000" w:themeColor="text1"/>
          </w:rPr>
          <w:t>https://librarysearch.uwtsd.ac.uk/discovery/fulldisplay?docid=cdi_proquest_reports_2674027559&amp;context=PC&amp;vid=44WHELF_UWTSD:44WHELF_UWTSD_VU1&amp;lang=en</w:t>
        </w:r>
      </w:hyperlink>
      <w:r w:rsidRPr="2667042B">
        <w:rPr>
          <w:rFonts w:ascii="Arial" w:eastAsia="Arial" w:hAnsi="Arial" w:cs="Arial"/>
          <w:i/>
          <w:iCs/>
          <w:color w:val="000000" w:themeColor="text1"/>
        </w:rPr>
        <w:t xml:space="preserve"> (accessed 04 February 2026)</w:t>
      </w:r>
    </w:p>
    <w:p w14:paraId="0577845F" w14:textId="792B498A" w:rsidR="53D937CD" w:rsidRDefault="53D937CD" w:rsidP="2667042B">
      <w:pPr>
        <w:spacing w:after="0" w:line="360" w:lineRule="auto"/>
        <w:jc w:val="both"/>
      </w:pPr>
      <w:r w:rsidRPr="2667042B">
        <w:rPr>
          <w:rFonts w:ascii="Arial" w:eastAsia="Arial" w:hAnsi="Arial" w:cs="Arial"/>
        </w:rPr>
        <w:t xml:space="preserve">Brainvire. (2021) </w:t>
      </w:r>
      <w:r w:rsidRPr="2667042B">
        <w:rPr>
          <w:rFonts w:ascii="Arial" w:eastAsia="Arial" w:hAnsi="Arial" w:cs="Arial"/>
          <w:i/>
          <w:iCs/>
        </w:rPr>
        <w:t>Google vs. Bing: Which Is A Better Search Engine?</w:t>
      </w:r>
      <w:r w:rsidRPr="2667042B">
        <w:rPr>
          <w:rFonts w:ascii="Arial" w:eastAsia="Arial" w:hAnsi="Arial" w:cs="Arial"/>
        </w:rPr>
        <w:t xml:space="preserve">, 15 May. Available at: </w:t>
      </w:r>
      <w:hyperlink r:id="rId12">
        <w:r w:rsidRPr="2667042B">
          <w:rPr>
            <w:rStyle w:val="Hyperlink"/>
            <w:rFonts w:ascii="Arial" w:eastAsia="Arial" w:hAnsi="Arial" w:cs="Arial"/>
          </w:rPr>
          <w:t>https://www.brainvire.com/blog/google-vs-bing/</w:t>
        </w:r>
      </w:hyperlink>
      <w:r w:rsidRPr="2667042B">
        <w:rPr>
          <w:rFonts w:ascii="Arial" w:eastAsia="Arial" w:hAnsi="Arial" w:cs="Arial"/>
        </w:rPr>
        <w:t xml:space="preserve"> (Accessed 29 January 2026).</w:t>
      </w:r>
    </w:p>
    <w:p w14:paraId="69762315" w14:textId="40979575" w:rsidR="53D937CD" w:rsidRDefault="53D937CD" w:rsidP="2667042B">
      <w:pPr>
        <w:spacing w:after="0" w:line="360" w:lineRule="auto"/>
        <w:jc w:val="both"/>
        <w:rPr>
          <w:rFonts w:ascii="Arial" w:eastAsia="Arial" w:hAnsi="Arial" w:cs="Arial"/>
        </w:rPr>
      </w:pPr>
      <w:r w:rsidRPr="2667042B">
        <w:rPr>
          <w:rFonts w:ascii="Arial" w:eastAsia="Arial" w:hAnsi="Arial" w:cs="Arial"/>
        </w:rPr>
        <w:t xml:space="preserve">Case, M., 2021. Google, Big Data, &amp; Antitrust. </w:t>
      </w:r>
      <w:r w:rsidRPr="2667042B">
        <w:rPr>
          <w:rFonts w:ascii="Arial" w:eastAsia="Arial" w:hAnsi="Arial" w:cs="Arial"/>
          <w:i/>
          <w:iCs/>
        </w:rPr>
        <w:t>Del. J. Corp. L.</w:t>
      </w:r>
      <w:r w:rsidRPr="2667042B">
        <w:rPr>
          <w:rFonts w:ascii="Arial" w:eastAsia="Arial" w:hAnsi="Arial" w:cs="Arial"/>
        </w:rPr>
        <w:t xml:space="preserve">, </w:t>
      </w:r>
      <w:r w:rsidRPr="2667042B">
        <w:rPr>
          <w:rFonts w:ascii="Arial" w:eastAsia="Arial" w:hAnsi="Arial" w:cs="Arial"/>
          <w:i/>
          <w:iCs/>
        </w:rPr>
        <w:t>46</w:t>
      </w:r>
      <w:r w:rsidRPr="2667042B">
        <w:rPr>
          <w:rFonts w:ascii="Arial" w:eastAsia="Arial" w:hAnsi="Arial" w:cs="Arial"/>
        </w:rPr>
        <w:t>, p.189.</w:t>
      </w:r>
    </w:p>
    <w:p w14:paraId="5B247EA5" w14:textId="06F5E6E6" w:rsidR="53D937CD" w:rsidRDefault="53D937CD" w:rsidP="2667042B">
      <w:pPr>
        <w:spacing w:after="0" w:line="360" w:lineRule="auto"/>
        <w:jc w:val="both"/>
        <w:rPr>
          <w:rFonts w:ascii="Arial" w:eastAsia="Arial" w:hAnsi="Arial" w:cs="Arial"/>
        </w:rPr>
      </w:pPr>
      <w:r w:rsidRPr="2667042B">
        <w:rPr>
          <w:rFonts w:ascii="Arial" w:eastAsia="Arial" w:hAnsi="Arial" w:cs="Arial"/>
        </w:rPr>
        <w:t xml:space="preserve">De Barsy, L., 2024. </w:t>
      </w:r>
      <w:r w:rsidRPr="2667042B">
        <w:rPr>
          <w:rFonts w:ascii="Arial" w:eastAsia="Arial" w:hAnsi="Arial" w:cs="Arial"/>
          <w:i/>
          <w:iCs/>
        </w:rPr>
        <w:t>Big Tech Acquisitions and Innovation Strategies</w:t>
      </w:r>
      <w:r w:rsidRPr="2667042B">
        <w:rPr>
          <w:rFonts w:ascii="Arial" w:eastAsia="Arial" w:hAnsi="Arial" w:cs="Arial"/>
        </w:rPr>
        <w:t>. Universite de Liege (Belgium).</w:t>
      </w:r>
    </w:p>
    <w:p w14:paraId="44D4450D" w14:textId="0E4D7B86" w:rsidR="427EA3C7" w:rsidRDefault="427EA3C7" w:rsidP="2667042B">
      <w:pPr>
        <w:spacing w:after="0" w:line="360" w:lineRule="auto"/>
        <w:jc w:val="both"/>
        <w:rPr>
          <w:rFonts w:ascii="Arial" w:eastAsia="Arial" w:hAnsi="Arial" w:cs="Arial"/>
        </w:rPr>
      </w:pPr>
      <w:r w:rsidRPr="2667042B">
        <w:rPr>
          <w:rFonts w:ascii="Arial" w:eastAsia="Arial" w:hAnsi="Arial" w:cs="Arial"/>
        </w:rPr>
        <w:t xml:space="preserve">Dieuwertje, L. (2024) “Platform power in AI: The evolution of cloud infrastructures in the political economy of artificial intelligence,” </w:t>
      </w:r>
      <w:r w:rsidRPr="2667042B">
        <w:rPr>
          <w:rFonts w:ascii="Arial" w:eastAsia="Arial" w:hAnsi="Arial" w:cs="Arial"/>
          <w:i/>
          <w:iCs/>
        </w:rPr>
        <w:t>Internet policy review</w:t>
      </w:r>
      <w:r w:rsidRPr="2667042B">
        <w:rPr>
          <w:rFonts w:ascii="Arial" w:eastAsia="Arial" w:hAnsi="Arial" w:cs="Arial"/>
        </w:rPr>
        <w:t xml:space="preserve">, 13(2). Available at: </w:t>
      </w:r>
      <w:hyperlink r:id="rId13">
        <w:r w:rsidRPr="2667042B">
          <w:rPr>
            <w:rStyle w:val="Hyperlink"/>
            <w:rFonts w:ascii="Arial" w:eastAsia="Arial" w:hAnsi="Arial" w:cs="Arial"/>
            <w:color w:val="auto"/>
          </w:rPr>
          <w:t>https://doi.org/10.14763/2024.2.1768</w:t>
        </w:r>
      </w:hyperlink>
      <w:r w:rsidRPr="2667042B">
        <w:rPr>
          <w:rFonts w:ascii="Arial" w:eastAsia="Arial" w:hAnsi="Arial" w:cs="Arial"/>
        </w:rPr>
        <w:t xml:space="preserve"> (accessed 03 February 2026)</w:t>
      </w:r>
    </w:p>
    <w:p w14:paraId="77D5357B" w14:textId="63902D82" w:rsidR="479CB48A" w:rsidRDefault="479CB48A" w:rsidP="2667042B">
      <w:pPr>
        <w:spacing w:after="0" w:line="360" w:lineRule="auto"/>
        <w:jc w:val="both"/>
      </w:pPr>
      <w:r w:rsidRPr="2667042B">
        <w:rPr>
          <w:rFonts w:ascii="Arial" w:eastAsia="Arial" w:hAnsi="Arial" w:cs="Arial"/>
        </w:rPr>
        <w:t xml:space="preserve">Gillpatrick, T., 2019. The digital transformation of marketing: Impact on marketing practice &amp; markets. </w:t>
      </w:r>
      <w:r w:rsidRPr="2667042B">
        <w:rPr>
          <w:rFonts w:ascii="Arial" w:eastAsia="Arial" w:hAnsi="Arial" w:cs="Arial"/>
          <w:i/>
          <w:iCs/>
          <w:color w:val="222222"/>
        </w:rPr>
        <w:t>ECONOMICS-Innovative and Economics Research Journal</w:t>
      </w:r>
      <w:r w:rsidRPr="2667042B">
        <w:rPr>
          <w:rFonts w:ascii="Arial" w:eastAsia="Arial" w:hAnsi="Arial" w:cs="Arial"/>
        </w:rPr>
        <w:t xml:space="preserve">, </w:t>
      </w:r>
      <w:r w:rsidRPr="2667042B">
        <w:rPr>
          <w:rFonts w:ascii="Arial" w:eastAsia="Arial" w:hAnsi="Arial" w:cs="Arial"/>
          <w:i/>
          <w:iCs/>
          <w:color w:val="222222"/>
        </w:rPr>
        <w:t>7</w:t>
      </w:r>
      <w:r w:rsidRPr="2667042B">
        <w:rPr>
          <w:rFonts w:ascii="Arial" w:eastAsia="Arial" w:hAnsi="Arial" w:cs="Arial"/>
        </w:rPr>
        <w:t>(2), pp.139-156.</w:t>
      </w:r>
    </w:p>
    <w:p w14:paraId="26F3631B" w14:textId="08636076" w:rsidR="479CB48A" w:rsidRDefault="479CB48A" w:rsidP="2667042B">
      <w:pPr>
        <w:spacing w:after="0" w:line="360" w:lineRule="auto"/>
        <w:jc w:val="both"/>
        <w:rPr>
          <w:rFonts w:ascii="Arial" w:eastAsia="Arial" w:hAnsi="Arial" w:cs="Arial"/>
        </w:rPr>
      </w:pPr>
      <w:r w:rsidRPr="2667042B">
        <w:rPr>
          <w:rFonts w:ascii="Arial" w:eastAsia="Arial" w:hAnsi="Arial" w:cs="Arial"/>
        </w:rPr>
        <w:t xml:space="preserve">Gralla, P. (2023) “Will Bing and Edge become the center of the Microsoft universe?,” </w:t>
      </w:r>
      <w:r w:rsidRPr="2667042B">
        <w:rPr>
          <w:rFonts w:ascii="Arial" w:eastAsia="Arial" w:hAnsi="Arial" w:cs="Arial"/>
          <w:i/>
          <w:iCs/>
        </w:rPr>
        <w:t>Computerworld</w:t>
      </w:r>
      <w:r w:rsidRPr="2667042B">
        <w:rPr>
          <w:rFonts w:ascii="Arial" w:eastAsia="Arial" w:hAnsi="Arial" w:cs="Arial"/>
        </w:rPr>
        <w:t>.</w:t>
      </w:r>
    </w:p>
    <w:p w14:paraId="34AECC6B" w14:textId="60119411" w:rsidR="479CB48A" w:rsidRDefault="479CB48A" w:rsidP="2667042B">
      <w:pPr>
        <w:spacing w:after="0" w:line="360" w:lineRule="auto"/>
        <w:jc w:val="both"/>
      </w:pPr>
      <w:r w:rsidRPr="2667042B">
        <w:rPr>
          <w:rFonts w:ascii="Arial" w:eastAsia="Arial" w:hAnsi="Arial" w:cs="Arial"/>
        </w:rPr>
        <w:t xml:space="preserve">Guay, R. and Birch, K. (2022) “A comparative analysis of data governance: Socio-technical imaginaries of digital personal data in the USA and EU (2008–2016),” </w:t>
      </w:r>
      <w:r w:rsidRPr="2667042B">
        <w:rPr>
          <w:rFonts w:ascii="Arial" w:eastAsia="Arial" w:hAnsi="Arial" w:cs="Arial"/>
          <w:i/>
          <w:iCs/>
          <w:color w:val="3A3A3A" w:themeColor="background2" w:themeShade="40"/>
        </w:rPr>
        <w:t>Big data &amp; society</w:t>
      </w:r>
      <w:r w:rsidRPr="2667042B">
        <w:rPr>
          <w:rFonts w:ascii="Arial" w:eastAsia="Arial" w:hAnsi="Arial" w:cs="Arial"/>
        </w:rPr>
        <w:t xml:space="preserve">, 9(2). Available at: </w:t>
      </w:r>
      <w:hyperlink r:id="rId14">
        <w:r w:rsidRPr="2667042B">
          <w:rPr>
            <w:rStyle w:val="Hyperlink"/>
            <w:rFonts w:ascii="Arial" w:eastAsia="Arial" w:hAnsi="Arial" w:cs="Arial"/>
          </w:rPr>
          <w:t>https://doi.org/10.1177/20539517221112925</w:t>
        </w:r>
      </w:hyperlink>
      <w:r w:rsidRPr="2667042B">
        <w:rPr>
          <w:rFonts w:ascii="Arial" w:eastAsia="Arial" w:hAnsi="Arial" w:cs="Arial"/>
        </w:rPr>
        <w:t xml:space="preserve"> (accessed 08 February 2026)</w:t>
      </w:r>
    </w:p>
    <w:p w14:paraId="294444B0" w14:textId="6F8A6386" w:rsidR="479CB48A" w:rsidRDefault="479CB48A" w:rsidP="2667042B">
      <w:pPr>
        <w:spacing w:after="0" w:line="360" w:lineRule="auto"/>
        <w:jc w:val="both"/>
      </w:pPr>
      <w:r w:rsidRPr="2667042B">
        <w:rPr>
          <w:rFonts w:ascii="Arial" w:eastAsia="Arial" w:hAnsi="Arial" w:cs="Arial"/>
        </w:rPr>
        <w:t xml:space="preserve">Ibrahim, E.B. and Harrison, T., 2020. The impact of internal, external, and competitor factors on marketing strategy performance. </w:t>
      </w:r>
      <w:r w:rsidRPr="2667042B">
        <w:rPr>
          <w:rFonts w:ascii="Arial" w:eastAsia="Arial" w:hAnsi="Arial" w:cs="Arial"/>
          <w:i/>
          <w:iCs/>
          <w:color w:val="222222"/>
        </w:rPr>
        <w:t>Journal of Strategic Marketing</w:t>
      </w:r>
      <w:r w:rsidRPr="2667042B">
        <w:rPr>
          <w:rFonts w:ascii="Arial" w:eastAsia="Arial" w:hAnsi="Arial" w:cs="Arial"/>
        </w:rPr>
        <w:t xml:space="preserve">, </w:t>
      </w:r>
      <w:r w:rsidRPr="2667042B">
        <w:rPr>
          <w:rFonts w:ascii="Arial" w:eastAsia="Arial" w:hAnsi="Arial" w:cs="Arial"/>
          <w:i/>
          <w:iCs/>
          <w:color w:val="222222"/>
        </w:rPr>
        <w:t>28</w:t>
      </w:r>
      <w:r w:rsidRPr="2667042B">
        <w:rPr>
          <w:rFonts w:ascii="Arial" w:eastAsia="Arial" w:hAnsi="Arial" w:cs="Arial"/>
        </w:rPr>
        <w:t>(7), pp.639-658.</w:t>
      </w:r>
    </w:p>
    <w:p w14:paraId="7FD3B559" w14:textId="22978179" w:rsidR="479CB48A" w:rsidRDefault="479CB48A" w:rsidP="2667042B">
      <w:pPr>
        <w:spacing w:after="0" w:line="360" w:lineRule="auto"/>
        <w:jc w:val="both"/>
      </w:pPr>
      <w:r w:rsidRPr="2667042B">
        <w:rPr>
          <w:rFonts w:ascii="Arial" w:eastAsia="Arial" w:hAnsi="Arial" w:cs="Arial"/>
        </w:rPr>
        <w:t xml:space="preserve">Jerab, D. and Mabrouk, T., 2023. Strategic excellence: Achieving competitive advantage through differentiation strategies. </w:t>
      </w:r>
      <w:r w:rsidRPr="2667042B">
        <w:rPr>
          <w:rFonts w:ascii="Arial" w:eastAsia="Arial" w:hAnsi="Arial" w:cs="Arial"/>
          <w:i/>
          <w:iCs/>
          <w:color w:val="222222"/>
        </w:rPr>
        <w:t>Available at SSRN 4575042</w:t>
      </w:r>
      <w:r w:rsidRPr="2667042B">
        <w:rPr>
          <w:rFonts w:ascii="Arial" w:eastAsia="Arial" w:hAnsi="Arial" w:cs="Arial"/>
        </w:rPr>
        <w:t>.</w:t>
      </w:r>
    </w:p>
    <w:p w14:paraId="02AFD703" w14:textId="6FD7E3FB" w:rsidR="479CB48A" w:rsidRDefault="479CB48A" w:rsidP="2667042B">
      <w:pPr>
        <w:spacing w:after="0" w:line="360" w:lineRule="auto"/>
        <w:jc w:val="both"/>
        <w:rPr>
          <w:rFonts w:ascii="Arial" w:eastAsia="Arial" w:hAnsi="Arial" w:cs="Arial"/>
        </w:rPr>
      </w:pPr>
      <w:r w:rsidRPr="2667042B">
        <w:rPr>
          <w:rFonts w:ascii="Arial" w:eastAsia="Arial" w:hAnsi="Arial" w:cs="Arial"/>
        </w:rPr>
        <w:lastRenderedPageBreak/>
        <w:t xml:space="preserve">Jerzy, K. and Pawełoszek, I. (2023) “Generative AI in Management – Today and Tomorrow,” </w:t>
      </w:r>
      <w:r w:rsidRPr="2667042B">
        <w:rPr>
          <w:rFonts w:ascii="Arial" w:eastAsia="Arial" w:hAnsi="Arial" w:cs="Arial"/>
          <w:i/>
          <w:iCs/>
        </w:rPr>
        <w:t>Annales Universitatis Mariae Curie-Skłodowska. Sectio H. Oeconomia</w:t>
      </w:r>
      <w:r w:rsidRPr="2667042B">
        <w:rPr>
          <w:rFonts w:ascii="Arial" w:eastAsia="Arial" w:hAnsi="Arial" w:cs="Arial"/>
        </w:rPr>
        <w:t xml:space="preserve">, 57(4), pp. 123–143. Available at: </w:t>
      </w:r>
      <w:hyperlink r:id="rId15">
        <w:r w:rsidRPr="2667042B">
          <w:rPr>
            <w:rStyle w:val="Hyperlink"/>
            <w:rFonts w:ascii="Arial" w:eastAsia="Arial" w:hAnsi="Arial" w:cs="Arial"/>
            <w:color w:val="auto"/>
          </w:rPr>
          <w:t>https://doi.org/10.17951/h.2023.57.4.123-143</w:t>
        </w:r>
      </w:hyperlink>
      <w:r w:rsidRPr="2667042B">
        <w:rPr>
          <w:rFonts w:ascii="Arial" w:eastAsia="Arial" w:hAnsi="Arial" w:cs="Arial"/>
        </w:rPr>
        <w:t xml:space="preserve"> (accessed 02 February 2026)</w:t>
      </w:r>
    </w:p>
    <w:p w14:paraId="586B538E" w14:textId="456210BE" w:rsidR="479CB48A" w:rsidRDefault="479CB48A" w:rsidP="2667042B">
      <w:pPr>
        <w:spacing w:after="0" w:line="360" w:lineRule="auto"/>
        <w:jc w:val="both"/>
        <w:rPr>
          <w:rFonts w:ascii="Arial" w:eastAsia="Arial" w:hAnsi="Arial" w:cs="Arial"/>
        </w:rPr>
      </w:pPr>
      <w:r w:rsidRPr="2667042B">
        <w:rPr>
          <w:rFonts w:ascii="Arial" w:eastAsia="Arial" w:hAnsi="Arial" w:cs="Arial"/>
        </w:rPr>
        <w:t xml:space="preserve">Kaiser, C. </w:t>
      </w:r>
      <w:r w:rsidRPr="2667042B">
        <w:rPr>
          <w:rFonts w:ascii="Arial" w:eastAsia="Arial" w:hAnsi="Arial" w:cs="Arial"/>
          <w:i/>
          <w:iCs/>
        </w:rPr>
        <w:t>et al.</w:t>
      </w:r>
      <w:r w:rsidRPr="2667042B">
        <w:rPr>
          <w:rFonts w:ascii="Arial" w:eastAsia="Arial" w:hAnsi="Arial" w:cs="Arial"/>
        </w:rPr>
        <w:t xml:space="preserve"> (2025) “A New Era of Online Search? A Large-Scale Study of User Behavior and Personal Preferences during Practical Search Tasks with Generative AI versus Traditional Search Engines,” in N. Yamashita et al. (eds.) </w:t>
      </w:r>
      <w:r w:rsidRPr="2667042B">
        <w:rPr>
          <w:rFonts w:ascii="Arial" w:eastAsia="Arial" w:hAnsi="Arial" w:cs="Arial"/>
          <w:i/>
          <w:iCs/>
        </w:rPr>
        <w:t>Proceedings of the Extended Abstracts of the CHI Conference on Human Factors in Computing Systems</w:t>
      </w:r>
      <w:r w:rsidRPr="2667042B">
        <w:rPr>
          <w:rFonts w:ascii="Arial" w:eastAsia="Arial" w:hAnsi="Arial" w:cs="Arial"/>
        </w:rPr>
        <w:t xml:space="preserve">. New York, NY, USA: ACM, pp. 1–7. Available at: </w:t>
      </w:r>
      <w:hyperlink r:id="rId16">
        <w:r w:rsidRPr="2667042B">
          <w:rPr>
            <w:rStyle w:val="Hyperlink"/>
            <w:rFonts w:ascii="Arial" w:eastAsia="Arial" w:hAnsi="Arial" w:cs="Arial"/>
            <w:color w:val="auto"/>
          </w:rPr>
          <w:t>https://doi.org/10.1145/3706599.3720123</w:t>
        </w:r>
      </w:hyperlink>
      <w:r w:rsidRPr="2667042B">
        <w:rPr>
          <w:rFonts w:ascii="Arial" w:eastAsia="Arial" w:hAnsi="Arial" w:cs="Arial"/>
        </w:rPr>
        <w:t xml:space="preserve"> (accessed 07 February 2026)</w:t>
      </w:r>
    </w:p>
    <w:p w14:paraId="119B6945" w14:textId="434B0B04" w:rsidR="2667042B" w:rsidRDefault="2667042B" w:rsidP="2667042B">
      <w:pPr>
        <w:spacing w:after="0" w:line="360" w:lineRule="auto"/>
        <w:jc w:val="both"/>
        <w:rPr>
          <w:rFonts w:ascii="Arial" w:eastAsia="Arial" w:hAnsi="Arial" w:cs="Arial"/>
        </w:rPr>
      </w:pPr>
    </w:p>
    <w:p w14:paraId="50FA0522" w14:textId="6D9C3032" w:rsidR="479CB48A" w:rsidRDefault="479CB48A" w:rsidP="2667042B">
      <w:pPr>
        <w:spacing w:after="0" w:line="360" w:lineRule="auto"/>
        <w:jc w:val="both"/>
      </w:pPr>
      <w:r w:rsidRPr="2667042B">
        <w:rPr>
          <w:rFonts w:ascii="Arial" w:eastAsia="Arial" w:hAnsi="Arial" w:cs="Arial"/>
        </w:rPr>
        <w:t xml:space="preserve">Martens, B. (2024) “The impact of search engine data sharing on competition and consumer welfare,” </w:t>
      </w:r>
      <w:r w:rsidRPr="2667042B">
        <w:rPr>
          <w:rFonts w:ascii="Arial" w:eastAsia="Arial" w:hAnsi="Arial" w:cs="Arial"/>
          <w:i/>
          <w:iCs/>
          <w:color w:val="3A3A3A" w:themeColor="background2" w:themeShade="40"/>
        </w:rPr>
        <w:t>European competition journal</w:t>
      </w:r>
      <w:r w:rsidRPr="2667042B">
        <w:rPr>
          <w:rFonts w:ascii="Arial" w:eastAsia="Arial" w:hAnsi="Arial" w:cs="Arial"/>
        </w:rPr>
        <w:t xml:space="preserve">, 20(2), pp. 537–554. Available at: </w:t>
      </w:r>
      <w:hyperlink r:id="rId17">
        <w:r w:rsidRPr="2667042B">
          <w:rPr>
            <w:rStyle w:val="Hyperlink"/>
            <w:rFonts w:ascii="Arial" w:eastAsia="Arial" w:hAnsi="Arial" w:cs="Arial"/>
          </w:rPr>
          <w:t>https://doi.org/10.1080/17441056.2024.2313399</w:t>
        </w:r>
      </w:hyperlink>
      <w:r w:rsidRPr="2667042B">
        <w:rPr>
          <w:rFonts w:ascii="Arial" w:eastAsia="Arial" w:hAnsi="Arial" w:cs="Arial"/>
        </w:rPr>
        <w:t xml:space="preserve"> (accessed 03 February 2026)</w:t>
      </w:r>
    </w:p>
    <w:p w14:paraId="61689A3E" w14:textId="0198B9B2" w:rsidR="2667042B" w:rsidRDefault="2667042B" w:rsidP="2667042B">
      <w:pPr>
        <w:spacing w:after="0" w:line="360" w:lineRule="auto"/>
        <w:jc w:val="both"/>
        <w:rPr>
          <w:rFonts w:ascii="Arial" w:eastAsia="Arial" w:hAnsi="Arial" w:cs="Arial"/>
        </w:rPr>
      </w:pPr>
    </w:p>
    <w:p w14:paraId="13635731" w14:textId="28F1E9BB" w:rsidR="479CB48A" w:rsidRDefault="479CB48A" w:rsidP="2667042B">
      <w:pPr>
        <w:spacing w:after="0" w:line="360" w:lineRule="auto"/>
        <w:jc w:val="both"/>
        <w:rPr>
          <w:rFonts w:ascii="Arial" w:eastAsia="Arial" w:hAnsi="Arial" w:cs="Arial"/>
        </w:rPr>
      </w:pPr>
      <w:r w:rsidRPr="2667042B">
        <w:rPr>
          <w:rFonts w:ascii="Arial" w:eastAsia="Arial" w:hAnsi="Arial" w:cs="Arial"/>
        </w:rPr>
        <w:t xml:space="preserve">Sadeddine, Z. </w:t>
      </w:r>
      <w:r w:rsidRPr="2667042B">
        <w:rPr>
          <w:rFonts w:ascii="Arial" w:eastAsia="Arial" w:hAnsi="Arial" w:cs="Arial"/>
          <w:i/>
          <w:iCs/>
        </w:rPr>
        <w:t>et al.</w:t>
      </w:r>
      <w:r w:rsidRPr="2667042B">
        <w:rPr>
          <w:rFonts w:ascii="Arial" w:eastAsia="Arial" w:hAnsi="Arial" w:cs="Arial"/>
        </w:rPr>
        <w:t xml:space="preserve"> (2025) “Large Language Models as Search Engines: Societal Challenges,” </w:t>
      </w:r>
      <w:r w:rsidRPr="2667042B">
        <w:rPr>
          <w:rFonts w:ascii="Arial" w:eastAsia="Arial" w:hAnsi="Arial" w:cs="Arial"/>
          <w:i/>
          <w:iCs/>
        </w:rPr>
        <w:t>SIGIR forum</w:t>
      </w:r>
      <w:r w:rsidRPr="2667042B">
        <w:rPr>
          <w:rFonts w:ascii="Arial" w:eastAsia="Arial" w:hAnsi="Arial" w:cs="Arial"/>
        </w:rPr>
        <w:t xml:space="preserve">, 59(1), pp. 1–35. Available at: </w:t>
      </w:r>
      <w:hyperlink r:id="rId18">
        <w:r w:rsidRPr="2667042B">
          <w:rPr>
            <w:rStyle w:val="Hyperlink"/>
            <w:rFonts w:ascii="Arial" w:eastAsia="Arial" w:hAnsi="Arial" w:cs="Arial"/>
            <w:color w:val="auto"/>
          </w:rPr>
          <w:t>https://doi.org/10.1145/3769733.3769746</w:t>
        </w:r>
      </w:hyperlink>
      <w:r w:rsidRPr="2667042B">
        <w:rPr>
          <w:rFonts w:ascii="Arial" w:eastAsia="Arial" w:hAnsi="Arial" w:cs="Arial"/>
        </w:rPr>
        <w:t xml:space="preserve"> (accessed 07 February 2026)</w:t>
      </w:r>
    </w:p>
    <w:p w14:paraId="3A524FFB" w14:textId="6E7A0C91" w:rsidR="479CB48A" w:rsidRDefault="479CB48A" w:rsidP="2667042B">
      <w:pPr>
        <w:spacing w:after="0" w:line="360" w:lineRule="auto"/>
        <w:jc w:val="both"/>
      </w:pPr>
      <w:r w:rsidRPr="2667042B">
        <w:rPr>
          <w:rFonts w:ascii="Arial" w:eastAsia="Arial" w:hAnsi="Arial" w:cs="Arial"/>
        </w:rPr>
        <w:t xml:space="preserve">Seferlis, C., Roberts, C.N.A. and Chris/Nellis Seferlis (Christophe), 2023. </w:t>
      </w:r>
      <w:r w:rsidRPr="2667042B">
        <w:rPr>
          <w:rFonts w:ascii="Arial" w:eastAsia="Arial" w:hAnsi="Arial" w:cs="Arial"/>
          <w:i/>
          <w:iCs/>
          <w:color w:val="222222"/>
        </w:rPr>
        <w:t>Practical Guide to Azure Cognitive Services</w:t>
      </w:r>
      <w:r w:rsidRPr="2667042B">
        <w:rPr>
          <w:rFonts w:ascii="Arial" w:eastAsia="Arial" w:hAnsi="Arial" w:cs="Arial"/>
        </w:rPr>
        <w:t>. Packt Publishing.</w:t>
      </w:r>
    </w:p>
    <w:p w14:paraId="0796CB20" w14:textId="1228B455" w:rsidR="479CB48A" w:rsidRDefault="479CB48A" w:rsidP="2667042B">
      <w:pPr>
        <w:spacing w:after="0" w:line="360" w:lineRule="auto"/>
        <w:jc w:val="both"/>
      </w:pPr>
      <w:r w:rsidRPr="2667042B">
        <w:rPr>
          <w:rFonts w:ascii="Arial" w:eastAsia="Arial" w:hAnsi="Arial" w:cs="Arial"/>
        </w:rPr>
        <w:t xml:space="preserve">Si, M., Si, Z. and Ye, Y., (2022). The analysis of Google’s monopoly in the search engine industry. In </w:t>
      </w:r>
      <w:r w:rsidRPr="2667042B">
        <w:rPr>
          <w:rFonts w:ascii="Arial" w:eastAsia="Arial" w:hAnsi="Arial" w:cs="Arial"/>
          <w:i/>
          <w:iCs/>
          <w:color w:val="222222"/>
        </w:rPr>
        <w:t>2022 7th International Conference on Financial Innovation and Economic Development (ICFIED 2022)</w:t>
      </w:r>
      <w:r w:rsidRPr="2667042B">
        <w:rPr>
          <w:rFonts w:ascii="Arial" w:eastAsia="Arial" w:hAnsi="Arial" w:cs="Arial"/>
        </w:rPr>
        <w:t xml:space="preserve"> (pp. 2168-2173). Atlantis Press.</w:t>
      </w:r>
    </w:p>
    <w:p w14:paraId="40D45EDA" w14:textId="51A72ABE" w:rsidR="48EEF6C1" w:rsidRDefault="48EEF6C1" w:rsidP="2667042B">
      <w:pPr>
        <w:spacing w:after="0" w:line="360" w:lineRule="auto"/>
        <w:jc w:val="both"/>
        <w:rPr>
          <w:rFonts w:ascii="Arial" w:eastAsia="Arial" w:hAnsi="Arial" w:cs="Arial"/>
        </w:rPr>
      </w:pPr>
      <w:r w:rsidRPr="2667042B">
        <w:rPr>
          <w:rFonts w:ascii="Arial" w:eastAsia="Arial" w:hAnsi="Arial" w:cs="Arial"/>
        </w:rPr>
        <w:t xml:space="preserve">Smyrnaios, N. (2019) “Google as an Information Monopoly,” </w:t>
      </w:r>
      <w:r w:rsidRPr="2667042B">
        <w:rPr>
          <w:rFonts w:ascii="Arial" w:eastAsia="Arial" w:hAnsi="Arial" w:cs="Arial"/>
          <w:i/>
          <w:iCs/>
        </w:rPr>
        <w:t>Contemporary French and francophone studies</w:t>
      </w:r>
      <w:r w:rsidRPr="2667042B">
        <w:rPr>
          <w:rFonts w:ascii="Arial" w:eastAsia="Arial" w:hAnsi="Arial" w:cs="Arial"/>
        </w:rPr>
        <w:t xml:space="preserve">, 23(4), pp. 442–446. Available at: </w:t>
      </w:r>
      <w:hyperlink r:id="rId19">
        <w:r w:rsidRPr="2667042B">
          <w:rPr>
            <w:rStyle w:val="Hyperlink"/>
            <w:rFonts w:ascii="Arial" w:eastAsia="Arial" w:hAnsi="Arial" w:cs="Arial"/>
            <w:color w:val="auto"/>
          </w:rPr>
          <w:t>https://doi.org/10.1080/17409292.2019.1718980</w:t>
        </w:r>
      </w:hyperlink>
      <w:r w:rsidRPr="2667042B">
        <w:rPr>
          <w:rFonts w:ascii="Arial" w:eastAsia="Arial" w:hAnsi="Arial" w:cs="Arial"/>
        </w:rPr>
        <w:t xml:space="preserve"> (accessed 02 February 2026)</w:t>
      </w:r>
    </w:p>
    <w:p w14:paraId="50096B2B" w14:textId="7CC4D9FC" w:rsidR="48EEF6C1" w:rsidRDefault="48EEF6C1" w:rsidP="2667042B">
      <w:pPr>
        <w:spacing w:after="0" w:line="360" w:lineRule="auto"/>
        <w:jc w:val="both"/>
      </w:pPr>
      <w:r w:rsidRPr="2667042B">
        <w:rPr>
          <w:rFonts w:ascii="Arial" w:eastAsia="Arial" w:hAnsi="Arial" w:cs="Arial"/>
        </w:rPr>
        <w:t xml:space="preserve">Suri, S., Counts, S., Wang, L., Chen, C., Wan, M., Safavi, T., Neville, J., Shah, C., White, R.W., Andersen, R. and Buscher, G., 2024. The use of generative search engines for knowledge work and complex tasks. </w:t>
      </w:r>
      <w:r w:rsidRPr="2667042B">
        <w:rPr>
          <w:rFonts w:ascii="Arial" w:eastAsia="Arial" w:hAnsi="Arial" w:cs="Arial"/>
          <w:i/>
          <w:iCs/>
          <w:color w:val="222222"/>
        </w:rPr>
        <w:t>arXiv preprint arXiv:2404.04268</w:t>
      </w:r>
      <w:r w:rsidRPr="2667042B">
        <w:rPr>
          <w:rFonts w:ascii="Arial" w:eastAsia="Arial" w:hAnsi="Arial" w:cs="Arial"/>
        </w:rPr>
        <w:t>.</w:t>
      </w:r>
    </w:p>
    <w:p w14:paraId="7863A51D" w14:textId="58A37AB5" w:rsidR="48EEF6C1" w:rsidRDefault="48EEF6C1" w:rsidP="2667042B">
      <w:pPr>
        <w:spacing w:after="0" w:line="360" w:lineRule="auto"/>
        <w:jc w:val="both"/>
      </w:pPr>
      <w:r w:rsidRPr="2667042B">
        <w:rPr>
          <w:rFonts w:ascii="Arial" w:eastAsia="Arial" w:hAnsi="Arial" w:cs="Arial"/>
        </w:rPr>
        <w:t xml:space="preserve">Yuan, F.-C. and Lee, C.-H. (2020) “Intelligent sales volume forecasting using Google search engine data,” </w:t>
      </w:r>
      <w:r w:rsidRPr="2667042B">
        <w:rPr>
          <w:rFonts w:ascii="Arial" w:eastAsia="Arial" w:hAnsi="Arial" w:cs="Arial"/>
          <w:i/>
          <w:iCs/>
          <w:color w:val="3A3A3A" w:themeColor="background2" w:themeShade="40"/>
        </w:rPr>
        <w:t>Soft computing (Berlin, Germany)</w:t>
      </w:r>
      <w:r w:rsidRPr="2667042B">
        <w:rPr>
          <w:rFonts w:ascii="Arial" w:eastAsia="Arial" w:hAnsi="Arial" w:cs="Arial"/>
        </w:rPr>
        <w:t xml:space="preserve">, 24(3), pp. 2033–2047. Available at: </w:t>
      </w:r>
      <w:hyperlink r:id="rId20">
        <w:r w:rsidRPr="2667042B">
          <w:rPr>
            <w:rStyle w:val="Hyperlink"/>
            <w:rFonts w:ascii="Arial" w:eastAsia="Arial" w:hAnsi="Arial" w:cs="Arial"/>
          </w:rPr>
          <w:t>https://doi.org/10.1007/s00500-019-04036-w</w:t>
        </w:r>
      </w:hyperlink>
      <w:r w:rsidRPr="2667042B">
        <w:rPr>
          <w:rFonts w:ascii="Arial" w:eastAsia="Arial" w:hAnsi="Arial" w:cs="Arial"/>
        </w:rPr>
        <w:t xml:space="preserve"> (accessed 03 February 2026)</w:t>
      </w:r>
    </w:p>
    <w:p w14:paraId="05040F1E" w14:textId="20D89819" w:rsidR="48EEF6C1" w:rsidRDefault="48EEF6C1" w:rsidP="2667042B">
      <w:pPr>
        <w:spacing w:after="0" w:line="360" w:lineRule="auto"/>
        <w:jc w:val="both"/>
      </w:pPr>
      <w:r w:rsidRPr="2667042B">
        <w:rPr>
          <w:rFonts w:ascii="Arial" w:eastAsia="Arial" w:hAnsi="Arial" w:cs="Arial"/>
        </w:rPr>
        <w:lastRenderedPageBreak/>
        <w:t xml:space="preserve">Zhang, Q. and Xiong, Y. (2024) “Harnessing AI potential in E-Commerce: improving user engagement and sales through deep learning-based product recommendations,” </w:t>
      </w:r>
      <w:r w:rsidRPr="2667042B">
        <w:rPr>
          <w:rFonts w:ascii="Arial" w:eastAsia="Arial" w:hAnsi="Arial" w:cs="Arial"/>
          <w:i/>
          <w:iCs/>
          <w:color w:val="3A3A3A" w:themeColor="background2" w:themeShade="40"/>
        </w:rPr>
        <w:t>Current psychology (New Brunswick, N.J.)</w:t>
      </w:r>
      <w:r w:rsidRPr="2667042B">
        <w:rPr>
          <w:rFonts w:ascii="Arial" w:eastAsia="Arial" w:hAnsi="Arial" w:cs="Arial"/>
        </w:rPr>
        <w:t xml:space="preserve">, 43(38), pp. 30379–30401. Available at: </w:t>
      </w:r>
      <w:hyperlink r:id="rId21">
        <w:r w:rsidRPr="2667042B">
          <w:rPr>
            <w:rStyle w:val="Hyperlink"/>
            <w:rFonts w:ascii="Arial" w:eastAsia="Arial" w:hAnsi="Arial" w:cs="Arial"/>
          </w:rPr>
          <w:t>https://doi.org/10.1007/s12144-024-06649-3</w:t>
        </w:r>
      </w:hyperlink>
      <w:r w:rsidRPr="2667042B">
        <w:rPr>
          <w:rFonts w:ascii="Arial" w:eastAsia="Arial" w:hAnsi="Arial" w:cs="Arial"/>
        </w:rPr>
        <w:t xml:space="preserve"> (accessed 04 February 2026)</w:t>
      </w:r>
    </w:p>
    <w:p w14:paraId="7C61162F" w14:textId="6C535FA8" w:rsidR="2667042B" w:rsidRDefault="2667042B" w:rsidP="2667042B">
      <w:pPr>
        <w:spacing w:after="0"/>
        <w:rPr>
          <w:rFonts w:ascii="Arial" w:eastAsia="Arial" w:hAnsi="Arial" w:cs="Arial"/>
        </w:rPr>
      </w:pPr>
    </w:p>
    <w:p w14:paraId="325A331E" w14:textId="5D3F1B45" w:rsidR="2667042B" w:rsidRDefault="2667042B" w:rsidP="2667042B">
      <w:pPr>
        <w:spacing w:after="0"/>
        <w:rPr>
          <w:rFonts w:ascii="Arial" w:eastAsia="Arial" w:hAnsi="Arial" w:cs="Arial"/>
        </w:rPr>
      </w:pPr>
    </w:p>
    <w:p w14:paraId="78FF7928" w14:textId="3418E581" w:rsidR="2667042B" w:rsidRDefault="2667042B" w:rsidP="2667042B">
      <w:pPr>
        <w:spacing w:after="0"/>
        <w:rPr>
          <w:rFonts w:ascii="Arial" w:eastAsia="Arial" w:hAnsi="Arial" w:cs="Arial"/>
        </w:rPr>
      </w:pPr>
    </w:p>
    <w:p w14:paraId="1604DE61" w14:textId="7F5180BE" w:rsidR="2667042B" w:rsidRDefault="2667042B" w:rsidP="2667042B">
      <w:pPr>
        <w:spacing w:after="0"/>
        <w:rPr>
          <w:rFonts w:ascii="Arial" w:eastAsia="Arial" w:hAnsi="Arial" w:cs="Arial"/>
        </w:rPr>
      </w:pPr>
    </w:p>
    <w:p w14:paraId="391230F6" w14:textId="49043627" w:rsidR="2667042B" w:rsidRDefault="2667042B" w:rsidP="2667042B">
      <w:pPr>
        <w:spacing w:after="0"/>
        <w:rPr>
          <w:rFonts w:ascii="Arial" w:eastAsia="Arial" w:hAnsi="Arial" w:cs="Arial"/>
          <w:i/>
          <w:iCs/>
          <w:color w:val="000000" w:themeColor="text1"/>
        </w:rPr>
      </w:pPr>
    </w:p>
    <w:p w14:paraId="38153D3F" w14:textId="4CA1E5BC" w:rsidR="2667042B" w:rsidRDefault="2667042B" w:rsidP="2667042B">
      <w:pPr>
        <w:rPr>
          <w:rFonts w:ascii="Arial" w:eastAsia="Arial" w:hAnsi="Arial" w:cs="Arial"/>
        </w:rPr>
      </w:pPr>
    </w:p>
    <w:p w14:paraId="3D86E53F" w14:textId="547FC8C3" w:rsidR="2667042B" w:rsidRDefault="2667042B" w:rsidP="2667042B"/>
    <w:p w14:paraId="09EF6271" w14:textId="7F199273" w:rsidR="2667042B" w:rsidRDefault="2667042B" w:rsidP="2667042B"/>
    <w:p w14:paraId="0CC03C38" w14:textId="5B8D8067" w:rsidR="2667042B" w:rsidRDefault="2667042B">
      <w:r>
        <w:br w:type="page"/>
      </w:r>
    </w:p>
    <w:p w14:paraId="1C8FEC49" w14:textId="7AACB787" w:rsidR="42F73D67" w:rsidRDefault="42F73D67" w:rsidP="2667042B">
      <w:pPr>
        <w:pStyle w:val="Heading1"/>
        <w:keepNext w:val="0"/>
        <w:keepLines w:val="0"/>
        <w:spacing w:line="360" w:lineRule="auto"/>
        <w:jc w:val="both"/>
        <w:rPr>
          <w:rFonts w:ascii="Arial" w:eastAsia="Arial" w:hAnsi="Arial" w:cs="Arial"/>
          <w:sz w:val="32"/>
          <w:szCs w:val="32"/>
        </w:rPr>
      </w:pPr>
      <w:bookmarkStart w:id="12" w:name="_Toc222503657"/>
      <w:r w:rsidRPr="2667042B">
        <w:rPr>
          <w:rFonts w:ascii="Arial" w:eastAsia="Arial" w:hAnsi="Arial" w:cs="Arial"/>
          <w:sz w:val="32"/>
          <w:szCs w:val="32"/>
        </w:rPr>
        <w:lastRenderedPageBreak/>
        <w:t>Appendix</w:t>
      </w:r>
      <w:bookmarkEnd w:id="12"/>
    </w:p>
    <w:p w14:paraId="10D39655" w14:textId="71D1F400" w:rsidR="7AD4DFCB" w:rsidRDefault="7AD4DFCB" w:rsidP="2667042B">
      <w:pPr>
        <w:spacing w:line="360" w:lineRule="auto"/>
        <w:jc w:val="both"/>
        <w:rPr>
          <w:rFonts w:ascii="Arial" w:eastAsia="Arial" w:hAnsi="Arial" w:cs="Arial"/>
          <w:sz w:val="32"/>
          <w:szCs w:val="32"/>
        </w:rPr>
      </w:pPr>
      <w:r w:rsidRPr="2667042B">
        <w:rPr>
          <w:rFonts w:ascii="Arial" w:eastAsia="Arial" w:hAnsi="Arial" w:cs="Arial"/>
          <w:sz w:val="32"/>
          <w:szCs w:val="32"/>
        </w:rPr>
        <w:t>Strategic Responses to Macro Pressures</w:t>
      </w:r>
    </w:p>
    <w:p w14:paraId="5C2B4EA5" w14:textId="30A163FB" w:rsidR="7AD4DFCB" w:rsidRDefault="7AD4DFCB" w:rsidP="2667042B">
      <w:pPr>
        <w:pStyle w:val="ListParagraph"/>
        <w:numPr>
          <w:ilvl w:val="0"/>
          <w:numId w:val="1"/>
        </w:numPr>
        <w:spacing w:line="360" w:lineRule="auto"/>
        <w:contextualSpacing w:val="0"/>
        <w:jc w:val="both"/>
        <w:rPr>
          <w:rFonts w:ascii="Arial" w:eastAsia="Arial" w:hAnsi="Arial" w:cs="Arial"/>
          <w:b/>
          <w:bCs/>
        </w:rPr>
      </w:pPr>
      <w:r w:rsidRPr="2667042B">
        <w:rPr>
          <w:rFonts w:ascii="Arial" w:eastAsia="Arial" w:hAnsi="Arial" w:cs="Arial"/>
          <w:b/>
          <w:bCs/>
        </w:rPr>
        <w:t>Porter’s Generic Strategies: Comparative Analysis</w:t>
      </w:r>
    </w:p>
    <w:p w14:paraId="4BD21468" w14:textId="0F72B0AD" w:rsidR="5A6F9A5E" w:rsidRDefault="5A6F9A5E" w:rsidP="2667042B">
      <w:pPr>
        <w:spacing w:line="360" w:lineRule="auto"/>
        <w:jc w:val="both"/>
        <w:rPr>
          <w:rFonts w:ascii="Arial" w:eastAsia="Arial" w:hAnsi="Arial" w:cs="Arial"/>
        </w:rPr>
      </w:pPr>
      <w:r w:rsidRPr="2667042B">
        <w:rPr>
          <w:rFonts w:ascii="Arial" w:eastAsia="Arial" w:hAnsi="Arial" w:cs="Arial"/>
        </w:rPr>
        <w:t xml:space="preserve">Google and Microsoft Bing clearly differ strategically, as seen by the application of Porter's Generic Strategies. Organisations aim to create a distinctive market position by providing unique value that rivals find difficult to match, in accordance with differentiation theory (Jerab and </w:t>
      </w:r>
      <w:r w:rsidR="5CA86F17" w:rsidRPr="2667042B">
        <w:rPr>
          <w:rFonts w:ascii="Arial" w:eastAsia="Arial" w:hAnsi="Arial" w:cs="Arial"/>
        </w:rPr>
        <w:t>Mabrouk</w:t>
      </w:r>
      <w:r w:rsidRPr="2667042B">
        <w:rPr>
          <w:rFonts w:ascii="Arial" w:eastAsia="Arial" w:hAnsi="Arial" w:cs="Arial"/>
        </w:rPr>
        <w:t>, 202</w:t>
      </w:r>
      <w:r w:rsidR="51CFFF81" w:rsidRPr="2667042B">
        <w:rPr>
          <w:rFonts w:ascii="Arial" w:eastAsia="Arial" w:hAnsi="Arial" w:cs="Arial"/>
        </w:rPr>
        <w:t>3</w:t>
      </w:r>
      <w:r w:rsidRPr="2667042B">
        <w:rPr>
          <w:rFonts w:ascii="Arial" w:eastAsia="Arial" w:hAnsi="Arial" w:cs="Arial"/>
        </w:rPr>
        <w:t xml:space="preserve">). Google's deep ecosystem integration, vast data resources, and excellent search quality serve as prime examples of this strategy. </w:t>
      </w:r>
      <w:r w:rsidR="7B5ABA9F" w:rsidRPr="2667042B">
        <w:rPr>
          <w:rFonts w:ascii="Arial" w:eastAsia="Arial" w:hAnsi="Arial" w:cs="Arial"/>
        </w:rPr>
        <w:t>Additionally, studies show that Google search data can be used as an external input for sophisticated forecasting models, greatly increasing the accuracy of sales volume predictions (Yuan and Lee, 2020).</w:t>
      </w:r>
      <w:r>
        <w:br/>
      </w:r>
      <w:r w:rsidR="6736585E" w:rsidRPr="2667042B">
        <w:rPr>
          <w:rFonts w:ascii="Arial" w:eastAsia="Arial" w:hAnsi="Arial" w:cs="Arial"/>
        </w:rPr>
        <w:t>Sustained investment in AI-driven innovation is necessary to maintain a competitive edge in the face of tightening regulatory restraints. Businesses may strengthen consumer lock-in and long-term value creation by improving advertising effectiveness and user experience through the ongoing development of AI capabilities. This continuous investment serves as a strategic buffer against regulatory pressure for market leaders like Google, enabling the company to maintain competitive advantage while adjusting to an increasingly stringent operating environment (</w:t>
      </w:r>
      <w:r w:rsidR="311C3F75" w:rsidRPr="2667042B">
        <w:rPr>
          <w:rFonts w:ascii="Arial" w:eastAsia="Arial" w:hAnsi="Arial" w:cs="Arial"/>
        </w:rPr>
        <w:t>Zhang and Xiong, 2024)</w:t>
      </w:r>
      <w:r w:rsidRPr="2667042B">
        <w:rPr>
          <w:rFonts w:ascii="Arial" w:eastAsia="Arial" w:hAnsi="Arial" w:cs="Arial"/>
        </w:rPr>
        <w:t>.</w:t>
      </w:r>
    </w:p>
    <w:p w14:paraId="20760612" w14:textId="4D28D93D" w:rsidR="366F7226" w:rsidRDefault="366F7226" w:rsidP="2667042B">
      <w:pPr>
        <w:spacing w:line="360" w:lineRule="auto"/>
        <w:jc w:val="both"/>
        <w:rPr>
          <w:rFonts w:ascii="Arial" w:eastAsia="Arial" w:hAnsi="Arial" w:cs="Arial"/>
        </w:rPr>
      </w:pPr>
      <w:r w:rsidRPr="2667042B">
        <w:rPr>
          <w:rFonts w:ascii="Arial" w:eastAsia="Arial" w:hAnsi="Arial" w:cs="Arial"/>
        </w:rPr>
        <w:t>By targeting particular user segments with generative AI-enhanced search and interaction with Microsoft's productivity environment, Bing, on the other hand, employs a targeted differentiation strategy. Instead of competing on size, Bing aims to redefine user value within more specific market groups by differentiating itself through contextual relevance and functional innovation. The systemic dominance and differentiation provide Google a long-lasting competitive edge, whereas Bing's targeted strategy allows for strategic relevance but restricts its capacity to take on the market leader on a large scale. As illustrated in Table 1, Google’s differentiation strategy is underpinned by systemic advantages that reinforce long-term market dominance, whereas Bing’s focused differentiation enables strategic relevance without challenging leadership at scale.</w:t>
      </w:r>
    </w:p>
    <w:p w14:paraId="0581D574" w14:textId="03176FB2" w:rsidR="0614CB3C" w:rsidRDefault="0614CB3C" w:rsidP="2667042B">
      <w:pPr>
        <w:spacing w:line="360" w:lineRule="auto"/>
        <w:jc w:val="both"/>
        <w:rPr>
          <w:rFonts w:ascii="Arial" w:eastAsia="Arial" w:hAnsi="Arial" w:cs="Arial"/>
        </w:rPr>
      </w:pPr>
      <w:r>
        <w:rPr>
          <w:noProof/>
        </w:rPr>
        <w:lastRenderedPageBreak/>
        <w:drawing>
          <wp:inline distT="0" distB="0" distL="0" distR="0" wp14:anchorId="2AF727DD" wp14:editId="6D5387B4">
            <wp:extent cx="5506218" cy="3886742"/>
            <wp:effectExtent l="0" t="0" r="0" b="0"/>
            <wp:docPr id="16051513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151384" name="Picture 1605151384"/>
                    <pic:cNvPicPr/>
                  </pic:nvPicPr>
                  <pic:blipFill>
                    <a:blip r:embed="rId22">
                      <a:extLst>
                        <a:ext uri="{28A0092B-C50C-407E-A947-70E740481C1C}">
                          <a14:useLocalDpi xmlns:a14="http://schemas.microsoft.com/office/drawing/2010/main"/>
                        </a:ext>
                      </a:extLst>
                    </a:blip>
                    <a:stretch>
                      <a:fillRect/>
                    </a:stretch>
                  </pic:blipFill>
                  <pic:spPr>
                    <a:xfrm>
                      <a:off x="0" y="0"/>
                      <a:ext cx="5506218" cy="3886742"/>
                    </a:xfrm>
                    <a:prstGeom prst="rect">
                      <a:avLst/>
                    </a:prstGeom>
                  </pic:spPr>
                </pic:pic>
              </a:graphicData>
            </a:graphic>
          </wp:inline>
        </w:drawing>
      </w:r>
    </w:p>
    <w:p w14:paraId="5CD86145" w14:textId="4403E426" w:rsidR="0614CB3C" w:rsidRDefault="0614CB3C" w:rsidP="2667042B">
      <w:pPr>
        <w:spacing w:line="360" w:lineRule="auto"/>
        <w:jc w:val="both"/>
        <w:rPr>
          <w:rFonts w:ascii="Arial" w:eastAsia="Arial" w:hAnsi="Arial" w:cs="Arial"/>
        </w:rPr>
      </w:pPr>
      <w:r w:rsidRPr="2667042B">
        <w:rPr>
          <w:rFonts w:ascii="Arial" w:eastAsia="Arial" w:hAnsi="Arial" w:cs="Arial"/>
        </w:rPr>
        <w:t xml:space="preserve">Table 1: Porter’s Generic Strategies: </w:t>
      </w:r>
      <w:r w:rsidR="47123D60" w:rsidRPr="2667042B">
        <w:rPr>
          <w:rFonts w:ascii="Arial" w:eastAsia="Arial" w:hAnsi="Arial" w:cs="Arial"/>
        </w:rPr>
        <w:t>Google vs. Microsoft Bing</w:t>
      </w:r>
    </w:p>
    <w:p w14:paraId="06343A28" w14:textId="0B859B75" w:rsidR="0614CB3C" w:rsidRDefault="0614CB3C" w:rsidP="2667042B">
      <w:pPr>
        <w:spacing w:line="360" w:lineRule="auto"/>
        <w:jc w:val="both"/>
        <w:rPr>
          <w:rFonts w:ascii="Arial" w:eastAsia="Arial" w:hAnsi="Arial" w:cs="Arial"/>
        </w:rPr>
      </w:pPr>
      <w:r w:rsidRPr="2667042B">
        <w:rPr>
          <w:rFonts w:ascii="Arial" w:eastAsia="Arial" w:hAnsi="Arial" w:cs="Arial"/>
        </w:rPr>
        <w:t xml:space="preserve">Source: created by </w:t>
      </w:r>
      <w:r w:rsidR="73D03831" w:rsidRPr="2667042B">
        <w:rPr>
          <w:rFonts w:ascii="Arial" w:eastAsia="Arial" w:hAnsi="Arial" w:cs="Arial"/>
        </w:rPr>
        <w:t xml:space="preserve">the </w:t>
      </w:r>
      <w:r w:rsidRPr="2667042B">
        <w:rPr>
          <w:rFonts w:ascii="Arial" w:eastAsia="Arial" w:hAnsi="Arial" w:cs="Arial"/>
        </w:rPr>
        <w:t>author</w:t>
      </w:r>
    </w:p>
    <w:p w14:paraId="5F746031" w14:textId="184B5B7B" w:rsidR="44AF12C5" w:rsidRDefault="44AF12C5" w:rsidP="2667042B">
      <w:pPr>
        <w:pStyle w:val="ListParagraph"/>
        <w:numPr>
          <w:ilvl w:val="0"/>
          <w:numId w:val="1"/>
        </w:numPr>
        <w:spacing w:line="360" w:lineRule="auto"/>
        <w:contextualSpacing w:val="0"/>
        <w:jc w:val="both"/>
        <w:rPr>
          <w:rFonts w:ascii="Arial" w:eastAsia="Arial" w:hAnsi="Arial" w:cs="Arial"/>
          <w:b/>
          <w:bCs/>
        </w:rPr>
      </w:pPr>
      <w:r w:rsidRPr="2667042B">
        <w:rPr>
          <w:rFonts w:ascii="Arial" w:eastAsia="Arial" w:hAnsi="Arial" w:cs="Arial"/>
          <w:b/>
          <w:bCs/>
        </w:rPr>
        <w:t>Ansoff’s Growth Matrix: Sustaining Growth Strategies</w:t>
      </w:r>
    </w:p>
    <w:p w14:paraId="7B021809" w14:textId="60426483" w:rsidR="27251BDE" w:rsidRDefault="27251BDE" w:rsidP="2667042B">
      <w:pPr>
        <w:spacing w:line="360" w:lineRule="auto"/>
        <w:jc w:val="both"/>
        <w:rPr>
          <w:rFonts w:ascii="Arial" w:eastAsia="Arial" w:hAnsi="Arial" w:cs="Arial"/>
        </w:rPr>
      </w:pPr>
      <w:r w:rsidRPr="2667042B">
        <w:rPr>
          <w:rFonts w:ascii="Arial" w:eastAsia="Arial" w:hAnsi="Arial" w:cs="Arial"/>
        </w:rPr>
        <w:t xml:space="preserve">In Ansoff's Growth Matrix, Google's focus on product development is demonstrated by the way it continuously improves its advertising and commerce platforms to </w:t>
      </w:r>
      <w:r w:rsidR="2B0A88C6" w:rsidRPr="2667042B">
        <w:rPr>
          <w:rFonts w:ascii="Arial" w:eastAsia="Arial" w:hAnsi="Arial" w:cs="Arial"/>
        </w:rPr>
        <w:t>consider</w:t>
      </w:r>
      <w:r w:rsidRPr="2667042B">
        <w:rPr>
          <w:rFonts w:ascii="Arial" w:eastAsia="Arial" w:hAnsi="Arial" w:cs="Arial"/>
        </w:rPr>
        <w:t xml:space="preserve"> changing consumer behaviour. By incorporating AI-driven technologies and improving advertising solutions to increase relevance and efficacy, Google has adjusted its ecosystem in response to growing online purchases, a higher reliance on search, and an increase in video viewing (Afaqs, 2022). This approach strengthens Google's competitive position through innovation rather than market expansion by extending value from current markets while lowering growth-related risk.</w:t>
      </w:r>
      <w:r w:rsidR="4DC6FE5A" w:rsidRPr="2667042B">
        <w:rPr>
          <w:rFonts w:ascii="Arial" w:eastAsia="Arial" w:hAnsi="Arial" w:cs="Arial"/>
        </w:rPr>
        <w:t xml:space="preserve"> Meanwhile, Bing's growth strategy focuses more on market and product development, leveraging generative AI to improve search capabilities and draw in new user segments from various organisational and geographic contexts. Bing's weaker market position and reliance on the successful adoption of innovative features make this strategy riskier, even though it offers greater growth potential.</w:t>
      </w:r>
      <w:r w:rsidR="6C834D83" w:rsidRPr="2667042B">
        <w:rPr>
          <w:rFonts w:ascii="Arial" w:eastAsia="Arial" w:hAnsi="Arial" w:cs="Arial"/>
        </w:rPr>
        <w:t xml:space="preserve"> </w:t>
      </w:r>
      <w:r w:rsidR="4DC6FE5A" w:rsidRPr="2667042B">
        <w:rPr>
          <w:rFonts w:ascii="Arial" w:eastAsia="Arial" w:hAnsi="Arial" w:cs="Arial"/>
        </w:rPr>
        <w:t xml:space="preserve">Overall, Bing's strategy shows a more aggressive but uncertain pursuit of competitive development, while Google's growth </w:t>
      </w:r>
      <w:r w:rsidR="4DC6FE5A" w:rsidRPr="2667042B">
        <w:rPr>
          <w:rFonts w:ascii="Arial" w:eastAsia="Arial" w:hAnsi="Arial" w:cs="Arial"/>
        </w:rPr>
        <w:lastRenderedPageBreak/>
        <w:t>strategy prioritises consolidation and resilience.</w:t>
      </w:r>
      <w:r w:rsidR="4924B173" w:rsidRPr="2667042B">
        <w:rPr>
          <w:rFonts w:ascii="Arial" w:eastAsia="Arial" w:hAnsi="Arial" w:cs="Arial"/>
        </w:rPr>
        <w:t xml:space="preserve"> Table 2 summarises Google's growth strategy, which places more emphasis on product development and market penetration for consolidation, whereas Bing pursues higher-risk growth paths for competitive relevance.</w:t>
      </w:r>
    </w:p>
    <w:p w14:paraId="0900BD5C" w14:textId="31F3B530" w:rsidR="4924B173" w:rsidRDefault="4924B173" w:rsidP="2667042B">
      <w:pPr>
        <w:spacing w:line="360" w:lineRule="auto"/>
        <w:jc w:val="both"/>
        <w:rPr>
          <w:rFonts w:ascii="Arial" w:eastAsia="Arial" w:hAnsi="Arial" w:cs="Arial"/>
        </w:rPr>
      </w:pPr>
      <w:r>
        <w:rPr>
          <w:noProof/>
        </w:rPr>
        <w:drawing>
          <wp:inline distT="0" distB="0" distL="0" distR="0" wp14:anchorId="2ACEC6D8" wp14:editId="75707838">
            <wp:extent cx="5553850" cy="3991532"/>
            <wp:effectExtent l="0" t="0" r="0" b="0"/>
            <wp:docPr id="12813574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57439" name="Picture 1281357439"/>
                    <pic:cNvPicPr/>
                  </pic:nvPicPr>
                  <pic:blipFill>
                    <a:blip r:embed="rId23">
                      <a:extLst>
                        <a:ext uri="{28A0092B-C50C-407E-A947-70E740481C1C}">
                          <a14:useLocalDpi xmlns:a14="http://schemas.microsoft.com/office/drawing/2010/main"/>
                        </a:ext>
                      </a:extLst>
                    </a:blip>
                    <a:stretch>
                      <a:fillRect/>
                    </a:stretch>
                  </pic:blipFill>
                  <pic:spPr>
                    <a:xfrm>
                      <a:off x="0" y="0"/>
                      <a:ext cx="5553850" cy="3991532"/>
                    </a:xfrm>
                    <a:prstGeom prst="rect">
                      <a:avLst/>
                    </a:prstGeom>
                  </pic:spPr>
                </pic:pic>
              </a:graphicData>
            </a:graphic>
          </wp:inline>
        </w:drawing>
      </w:r>
    </w:p>
    <w:p w14:paraId="1F06F9A9" w14:textId="7D452DAD" w:rsidR="4924B173" w:rsidRDefault="4924B173" w:rsidP="2667042B">
      <w:pPr>
        <w:spacing w:line="360" w:lineRule="auto"/>
        <w:jc w:val="both"/>
        <w:rPr>
          <w:rFonts w:ascii="Arial" w:eastAsia="Arial" w:hAnsi="Arial" w:cs="Arial"/>
        </w:rPr>
      </w:pPr>
      <w:r w:rsidRPr="2667042B">
        <w:rPr>
          <w:rFonts w:ascii="Arial" w:eastAsia="Arial" w:hAnsi="Arial" w:cs="Arial"/>
        </w:rPr>
        <w:t>Table 2: Ansoff's</w:t>
      </w:r>
      <w:r w:rsidR="6AD46DA6" w:rsidRPr="2667042B">
        <w:rPr>
          <w:rFonts w:ascii="Arial" w:eastAsia="Arial" w:hAnsi="Arial" w:cs="Arial"/>
        </w:rPr>
        <w:t xml:space="preserve"> Growth Strategy</w:t>
      </w:r>
    </w:p>
    <w:p w14:paraId="7D4643E6" w14:textId="3EEBF251" w:rsidR="4924B173" w:rsidRDefault="4924B173" w:rsidP="2667042B">
      <w:pPr>
        <w:spacing w:line="360" w:lineRule="auto"/>
        <w:jc w:val="both"/>
        <w:rPr>
          <w:rFonts w:ascii="Arial" w:eastAsia="Arial" w:hAnsi="Arial" w:cs="Arial"/>
        </w:rPr>
      </w:pPr>
      <w:r w:rsidRPr="2667042B">
        <w:rPr>
          <w:rFonts w:ascii="Arial" w:eastAsia="Arial" w:hAnsi="Arial" w:cs="Arial"/>
        </w:rPr>
        <w:t>Source: created by the author</w:t>
      </w:r>
    </w:p>
    <w:p w14:paraId="715AE209" w14:textId="301D1838" w:rsidR="2667042B" w:rsidRDefault="2667042B" w:rsidP="2667042B">
      <w:pPr>
        <w:spacing w:line="360" w:lineRule="auto"/>
        <w:jc w:val="both"/>
        <w:rPr>
          <w:rFonts w:ascii="Arial" w:eastAsia="Arial" w:hAnsi="Arial" w:cs="Arial"/>
        </w:rPr>
      </w:pPr>
    </w:p>
    <w:p w14:paraId="6B891E60" w14:textId="69F537D4" w:rsidR="2667042B" w:rsidRDefault="2667042B" w:rsidP="2667042B">
      <w:pPr>
        <w:spacing w:line="360" w:lineRule="auto"/>
        <w:jc w:val="both"/>
        <w:rPr>
          <w:rFonts w:ascii="Arial" w:eastAsia="Arial" w:hAnsi="Arial" w:cs="Arial"/>
        </w:rPr>
      </w:pPr>
    </w:p>
    <w:sectPr w:rsidR="2667042B">
      <w:headerReference w:type="default" r:id="rId24"/>
      <w:footerReference w:type="default" r:id="rId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F5E25" w14:textId="77777777" w:rsidR="003D0D25" w:rsidRDefault="003D0D25">
      <w:pPr>
        <w:spacing w:after="0" w:line="240" w:lineRule="auto"/>
      </w:pPr>
      <w:r>
        <w:separator/>
      </w:r>
    </w:p>
  </w:endnote>
  <w:endnote w:type="continuationSeparator" w:id="0">
    <w:p w14:paraId="74E2A0B9" w14:textId="77777777" w:rsidR="003D0D25" w:rsidRDefault="003D0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67042B" w14:paraId="76A6CC16" w14:textId="77777777" w:rsidTr="2667042B">
      <w:trPr>
        <w:trHeight w:val="300"/>
      </w:trPr>
      <w:tc>
        <w:tcPr>
          <w:tcW w:w="3005" w:type="dxa"/>
        </w:tcPr>
        <w:p w14:paraId="68338CC3" w14:textId="21F0AE7F" w:rsidR="2667042B" w:rsidRDefault="2667042B" w:rsidP="2667042B">
          <w:pPr>
            <w:pStyle w:val="Header"/>
            <w:ind w:left="-115"/>
          </w:pPr>
        </w:p>
      </w:tc>
      <w:tc>
        <w:tcPr>
          <w:tcW w:w="3005" w:type="dxa"/>
        </w:tcPr>
        <w:p w14:paraId="36E6A059" w14:textId="3AC2D96F" w:rsidR="2667042B" w:rsidRDefault="2667042B" w:rsidP="2667042B">
          <w:pPr>
            <w:pStyle w:val="Header"/>
            <w:jc w:val="center"/>
          </w:pPr>
        </w:p>
      </w:tc>
      <w:tc>
        <w:tcPr>
          <w:tcW w:w="3005" w:type="dxa"/>
        </w:tcPr>
        <w:p w14:paraId="448776C1" w14:textId="1B2F2080" w:rsidR="2667042B" w:rsidRDefault="2667042B" w:rsidP="2667042B">
          <w:pPr>
            <w:pStyle w:val="Header"/>
            <w:ind w:right="-115"/>
            <w:jc w:val="right"/>
          </w:pPr>
          <w:r>
            <w:fldChar w:fldCharType="begin"/>
          </w:r>
          <w:r>
            <w:instrText>PAGE</w:instrText>
          </w:r>
          <w:r>
            <w:fldChar w:fldCharType="separate"/>
          </w:r>
          <w:r w:rsidR="00514A71">
            <w:rPr>
              <w:noProof/>
            </w:rPr>
            <w:t>1</w:t>
          </w:r>
          <w:r>
            <w:fldChar w:fldCharType="end"/>
          </w:r>
        </w:p>
      </w:tc>
    </w:tr>
  </w:tbl>
  <w:p w14:paraId="3DFDC78B" w14:textId="0EC76F84" w:rsidR="2667042B" w:rsidRDefault="2667042B" w:rsidP="266704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B8A58" w14:textId="77777777" w:rsidR="003D0D25" w:rsidRDefault="003D0D25">
      <w:pPr>
        <w:spacing w:after="0" w:line="240" w:lineRule="auto"/>
      </w:pPr>
      <w:r>
        <w:separator/>
      </w:r>
    </w:p>
  </w:footnote>
  <w:footnote w:type="continuationSeparator" w:id="0">
    <w:p w14:paraId="605258F5" w14:textId="77777777" w:rsidR="003D0D25" w:rsidRDefault="003D0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667042B" w14:paraId="2E13CC72" w14:textId="77777777" w:rsidTr="2667042B">
      <w:trPr>
        <w:trHeight w:val="300"/>
      </w:trPr>
      <w:tc>
        <w:tcPr>
          <w:tcW w:w="3005" w:type="dxa"/>
        </w:tcPr>
        <w:p w14:paraId="2540E56A" w14:textId="08D79D0D" w:rsidR="2667042B" w:rsidRDefault="2667042B" w:rsidP="2667042B">
          <w:pPr>
            <w:pStyle w:val="Header"/>
            <w:ind w:left="-115"/>
          </w:pPr>
        </w:p>
      </w:tc>
      <w:tc>
        <w:tcPr>
          <w:tcW w:w="3005" w:type="dxa"/>
        </w:tcPr>
        <w:p w14:paraId="5BA2E4F8" w14:textId="2081B7A9" w:rsidR="2667042B" w:rsidRDefault="2667042B" w:rsidP="2667042B">
          <w:pPr>
            <w:pStyle w:val="Header"/>
            <w:jc w:val="center"/>
          </w:pPr>
        </w:p>
      </w:tc>
      <w:tc>
        <w:tcPr>
          <w:tcW w:w="3005" w:type="dxa"/>
        </w:tcPr>
        <w:p w14:paraId="06E6A3CC" w14:textId="4A435A1F" w:rsidR="2667042B" w:rsidRDefault="2667042B" w:rsidP="2667042B">
          <w:pPr>
            <w:pStyle w:val="Header"/>
            <w:ind w:right="-115"/>
            <w:jc w:val="right"/>
          </w:pPr>
        </w:p>
      </w:tc>
    </w:tr>
  </w:tbl>
  <w:p w14:paraId="3109F454" w14:textId="02D927C3" w:rsidR="2667042B" w:rsidRDefault="2667042B" w:rsidP="2667042B">
    <w:pPr>
      <w:pStyle w:val="Header"/>
    </w:pPr>
  </w:p>
</w:hdr>
</file>

<file path=word/intelligence2.xml><?xml version="1.0" encoding="utf-8"?>
<int2:intelligence xmlns:int2="http://schemas.microsoft.com/office/intelligence/2020/intelligence" xmlns:oel="http://schemas.microsoft.com/office/2019/extlst">
  <int2:observations>
    <int2:textHash int2:hashCode="yOJ9emsNKIOp9n" int2:id="iFNbaD0A">
      <int2:state int2:value="Rejected" int2:type="spell"/>
    </int2:textHash>
    <int2:textHash int2:hashCode="Nrt1D9mcjuL6m7" int2:id="eGfGmonY">
      <int2:state int2:value="Rejected" int2:type="spell"/>
    </int2:textHash>
    <int2:textHash int2:hashCode="k2Do5Vghjalp0v" int2:id="8xNtSWNU">
      <int2:state int2:value="Rejected" int2:type="spell"/>
    </int2:textHash>
    <int2:textHash int2:hashCode="yPRboEYGimG5Ym" int2:id="SkP4KPPX">
      <int2:state int2:value="Rejected" int2:type="spell"/>
    </int2:textHash>
    <int2:textHash int2:hashCode="PCm4tOALx3L9gN" int2:id="MMpft8ml">
      <int2:state int2:value="Rejected" int2:type="spell"/>
    </int2:textHash>
    <int2:textHash int2:hashCode="XrcMpP1mff4uVN" int2:id="bmv0WuQi">
      <int2:state int2:value="Rejected" int2:type="spell"/>
    </int2:textHash>
    <int2:textHash int2:hashCode="yj+T6EQYdLIL2F" int2:id="wz8fIZXa">
      <int2:state int2:value="Rejected" int2:type="spell"/>
    </int2:textHash>
    <int2:textHash int2:hashCode="Dfr74emrmyZF12" int2:id="V461FERV">
      <int2:state int2:value="Rejected" int2:type="spell"/>
    </int2:textHash>
    <int2:textHash int2:hashCode="U0iPjZ2a+AhY75" int2:id="ZpPO5MbV">
      <int2:state int2:value="Rejected" int2:type="spell"/>
    </int2:textHash>
    <int2:textHash int2:hashCode="L7TVgRTCSFoST4" int2:id="CoG2lEIp">
      <int2:state int2:value="Rejected" int2:type="spell"/>
    </int2:textHash>
    <int2:textHash int2:hashCode="hhZl/C49RqWALW" int2:id="Tv22Izu3">
      <int2:state int2:value="Rejected" int2:type="spell"/>
    </int2:textHash>
    <int2:textHash int2:hashCode="bzZZvmsF+2MStn" int2:id="AfxfnN9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921587"/>
    <w:multiLevelType w:val="hybridMultilevel"/>
    <w:tmpl w:val="6570EE3E"/>
    <w:lvl w:ilvl="0" w:tplc="55947E0A">
      <w:start w:val="1"/>
      <w:numFmt w:val="decimal"/>
      <w:lvlText w:val="%1."/>
      <w:lvlJc w:val="left"/>
      <w:pPr>
        <w:ind w:left="720" w:hanging="360"/>
      </w:pPr>
    </w:lvl>
    <w:lvl w:ilvl="1" w:tplc="A8380484">
      <w:start w:val="1"/>
      <w:numFmt w:val="lowerLetter"/>
      <w:lvlText w:val="%2."/>
      <w:lvlJc w:val="left"/>
      <w:pPr>
        <w:ind w:left="1440" w:hanging="360"/>
      </w:pPr>
    </w:lvl>
    <w:lvl w:ilvl="2" w:tplc="A8DA4630">
      <w:start w:val="1"/>
      <w:numFmt w:val="lowerRoman"/>
      <w:lvlText w:val="%3."/>
      <w:lvlJc w:val="right"/>
      <w:pPr>
        <w:ind w:left="2160" w:hanging="180"/>
      </w:pPr>
    </w:lvl>
    <w:lvl w:ilvl="3" w:tplc="36BE6E3E">
      <w:start w:val="1"/>
      <w:numFmt w:val="decimal"/>
      <w:lvlText w:val="%4."/>
      <w:lvlJc w:val="left"/>
      <w:pPr>
        <w:ind w:left="2880" w:hanging="360"/>
      </w:pPr>
    </w:lvl>
    <w:lvl w:ilvl="4" w:tplc="D9205F1C">
      <w:start w:val="1"/>
      <w:numFmt w:val="lowerLetter"/>
      <w:lvlText w:val="%5."/>
      <w:lvlJc w:val="left"/>
      <w:pPr>
        <w:ind w:left="3600" w:hanging="360"/>
      </w:pPr>
    </w:lvl>
    <w:lvl w:ilvl="5" w:tplc="4704BEF2">
      <w:start w:val="1"/>
      <w:numFmt w:val="lowerRoman"/>
      <w:lvlText w:val="%6."/>
      <w:lvlJc w:val="right"/>
      <w:pPr>
        <w:ind w:left="4320" w:hanging="180"/>
      </w:pPr>
    </w:lvl>
    <w:lvl w:ilvl="6" w:tplc="C772055A">
      <w:start w:val="1"/>
      <w:numFmt w:val="decimal"/>
      <w:lvlText w:val="%7."/>
      <w:lvlJc w:val="left"/>
      <w:pPr>
        <w:ind w:left="5040" w:hanging="360"/>
      </w:pPr>
    </w:lvl>
    <w:lvl w:ilvl="7" w:tplc="B164BA3C">
      <w:start w:val="1"/>
      <w:numFmt w:val="lowerLetter"/>
      <w:lvlText w:val="%8."/>
      <w:lvlJc w:val="left"/>
      <w:pPr>
        <w:ind w:left="5760" w:hanging="360"/>
      </w:pPr>
    </w:lvl>
    <w:lvl w:ilvl="8" w:tplc="2FDEAAAE">
      <w:start w:val="1"/>
      <w:numFmt w:val="lowerRoman"/>
      <w:lvlText w:val="%9."/>
      <w:lvlJc w:val="right"/>
      <w:pPr>
        <w:ind w:left="6480" w:hanging="180"/>
      </w:pPr>
    </w:lvl>
  </w:abstractNum>
  <w:abstractNum w:abstractNumId="1" w15:restartNumberingAfterBreak="0">
    <w:nsid w:val="765A3CDE"/>
    <w:multiLevelType w:val="hybridMultilevel"/>
    <w:tmpl w:val="623AD0A6"/>
    <w:lvl w:ilvl="0" w:tplc="F0D85566">
      <w:start w:val="1"/>
      <w:numFmt w:val="decimal"/>
      <w:lvlText w:val="%1."/>
      <w:lvlJc w:val="left"/>
      <w:pPr>
        <w:ind w:left="720" w:hanging="360"/>
      </w:pPr>
    </w:lvl>
    <w:lvl w:ilvl="1" w:tplc="BBF07FCE">
      <w:start w:val="1"/>
      <w:numFmt w:val="lowerLetter"/>
      <w:lvlText w:val="%2."/>
      <w:lvlJc w:val="left"/>
      <w:pPr>
        <w:ind w:left="1440" w:hanging="360"/>
      </w:pPr>
    </w:lvl>
    <w:lvl w:ilvl="2" w:tplc="8EB67684">
      <w:start w:val="1"/>
      <w:numFmt w:val="lowerRoman"/>
      <w:lvlText w:val="%3."/>
      <w:lvlJc w:val="right"/>
      <w:pPr>
        <w:ind w:left="2160" w:hanging="180"/>
      </w:pPr>
    </w:lvl>
    <w:lvl w:ilvl="3" w:tplc="3A285D1E">
      <w:start w:val="1"/>
      <w:numFmt w:val="decimal"/>
      <w:lvlText w:val="%4."/>
      <w:lvlJc w:val="left"/>
      <w:pPr>
        <w:ind w:left="2880" w:hanging="360"/>
      </w:pPr>
    </w:lvl>
    <w:lvl w:ilvl="4" w:tplc="B70820A4">
      <w:start w:val="1"/>
      <w:numFmt w:val="lowerLetter"/>
      <w:lvlText w:val="%5."/>
      <w:lvlJc w:val="left"/>
      <w:pPr>
        <w:ind w:left="3600" w:hanging="360"/>
      </w:pPr>
    </w:lvl>
    <w:lvl w:ilvl="5" w:tplc="8EBC41A2">
      <w:start w:val="1"/>
      <w:numFmt w:val="lowerRoman"/>
      <w:lvlText w:val="%6."/>
      <w:lvlJc w:val="right"/>
      <w:pPr>
        <w:ind w:left="4320" w:hanging="180"/>
      </w:pPr>
    </w:lvl>
    <w:lvl w:ilvl="6" w:tplc="3278A50C">
      <w:start w:val="1"/>
      <w:numFmt w:val="decimal"/>
      <w:lvlText w:val="%7."/>
      <w:lvlJc w:val="left"/>
      <w:pPr>
        <w:ind w:left="5040" w:hanging="360"/>
      </w:pPr>
    </w:lvl>
    <w:lvl w:ilvl="7" w:tplc="56602EA2">
      <w:start w:val="1"/>
      <w:numFmt w:val="lowerLetter"/>
      <w:lvlText w:val="%8."/>
      <w:lvlJc w:val="left"/>
      <w:pPr>
        <w:ind w:left="5760" w:hanging="360"/>
      </w:pPr>
    </w:lvl>
    <w:lvl w:ilvl="8" w:tplc="84983CCC">
      <w:start w:val="1"/>
      <w:numFmt w:val="lowerRoman"/>
      <w:lvlText w:val="%9."/>
      <w:lvlJc w:val="right"/>
      <w:pPr>
        <w:ind w:left="6480" w:hanging="180"/>
      </w:pPr>
    </w:lvl>
  </w:abstractNum>
  <w:abstractNum w:abstractNumId="2" w15:restartNumberingAfterBreak="0">
    <w:nsid w:val="7B8AAEAF"/>
    <w:multiLevelType w:val="hybridMultilevel"/>
    <w:tmpl w:val="00FE6B32"/>
    <w:lvl w:ilvl="0" w:tplc="CF604A26">
      <w:start w:val="1"/>
      <w:numFmt w:val="decimal"/>
      <w:lvlText w:val="%1."/>
      <w:lvlJc w:val="left"/>
      <w:pPr>
        <w:ind w:left="720" w:hanging="360"/>
      </w:pPr>
    </w:lvl>
    <w:lvl w:ilvl="1" w:tplc="FAB8FFDA">
      <w:start w:val="1"/>
      <w:numFmt w:val="lowerLetter"/>
      <w:lvlText w:val="%2."/>
      <w:lvlJc w:val="left"/>
      <w:pPr>
        <w:ind w:left="1440" w:hanging="360"/>
      </w:pPr>
    </w:lvl>
    <w:lvl w:ilvl="2" w:tplc="D6B2FB30">
      <w:start w:val="1"/>
      <w:numFmt w:val="lowerRoman"/>
      <w:lvlText w:val="%3."/>
      <w:lvlJc w:val="right"/>
      <w:pPr>
        <w:ind w:left="2160" w:hanging="180"/>
      </w:pPr>
    </w:lvl>
    <w:lvl w:ilvl="3" w:tplc="E3BE82B0">
      <w:start w:val="1"/>
      <w:numFmt w:val="decimal"/>
      <w:lvlText w:val="%4."/>
      <w:lvlJc w:val="left"/>
      <w:pPr>
        <w:ind w:left="2880" w:hanging="360"/>
      </w:pPr>
    </w:lvl>
    <w:lvl w:ilvl="4" w:tplc="09347E5A">
      <w:start w:val="1"/>
      <w:numFmt w:val="lowerLetter"/>
      <w:lvlText w:val="%5."/>
      <w:lvlJc w:val="left"/>
      <w:pPr>
        <w:ind w:left="3600" w:hanging="360"/>
      </w:pPr>
    </w:lvl>
    <w:lvl w:ilvl="5" w:tplc="B15A56E6">
      <w:start w:val="1"/>
      <w:numFmt w:val="lowerRoman"/>
      <w:lvlText w:val="%6."/>
      <w:lvlJc w:val="right"/>
      <w:pPr>
        <w:ind w:left="4320" w:hanging="180"/>
      </w:pPr>
    </w:lvl>
    <w:lvl w:ilvl="6" w:tplc="0C22DB32">
      <w:start w:val="1"/>
      <w:numFmt w:val="decimal"/>
      <w:lvlText w:val="%7."/>
      <w:lvlJc w:val="left"/>
      <w:pPr>
        <w:ind w:left="5040" w:hanging="360"/>
      </w:pPr>
    </w:lvl>
    <w:lvl w:ilvl="7" w:tplc="BA76C92E">
      <w:start w:val="1"/>
      <w:numFmt w:val="lowerLetter"/>
      <w:lvlText w:val="%8."/>
      <w:lvlJc w:val="left"/>
      <w:pPr>
        <w:ind w:left="5760" w:hanging="360"/>
      </w:pPr>
    </w:lvl>
    <w:lvl w:ilvl="8" w:tplc="6CC64312">
      <w:start w:val="1"/>
      <w:numFmt w:val="lowerRoman"/>
      <w:lvlText w:val="%9."/>
      <w:lvlJc w:val="right"/>
      <w:pPr>
        <w:ind w:left="6480" w:hanging="180"/>
      </w:pPr>
    </w:lvl>
  </w:abstractNum>
  <w:num w:numId="1" w16cid:durableId="600720685">
    <w:abstractNumId w:val="0"/>
  </w:num>
  <w:num w:numId="2" w16cid:durableId="1741557915">
    <w:abstractNumId w:val="2"/>
  </w:num>
  <w:num w:numId="3" w16cid:durableId="681780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628BC9"/>
    <w:rsid w:val="000007D5"/>
    <w:rsid w:val="00272B37"/>
    <w:rsid w:val="003D0D25"/>
    <w:rsid w:val="00434738"/>
    <w:rsid w:val="00514A71"/>
    <w:rsid w:val="00825972"/>
    <w:rsid w:val="00C41DA4"/>
    <w:rsid w:val="00CC61A1"/>
    <w:rsid w:val="00DF5D1B"/>
    <w:rsid w:val="02E48E50"/>
    <w:rsid w:val="0382FCD4"/>
    <w:rsid w:val="03B1B0BF"/>
    <w:rsid w:val="04484DFA"/>
    <w:rsid w:val="04765361"/>
    <w:rsid w:val="0614CB3C"/>
    <w:rsid w:val="0626D3E7"/>
    <w:rsid w:val="0653C1C1"/>
    <w:rsid w:val="06DCC512"/>
    <w:rsid w:val="071DC2D7"/>
    <w:rsid w:val="07646E67"/>
    <w:rsid w:val="0831472E"/>
    <w:rsid w:val="0836176F"/>
    <w:rsid w:val="08459DAE"/>
    <w:rsid w:val="0872490D"/>
    <w:rsid w:val="093280E9"/>
    <w:rsid w:val="0999100E"/>
    <w:rsid w:val="09D9B385"/>
    <w:rsid w:val="0A8938DE"/>
    <w:rsid w:val="0A9FE806"/>
    <w:rsid w:val="0AD9A09E"/>
    <w:rsid w:val="0B53DC3C"/>
    <w:rsid w:val="0BAD9EA5"/>
    <w:rsid w:val="0BAF2B74"/>
    <w:rsid w:val="0BED27B5"/>
    <w:rsid w:val="0C31DC1B"/>
    <w:rsid w:val="0CF8D7F6"/>
    <w:rsid w:val="0DCB7390"/>
    <w:rsid w:val="0DF9D18C"/>
    <w:rsid w:val="0E49CC7D"/>
    <w:rsid w:val="0EECB6A7"/>
    <w:rsid w:val="0F0DE16B"/>
    <w:rsid w:val="0F72C894"/>
    <w:rsid w:val="0FEEDFD4"/>
    <w:rsid w:val="1078622C"/>
    <w:rsid w:val="1096F359"/>
    <w:rsid w:val="1107A937"/>
    <w:rsid w:val="11448501"/>
    <w:rsid w:val="11CF9FE9"/>
    <w:rsid w:val="123380B5"/>
    <w:rsid w:val="13C32465"/>
    <w:rsid w:val="14CF0DE5"/>
    <w:rsid w:val="154F27F1"/>
    <w:rsid w:val="15545A56"/>
    <w:rsid w:val="15FC616A"/>
    <w:rsid w:val="16B79D98"/>
    <w:rsid w:val="17C6FAEF"/>
    <w:rsid w:val="1936AEF5"/>
    <w:rsid w:val="1B26DAFA"/>
    <w:rsid w:val="1B346CA9"/>
    <w:rsid w:val="1BE517B1"/>
    <w:rsid w:val="1CE94B5A"/>
    <w:rsid w:val="1D2FB600"/>
    <w:rsid w:val="1D4D31BE"/>
    <w:rsid w:val="1D70126E"/>
    <w:rsid w:val="1E9C6122"/>
    <w:rsid w:val="1EF46258"/>
    <w:rsid w:val="1F033CC5"/>
    <w:rsid w:val="1F24FF59"/>
    <w:rsid w:val="1FDFE1B9"/>
    <w:rsid w:val="2014D676"/>
    <w:rsid w:val="205E8561"/>
    <w:rsid w:val="206D329A"/>
    <w:rsid w:val="21CF2B74"/>
    <w:rsid w:val="22830DAD"/>
    <w:rsid w:val="22FBDA7A"/>
    <w:rsid w:val="22FC8CB3"/>
    <w:rsid w:val="2320ABF9"/>
    <w:rsid w:val="24AEFD42"/>
    <w:rsid w:val="2500D9C4"/>
    <w:rsid w:val="2530B641"/>
    <w:rsid w:val="25BC005F"/>
    <w:rsid w:val="26059AA7"/>
    <w:rsid w:val="26592806"/>
    <w:rsid w:val="2667042B"/>
    <w:rsid w:val="27127E2F"/>
    <w:rsid w:val="27251BDE"/>
    <w:rsid w:val="2778A036"/>
    <w:rsid w:val="27815C56"/>
    <w:rsid w:val="27969087"/>
    <w:rsid w:val="27A02CE6"/>
    <w:rsid w:val="27A2B4CC"/>
    <w:rsid w:val="27A2FCDE"/>
    <w:rsid w:val="27A6843C"/>
    <w:rsid w:val="28510725"/>
    <w:rsid w:val="2866F9F5"/>
    <w:rsid w:val="2873A42C"/>
    <w:rsid w:val="28A6F001"/>
    <w:rsid w:val="2963176E"/>
    <w:rsid w:val="2985B94F"/>
    <w:rsid w:val="29B6E4B8"/>
    <w:rsid w:val="29BF9EC4"/>
    <w:rsid w:val="2A692328"/>
    <w:rsid w:val="2ACDB8A0"/>
    <w:rsid w:val="2B0A88C6"/>
    <w:rsid w:val="2B745EC6"/>
    <w:rsid w:val="2BFC1AE0"/>
    <w:rsid w:val="2C7B900B"/>
    <w:rsid w:val="2D9F6A6C"/>
    <w:rsid w:val="2DD44958"/>
    <w:rsid w:val="2DE13EAF"/>
    <w:rsid w:val="2E75F6F7"/>
    <w:rsid w:val="2ED2E5E8"/>
    <w:rsid w:val="2F0C5D9C"/>
    <w:rsid w:val="2FA74EAD"/>
    <w:rsid w:val="2FF30ABF"/>
    <w:rsid w:val="2FF7F9CA"/>
    <w:rsid w:val="2FFF90BB"/>
    <w:rsid w:val="30155A9A"/>
    <w:rsid w:val="30AEDC85"/>
    <w:rsid w:val="30B4F559"/>
    <w:rsid w:val="311C3F75"/>
    <w:rsid w:val="319E475E"/>
    <w:rsid w:val="3228EB80"/>
    <w:rsid w:val="32ED3EFE"/>
    <w:rsid w:val="33207D3C"/>
    <w:rsid w:val="335ABA43"/>
    <w:rsid w:val="33B30A71"/>
    <w:rsid w:val="352963ED"/>
    <w:rsid w:val="35CDC7C3"/>
    <w:rsid w:val="366F7226"/>
    <w:rsid w:val="3705AC6F"/>
    <w:rsid w:val="37205A7D"/>
    <w:rsid w:val="373C31FC"/>
    <w:rsid w:val="3753AC11"/>
    <w:rsid w:val="376A6C1D"/>
    <w:rsid w:val="37B80D50"/>
    <w:rsid w:val="387E9D82"/>
    <w:rsid w:val="393157DF"/>
    <w:rsid w:val="39383F46"/>
    <w:rsid w:val="39882E5C"/>
    <w:rsid w:val="3A564E33"/>
    <w:rsid w:val="3A614F27"/>
    <w:rsid w:val="3A7CC69F"/>
    <w:rsid w:val="3B841EA6"/>
    <w:rsid w:val="3B9B196B"/>
    <w:rsid w:val="3BFB5D4E"/>
    <w:rsid w:val="3C458879"/>
    <w:rsid w:val="3C5C15A4"/>
    <w:rsid w:val="3C72EAC3"/>
    <w:rsid w:val="3D639332"/>
    <w:rsid w:val="3DD7689C"/>
    <w:rsid w:val="3E0AA655"/>
    <w:rsid w:val="3E141A43"/>
    <w:rsid w:val="3E9F0515"/>
    <w:rsid w:val="3F1D4FE3"/>
    <w:rsid w:val="3FE5774A"/>
    <w:rsid w:val="407E0097"/>
    <w:rsid w:val="40D6221F"/>
    <w:rsid w:val="40E4CB87"/>
    <w:rsid w:val="410541DE"/>
    <w:rsid w:val="425134AF"/>
    <w:rsid w:val="426854F4"/>
    <w:rsid w:val="427EA3C7"/>
    <w:rsid w:val="42BDA591"/>
    <w:rsid w:val="42F73D67"/>
    <w:rsid w:val="43175139"/>
    <w:rsid w:val="43FC5ACA"/>
    <w:rsid w:val="4405486E"/>
    <w:rsid w:val="44AF12C5"/>
    <w:rsid w:val="454A26E5"/>
    <w:rsid w:val="45665D4B"/>
    <w:rsid w:val="458850A1"/>
    <w:rsid w:val="4611037C"/>
    <w:rsid w:val="46497E09"/>
    <w:rsid w:val="464B61B4"/>
    <w:rsid w:val="46893EE7"/>
    <w:rsid w:val="46BE696B"/>
    <w:rsid w:val="46C0E1AB"/>
    <w:rsid w:val="470BBDAF"/>
    <w:rsid w:val="470D0ED7"/>
    <w:rsid w:val="47123D60"/>
    <w:rsid w:val="479CB48A"/>
    <w:rsid w:val="47B0E9EA"/>
    <w:rsid w:val="47B5BBB4"/>
    <w:rsid w:val="48EEF6C1"/>
    <w:rsid w:val="491309CF"/>
    <w:rsid w:val="4924B173"/>
    <w:rsid w:val="494CFB75"/>
    <w:rsid w:val="4950DAA9"/>
    <w:rsid w:val="49CB3213"/>
    <w:rsid w:val="49DF9D7E"/>
    <w:rsid w:val="4AAFF73A"/>
    <w:rsid w:val="4ACA6DFA"/>
    <w:rsid w:val="4B89D0F8"/>
    <w:rsid w:val="4C1A3ADC"/>
    <w:rsid w:val="4C4E5D0C"/>
    <w:rsid w:val="4C5A5D6B"/>
    <w:rsid w:val="4CACCC85"/>
    <w:rsid w:val="4D0D7BE2"/>
    <w:rsid w:val="4D1BCF7F"/>
    <w:rsid w:val="4D5F20A9"/>
    <w:rsid w:val="4DC6FE5A"/>
    <w:rsid w:val="4E0C97EC"/>
    <w:rsid w:val="4E6EF732"/>
    <w:rsid w:val="4ED0E390"/>
    <w:rsid w:val="4EED4764"/>
    <w:rsid w:val="4F2F6749"/>
    <w:rsid w:val="4F53A225"/>
    <w:rsid w:val="4F7EA752"/>
    <w:rsid w:val="4FDC3015"/>
    <w:rsid w:val="50575EE8"/>
    <w:rsid w:val="51517BC5"/>
    <w:rsid w:val="515521EF"/>
    <w:rsid w:val="51C8B00A"/>
    <w:rsid w:val="51CFFF81"/>
    <w:rsid w:val="528AF85C"/>
    <w:rsid w:val="52C3B978"/>
    <w:rsid w:val="52DB1013"/>
    <w:rsid w:val="52FCFC27"/>
    <w:rsid w:val="536E122B"/>
    <w:rsid w:val="53CEDE77"/>
    <w:rsid w:val="53D937CD"/>
    <w:rsid w:val="54430058"/>
    <w:rsid w:val="54B81C93"/>
    <w:rsid w:val="55C760F0"/>
    <w:rsid w:val="55FF0DC3"/>
    <w:rsid w:val="56B0E957"/>
    <w:rsid w:val="5960F490"/>
    <w:rsid w:val="59ED020A"/>
    <w:rsid w:val="5A3CC5D5"/>
    <w:rsid w:val="5A662E40"/>
    <w:rsid w:val="5A6F9A5E"/>
    <w:rsid w:val="5B76AEA4"/>
    <w:rsid w:val="5CA86F17"/>
    <w:rsid w:val="5D1A695B"/>
    <w:rsid w:val="5D2BDEA6"/>
    <w:rsid w:val="5D628BC9"/>
    <w:rsid w:val="5D7EC9B0"/>
    <w:rsid w:val="5D964EF8"/>
    <w:rsid w:val="5E185749"/>
    <w:rsid w:val="5E4F9741"/>
    <w:rsid w:val="5E6910F2"/>
    <w:rsid w:val="5F1BA5CF"/>
    <w:rsid w:val="5FAE05F1"/>
    <w:rsid w:val="6009F461"/>
    <w:rsid w:val="603342B4"/>
    <w:rsid w:val="610511BD"/>
    <w:rsid w:val="612908D4"/>
    <w:rsid w:val="6171D534"/>
    <w:rsid w:val="63C2922E"/>
    <w:rsid w:val="63F94EEB"/>
    <w:rsid w:val="64B5430D"/>
    <w:rsid w:val="64DAF7CD"/>
    <w:rsid w:val="65037DDD"/>
    <w:rsid w:val="6553FD78"/>
    <w:rsid w:val="6554A9FB"/>
    <w:rsid w:val="65575F34"/>
    <w:rsid w:val="659760BC"/>
    <w:rsid w:val="659B5B93"/>
    <w:rsid w:val="660C7E53"/>
    <w:rsid w:val="664653EF"/>
    <w:rsid w:val="66D81CFC"/>
    <w:rsid w:val="66FEF2CB"/>
    <w:rsid w:val="673158D2"/>
    <w:rsid w:val="6736585E"/>
    <w:rsid w:val="676540F3"/>
    <w:rsid w:val="677401DB"/>
    <w:rsid w:val="69969B09"/>
    <w:rsid w:val="69C311A2"/>
    <w:rsid w:val="6A069D0C"/>
    <w:rsid w:val="6A227BA9"/>
    <w:rsid w:val="6A4717E5"/>
    <w:rsid w:val="6A55D9F0"/>
    <w:rsid w:val="6AA6B1A0"/>
    <w:rsid w:val="6AD46DA6"/>
    <w:rsid w:val="6ADF9E0E"/>
    <w:rsid w:val="6B1B6905"/>
    <w:rsid w:val="6C0BB776"/>
    <w:rsid w:val="6C190C9D"/>
    <w:rsid w:val="6C834D83"/>
    <w:rsid w:val="6C8EC5F8"/>
    <w:rsid w:val="6C948BE7"/>
    <w:rsid w:val="6CB84055"/>
    <w:rsid w:val="6D4F900D"/>
    <w:rsid w:val="6DD9D41A"/>
    <w:rsid w:val="6E5F1E38"/>
    <w:rsid w:val="6E5FF7F4"/>
    <w:rsid w:val="6EF7564D"/>
    <w:rsid w:val="6F057D9C"/>
    <w:rsid w:val="6F33C8A2"/>
    <w:rsid w:val="6FB1B8E3"/>
    <w:rsid w:val="70FFAE15"/>
    <w:rsid w:val="71E6A3E1"/>
    <w:rsid w:val="722A38A7"/>
    <w:rsid w:val="725F67D8"/>
    <w:rsid w:val="730781CB"/>
    <w:rsid w:val="73341D4E"/>
    <w:rsid w:val="7360465F"/>
    <w:rsid w:val="73D03831"/>
    <w:rsid w:val="746D9214"/>
    <w:rsid w:val="74EF5BF1"/>
    <w:rsid w:val="752DC5FD"/>
    <w:rsid w:val="757BE398"/>
    <w:rsid w:val="75CFA7FF"/>
    <w:rsid w:val="761C408B"/>
    <w:rsid w:val="764F0154"/>
    <w:rsid w:val="767458F0"/>
    <w:rsid w:val="770C4BE5"/>
    <w:rsid w:val="777011FC"/>
    <w:rsid w:val="77ACC7B4"/>
    <w:rsid w:val="7895F082"/>
    <w:rsid w:val="7998F099"/>
    <w:rsid w:val="79E9BB01"/>
    <w:rsid w:val="79FB3D87"/>
    <w:rsid w:val="7A0D0D18"/>
    <w:rsid w:val="7AD4DFCB"/>
    <w:rsid w:val="7AEE068B"/>
    <w:rsid w:val="7B22CB73"/>
    <w:rsid w:val="7B5ABA9F"/>
    <w:rsid w:val="7B9A3308"/>
    <w:rsid w:val="7BA29172"/>
    <w:rsid w:val="7BD97B11"/>
    <w:rsid w:val="7CC466B9"/>
    <w:rsid w:val="7D549424"/>
    <w:rsid w:val="7D7D05E4"/>
    <w:rsid w:val="7DE1A26B"/>
    <w:rsid w:val="7E25F954"/>
    <w:rsid w:val="7E707DF8"/>
    <w:rsid w:val="7F0C05F7"/>
    <w:rsid w:val="7F22CE19"/>
    <w:rsid w:val="7F41CD26"/>
    <w:rsid w:val="7F964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28BC9"/>
  <w15:chartTrackingRefBased/>
  <w15:docId w15:val="{780BED85-9353-420C-8B58-851365FAE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1517B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1517BC5"/>
    <w:rPr>
      <w:color w:val="467886"/>
      <w:u w:val="single"/>
    </w:rPr>
  </w:style>
  <w:style w:type="paragraph" w:styleId="TOC1">
    <w:name w:val="toc 1"/>
    <w:basedOn w:val="Normal"/>
    <w:next w:val="Normal"/>
    <w:uiPriority w:val="39"/>
    <w:unhideWhenUsed/>
    <w:rsid w:val="51517BC5"/>
    <w:pPr>
      <w:spacing w:after="100"/>
    </w:pPr>
  </w:style>
  <w:style w:type="paragraph" w:styleId="ListParagraph">
    <w:name w:val="List Paragraph"/>
    <w:basedOn w:val="Normal"/>
    <w:uiPriority w:val="34"/>
    <w:qFormat/>
    <w:rsid w:val="51517BC5"/>
    <w:pPr>
      <w:ind w:left="720"/>
      <w:contextualSpacing/>
    </w:pPr>
  </w:style>
  <w:style w:type="paragraph" w:styleId="Header">
    <w:name w:val="header"/>
    <w:basedOn w:val="Normal"/>
    <w:uiPriority w:val="99"/>
    <w:unhideWhenUsed/>
    <w:rsid w:val="2667042B"/>
    <w:pPr>
      <w:tabs>
        <w:tab w:val="center" w:pos="4680"/>
        <w:tab w:val="right" w:pos="9360"/>
      </w:tabs>
      <w:spacing w:after="0" w:line="240" w:lineRule="auto"/>
    </w:pPr>
  </w:style>
  <w:style w:type="paragraph" w:styleId="Footer">
    <w:name w:val="footer"/>
    <w:basedOn w:val="Normal"/>
    <w:uiPriority w:val="99"/>
    <w:unhideWhenUsed/>
    <w:rsid w:val="2667042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4763/2024.2.1768" TargetMode="External"/><Relationship Id="rId18" Type="http://schemas.openxmlformats.org/officeDocument/2006/relationships/hyperlink" Target="https://doi.org/10.1145/3769733.3769746"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07/s12144-024-06649-3" TargetMode="External"/><Relationship Id="rId7" Type="http://schemas.openxmlformats.org/officeDocument/2006/relationships/image" Target="media/image1.png"/><Relationship Id="rId12" Type="http://schemas.openxmlformats.org/officeDocument/2006/relationships/hyperlink" Target="https://www.brainvire.com/blog/google-vs-bing/?utm_source=chatgpt.com" TargetMode="External"/><Relationship Id="rId17" Type="http://schemas.openxmlformats.org/officeDocument/2006/relationships/hyperlink" Target="https://doi.org/10.1080/17441056.2024.2313399"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45/3706599.3720123" TargetMode="External"/><Relationship Id="rId20" Type="http://schemas.openxmlformats.org/officeDocument/2006/relationships/hyperlink" Target="https://doi.org/10.1007/s00500-019-04036-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search.uwtsd.ac.uk/discovery/fulldisplay?docid=cdi_proquest_reports_2674027559&amp;context=PC&amp;vid=44WHELF_UWTSD:44WHELF_UWTSD_VU1&amp;lang=en"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7951/h.2023.57.4.123-143" TargetMode="External"/><Relationship Id="rId23" Type="http://schemas.openxmlformats.org/officeDocument/2006/relationships/image" Target="media/image6.png"/><Relationship Id="rId28" Type="http://schemas.microsoft.com/office/2020/10/relationships/intelligence" Target="intelligence2.xml"/><Relationship Id="rId10" Type="http://schemas.openxmlformats.org/officeDocument/2006/relationships/image" Target="media/image4.png"/><Relationship Id="rId19" Type="http://schemas.openxmlformats.org/officeDocument/2006/relationships/hyperlink" Target="https://doi.org/10.1080/17409292.2019.171898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77/20539517221112925"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4594</Words>
  <Characters>26186</Characters>
  <Application>Microsoft Office Word</Application>
  <DocSecurity>0</DocSecurity>
  <Lines>218</Lines>
  <Paragraphs>61</Paragraphs>
  <ScaleCrop>false</ScaleCrop>
  <Company/>
  <LinksUpToDate>false</LinksUpToDate>
  <CharactersWithSpaces>30719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Prodan (2223977)</dc:creator>
  <cp:keywords/>
  <dc:description/>
  <cp:lastModifiedBy>Carmen Prodan (2223977)</cp:lastModifiedBy>
  <cp:revision>6</cp:revision>
  <dcterms:created xsi:type="dcterms:W3CDTF">2026-01-29T17:34:00Z</dcterms:created>
  <dcterms:modified xsi:type="dcterms:W3CDTF">2026-02-20T18:15:00Z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2164ccdd-bae9-4a25-925b-774022f404a5</vt:lpwstr>
  </property>
</Properties>
</file>