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D269B2" w14:textId="77777777" w:rsidR="00CF001B" w:rsidRPr="00FC0FB6" w:rsidRDefault="00CF001B" w:rsidP="00CF001B">
      <w:pPr>
        <w:spacing w:line="360" w:lineRule="auto"/>
        <w:jc w:val="both"/>
        <w:rPr>
          <w:rFonts w:ascii="Times New Roman" w:hAnsi="Times New Roman" w:cs="Times New Roman"/>
        </w:rPr>
      </w:pPr>
    </w:p>
    <w:p w14:paraId="062D94F4" w14:textId="77777777" w:rsidR="00CF001B" w:rsidRPr="00FF4679" w:rsidRDefault="00CF001B" w:rsidP="00FF4679">
      <w:pPr>
        <w:spacing w:line="360" w:lineRule="auto"/>
        <w:jc w:val="center"/>
        <w:rPr>
          <w:rFonts w:ascii="Times New Roman" w:hAnsi="Times New Roman" w:cs="Times New Roman"/>
          <w:sz w:val="40"/>
          <w:szCs w:val="40"/>
        </w:rPr>
      </w:pPr>
    </w:p>
    <w:p w14:paraId="29A71017" w14:textId="16AF0211" w:rsidR="00CF001B" w:rsidRPr="001155D4" w:rsidRDefault="00FF4679" w:rsidP="001155D4">
      <w:pPr>
        <w:spacing w:line="360" w:lineRule="auto"/>
        <w:jc w:val="center"/>
        <w:rPr>
          <w:rFonts w:ascii="Times New Roman" w:hAnsi="Times New Roman" w:cs="Times New Roman"/>
          <w:b/>
          <w:bCs/>
          <w:sz w:val="40"/>
          <w:szCs w:val="40"/>
        </w:rPr>
      </w:pPr>
      <w:r w:rsidRPr="00FF4679">
        <w:rPr>
          <w:rFonts w:ascii="Times New Roman" w:hAnsi="Times New Roman" w:cs="Times New Roman"/>
          <w:b/>
          <w:bCs/>
          <w:sz w:val="40"/>
          <w:szCs w:val="40"/>
        </w:rPr>
        <w:t>BMSW50</w:t>
      </w:r>
      <w:r w:rsidR="00A048D1">
        <w:rPr>
          <w:rFonts w:ascii="Times New Roman" w:hAnsi="Times New Roman" w:cs="Times New Roman"/>
          <w:b/>
          <w:bCs/>
          <w:sz w:val="40"/>
          <w:szCs w:val="40"/>
        </w:rPr>
        <w:t>09</w:t>
      </w:r>
    </w:p>
    <w:p w14:paraId="1BADBC23" w14:textId="77777777" w:rsidR="00CF001B" w:rsidRDefault="00CF001B" w:rsidP="00CF001B">
      <w:pPr>
        <w:spacing w:line="360" w:lineRule="auto"/>
        <w:jc w:val="both"/>
        <w:rPr>
          <w:rFonts w:ascii="Times New Roman" w:hAnsi="Times New Roman" w:cs="Times New Roman"/>
        </w:rPr>
      </w:pPr>
    </w:p>
    <w:p w14:paraId="4EB6F62E" w14:textId="77777777" w:rsidR="00C9582C" w:rsidRDefault="00C9582C" w:rsidP="00CF001B">
      <w:pPr>
        <w:spacing w:line="360" w:lineRule="auto"/>
        <w:jc w:val="both"/>
        <w:rPr>
          <w:rFonts w:ascii="Times New Roman" w:hAnsi="Times New Roman" w:cs="Times New Roman"/>
        </w:rPr>
      </w:pPr>
    </w:p>
    <w:p w14:paraId="4E1FB85B" w14:textId="77777777" w:rsidR="00C9582C" w:rsidRDefault="00C9582C" w:rsidP="00CF001B">
      <w:pPr>
        <w:spacing w:line="360" w:lineRule="auto"/>
        <w:jc w:val="both"/>
        <w:rPr>
          <w:rFonts w:ascii="Times New Roman" w:hAnsi="Times New Roman" w:cs="Times New Roman"/>
        </w:rPr>
      </w:pPr>
    </w:p>
    <w:p w14:paraId="6BD34EC7" w14:textId="77777777" w:rsidR="00C9582C" w:rsidRPr="00FC0FB6" w:rsidRDefault="00C9582C" w:rsidP="00CF001B">
      <w:pPr>
        <w:spacing w:line="360" w:lineRule="auto"/>
        <w:jc w:val="both"/>
        <w:rPr>
          <w:rFonts w:ascii="Times New Roman" w:hAnsi="Times New Roman" w:cs="Times New Roman"/>
        </w:rPr>
      </w:pPr>
    </w:p>
    <w:p w14:paraId="73174767" w14:textId="77777777" w:rsidR="00CF001B" w:rsidRPr="00FC0FB6" w:rsidRDefault="00CF001B" w:rsidP="00CF001B">
      <w:pPr>
        <w:spacing w:line="360" w:lineRule="auto"/>
        <w:jc w:val="both"/>
        <w:rPr>
          <w:rFonts w:ascii="Times New Roman" w:hAnsi="Times New Roman" w:cs="Times New Roman"/>
        </w:rPr>
      </w:pPr>
    </w:p>
    <w:p w14:paraId="7F03DAE2" w14:textId="5BC060D1" w:rsidR="00FF4679" w:rsidRDefault="006F2A79" w:rsidP="00090243">
      <w:pPr>
        <w:spacing w:line="360" w:lineRule="auto"/>
        <w:jc w:val="center"/>
        <w:rPr>
          <w:rFonts w:ascii="Times New Roman" w:hAnsi="Times New Roman" w:cs="Times New Roman"/>
          <w:sz w:val="44"/>
          <w:szCs w:val="44"/>
        </w:rPr>
      </w:pPr>
      <w:r w:rsidRPr="006F2A79">
        <w:rPr>
          <w:rFonts w:ascii="Times New Roman" w:hAnsi="Times New Roman" w:cs="Times New Roman"/>
          <w:b/>
          <w:bCs/>
          <w:sz w:val="44"/>
          <w:szCs w:val="44"/>
        </w:rPr>
        <w:t>Managing Projects in Organisations</w:t>
      </w:r>
    </w:p>
    <w:p w14:paraId="27B7F5E9" w14:textId="77777777" w:rsidR="00FF4679" w:rsidRDefault="00FF4679" w:rsidP="00090243">
      <w:pPr>
        <w:spacing w:line="360" w:lineRule="auto"/>
        <w:jc w:val="center"/>
        <w:rPr>
          <w:rFonts w:ascii="Times New Roman" w:hAnsi="Times New Roman" w:cs="Times New Roman"/>
          <w:sz w:val="44"/>
          <w:szCs w:val="44"/>
        </w:rPr>
      </w:pPr>
    </w:p>
    <w:p w14:paraId="2C30D1BC" w14:textId="77777777" w:rsidR="00C9582C" w:rsidRPr="00FF4679" w:rsidRDefault="00C9582C" w:rsidP="00090243">
      <w:pPr>
        <w:spacing w:line="360" w:lineRule="auto"/>
        <w:jc w:val="center"/>
        <w:rPr>
          <w:rFonts w:ascii="Times New Roman" w:hAnsi="Times New Roman" w:cs="Times New Roman"/>
          <w:sz w:val="44"/>
          <w:szCs w:val="44"/>
        </w:rPr>
      </w:pPr>
    </w:p>
    <w:p w14:paraId="383DE99E" w14:textId="23A75AE9" w:rsidR="00090243" w:rsidRPr="00D76D40" w:rsidRDefault="006F2A79" w:rsidP="00090243">
      <w:pPr>
        <w:spacing w:line="360" w:lineRule="auto"/>
        <w:jc w:val="center"/>
        <w:rPr>
          <w:rFonts w:ascii="Times New Roman" w:hAnsi="Times New Roman" w:cs="Times New Roman"/>
          <w:b/>
          <w:bCs/>
          <w:sz w:val="44"/>
          <w:szCs w:val="44"/>
        </w:rPr>
      </w:pPr>
      <w:r w:rsidRPr="00D76D40">
        <w:rPr>
          <w:rFonts w:ascii="Times New Roman" w:hAnsi="Times New Roman" w:cs="Times New Roman"/>
          <w:b/>
          <w:bCs/>
          <w:sz w:val="44"/>
          <w:szCs w:val="44"/>
        </w:rPr>
        <w:t>ArtBridge</w:t>
      </w:r>
    </w:p>
    <w:p w14:paraId="3A381D7A" w14:textId="77777777" w:rsidR="00090243" w:rsidRPr="009D7A08" w:rsidRDefault="00090243" w:rsidP="00090243">
      <w:pPr>
        <w:spacing w:line="360" w:lineRule="auto"/>
        <w:jc w:val="both"/>
        <w:rPr>
          <w:rFonts w:ascii="Times New Roman" w:hAnsi="Times New Roman" w:cs="Times New Roman"/>
        </w:rPr>
      </w:pPr>
    </w:p>
    <w:p w14:paraId="15CFAB50" w14:textId="77777777" w:rsidR="00090243" w:rsidRDefault="00090243" w:rsidP="00090243">
      <w:pPr>
        <w:spacing w:line="360" w:lineRule="auto"/>
        <w:jc w:val="both"/>
        <w:rPr>
          <w:rFonts w:ascii="Times New Roman" w:hAnsi="Times New Roman" w:cs="Times New Roman"/>
        </w:rPr>
      </w:pPr>
    </w:p>
    <w:p w14:paraId="0D83A4F4" w14:textId="77777777" w:rsidR="001155D4" w:rsidRDefault="001155D4" w:rsidP="00090243">
      <w:pPr>
        <w:spacing w:line="360" w:lineRule="auto"/>
        <w:jc w:val="both"/>
        <w:rPr>
          <w:rFonts w:ascii="Times New Roman" w:hAnsi="Times New Roman" w:cs="Times New Roman"/>
        </w:rPr>
      </w:pPr>
    </w:p>
    <w:p w14:paraId="72767FFA" w14:textId="77777777" w:rsidR="001155D4" w:rsidRDefault="001155D4" w:rsidP="00090243">
      <w:pPr>
        <w:spacing w:line="360" w:lineRule="auto"/>
        <w:jc w:val="both"/>
        <w:rPr>
          <w:rFonts w:ascii="Times New Roman" w:hAnsi="Times New Roman" w:cs="Times New Roman"/>
        </w:rPr>
      </w:pPr>
    </w:p>
    <w:p w14:paraId="12952F7D" w14:textId="77777777" w:rsidR="001155D4" w:rsidRPr="009D7A08" w:rsidRDefault="001155D4" w:rsidP="00090243">
      <w:pPr>
        <w:spacing w:line="360" w:lineRule="auto"/>
        <w:jc w:val="both"/>
        <w:rPr>
          <w:rFonts w:ascii="Times New Roman" w:hAnsi="Times New Roman" w:cs="Times New Roman"/>
        </w:rPr>
      </w:pPr>
    </w:p>
    <w:p w14:paraId="5AEBD54E" w14:textId="77777777" w:rsidR="00090243" w:rsidRPr="009D7A08" w:rsidRDefault="00090243" w:rsidP="00090243">
      <w:pPr>
        <w:spacing w:line="360" w:lineRule="auto"/>
        <w:jc w:val="both"/>
        <w:rPr>
          <w:rFonts w:ascii="Times New Roman" w:hAnsi="Times New Roman" w:cs="Times New Roman"/>
        </w:rPr>
      </w:pPr>
    </w:p>
    <w:p w14:paraId="68B1EB7A" w14:textId="77777777" w:rsidR="001155D4" w:rsidRDefault="001155D4" w:rsidP="00FF4679">
      <w:pPr>
        <w:spacing w:line="360" w:lineRule="auto"/>
        <w:jc w:val="both"/>
        <w:rPr>
          <w:rFonts w:ascii="Times New Roman" w:hAnsi="Times New Roman" w:cs="Times New Roman"/>
        </w:rPr>
      </w:pPr>
    </w:p>
    <w:p w14:paraId="5761B107" w14:textId="08E8DEA4" w:rsidR="00FF4679" w:rsidRPr="00FE29A9" w:rsidRDefault="00FF4679" w:rsidP="00FF4679">
      <w:pPr>
        <w:spacing w:line="360" w:lineRule="auto"/>
        <w:jc w:val="both"/>
        <w:rPr>
          <w:rFonts w:ascii="Times New Roman" w:hAnsi="Times New Roman" w:cs="Times New Roman"/>
        </w:rPr>
      </w:pPr>
      <w:r w:rsidRPr="00FE29A9">
        <w:rPr>
          <w:rFonts w:ascii="Times New Roman" w:hAnsi="Times New Roman" w:cs="Times New Roman"/>
        </w:rPr>
        <w:t>Name: Sorina Bortos</w:t>
      </w:r>
    </w:p>
    <w:p w14:paraId="155E8321" w14:textId="2821389E" w:rsidR="00090243" w:rsidRDefault="00FF4679" w:rsidP="00090243">
      <w:pPr>
        <w:spacing w:line="360" w:lineRule="auto"/>
        <w:jc w:val="both"/>
        <w:rPr>
          <w:rFonts w:ascii="Times New Roman" w:hAnsi="Times New Roman" w:cs="Times New Roman"/>
        </w:rPr>
      </w:pPr>
      <w:r w:rsidRPr="00FE29A9">
        <w:rPr>
          <w:rFonts w:ascii="Times New Roman" w:hAnsi="Times New Roman" w:cs="Times New Roman"/>
        </w:rPr>
        <w:t>Student id: 232139</w:t>
      </w:r>
      <w:r>
        <w:rPr>
          <w:rFonts w:ascii="Times New Roman" w:hAnsi="Times New Roman" w:cs="Times New Roman"/>
        </w:rPr>
        <w:t>4</w:t>
      </w:r>
    </w:p>
    <w:p w14:paraId="7C1F3C9F" w14:textId="77777777" w:rsidR="009835ED" w:rsidRDefault="009835ED" w:rsidP="00090243">
      <w:pPr>
        <w:spacing w:line="360" w:lineRule="auto"/>
        <w:jc w:val="both"/>
        <w:rPr>
          <w:rFonts w:ascii="Times New Roman" w:hAnsi="Times New Roman" w:cs="Times New Roman"/>
        </w:rPr>
      </w:pPr>
    </w:p>
    <w:p w14:paraId="3335C0D4" w14:textId="77777777" w:rsidR="009835ED" w:rsidRDefault="009835ED" w:rsidP="00090243">
      <w:pPr>
        <w:spacing w:line="360" w:lineRule="auto"/>
        <w:jc w:val="both"/>
        <w:rPr>
          <w:rFonts w:ascii="Times New Roman" w:hAnsi="Times New Roman" w:cs="Times New Roman"/>
        </w:rPr>
      </w:pPr>
    </w:p>
    <w:p w14:paraId="0C365C58" w14:textId="77777777" w:rsidR="00FF6D58" w:rsidRPr="009A7818" w:rsidRDefault="00FF6D58" w:rsidP="00FF6D58">
      <w:pPr>
        <w:spacing w:line="360" w:lineRule="auto"/>
        <w:jc w:val="both"/>
        <w:rPr>
          <w:rFonts w:ascii="Times New Roman" w:hAnsi="Times New Roman" w:cs="Times New Roman"/>
        </w:rPr>
      </w:pPr>
    </w:p>
    <w:sdt>
      <w:sdtPr>
        <w:rPr>
          <w:rFonts w:asciiTheme="minorHAnsi" w:eastAsiaTheme="minorHAnsi" w:hAnsiTheme="minorHAnsi" w:cstheme="minorBidi"/>
          <w:color w:val="auto"/>
          <w:kern w:val="2"/>
          <w:sz w:val="24"/>
          <w:szCs w:val="24"/>
          <w:lang w:eastAsia="en-US"/>
          <w14:ligatures w14:val="standardContextual"/>
        </w:rPr>
        <w:id w:val="1795939472"/>
        <w:docPartObj>
          <w:docPartGallery w:val="Table of Contents"/>
          <w:docPartUnique/>
        </w:docPartObj>
      </w:sdtPr>
      <w:sdtEndPr>
        <w:rPr>
          <w:b/>
          <w:bCs/>
        </w:rPr>
      </w:sdtEndPr>
      <w:sdtContent>
        <w:p w14:paraId="1C8161F4" w14:textId="77777777" w:rsidR="00FF6D58" w:rsidRDefault="00FF6D58" w:rsidP="00FF6D58">
          <w:pPr>
            <w:pStyle w:val="TOCHeading"/>
          </w:pPr>
          <w:r>
            <w:t>Table of Contents</w:t>
          </w:r>
        </w:p>
        <w:p w14:paraId="2A979A25" w14:textId="67BEDA90" w:rsidR="00FF6D58" w:rsidRDefault="00FF6D58" w:rsidP="00FF6D58">
          <w:pPr>
            <w:pStyle w:val="TOC1"/>
            <w:tabs>
              <w:tab w:val="right" w:leader="dot" w:pos="9016"/>
            </w:tabs>
            <w:rPr>
              <w:noProof/>
            </w:rPr>
          </w:pPr>
          <w:r>
            <w:fldChar w:fldCharType="begin"/>
          </w:r>
          <w:r>
            <w:instrText xml:space="preserve"> TOC \o "1-3" \h \z \u </w:instrText>
          </w:r>
          <w:r>
            <w:fldChar w:fldCharType="separate"/>
          </w:r>
          <w:hyperlink w:anchor="_Toc234145865" w:history="1">
            <w:r w:rsidRPr="0086177F">
              <w:rPr>
                <w:rStyle w:val="Hyperlink"/>
                <w:rFonts w:ascii="Times New Roman" w:hAnsi="Times New Roman" w:cs="Times New Roman"/>
                <w:noProof/>
              </w:rPr>
              <w:t>1. Introduction</w:t>
            </w:r>
            <w:r>
              <w:rPr>
                <w:noProof/>
                <w:webHidden/>
              </w:rPr>
              <w:tab/>
            </w:r>
            <w:r>
              <w:rPr>
                <w:noProof/>
                <w:webHidden/>
              </w:rPr>
              <w:fldChar w:fldCharType="begin"/>
            </w:r>
            <w:r>
              <w:rPr>
                <w:noProof/>
                <w:webHidden/>
              </w:rPr>
              <w:instrText xml:space="preserve"> PAGEREF _Toc234145865 \h </w:instrText>
            </w:r>
            <w:r>
              <w:rPr>
                <w:noProof/>
                <w:webHidden/>
              </w:rPr>
            </w:r>
            <w:r>
              <w:rPr>
                <w:noProof/>
                <w:webHidden/>
              </w:rPr>
              <w:fldChar w:fldCharType="separate"/>
            </w:r>
            <w:r w:rsidR="00C9582C">
              <w:rPr>
                <w:noProof/>
                <w:webHidden/>
              </w:rPr>
              <w:t>3</w:t>
            </w:r>
            <w:r>
              <w:rPr>
                <w:noProof/>
                <w:webHidden/>
              </w:rPr>
              <w:fldChar w:fldCharType="end"/>
            </w:r>
          </w:hyperlink>
        </w:p>
        <w:p w14:paraId="15014261" w14:textId="756830C9" w:rsidR="00FF6D58" w:rsidRDefault="00FF6D58" w:rsidP="00FF6D58">
          <w:pPr>
            <w:pStyle w:val="TOC1"/>
            <w:tabs>
              <w:tab w:val="right" w:leader="dot" w:pos="9016"/>
            </w:tabs>
            <w:rPr>
              <w:noProof/>
            </w:rPr>
          </w:pPr>
          <w:hyperlink w:anchor="_Toc234145866" w:history="1">
            <w:r w:rsidRPr="0086177F">
              <w:rPr>
                <w:rStyle w:val="Hyperlink"/>
                <w:rFonts w:ascii="Times New Roman" w:hAnsi="Times New Roman" w:cs="Times New Roman"/>
                <w:noProof/>
              </w:rPr>
              <w:t>2. Findings</w:t>
            </w:r>
            <w:r>
              <w:rPr>
                <w:noProof/>
                <w:webHidden/>
              </w:rPr>
              <w:tab/>
            </w:r>
            <w:r>
              <w:rPr>
                <w:noProof/>
                <w:webHidden/>
              </w:rPr>
              <w:fldChar w:fldCharType="begin"/>
            </w:r>
            <w:r>
              <w:rPr>
                <w:noProof/>
                <w:webHidden/>
              </w:rPr>
              <w:instrText xml:space="preserve"> PAGEREF _Toc234145866 \h </w:instrText>
            </w:r>
            <w:r>
              <w:rPr>
                <w:noProof/>
                <w:webHidden/>
              </w:rPr>
            </w:r>
            <w:r>
              <w:rPr>
                <w:noProof/>
                <w:webHidden/>
              </w:rPr>
              <w:fldChar w:fldCharType="separate"/>
            </w:r>
            <w:r w:rsidR="00C9582C">
              <w:rPr>
                <w:noProof/>
                <w:webHidden/>
              </w:rPr>
              <w:t>3</w:t>
            </w:r>
            <w:r>
              <w:rPr>
                <w:noProof/>
                <w:webHidden/>
              </w:rPr>
              <w:fldChar w:fldCharType="end"/>
            </w:r>
          </w:hyperlink>
        </w:p>
        <w:p w14:paraId="6C5C3AE8" w14:textId="65BE0E94" w:rsidR="00FF6D58" w:rsidRDefault="00FF6D58" w:rsidP="00FF6D58">
          <w:pPr>
            <w:pStyle w:val="TOC1"/>
            <w:tabs>
              <w:tab w:val="right" w:leader="dot" w:pos="9016"/>
            </w:tabs>
            <w:rPr>
              <w:noProof/>
            </w:rPr>
          </w:pPr>
          <w:hyperlink w:anchor="_Toc234145867" w:history="1">
            <w:r w:rsidRPr="0086177F">
              <w:rPr>
                <w:rStyle w:val="Hyperlink"/>
                <w:rFonts w:ascii="Times New Roman" w:hAnsi="Times New Roman" w:cs="Times New Roman"/>
                <w:noProof/>
              </w:rPr>
              <w:t>The critical evaluation of tools and techniques</w:t>
            </w:r>
            <w:r>
              <w:rPr>
                <w:noProof/>
                <w:webHidden/>
              </w:rPr>
              <w:tab/>
            </w:r>
            <w:r>
              <w:rPr>
                <w:noProof/>
                <w:webHidden/>
              </w:rPr>
              <w:fldChar w:fldCharType="begin"/>
            </w:r>
            <w:r>
              <w:rPr>
                <w:noProof/>
                <w:webHidden/>
              </w:rPr>
              <w:instrText xml:space="preserve"> PAGEREF _Toc234145867 \h </w:instrText>
            </w:r>
            <w:r>
              <w:rPr>
                <w:noProof/>
                <w:webHidden/>
              </w:rPr>
            </w:r>
            <w:r>
              <w:rPr>
                <w:noProof/>
                <w:webHidden/>
              </w:rPr>
              <w:fldChar w:fldCharType="separate"/>
            </w:r>
            <w:r w:rsidR="00C9582C">
              <w:rPr>
                <w:noProof/>
                <w:webHidden/>
              </w:rPr>
              <w:t>3</w:t>
            </w:r>
            <w:r>
              <w:rPr>
                <w:noProof/>
                <w:webHidden/>
              </w:rPr>
              <w:fldChar w:fldCharType="end"/>
            </w:r>
          </w:hyperlink>
        </w:p>
        <w:p w14:paraId="294CD4E9" w14:textId="0E0F56B1" w:rsidR="00FF6D58" w:rsidRDefault="00FF6D58" w:rsidP="00FF6D58">
          <w:pPr>
            <w:pStyle w:val="TOC1"/>
            <w:tabs>
              <w:tab w:val="right" w:leader="dot" w:pos="9016"/>
            </w:tabs>
            <w:rPr>
              <w:noProof/>
            </w:rPr>
          </w:pPr>
          <w:hyperlink w:anchor="_Toc234145868" w:history="1">
            <w:r w:rsidRPr="0086177F">
              <w:rPr>
                <w:rStyle w:val="Hyperlink"/>
                <w:rFonts w:ascii="Times New Roman" w:hAnsi="Times New Roman" w:cs="Times New Roman"/>
                <w:noProof/>
              </w:rPr>
              <w:t>How the tools were used in ArtBridge</w:t>
            </w:r>
            <w:r>
              <w:rPr>
                <w:noProof/>
                <w:webHidden/>
              </w:rPr>
              <w:tab/>
            </w:r>
            <w:r>
              <w:rPr>
                <w:noProof/>
                <w:webHidden/>
              </w:rPr>
              <w:fldChar w:fldCharType="begin"/>
            </w:r>
            <w:r>
              <w:rPr>
                <w:noProof/>
                <w:webHidden/>
              </w:rPr>
              <w:instrText xml:space="preserve"> PAGEREF _Toc234145868 \h </w:instrText>
            </w:r>
            <w:r>
              <w:rPr>
                <w:noProof/>
                <w:webHidden/>
              </w:rPr>
            </w:r>
            <w:r>
              <w:rPr>
                <w:noProof/>
                <w:webHidden/>
              </w:rPr>
              <w:fldChar w:fldCharType="separate"/>
            </w:r>
            <w:r w:rsidR="00C9582C">
              <w:rPr>
                <w:noProof/>
                <w:webHidden/>
              </w:rPr>
              <w:t>5</w:t>
            </w:r>
            <w:r>
              <w:rPr>
                <w:noProof/>
                <w:webHidden/>
              </w:rPr>
              <w:fldChar w:fldCharType="end"/>
            </w:r>
          </w:hyperlink>
        </w:p>
        <w:p w14:paraId="0390C797" w14:textId="6A0D6313" w:rsidR="00FF6D58" w:rsidRDefault="00FF6D58" w:rsidP="00FF6D58">
          <w:pPr>
            <w:pStyle w:val="TOC1"/>
            <w:tabs>
              <w:tab w:val="right" w:leader="dot" w:pos="9016"/>
            </w:tabs>
            <w:rPr>
              <w:noProof/>
            </w:rPr>
          </w:pPr>
          <w:hyperlink w:anchor="_Toc234145869" w:history="1">
            <w:r w:rsidRPr="0086177F">
              <w:rPr>
                <w:rStyle w:val="Hyperlink"/>
                <w:rFonts w:ascii="Times New Roman" w:hAnsi="Times New Roman" w:cs="Times New Roman"/>
                <w:noProof/>
              </w:rPr>
              <w:t>Stakeholder analysis and communication.</w:t>
            </w:r>
            <w:r>
              <w:rPr>
                <w:noProof/>
                <w:webHidden/>
              </w:rPr>
              <w:tab/>
            </w:r>
            <w:r>
              <w:rPr>
                <w:noProof/>
                <w:webHidden/>
              </w:rPr>
              <w:fldChar w:fldCharType="begin"/>
            </w:r>
            <w:r>
              <w:rPr>
                <w:noProof/>
                <w:webHidden/>
              </w:rPr>
              <w:instrText xml:space="preserve"> PAGEREF _Toc234145869 \h </w:instrText>
            </w:r>
            <w:r>
              <w:rPr>
                <w:noProof/>
                <w:webHidden/>
              </w:rPr>
            </w:r>
            <w:r>
              <w:rPr>
                <w:noProof/>
                <w:webHidden/>
              </w:rPr>
              <w:fldChar w:fldCharType="separate"/>
            </w:r>
            <w:r w:rsidR="00C9582C">
              <w:rPr>
                <w:noProof/>
                <w:webHidden/>
              </w:rPr>
              <w:t>6</w:t>
            </w:r>
            <w:r>
              <w:rPr>
                <w:noProof/>
                <w:webHidden/>
              </w:rPr>
              <w:fldChar w:fldCharType="end"/>
            </w:r>
          </w:hyperlink>
        </w:p>
        <w:p w14:paraId="64459045" w14:textId="03B9B855" w:rsidR="00FF6D58" w:rsidRDefault="00FF6D58" w:rsidP="00FF6D58">
          <w:pPr>
            <w:pStyle w:val="TOC1"/>
            <w:tabs>
              <w:tab w:val="right" w:leader="dot" w:pos="9016"/>
            </w:tabs>
            <w:rPr>
              <w:noProof/>
            </w:rPr>
          </w:pPr>
          <w:hyperlink w:anchor="_Toc234145870" w:history="1">
            <w:r w:rsidRPr="0086177F">
              <w:rPr>
                <w:rStyle w:val="Hyperlink"/>
                <w:rFonts w:ascii="Times New Roman" w:hAnsi="Times New Roman" w:cs="Times New Roman"/>
                <w:noProof/>
              </w:rPr>
              <w:t>3. Conclusion</w:t>
            </w:r>
            <w:r>
              <w:rPr>
                <w:noProof/>
                <w:webHidden/>
              </w:rPr>
              <w:tab/>
            </w:r>
            <w:r>
              <w:rPr>
                <w:noProof/>
                <w:webHidden/>
              </w:rPr>
              <w:fldChar w:fldCharType="begin"/>
            </w:r>
            <w:r>
              <w:rPr>
                <w:noProof/>
                <w:webHidden/>
              </w:rPr>
              <w:instrText xml:space="preserve"> PAGEREF _Toc234145870 \h </w:instrText>
            </w:r>
            <w:r>
              <w:rPr>
                <w:noProof/>
                <w:webHidden/>
              </w:rPr>
            </w:r>
            <w:r>
              <w:rPr>
                <w:noProof/>
                <w:webHidden/>
              </w:rPr>
              <w:fldChar w:fldCharType="separate"/>
            </w:r>
            <w:r w:rsidR="00C9582C">
              <w:rPr>
                <w:noProof/>
                <w:webHidden/>
              </w:rPr>
              <w:t>7</w:t>
            </w:r>
            <w:r>
              <w:rPr>
                <w:noProof/>
                <w:webHidden/>
              </w:rPr>
              <w:fldChar w:fldCharType="end"/>
            </w:r>
          </w:hyperlink>
        </w:p>
        <w:p w14:paraId="5BBC8B8B" w14:textId="6A75AD3A" w:rsidR="00FF6D58" w:rsidRDefault="00FF6D58" w:rsidP="00FF6D58">
          <w:pPr>
            <w:pStyle w:val="TOC1"/>
            <w:tabs>
              <w:tab w:val="right" w:leader="dot" w:pos="9016"/>
            </w:tabs>
            <w:rPr>
              <w:noProof/>
            </w:rPr>
          </w:pPr>
          <w:hyperlink w:anchor="_Toc234145871" w:history="1">
            <w:r w:rsidRPr="0086177F">
              <w:rPr>
                <w:rStyle w:val="Hyperlink"/>
                <w:rFonts w:ascii="Times New Roman" w:hAnsi="Times New Roman" w:cs="Times New Roman"/>
                <w:noProof/>
              </w:rPr>
              <w:t>4. Future Improvement Recommendations</w:t>
            </w:r>
            <w:r>
              <w:rPr>
                <w:noProof/>
                <w:webHidden/>
              </w:rPr>
              <w:tab/>
            </w:r>
            <w:r>
              <w:rPr>
                <w:noProof/>
                <w:webHidden/>
              </w:rPr>
              <w:fldChar w:fldCharType="begin"/>
            </w:r>
            <w:r>
              <w:rPr>
                <w:noProof/>
                <w:webHidden/>
              </w:rPr>
              <w:instrText xml:space="preserve"> PAGEREF _Toc234145871 \h </w:instrText>
            </w:r>
            <w:r>
              <w:rPr>
                <w:noProof/>
                <w:webHidden/>
              </w:rPr>
            </w:r>
            <w:r>
              <w:rPr>
                <w:noProof/>
                <w:webHidden/>
              </w:rPr>
              <w:fldChar w:fldCharType="separate"/>
            </w:r>
            <w:r w:rsidR="00C9582C">
              <w:rPr>
                <w:noProof/>
                <w:webHidden/>
              </w:rPr>
              <w:t>7</w:t>
            </w:r>
            <w:r>
              <w:rPr>
                <w:noProof/>
                <w:webHidden/>
              </w:rPr>
              <w:fldChar w:fldCharType="end"/>
            </w:r>
          </w:hyperlink>
        </w:p>
        <w:p w14:paraId="6B424396" w14:textId="62B29BB9" w:rsidR="00FF6D58" w:rsidRDefault="00FF6D58" w:rsidP="00FF6D58">
          <w:pPr>
            <w:pStyle w:val="TOC1"/>
            <w:tabs>
              <w:tab w:val="right" w:leader="dot" w:pos="9016"/>
            </w:tabs>
            <w:rPr>
              <w:noProof/>
            </w:rPr>
          </w:pPr>
          <w:hyperlink w:anchor="_Toc234145872" w:history="1">
            <w:r w:rsidRPr="0086177F">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_Toc234145872 \h </w:instrText>
            </w:r>
            <w:r>
              <w:rPr>
                <w:noProof/>
                <w:webHidden/>
              </w:rPr>
            </w:r>
            <w:r>
              <w:rPr>
                <w:noProof/>
                <w:webHidden/>
              </w:rPr>
              <w:fldChar w:fldCharType="separate"/>
            </w:r>
            <w:r w:rsidR="00C9582C">
              <w:rPr>
                <w:noProof/>
                <w:webHidden/>
              </w:rPr>
              <w:t>8</w:t>
            </w:r>
            <w:r>
              <w:rPr>
                <w:noProof/>
                <w:webHidden/>
              </w:rPr>
              <w:fldChar w:fldCharType="end"/>
            </w:r>
          </w:hyperlink>
        </w:p>
        <w:p w14:paraId="6827C781" w14:textId="77777777" w:rsidR="00FF6D58" w:rsidRDefault="00FF6D58" w:rsidP="00FF6D58">
          <w:r>
            <w:rPr>
              <w:b/>
              <w:bCs/>
            </w:rPr>
            <w:fldChar w:fldCharType="end"/>
          </w:r>
        </w:p>
      </w:sdtContent>
    </w:sdt>
    <w:p w14:paraId="591D7CFF" w14:textId="77777777" w:rsidR="00FF6D58" w:rsidRDefault="00FF6D58" w:rsidP="00FF6D58">
      <w:pPr>
        <w:spacing w:line="360" w:lineRule="auto"/>
        <w:jc w:val="both"/>
        <w:rPr>
          <w:rFonts w:ascii="Times New Roman" w:hAnsi="Times New Roman" w:cs="Times New Roman"/>
        </w:rPr>
      </w:pPr>
    </w:p>
    <w:p w14:paraId="5B513A5F" w14:textId="77777777" w:rsidR="00FF6D58" w:rsidRDefault="00FF6D58" w:rsidP="00FF6D58">
      <w:pPr>
        <w:spacing w:line="360" w:lineRule="auto"/>
        <w:jc w:val="both"/>
        <w:rPr>
          <w:rFonts w:ascii="Times New Roman" w:hAnsi="Times New Roman" w:cs="Times New Roman"/>
        </w:rPr>
      </w:pPr>
    </w:p>
    <w:p w14:paraId="56393264" w14:textId="77777777" w:rsidR="00FF6D58" w:rsidRDefault="00FF6D58" w:rsidP="00FF6D58">
      <w:pPr>
        <w:spacing w:line="360" w:lineRule="auto"/>
        <w:jc w:val="both"/>
        <w:rPr>
          <w:rFonts w:ascii="Times New Roman" w:hAnsi="Times New Roman" w:cs="Times New Roman"/>
        </w:rPr>
      </w:pPr>
    </w:p>
    <w:p w14:paraId="6B4F0509" w14:textId="77777777" w:rsidR="00FF6D58" w:rsidRDefault="00FF6D58" w:rsidP="00FF6D58">
      <w:pPr>
        <w:spacing w:line="360" w:lineRule="auto"/>
        <w:jc w:val="both"/>
        <w:rPr>
          <w:rFonts w:ascii="Times New Roman" w:hAnsi="Times New Roman" w:cs="Times New Roman"/>
        </w:rPr>
      </w:pPr>
    </w:p>
    <w:p w14:paraId="51811AE3" w14:textId="77777777" w:rsidR="00FF6D58" w:rsidRDefault="00FF6D58" w:rsidP="00FF6D58">
      <w:pPr>
        <w:spacing w:line="360" w:lineRule="auto"/>
        <w:jc w:val="both"/>
        <w:rPr>
          <w:rFonts w:ascii="Times New Roman" w:hAnsi="Times New Roman" w:cs="Times New Roman"/>
        </w:rPr>
      </w:pPr>
    </w:p>
    <w:p w14:paraId="60F1509A" w14:textId="77777777" w:rsidR="00FF6D58" w:rsidRDefault="00FF6D58" w:rsidP="00FF6D58">
      <w:pPr>
        <w:spacing w:line="360" w:lineRule="auto"/>
        <w:jc w:val="both"/>
        <w:rPr>
          <w:rFonts w:ascii="Times New Roman" w:hAnsi="Times New Roman" w:cs="Times New Roman"/>
        </w:rPr>
      </w:pPr>
    </w:p>
    <w:p w14:paraId="24AE117E" w14:textId="77777777" w:rsidR="00FF6D58" w:rsidRDefault="00FF6D58" w:rsidP="00FF6D58">
      <w:pPr>
        <w:spacing w:line="360" w:lineRule="auto"/>
        <w:jc w:val="both"/>
        <w:rPr>
          <w:rFonts w:ascii="Times New Roman" w:hAnsi="Times New Roman" w:cs="Times New Roman"/>
        </w:rPr>
      </w:pPr>
    </w:p>
    <w:p w14:paraId="44E1D7AE" w14:textId="77777777" w:rsidR="00FF6D58" w:rsidRDefault="00FF6D58" w:rsidP="00FF6D58">
      <w:pPr>
        <w:spacing w:line="360" w:lineRule="auto"/>
        <w:jc w:val="both"/>
        <w:rPr>
          <w:rFonts w:ascii="Times New Roman" w:hAnsi="Times New Roman" w:cs="Times New Roman"/>
        </w:rPr>
      </w:pPr>
    </w:p>
    <w:p w14:paraId="271BFDF0" w14:textId="77777777" w:rsidR="00FF6D58" w:rsidRDefault="00FF6D58" w:rsidP="00FF6D58">
      <w:pPr>
        <w:spacing w:line="360" w:lineRule="auto"/>
        <w:jc w:val="both"/>
        <w:rPr>
          <w:rFonts w:ascii="Times New Roman" w:hAnsi="Times New Roman" w:cs="Times New Roman"/>
        </w:rPr>
      </w:pPr>
    </w:p>
    <w:p w14:paraId="77E99DDA" w14:textId="77777777" w:rsidR="00FF6D58" w:rsidRDefault="00FF6D58" w:rsidP="00FF6D58">
      <w:pPr>
        <w:spacing w:line="360" w:lineRule="auto"/>
        <w:jc w:val="both"/>
        <w:rPr>
          <w:rFonts w:ascii="Times New Roman" w:hAnsi="Times New Roman" w:cs="Times New Roman"/>
        </w:rPr>
      </w:pPr>
    </w:p>
    <w:p w14:paraId="5859A0D7" w14:textId="77777777" w:rsidR="00FF6D58" w:rsidRPr="009A7818" w:rsidRDefault="00FF6D58" w:rsidP="00FF6D58">
      <w:pPr>
        <w:spacing w:line="360" w:lineRule="auto"/>
        <w:jc w:val="both"/>
        <w:rPr>
          <w:rFonts w:ascii="Times New Roman" w:hAnsi="Times New Roman" w:cs="Times New Roman"/>
        </w:rPr>
      </w:pPr>
    </w:p>
    <w:p w14:paraId="017C40A2" w14:textId="77777777" w:rsidR="00FF6D58" w:rsidRPr="009A7818" w:rsidRDefault="00FF6D58" w:rsidP="00FF6D58">
      <w:pPr>
        <w:spacing w:line="360" w:lineRule="auto"/>
        <w:jc w:val="both"/>
        <w:rPr>
          <w:rFonts w:ascii="Times New Roman" w:hAnsi="Times New Roman" w:cs="Times New Roman"/>
        </w:rPr>
      </w:pPr>
    </w:p>
    <w:p w14:paraId="16C8493E" w14:textId="77777777" w:rsidR="00FF6D58" w:rsidRPr="009A7818" w:rsidRDefault="00FF6D58" w:rsidP="00FF6D58">
      <w:pPr>
        <w:spacing w:line="360" w:lineRule="auto"/>
        <w:jc w:val="both"/>
        <w:rPr>
          <w:rFonts w:ascii="Times New Roman" w:hAnsi="Times New Roman" w:cs="Times New Roman"/>
        </w:rPr>
      </w:pPr>
    </w:p>
    <w:p w14:paraId="1CAE8075" w14:textId="77777777" w:rsidR="00FF6D58" w:rsidRPr="009A7818" w:rsidRDefault="00FF6D58" w:rsidP="00FF6D58">
      <w:pPr>
        <w:spacing w:line="360" w:lineRule="auto"/>
        <w:jc w:val="both"/>
        <w:rPr>
          <w:rFonts w:ascii="Times New Roman" w:hAnsi="Times New Roman" w:cs="Times New Roman"/>
        </w:rPr>
      </w:pPr>
    </w:p>
    <w:p w14:paraId="6D82B891" w14:textId="77777777" w:rsidR="00FF6D58" w:rsidRPr="009A7818" w:rsidRDefault="00FF6D58" w:rsidP="00FF6D58">
      <w:pPr>
        <w:spacing w:line="360" w:lineRule="auto"/>
        <w:jc w:val="both"/>
        <w:rPr>
          <w:rFonts w:ascii="Times New Roman" w:hAnsi="Times New Roman" w:cs="Times New Roman"/>
        </w:rPr>
      </w:pPr>
    </w:p>
    <w:p w14:paraId="4AEF93BD" w14:textId="77777777" w:rsidR="00FF6D58" w:rsidRPr="009A7818" w:rsidRDefault="00FF6D58" w:rsidP="00FF6D58">
      <w:pPr>
        <w:pStyle w:val="Heading1"/>
        <w:spacing w:line="360" w:lineRule="auto"/>
        <w:jc w:val="both"/>
        <w:rPr>
          <w:rFonts w:ascii="Times New Roman" w:hAnsi="Times New Roman" w:cs="Times New Roman"/>
          <w:sz w:val="24"/>
          <w:szCs w:val="24"/>
        </w:rPr>
      </w:pPr>
      <w:bookmarkStart w:id="0" w:name="_Toc234145865"/>
      <w:r w:rsidRPr="009A7818">
        <w:rPr>
          <w:rFonts w:ascii="Times New Roman" w:hAnsi="Times New Roman" w:cs="Times New Roman"/>
          <w:sz w:val="24"/>
          <w:szCs w:val="24"/>
        </w:rPr>
        <w:t>1. Introduction</w:t>
      </w:r>
      <w:bookmarkEnd w:id="0"/>
    </w:p>
    <w:p w14:paraId="6403A209" w14:textId="306CE010"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ArtBridge is a proposed community arts gallery that will benefit the disadvantaged youth as well as the emerging local artists and community members. It conforms with the idea of a social enterprise in that it is not only attempting to generate ‘social value' but also to establish streams of income to ensure its sustainability (Dees, 1998). Social enterprises are often organised as a response to unmet market and/or state demand (</w:t>
      </w:r>
      <w:proofErr w:type="spellStart"/>
      <w:r w:rsidRPr="009A7818">
        <w:rPr>
          <w:rFonts w:ascii="Times New Roman" w:hAnsi="Times New Roman" w:cs="Times New Roman"/>
        </w:rPr>
        <w:t>Defourny</w:t>
      </w:r>
      <w:proofErr w:type="spellEnd"/>
      <w:r w:rsidRPr="009A7818">
        <w:rPr>
          <w:rFonts w:ascii="Times New Roman" w:hAnsi="Times New Roman" w:cs="Times New Roman"/>
        </w:rPr>
        <w:t xml:space="preserve"> and Nyssens, 2010) and there is a lack of affordable creative space, youth participation and local artist opportunities to which Art</w:t>
      </w:r>
      <w:r w:rsidR="00C25800">
        <w:rPr>
          <w:rFonts w:ascii="Times New Roman" w:hAnsi="Times New Roman" w:cs="Times New Roman"/>
        </w:rPr>
        <w:t>B</w:t>
      </w:r>
      <w:r w:rsidRPr="009A7818">
        <w:rPr>
          <w:rFonts w:ascii="Times New Roman" w:hAnsi="Times New Roman" w:cs="Times New Roman"/>
        </w:rPr>
        <w:t>ridge is responding.</w:t>
      </w:r>
    </w:p>
    <w:p w14:paraId="7A6C0E14"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The project goal is to create a sustainable 12-month pilot community arts gallery, financially supported. With a clear aim, the team has direction and will end up with less drift and more project focus (Heagney, 2022). Its goals are to deliver a minimum of 12 workshops, offer free or subsidised access to communities, establish 2-3 partnerships, organise at least one exhibition/ open-mic event, and evaluate impact in terms of attendance, feedback and community engagement. These objectives are helpful as measurable objectives help to judge achievement (Wysocki, 2019).</w:t>
      </w:r>
    </w:p>
    <w:p w14:paraId="1E651B2A"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Project management was required due to the nature of the activities, the different stakeholders, risks, costs and deadlines involved in the ArtBridge project. Project management provides structured ways to manage scope, schedule, cost, quality, communication, stakeholders and risk (Project Management Institute, 2021). This report evaluates tools that were used throughout the project lifecycle from initiation and planning all the way to preparing to deliver the project, communicating, risk control and future enhancement.</w:t>
      </w:r>
    </w:p>
    <w:p w14:paraId="27CFE483" w14:textId="77777777" w:rsidR="00FF6D58" w:rsidRPr="009A7818" w:rsidRDefault="00FF6D58" w:rsidP="00FF6D58">
      <w:pPr>
        <w:pStyle w:val="Heading1"/>
        <w:spacing w:line="360" w:lineRule="auto"/>
        <w:jc w:val="both"/>
        <w:rPr>
          <w:rFonts w:ascii="Times New Roman" w:hAnsi="Times New Roman" w:cs="Times New Roman"/>
          <w:sz w:val="24"/>
          <w:szCs w:val="24"/>
        </w:rPr>
      </w:pPr>
      <w:bookmarkStart w:id="1" w:name="_Toc234145866"/>
      <w:r w:rsidRPr="009A7818">
        <w:rPr>
          <w:rFonts w:ascii="Times New Roman" w:hAnsi="Times New Roman" w:cs="Times New Roman"/>
          <w:sz w:val="24"/>
          <w:szCs w:val="24"/>
        </w:rPr>
        <w:t>2. Findings</w:t>
      </w:r>
      <w:bookmarkEnd w:id="1"/>
    </w:p>
    <w:p w14:paraId="6D7E4FA7" w14:textId="77777777" w:rsidR="00FF6D58" w:rsidRPr="009A7818" w:rsidRDefault="00FF6D58" w:rsidP="00FF6D58">
      <w:pPr>
        <w:pStyle w:val="Heading1"/>
        <w:spacing w:line="360" w:lineRule="auto"/>
        <w:jc w:val="both"/>
        <w:rPr>
          <w:rFonts w:ascii="Times New Roman" w:hAnsi="Times New Roman" w:cs="Times New Roman"/>
          <w:sz w:val="24"/>
          <w:szCs w:val="24"/>
        </w:rPr>
      </w:pPr>
      <w:bookmarkStart w:id="2" w:name="_Toc234145867"/>
      <w:r w:rsidRPr="009A7818">
        <w:rPr>
          <w:rFonts w:ascii="Times New Roman" w:hAnsi="Times New Roman" w:cs="Times New Roman"/>
          <w:sz w:val="24"/>
          <w:szCs w:val="24"/>
        </w:rPr>
        <w:t>The critical evaluation of tools and techniques</w:t>
      </w:r>
      <w:bookmarkEnd w:id="2"/>
      <w:r w:rsidRPr="009A7818">
        <w:rPr>
          <w:rFonts w:ascii="Times New Roman" w:hAnsi="Times New Roman" w:cs="Times New Roman"/>
          <w:sz w:val="24"/>
          <w:szCs w:val="24"/>
        </w:rPr>
        <w:t xml:space="preserve"> </w:t>
      </w:r>
    </w:p>
    <w:p w14:paraId="21C2A03F"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 xml:space="preserve">Project management tools are used to articulate a fuzzy concept into a clear plan. But tools should impact results, not just be used as a diagram. The key tools used in ArtBridge were scope management, WBS, Gantt chart, stakeholder analysis, communication planning, risk matrix, SWOT, task allocation, budgeting and success criteria. They can be used in project </w:t>
      </w:r>
      <w:r w:rsidRPr="009A7818">
        <w:rPr>
          <w:rFonts w:ascii="Times New Roman" w:hAnsi="Times New Roman" w:cs="Times New Roman"/>
        </w:rPr>
        <w:lastRenderedPageBreak/>
        <w:t>control by providing a statement of what is to be accomplished, when it must be accomplished, who is involved, and what things could potentially go wrong (Kerzner, 2017).</w:t>
      </w:r>
    </w:p>
    <w:p w14:paraId="428A5DFD"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One of the very powerful tools was scope management. Having clearly defined scope prevents scope creep (aka “feature creep”), a term used to describe projects that expand beyond its original scope of work (Meredith, Mantel and Shafer, 2021). This was crucial because if ArtBridge were to have involved national expansion, counselling, housing support, formal education, and full café/bar operations they would have become unrealistic. The group created a project that could be made possible by narrowing down to a pilot gallery, workshops, mentoring, exhibitions, events, promotion and partnerships. Clear boundaries also help increase accountability, as the team has a clear understanding of what they need to deliver (Project Management Institute, 2021).</w:t>
      </w:r>
    </w:p>
    <w:p w14:paraId="5144893A"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The Work Breakdown Structure was helpful as it breaks the project into smaller work packages. WBS makes planning easier by dividing a complex structure of work into smaller, manageable chunks (Lock, 2013). ArtBridge was broken down into eight stages: planning, research and stakeholders, funding and partnerships, marketing, workshop and event planning, delivery preparation, event execution, evaluation. This helped the team to understand the project lifecycle. But the WBS lacked timing information and required the help of the Gantt chart to indicate dependencies.</w:t>
      </w:r>
    </w:p>
    <w:p w14:paraId="4D515980"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 xml:space="preserve">The </w:t>
      </w:r>
      <w:proofErr w:type="gramStart"/>
      <w:r w:rsidRPr="009A7818">
        <w:rPr>
          <w:rFonts w:ascii="Times New Roman" w:hAnsi="Times New Roman" w:cs="Times New Roman"/>
        </w:rPr>
        <w:t>12 month</w:t>
      </w:r>
      <w:proofErr w:type="gramEnd"/>
      <w:r w:rsidRPr="009A7818">
        <w:rPr>
          <w:rFonts w:ascii="Times New Roman" w:hAnsi="Times New Roman" w:cs="Times New Roman"/>
        </w:rPr>
        <w:t xml:space="preserve"> </w:t>
      </w:r>
      <w:proofErr w:type="gramStart"/>
      <w:r w:rsidRPr="009A7818">
        <w:rPr>
          <w:rFonts w:ascii="Times New Roman" w:hAnsi="Times New Roman" w:cs="Times New Roman"/>
        </w:rPr>
        <w:t>time line</w:t>
      </w:r>
      <w:proofErr w:type="gramEnd"/>
      <w:r w:rsidRPr="009A7818">
        <w:rPr>
          <w:rFonts w:ascii="Times New Roman" w:hAnsi="Times New Roman" w:cs="Times New Roman"/>
        </w:rPr>
        <w:t xml:space="preserve"> was organised with the help of the Gantt chart. The Gantt chart displays the duration of activities and the overlap between phases Kerzner (2017). The timeline in </w:t>
      </w:r>
      <w:proofErr w:type="spellStart"/>
      <w:r w:rsidRPr="009A7818">
        <w:rPr>
          <w:rFonts w:ascii="Times New Roman" w:hAnsi="Times New Roman" w:cs="Times New Roman"/>
        </w:rPr>
        <w:t>Artbridge</w:t>
      </w:r>
      <w:proofErr w:type="spellEnd"/>
      <w:r w:rsidRPr="009A7818">
        <w:rPr>
          <w:rFonts w:ascii="Times New Roman" w:hAnsi="Times New Roman" w:cs="Times New Roman"/>
        </w:rPr>
        <w:t xml:space="preserve"> revealed that research, obtaining funding, partnership, and marketing needed to occur prior to workshops and events. This was done in a logical sequence, as the project required funding, venues and facilitators before the delivery. But the Gantt chart had to be more detailed with specific dates, dependencies, task owners, and contingency time to be a more powerful control tool (Project Management Institute, 2021).</w:t>
      </w:r>
    </w:p>
    <w:p w14:paraId="44E35EC3"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 xml:space="preserve">Risk management was significant due to financial challenges, low attendance, venue issues, facilitator shortages and increasing costs that were being dealt with by ArtBridge. Risk management is all about team's response to the uncertainty before it creates delivery disruption (Hillson, 2009). It was helpful in that it scored risks in both likelihood and impact with the risk matrix. However, it was still weak as it lacked in demonstrating sufficient response planning. Because risk management should be active throughout the lifecycle, each risk should have had a risk </w:t>
      </w:r>
      <w:proofErr w:type="gramStart"/>
      <w:r w:rsidRPr="009A7818">
        <w:rPr>
          <w:rFonts w:ascii="Times New Roman" w:hAnsi="Times New Roman" w:cs="Times New Roman"/>
        </w:rPr>
        <w:t>owner</w:t>
      </w:r>
      <w:proofErr w:type="gramEnd"/>
      <w:r w:rsidRPr="009A7818">
        <w:rPr>
          <w:rFonts w:ascii="Times New Roman" w:hAnsi="Times New Roman" w:cs="Times New Roman"/>
        </w:rPr>
        <w:t xml:space="preserve"> and signposts and mitigating actions should have been identified.</w:t>
      </w:r>
    </w:p>
    <w:p w14:paraId="61B741D2"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lastRenderedPageBreak/>
        <w:t xml:space="preserve">Using iron triangle, team thought about time, cost and quality. The traditional project triangle illustrates that there is a relationship between time, cost and quality (Atkinson, 1999). </w:t>
      </w:r>
      <w:proofErr w:type="spellStart"/>
      <w:r w:rsidRPr="009A7818">
        <w:rPr>
          <w:rFonts w:ascii="Times New Roman" w:hAnsi="Times New Roman" w:cs="Times New Roman"/>
        </w:rPr>
        <w:t>ArtBridge's</w:t>
      </w:r>
      <w:proofErr w:type="spellEnd"/>
      <w:r w:rsidRPr="009A7818">
        <w:rPr>
          <w:rFonts w:ascii="Times New Roman" w:hAnsi="Times New Roman" w:cs="Times New Roman"/>
        </w:rPr>
        <w:t xml:space="preserve"> time was set to 12 months pilot, cost set at £8,100, and quality set as safe, inclusive activities. Though time, cost and quality are important considerations when judging ArtBridge, it cannot be judged solely in this light. Project success should also encompass stakeholder value and wider benefits (Müller and Turner, 2007) as participation, inclusion and community impact are the true measure of the success of ArtBridge.</w:t>
      </w:r>
    </w:p>
    <w:p w14:paraId="4E64ED1B" w14:textId="77777777" w:rsidR="00FF6D58" w:rsidRPr="009A7818" w:rsidRDefault="00FF6D58" w:rsidP="00FF6D58">
      <w:pPr>
        <w:pStyle w:val="Heading1"/>
        <w:spacing w:line="360" w:lineRule="auto"/>
        <w:jc w:val="both"/>
        <w:rPr>
          <w:rFonts w:ascii="Times New Roman" w:hAnsi="Times New Roman" w:cs="Times New Roman"/>
          <w:sz w:val="24"/>
          <w:szCs w:val="24"/>
        </w:rPr>
      </w:pPr>
      <w:bookmarkStart w:id="3" w:name="_Toc234145868"/>
      <w:r w:rsidRPr="009A7818">
        <w:rPr>
          <w:rFonts w:ascii="Times New Roman" w:hAnsi="Times New Roman" w:cs="Times New Roman"/>
          <w:sz w:val="24"/>
          <w:szCs w:val="24"/>
        </w:rPr>
        <w:t>How the tools were used in ArtBridge</w:t>
      </w:r>
      <w:bookmarkEnd w:id="3"/>
    </w:p>
    <w:p w14:paraId="10E8FA28"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The tools assisted the group in taking a conceptualised social enterprise concept and creating a project plan. The aim provided the project with a clear purpose prior to detailed planning, (Heagney, 2022). The objectives, scope, deliverables, stakeholders, budget, risks and success criteria were then developed by the team. A logical sequence since projects typically have a purpose and scope prior to planning, delivery and evaluation (Project Management Institute, 2021).</w:t>
      </w:r>
    </w:p>
    <w:p w14:paraId="54D17FBC"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 xml:space="preserve">The scope statement was effective as it ensured that the project remained realistic. Pilot projects enable an idea to be tested prior to large-scale expansion (Reiss, 2007) and this was appropriate for an enterprise that is as new and unexplored as ArtBridge. The activities performed </w:t>
      </w:r>
      <w:proofErr w:type="gramStart"/>
      <w:r w:rsidRPr="009A7818">
        <w:rPr>
          <w:rFonts w:ascii="Times New Roman" w:hAnsi="Times New Roman" w:cs="Times New Roman"/>
        </w:rPr>
        <w:t>were:</w:t>
      </w:r>
      <w:proofErr w:type="gramEnd"/>
      <w:r w:rsidRPr="009A7818">
        <w:rPr>
          <w:rFonts w:ascii="Times New Roman" w:hAnsi="Times New Roman" w:cs="Times New Roman"/>
        </w:rPr>
        <w:t xml:space="preserve"> Workshops, Mentoring, Exhibitions, Community events, </w:t>
      </w:r>
      <w:proofErr w:type="gramStart"/>
      <w:r w:rsidRPr="009A7818">
        <w:rPr>
          <w:rFonts w:ascii="Times New Roman" w:hAnsi="Times New Roman" w:cs="Times New Roman"/>
        </w:rPr>
        <w:t>Social</w:t>
      </w:r>
      <w:proofErr w:type="gramEnd"/>
      <w:r w:rsidRPr="009A7818">
        <w:rPr>
          <w:rFonts w:ascii="Times New Roman" w:hAnsi="Times New Roman" w:cs="Times New Roman"/>
        </w:rPr>
        <w:t xml:space="preserve"> media promotions and partnership. Out-of-scope activities consisted of national expansion, clinical counselling, housing support and formal education and </w:t>
      </w:r>
      <w:proofErr w:type="gramStart"/>
      <w:r w:rsidRPr="009A7818">
        <w:rPr>
          <w:rFonts w:ascii="Times New Roman" w:hAnsi="Times New Roman" w:cs="Times New Roman"/>
        </w:rPr>
        <w:t>large scale</w:t>
      </w:r>
      <w:proofErr w:type="gramEnd"/>
      <w:r w:rsidRPr="009A7818">
        <w:rPr>
          <w:rFonts w:ascii="Times New Roman" w:hAnsi="Times New Roman" w:cs="Times New Roman"/>
        </w:rPr>
        <w:t xml:space="preserve"> commerciality. This helped to ensure the solution was not overly large for the project to handle.</w:t>
      </w:r>
    </w:p>
    <w:p w14:paraId="041E39C6"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 xml:space="preserve">The WBS helped to allocate tasks. The clear role allocation facilitates accountability as team members are aware of their roles (Belbin, 2010). Marian Floarea was involved in coordination and planning, Florina </w:t>
      </w:r>
      <w:proofErr w:type="spellStart"/>
      <w:r w:rsidRPr="009A7818">
        <w:rPr>
          <w:rFonts w:ascii="Times New Roman" w:hAnsi="Times New Roman" w:cs="Times New Roman"/>
        </w:rPr>
        <w:t>Dinitica</w:t>
      </w:r>
      <w:proofErr w:type="spellEnd"/>
      <w:r w:rsidRPr="009A7818">
        <w:rPr>
          <w:rFonts w:ascii="Times New Roman" w:hAnsi="Times New Roman" w:cs="Times New Roman"/>
        </w:rPr>
        <w:t xml:space="preserve"> in funding and partnerships, Cristian </w:t>
      </w:r>
      <w:proofErr w:type="spellStart"/>
      <w:r w:rsidRPr="009A7818">
        <w:rPr>
          <w:rFonts w:ascii="Times New Roman" w:hAnsi="Times New Roman" w:cs="Times New Roman"/>
        </w:rPr>
        <w:t>Dinicuta</w:t>
      </w:r>
      <w:proofErr w:type="spellEnd"/>
      <w:r w:rsidRPr="009A7818">
        <w:rPr>
          <w:rFonts w:ascii="Times New Roman" w:hAnsi="Times New Roman" w:cs="Times New Roman"/>
        </w:rPr>
        <w:t xml:space="preserve"> in stakeholders and communication, Andreea </w:t>
      </w:r>
      <w:proofErr w:type="spellStart"/>
      <w:r w:rsidRPr="009A7818">
        <w:rPr>
          <w:rFonts w:ascii="Times New Roman" w:hAnsi="Times New Roman" w:cs="Times New Roman"/>
        </w:rPr>
        <w:t>Tudorie</w:t>
      </w:r>
      <w:proofErr w:type="spellEnd"/>
      <w:r w:rsidRPr="009A7818">
        <w:rPr>
          <w:rFonts w:ascii="Times New Roman" w:hAnsi="Times New Roman" w:cs="Times New Roman"/>
        </w:rPr>
        <w:t xml:space="preserve"> in marketing, Sorina Bortos in workshops and events and Sebastian Kiss in evaluation and risk. This was helpful as roles within teams are important for good performance (Tuckman, 1965).</w:t>
      </w:r>
    </w:p>
    <w:p w14:paraId="169B18AE"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 xml:space="preserve">Budget and funding model provided an understanding of the financial viability of ArtBridge. The estimated pilot budget was £8,100 and this covered venue hire, art materials, the payment of facilitators and mentors, marketing, equipment hire, insurance, event costs and contingency. A mixed income model was appropriate as it minimises financial risk for a social enterprise by </w:t>
      </w:r>
      <w:r w:rsidRPr="009A7818">
        <w:rPr>
          <w:rFonts w:ascii="Times New Roman" w:hAnsi="Times New Roman" w:cs="Times New Roman"/>
        </w:rPr>
        <w:lastRenderedPageBreak/>
        <w:t>using a combination of income sources rather than one single source (Andreasen and Kotler, 2008). But the budget was weaker as they were merely indicative. More robust planning should describe the method of how the costs have been calculated, and funders should be able to see why they would be willing to sponsor the project.</w:t>
      </w:r>
    </w:p>
    <w:p w14:paraId="570E8415"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 xml:space="preserve">The project was used to be judged realistic based on SWOT analysis. SWOT is the comparison between internal strengths and weaknesses and external opportunities and threats (Helms and Nixon, 2010). Factors that contributed to the success of ArtBridge were their clear mission, mixed-income model, low-cost partnerships and dedicated staff. Weaknesses were lack of reserves, funding and turnout and the fact that it was a new brand with a small scale. Opportunities were identified as a need for creative spaces, threats included funding shortfalls, low turnouts, gaps in venues and an increase in costs. The SWOT reinforced the decision that </w:t>
      </w:r>
      <w:proofErr w:type="gramStart"/>
      <w:r w:rsidRPr="009A7818">
        <w:rPr>
          <w:rFonts w:ascii="Times New Roman" w:hAnsi="Times New Roman" w:cs="Times New Roman"/>
        </w:rPr>
        <w:t>as of yet</w:t>
      </w:r>
      <w:proofErr w:type="gramEnd"/>
      <w:r w:rsidRPr="009A7818">
        <w:rPr>
          <w:rFonts w:ascii="Times New Roman" w:hAnsi="Times New Roman" w:cs="Times New Roman"/>
        </w:rPr>
        <w:t>, ArtBridge can only be made possible if they stick to the pilot scope.</w:t>
      </w:r>
    </w:p>
    <w:p w14:paraId="62EDEE4C" w14:textId="77777777" w:rsidR="00FF6D58" w:rsidRPr="009A7818" w:rsidRDefault="00FF6D58" w:rsidP="00FF6D58">
      <w:pPr>
        <w:pStyle w:val="Heading1"/>
        <w:spacing w:line="360" w:lineRule="auto"/>
        <w:jc w:val="both"/>
        <w:rPr>
          <w:rFonts w:ascii="Times New Roman" w:hAnsi="Times New Roman" w:cs="Times New Roman"/>
          <w:sz w:val="24"/>
          <w:szCs w:val="24"/>
        </w:rPr>
      </w:pPr>
      <w:bookmarkStart w:id="4" w:name="_Toc234145869"/>
      <w:r w:rsidRPr="009A7818">
        <w:rPr>
          <w:rFonts w:ascii="Times New Roman" w:hAnsi="Times New Roman" w:cs="Times New Roman"/>
          <w:sz w:val="24"/>
          <w:szCs w:val="24"/>
        </w:rPr>
        <w:t>Stakeholder analysis and communication.</w:t>
      </w:r>
      <w:bookmarkEnd w:id="4"/>
    </w:p>
    <w:p w14:paraId="5CDBBD30"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 xml:space="preserve">Stakeholder analysis played a key role as ArtBridge relies on the people, partnerships and community participation. Stakeholders are any individual or group that </w:t>
      </w:r>
      <w:proofErr w:type="gramStart"/>
      <w:r w:rsidRPr="009A7818">
        <w:rPr>
          <w:rFonts w:ascii="Times New Roman" w:hAnsi="Times New Roman" w:cs="Times New Roman"/>
        </w:rPr>
        <w:t>has the ability to</w:t>
      </w:r>
      <w:proofErr w:type="gramEnd"/>
      <w:r w:rsidRPr="009A7818">
        <w:rPr>
          <w:rFonts w:ascii="Times New Roman" w:hAnsi="Times New Roman" w:cs="Times New Roman"/>
        </w:rPr>
        <w:t xml:space="preserve"> impact on or be impacted by project goals (Freeman, 1984). The main stakeholders comprised of disadvantaged young people, emerging local artists, sponsors/donors, local councils, schools, youth organisations, charities, volunteers, mentors, venue providers, local businesses and local community members. It was important to identify them so we can put money into the project, get some referrals, venues, attendance and community trust.</w:t>
      </w:r>
    </w:p>
    <w:p w14:paraId="74F5C3A2"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The power-interest grid was used to help prioritise engagement. Stakeholder mapping is useful to determine which stakeholders must be engaged closely, must be satisfied, must be informed or monitored (Eden and Ackermann, 1998). Project team members and sponsors/donors were in “manage closely” as they were high interest and high influence. Local Councils were put in “keep satisfied”. Youth, local artists, youth organisations and volunteers were put into “keep informed”. This was helpful, but it could have provided an underestimation of the involvement of young people as a social value of ArtBridge is that this is key.</w:t>
      </w:r>
    </w:p>
    <w:p w14:paraId="135F1EF5"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 xml:space="preserve">The communication plan was a match between stakeholders and communication methods. It was proposed that sponsors and donors would receive monthly e-mails or meetings as funders want to be updated on progress and evidence of the use of their money responsibly (Andreasen and Kotler, 2008). The weekly communication was to be done via WhatsApp, shared </w:t>
      </w:r>
      <w:r w:rsidRPr="009A7818">
        <w:rPr>
          <w:rFonts w:ascii="Times New Roman" w:hAnsi="Times New Roman" w:cs="Times New Roman"/>
        </w:rPr>
        <w:lastRenderedPageBreak/>
        <w:t xml:space="preserve">documents and meetings which facilitate the teamwork (Belbin, 2010). To reach youth ages 18-34 and the community, social media and posters were to be used. This was appropriate for </w:t>
      </w:r>
      <w:proofErr w:type="gramStart"/>
      <w:r w:rsidRPr="009A7818">
        <w:rPr>
          <w:rFonts w:ascii="Times New Roman" w:hAnsi="Times New Roman" w:cs="Times New Roman"/>
        </w:rPr>
        <w:t>promotion</w:t>
      </w:r>
      <w:proofErr w:type="gramEnd"/>
      <w:r w:rsidRPr="009A7818">
        <w:rPr>
          <w:rFonts w:ascii="Times New Roman" w:hAnsi="Times New Roman" w:cs="Times New Roman"/>
        </w:rPr>
        <w:t xml:space="preserve"> but the plan was aimed at too much information and not enough involvement.</w:t>
      </w:r>
    </w:p>
    <w:p w14:paraId="43334F48"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 xml:space="preserve">One </w:t>
      </w:r>
      <w:proofErr w:type="gramStart"/>
      <w:r w:rsidRPr="009A7818">
        <w:rPr>
          <w:rFonts w:ascii="Times New Roman" w:hAnsi="Times New Roman" w:cs="Times New Roman"/>
        </w:rPr>
        <w:t>particular failing</w:t>
      </w:r>
      <w:proofErr w:type="gramEnd"/>
      <w:r w:rsidRPr="009A7818">
        <w:rPr>
          <w:rFonts w:ascii="Times New Roman" w:hAnsi="Times New Roman" w:cs="Times New Roman"/>
        </w:rPr>
        <w:t xml:space="preserve"> was that co-design was not </w:t>
      </w:r>
      <w:proofErr w:type="gramStart"/>
      <w:r w:rsidRPr="009A7818">
        <w:rPr>
          <w:rFonts w:ascii="Times New Roman" w:hAnsi="Times New Roman" w:cs="Times New Roman"/>
        </w:rPr>
        <w:t>clearly evident</w:t>
      </w:r>
      <w:proofErr w:type="gramEnd"/>
      <w:r w:rsidRPr="009A7818">
        <w:rPr>
          <w:rFonts w:ascii="Times New Roman" w:hAnsi="Times New Roman" w:cs="Times New Roman"/>
        </w:rPr>
        <w:t xml:space="preserve">. When users have some input in shaping the service, it makes the community project more solid as participation makes the service more relevant and valuable (Clegg, </w:t>
      </w:r>
      <w:proofErr w:type="spellStart"/>
      <w:r w:rsidRPr="009A7818">
        <w:rPr>
          <w:rFonts w:ascii="Times New Roman" w:hAnsi="Times New Roman" w:cs="Times New Roman"/>
        </w:rPr>
        <w:t>Skyttermoen</w:t>
      </w:r>
      <w:proofErr w:type="spellEnd"/>
      <w:r w:rsidRPr="009A7818">
        <w:rPr>
          <w:rFonts w:ascii="Times New Roman" w:hAnsi="Times New Roman" w:cs="Times New Roman"/>
        </w:rPr>
        <w:t xml:space="preserve"> and </w:t>
      </w:r>
      <w:proofErr w:type="spellStart"/>
      <w:r w:rsidRPr="009A7818">
        <w:rPr>
          <w:rFonts w:ascii="Times New Roman" w:hAnsi="Times New Roman" w:cs="Times New Roman"/>
        </w:rPr>
        <w:t>Vaagasaar</w:t>
      </w:r>
      <w:proofErr w:type="spellEnd"/>
      <w:r w:rsidRPr="009A7818">
        <w:rPr>
          <w:rFonts w:ascii="Times New Roman" w:hAnsi="Times New Roman" w:cs="Times New Roman"/>
        </w:rPr>
        <w:t xml:space="preserve">, 2021). It is important to engage young people to find out what workshop content they are interested in, what access they might require and what times or barriers might stop them attending. Additionally, emerging artists need to be involved in developing exhibitions. This would lessen low turnout </w:t>
      </w:r>
      <w:proofErr w:type="gramStart"/>
      <w:r w:rsidRPr="009A7818">
        <w:rPr>
          <w:rFonts w:ascii="Times New Roman" w:hAnsi="Times New Roman" w:cs="Times New Roman"/>
        </w:rPr>
        <w:t>risk</w:t>
      </w:r>
      <w:proofErr w:type="gramEnd"/>
      <w:r w:rsidRPr="009A7818">
        <w:rPr>
          <w:rFonts w:ascii="Times New Roman" w:hAnsi="Times New Roman" w:cs="Times New Roman"/>
        </w:rPr>
        <w:t xml:space="preserve"> and communication would be more inclusive.</w:t>
      </w:r>
    </w:p>
    <w:p w14:paraId="2275526D" w14:textId="77777777" w:rsidR="00FF6D58" w:rsidRPr="009A7818" w:rsidRDefault="00FF6D58" w:rsidP="00FF6D58">
      <w:pPr>
        <w:pStyle w:val="Heading1"/>
        <w:spacing w:line="360" w:lineRule="auto"/>
        <w:jc w:val="both"/>
        <w:rPr>
          <w:rFonts w:ascii="Times New Roman" w:hAnsi="Times New Roman" w:cs="Times New Roman"/>
          <w:sz w:val="24"/>
          <w:szCs w:val="24"/>
        </w:rPr>
      </w:pPr>
      <w:bookmarkStart w:id="5" w:name="_Toc234145870"/>
      <w:r w:rsidRPr="009A7818">
        <w:rPr>
          <w:rFonts w:ascii="Times New Roman" w:hAnsi="Times New Roman" w:cs="Times New Roman"/>
          <w:sz w:val="24"/>
          <w:szCs w:val="24"/>
        </w:rPr>
        <w:t>3. Conclusion</w:t>
      </w:r>
      <w:bookmarkEnd w:id="5"/>
    </w:p>
    <w:p w14:paraId="09E7EE33"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ArtBridge was overall well planned and realistic. The parts that were best were aim, scope statement, WBS, mapping of stakeholders and allocation of tasks. These tools assisted the group in narrowing down a general idea into a 12-month pilot initiative that can be managed. Time, cost and quality were also taken into consideration in the project, as part of the iron triangle (Atkinson, 1999), and the project also recognised that social value and participation are also important measures of success (Müller and Turner, 2007).</w:t>
      </w:r>
    </w:p>
    <w:p w14:paraId="21A9E2C3"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 xml:space="preserve">But some tools were more powerful than others. A clear scope and WBS was used as it illustrated the outcomes of the project and how the work was going to be broken down (Lock, 2013). Weaknesses were the budget, Gantt chart, risk plan, and stakeholder communication. Additional evidence, detail and monitoring is required in these. That's why the team needs to make sure that the pilot is kept focused, financial planning needs to be strengthened, and risks need to be managed </w:t>
      </w:r>
      <w:proofErr w:type="gramStart"/>
      <w:r w:rsidRPr="009A7818">
        <w:rPr>
          <w:rFonts w:ascii="Times New Roman" w:hAnsi="Times New Roman" w:cs="Times New Roman"/>
        </w:rPr>
        <w:t>continuously</w:t>
      </w:r>
      <w:proofErr w:type="gramEnd"/>
      <w:r w:rsidRPr="009A7818">
        <w:rPr>
          <w:rFonts w:ascii="Times New Roman" w:hAnsi="Times New Roman" w:cs="Times New Roman"/>
        </w:rPr>
        <w:t xml:space="preserve"> and stakeholders need to be involved directly, for ArtBridge to become a reality.</w:t>
      </w:r>
    </w:p>
    <w:p w14:paraId="0D6D0A37" w14:textId="77777777" w:rsidR="00FF6D58" w:rsidRPr="009A7818" w:rsidRDefault="00FF6D58" w:rsidP="00FF6D58">
      <w:pPr>
        <w:pStyle w:val="Heading1"/>
        <w:spacing w:line="360" w:lineRule="auto"/>
        <w:jc w:val="both"/>
        <w:rPr>
          <w:rStyle w:val="Heading1Char"/>
          <w:rFonts w:ascii="Times New Roman" w:hAnsi="Times New Roman" w:cs="Times New Roman"/>
          <w:sz w:val="24"/>
          <w:szCs w:val="24"/>
        </w:rPr>
      </w:pPr>
      <w:bookmarkStart w:id="6" w:name="_Toc234145871"/>
      <w:r w:rsidRPr="009A7818">
        <w:rPr>
          <w:rFonts w:ascii="Times New Roman" w:hAnsi="Times New Roman" w:cs="Times New Roman"/>
          <w:sz w:val="24"/>
          <w:szCs w:val="24"/>
        </w:rPr>
        <w:t>4. Future Improvement Recommendations</w:t>
      </w:r>
      <w:bookmarkEnd w:id="6"/>
    </w:p>
    <w:p w14:paraId="2B2D9C60"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 xml:space="preserve">The first improvement is to render the budget more convincing. Weak cost planning undermines project credibility, making sure there is an explanation as to why a particular cost is necessary and how it was estimated for each major cost (Kerzner, 2017). Quotes or realistic comparisons should be used for venue hire, facilitators' fees and materials. The funding plan should also define the why sponsors or donors would find it helpful to support ArtBridge, since </w:t>
      </w:r>
      <w:r w:rsidRPr="009A7818">
        <w:rPr>
          <w:rFonts w:ascii="Times New Roman" w:hAnsi="Times New Roman" w:cs="Times New Roman"/>
        </w:rPr>
        <w:lastRenderedPageBreak/>
        <w:t>income planning should be connected to value to the stakeholders (Andreasen and Kotler, 2008).</w:t>
      </w:r>
    </w:p>
    <w:p w14:paraId="0FD4D1CA"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The next change is to make a more detailed Gantt chart. The schedule should have specific dates, specific owners of tasks, specific task relationships and contingencies due to greater project control when using detailed scheduling (Project Management Institute, 2021). This is important as funding, partnerships and venues need to be identified prior to workshops and events taking place.</w:t>
      </w:r>
    </w:p>
    <w:p w14:paraId="7280EDB9"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The third is enhanced risk planning. Risk management should involve active monitoring, not just identification (Hillson, 2009) and there should be an owner, warning signs and a response plan for each major risk. Finally, ArtBridge should enhance the stakeholder co-design by engaging young people, artists and partners in the design process before finalizing activities. This would increase the relevance, accessibility and engagement as stakeholder involvement would assist in their project value (Freeman, 1984).</w:t>
      </w:r>
    </w:p>
    <w:p w14:paraId="572CCD03" w14:textId="77777777" w:rsidR="00FF6D58" w:rsidRPr="009A7818" w:rsidRDefault="00FF6D58" w:rsidP="00FF6D58">
      <w:pPr>
        <w:spacing w:line="360" w:lineRule="auto"/>
        <w:jc w:val="both"/>
        <w:rPr>
          <w:rFonts w:ascii="Times New Roman" w:hAnsi="Times New Roman" w:cs="Times New Roman"/>
        </w:rPr>
      </w:pPr>
    </w:p>
    <w:p w14:paraId="6CC1E133" w14:textId="77777777" w:rsidR="00FF6D58" w:rsidRPr="009A7818" w:rsidRDefault="00FF6D58" w:rsidP="00FF6D58">
      <w:pPr>
        <w:pStyle w:val="Heading1"/>
        <w:spacing w:line="360" w:lineRule="auto"/>
        <w:jc w:val="both"/>
        <w:rPr>
          <w:rFonts w:ascii="Times New Roman" w:hAnsi="Times New Roman" w:cs="Times New Roman"/>
          <w:sz w:val="24"/>
          <w:szCs w:val="24"/>
        </w:rPr>
      </w:pPr>
      <w:bookmarkStart w:id="7" w:name="_Toc234145872"/>
      <w:r w:rsidRPr="009A7818">
        <w:rPr>
          <w:rFonts w:ascii="Times New Roman" w:hAnsi="Times New Roman" w:cs="Times New Roman"/>
          <w:sz w:val="24"/>
          <w:szCs w:val="24"/>
        </w:rPr>
        <w:t>References</w:t>
      </w:r>
      <w:bookmarkEnd w:id="7"/>
    </w:p>
    <w:p w14:paraId="64E95E0E"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 xml:space="preserve">Andreasen, A.R. and Kotler, P. (2008) </w:t>
      </w:r>
      <w:r w:rsidRPr="009A7818">
        <w:rPr>
          <w:rFonts w:ascii="Times New Roman" w:hAnsi="Times New Roman" w:cs="Times New Roman"/>
          <w:i/>
          <w:iCs/>
        </w:rPr>
        <w:t>Strategic Marketing for Nonprofit Organizations</w:t>
      </w:r>
      <w:r w:rsidRPr="009A7818">
        <w:rPr>
          <w:rFonts w:ascii="Times New Roman" w:hAnsi="Times New Roman" w:cs="Times New Roman"/>
        </w:rPr>
        <w:t xml:space="preserve">. 7th </w:t>
      </w:r>
      <w:proofErr w:type="spellStart"/>
      <w:r w:rsidRPr="009A7818">
        <w:rPr>
          <w:rFonts w:ascii="Times New Roman" w:hAnsi="Times New Roman" w:cs="Times New Roman"/>
        </w:rPr>
        <w:t>edn</w:t>
      </w:r>
      <w:proofErr w:type="spellEnd"/>
      <w:r w:rsidRPr="009A7818">
        <w:rPr>
          <w:rFonts w:ascii="Times New Roman" w:hAnsi="Times New Roman" w:cs="Times New Roman"/>
        </w:rPr>
        <w:t>. Upper Saddle River: Pearson Prentice Hall.</w:t>
      </w:r>
    </w:p>
    <w:p w14:paraId="67CA3B17"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 xml:space="preserve">Atkinson, R. (1999) ‘Project management: cost, time and quality, two best guesses and a phenomenon, </w:t>
      </w:r>
      <w:proofErr w:type="spellStart"/>
      <w:r w:rsidRPr="009A7818">
        <w:rPr>
          <w:rFonts w:ascii="Times New Roman" w:hAnsi="Times New Roman" w:cs="Times New Roman"/>
        </w:rPr>
        <w:t>its</w:t>
      </w:r>
      <w:proofErr w:type="spellEnd"/>
      <w:r w:rsidRPr="009A7818">
        <w:rPr>
          <w:rFonts w:ascii="Times New Roman" w:hAnsi="Times New Roman" w:cs="Times New Roman"/>
        </w:rPr>
        <w:t xml:space="preserve"> time to accept other success criteria’, </w:t>
      </w:r>
      <w:r w:rsidRPr="009A7818">
        <w:rPr>
          <w:rFonts w:ascii="Times New Roman" w:hAnsi="Times New Roman" w:cs="Times New Roman"/>
          <w:i/>
          <w:iCs/>
        </w:rPr>
        <w:t>International Journal of Project Management</w:t>
      </w:r>
      <w:r w:rsidRPr="009A7818">
        <w:rPr>
          <w:rFonts w:ascii="Times New Roman" w:hAnsi="Times New Roman" w:cs="Times New Roman"/>
        </w:rPr>
        <w:t>, 17(6), pp. 337–342.</w:t>
      </w:r>
    </w:p>
    <w:p w14:paraId="5449D2CC"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 xml:space="preserve">Belbin, R.M. (2010) </w:t>
      </w:r>
      <w:r w:rsidRPr="009A7818">
        <w:rPr>
          <w:rFonts w:ascii="Times New Roman" w:hAnsi="Times New Roman" w:cs="Times New Roman"/>
          <w:i/>
          <w:iCs/>
        </w:rPr>
        <w:t>Team Roles at Work</w:t>
      </w:r>
      <w:r w:rsidRPr="009A7818">
        <w:rPr>
          <w:rFonts w:ascii="Times New Roman" w:hAnsi="Times New Roman" w:cs="Times New Roman"/>
        </w:rPr>
        <w:t xml:space="preserve">. 2nd </w:t>
      </w:r>
      <w:proofErr w:type="spellStart"/>
      <w:r w:rsidRPr="009A7818">
        <w:rPr>
          <w:rFonts w:ascii="Times New Roman" w:hAnsi="Times New Roman" w:cs="Times New Roman"/>
        </w:rPr>
        <w:t>edn</w:t>
      </w:r>
      <w:proofErr w:type="spellEnd"/>
      <w:r w:rsidRPr="009A7818">
        <w:rPr>
          <w:rFonts w:ascii="Times New Roman" w:hAnsi="Times New Roman" w:cs="Times New Roman"/>
        </w:rPr>
        <w:t>. Oxford: Butterworth-Heinemann.</w:t>
      </w:r>
    </w:p>
    <w:p w14:paraId="2F28B619"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 xml:space="preserve">Clegg, S., </w:t>
      </w:r>
      <w:proofErr w:type="spellStart"/>
      <w:r w:rsidRPr="009A7818">
        <w:rPr>
          <w:rFonts w:ascii="Times New Roman" w:hAnsi="Times New Roman" w:cs="Times New Roman"/>
        </w:rPr>
        <w:t>Skyttermoen</w:t>
      </w:r>
      <w:proofErr w:type="spellEnd"/>
      <w:r w:rsidRPr="009A7818">
        <w:rPr>
          <w:rFonts w:ascii="Times New Roman" w:hAnsi="Times New Roman" w:cs="Times New Roman"/>
        </w:rPr>
        <w:t xml:space="preserve">, T. and </w:t>
      </w:r>
      <w:proofErr w:type="spellStart"/>
      <w:r w:rsidRPr="009A7818">
        <w:rPr>
          <w:rFonts w:ascii="Times New Roman" w:hAnsi="Times New Roman" w:cs="Times New Roman"/>
        </w:rPr>
        <w:t>Vaagaasar</w:t>
      </w:r>
      <w:proofErr w:type="spellEnd"/>
      <w:r w:rsidRPr="009A7818">
        <w:rPr>
          <w:rFonts w:ascii="Times New Roman" w:hAnsi="Times New Roman" w:cs="Times New Roman"/>
        </w:rPr>
        <w:t xml:space="preserve">, A.L. (2021) </w:t>
      </w:r>
      <w:r w:rsidRPr="009A7818">
        <w:rPr>
          <w:rFonts w:ascii="Times New Roman" w:hAnsi="Times New Roman" w:cs="Times New Roman"/>
          <w:i/>
          <w:iCs/>
        </w:rPr>
        <w:t>Project Management: A Value Creation Approach</w:t>
      </w:r>
      <w:r w:rsidRPr="009A7818">
        <w:rPr>
          <w:rFonts w:ascii="Times New Roman" w:hAnsi="Times New Roman" w:cs="Times New Roman"/>
        </w:rPr>
        <w:t>. London: Sage.</w:t>
      </w:r>
    </w:p>
    <w:p w14:paraId="47DEBCB1"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 xml:space="preserve">Dees, J.G. (1998) </w:t>
      </w:r>
      <w:r w:rsidRPr="009A7818">
        <w:rPr>
          <w:rFonts w:ascii="Times New Roman" w:hAnsi="Times New Roman" w:cs="Times New Roman"/>
          <w:i/>
          <w:iCs/>
        </w:rPr>
        <w:t>The Meaning of Social Entrepreneurship</w:t>
      </w:r>
      <w:r w:rsidRPr="009A7818">
        <w:rPr>
          <w:rFonts w:ascii="Times New Roman" w:hAnsi="Times New Roman" w:cs="Times New Roman"/>
        </w:rPr>
        <w:t xml:space="preserve">. Kansas City: Kauffman </w:t>
      </w:r>
      <w:proofErr w:type="spellStart"/>
      <w:r w:rsidRPr="009A7818">
        <w:rPr>
          <w:rFonts w:ascii="Times New Roman" w:hAnsi="Times New Roman" w:cs="Times New Roman"/>
        </w:rPr>
        <w:t>Center</w:t>
      </w:r>
      <w:proofErr w:type="spellEnd"/>
      <w:r w:rsidRPr="009A7818">
        <w:rPr>
          <w:rFonts w:ascii="Times New Roman" w:hAnsi="Times New Roman" w:cs="Times New Roman"/>
        </w:rPr>
        <w:t xml:space="preserve"> for Entrepreneurial Leadership.</w:t>
      </w:r>
    </w:p>
    <w:p w14:paraId="46F9A373" w14:textId="77777777" w:rsidR="00FF6D58" w:rsidRPr="009A7818" w:rsidRDefault="00FF6D58" w:rsidP="00FF6D58">
      <w:pPr>
        <w:spacing w:line="360" w:lineRule="auto"/>
        <w:jc w:val="both"/>
        <w:rPr>
          <w:rFonts w:ascii="Times New Roman" w:hAnsi="Times New Roman" w:cs="Times New Roman"/>
        </w:rPr>
      </w:pPr>
      <w:proofErr w:type="spellStart"/>
      <w:r w:rsidRPr="009A7818">
        <w:rPr>
          <w:rFonts w:ascii="Times New Roman" w:hAnsi="Times New Roman" w:cs="Times New Roman"/>
        </w:rPr>
        <w:t>Defourny</w:t>
      </w:r>
      <w:proofErr w:type="spellEnd"/>
      <w:r w:rsidRPr="009A7818">
        <w:rPr>
          <w:rFonts w:ascii="Times New Roman" w:hAnsi="Times New Roman" w:cs="Times New Roman"/>
        </w:rPr>
        <w:t xml:space="preserve">, J. and Nyssens, M. (2010) ‘Conceptions of social enterprise and social entrepreneurship in Europe and the United States’, </w:t>
      </w:r>
      <w:r w:rsidRPr="009A7818">
        <w:rPr>
          <w:rFonts w:ascii="Times New Roman" w:hAnsi="Times New Roman" w:cs="Times New Roman"/>
          <w:i/>
          <w:iCs/>
        </w:rPr>
        <w:t>Journal of Social Entrepreneurship</w:t>
      </w:r>
      <w:r w:rsidRPr="009A7818">
        <w:rPr>
          <w:rFonts w:ascii="Times New Roman" w:hAnsi="Times New Roman" w:cs="Times New Roman"/>
        </w:rPr>
        <w:t>, 1(1), pp. 32–53.</w:t>
      </w:r>
    </w:p>
    <w:p w14:paraId="720041C0"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lastRenderedPageBreak/>
        <w:t xml:space="preserve">Eden, C. and Ackermann, F. (1998) </w:t>
      </w:r>
      <w:r w:rsidRPr="009A7818">
        <w:rPr>
          <w:rFonts w:ascii="Times New Roman" w:hAnsi="Times New Roman" w:cs="Times New Roman"/>
          <w:i/>
          <w:iCs/>
        </w:rPr>
        <w:t>Making Strategy: The Journey of Strategic Management</w:t>
      </w:r>
      <w:r w:rsidRPr="009A7818">
        <w:rPr>
          <w:rFonts w:ascii="Times New Roman" w:hAnsi="Times New Roman" w:cs="Times New Roman"/>
        </w:rPr>
        <w:t>. London: Sage.</w:t>
      </w:r>
    </w:p>
    <w:p w14:paraId="0EE74DD3"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 xml:space="preserve">Freeman, R.E. (1984) </w:t>
      </w:r>
      <w:r w:rsidRPr="009A7818">
        <w:rPr>
          <w:rFonts w:ascii="Times New Roman" w:hAnsi="Times New Roman" w:cs="Times New Roman"/>
          <w:i/>
          <w:iCs/>
        </w:rPr>
        <w:t>Strategic Management: A Stakeholder Approach</w:t>
      </w:r>
      <w:r w:rsidRPr="009A7818">
        <w:rPr>
          <w:rFonts w:ascii="Times New Roman" w:hAnsi="Times New Roman" w:cs="Times New Roman"/>
        </w:rPr>
        <w:t>. Boston: Pitman.</w:t>
      </w:r>
    </w:p>
    <w:p w14:paraId="5AA160DB"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 xml:space="preserve">Heagney, J. (2022) </w:t>
      </w:r>
      <w:r w:rsidRPr="009A7818">
        <w:rPr>
          <w:rFonts w:ascii="Times New Roman" w:hAnsi="Times New Roman" w:cs="Times New Roman"/>
          <w:i/>
          <w:iCs/>
        </w:rPr>
        <w:t>Fundamentals of Project Management</w:t>
      </w:r>
      <w:r w:rsidRPr="009A7818">
        <w:rPr>
          <w:rFonts w:ascii="Times New Roman" w:hAnsi="Times New Roman" w:cs="Times New Roman"/>
        </w:rPr>
        <w:t xml:space="preserve">. 6th </w:t>
      </w:r>
      <w:proofErr w:type="spellStart"/>
      <w:r w:rsidRPr="009A7818">
        <w:rPr>
          <w:rFonts w:ascii="Times New Roman" w:hAnsi="Times New Roman" w:cs="Times New Roman"/>
        </w:rPr>
        <w:t>edn</w:t>
      </w:r>
      <w:proofErr w:type="spellEnd"/>
      <w:r w:rsidRPr="009A7818">
        <w:rPr>
          <w:rFonts w:ascii="Times New Roman" w:hAnsi="Times New Roman" w:cs="Times New Roman"/>
        </w:rPr>
        <w:t>. New York: AMACOM.</w:t>
      </w:r>
    </w:p>
    <w:p w14:paraId="7C0D9D27"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 xml:space="preserve">Helms, M.M. and Nixon, J. (2010) ‘Exploring SWOT analysis – where are we now?’, </w:t>
      </w:r>
      <w:r w:rsidRPr="009A7818">
        <w:rPr>
          <w:rFonts w:ascii="Times New Roman" w:hAnsi="Times New Roman" w:cs="Times New Roman"/>
          <w:i/>
          <w:iCs/>
        </w:rPr>
        <w:t>Journal of Strategy and Management</w:t>
      </w:r>
      <w:r w:rsidRPr="009A7818">
        <w:rPr>
          <w:rFonts w:ascii="Times New Roman" w:hAnsi="Times New Roman" w:cs="Times New Roman"/>
        </w:rPr>
        <w:t>, 3(3), pp. 215–251.</w:t>
      </w:r>
    </w:p>
    <w:p w14:paraId="3152DB14"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 xml:space="preserve">Hillson, D. (2009) </w:t>
      </w:r>
      <w:r w:rsidRPr="009A7818">
        <w:rPr>
          <w:rFonts w:ascii="Times New Roman" w:hAnsi="Times New Roman" w:cs="Times New Roman"/>
          <w:i/>
          <w:iCs/>
        </w:rPr>
        <w:t>Managing Risk in Projects</w:t>
      </w:r>
      <w:r w:rsidRPr="009A7818">
        <w:rPr>
          <w:rFonts w:ascii="Times New Roman" w:hAnsi="Times New Roman" w:cs="Times New Roman"/>
        </w:rPr>
        <w:t>. Farnham: Gower.</w:t>
      </w:r>
    </w:p>
    <w:p w14:paraId="52AB561F"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 xml:space="preserve">Kerzner, H. (2017) </w:t>
      </w:r>
      <w:r w:rsidRPr="009A7818">
        <w:rPr>
          <w:rFonts w:ascii="Times New Roman" w:hAnsi="Times New Roman" w:cs="Times New Roman"/>
          <w:i/>
          <w:iCs/>
        </w:rPr>
        <w:t>Project Management: A Systems Approach to Planning, Scheduling, and Controlling</w:t>
      </w:r>
      <w:r w:rsidRPr="009A7818">
        <w:rPr>
          <w:rFonts w:ascii="Times New Roman" w:hAnsi="Times New Roman" w:cs="Times New Roman"/>
        </w:rPr>
        <w:t xml:space="preserve">. 12th </w:t>
      </w:r>
      <w:proofErr w:type="spellStart"/>
      <w:r w:rsidRPr="009A7818">
        <w:rPr>
          <w:rFonts w:ascii="Times New Roman" w:hAnsi="Times New Roman" w:cs="Times New Roman"/>
        </w:rPr>
        <w:t>edn</w:t>
      </w:r>
      <w:proofErr w:type="spellEnd"/>
      <w:r w:rsidRPr="009A7818">
        <w:rPr>
          <w:rFonts w:ascii="Times New Roman" w:hAnsi="Times New Roman" w:cs="Times New Roman"/>
        </w:rPr>
        <w:t>. Hoboken: Wiley.</w:t>
      </w:r>
    </w:p>
    <w:p w14:paraId="1213C486"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 xml:space="preserve">Lock, D. (2013) </w:t>
      </w:r>
      <w:r w:rsidRPr="009A7818">
        <w:rPr>
          <w:rFonts w:ascii="Times New Roman" w:hAnsi="Times New Roman" w:cs="Times New Roman"/>
          <w:i/>
          <w:iCs/>
        </w:rPr>
        <w:t>Project Management</w:t>
      </w:r>
      <w:r w:rsidRPr="009A7818">
        <w:rPr>
          <w:rFonts w:ascii="Times New Roman" w:hAnsi="Times New Roman" w:cs="Times New Roman"/>
        </w:rPr>
        <w:t xml:space="preserve">. 10th </w:t>
      </w:r>
      <w:proofErr w:type="spellStart"/>
      <w:r w:rsidRPr="009A7818">
        <w:rPr>
          <w:rFonts w:ascii="Times New Roman" w:hAnsi="Times New Roman" w:cs="Times New Roman"/>
        </w:rPr>
        <w:t>edn</w:t>
      </w:r>
      <w:proofErr w:type="spellEnd"/>
      <w:r w:rsidRPr="009A7818">
        <w:rPr>
          <w:rFonts w:ascii="Times New Roman" w:hAnsi="Times New Roman" w:cs="Times New Roman"/>
        </w:rPr>
        <w:t>. Farnham: Gower.</w:t>
      </w:r>
    </w:p>
    <w:p w14:paraId="1B66F351"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 xml:space="preserve">Meredith, J.R., Mantel, S.J. and Shafer, S.M. (2021) </w:t>
      </w:r>
      <w:r w:rsidRPr="009A7818">
        <w:rPr>
          <w:rFonts w:ascii="Times New Roman" w:hAnsi="Times New Roman" w:cs="Times New Roman"/>
          <w:i/>
          <w:iCs/>
        </w:rPr>
        <w:t>Project Management: A Managerial Approach</w:t>
      </w:r>
      <w:r w:rsidRPr="009A7818">
        <w:rPr>
          <w:rFonts w:ascii="Times New Roman" w:hAnsi="Times New Roman" w:cs="Times New Roman"/>
        </w:rPr>
        <w:t xml:space="preserve">. 11th </w:t>
      </w:r>
      <w:proofErr w:type="spellStart"/>
      <w:r w:rsidRPr="009A7818">
        <w:rPr>
          <w:rFonts w:ascii="Times New Roman" w:hAnsi="Times New Roman" w:cs="Times New Roman"/>
        </w:rPr>
        <w:t>edn</w:t>
      </w:r>
      <w:proofErr w:type="spellEnd"/>
      <w:r w:rsidRPr="009A7818">
        <w:rPr>
          <w:rFonts w:ascii="Times New Roman" w:hAnsi="Times New Roman" w:cs="Times New Roman"/>
        </w:rPr>
        <w:t>. Hoboken: Wiley.</w:t>
      </w:r>
    </w:p>
    <w:p w14:paraId="57912B76"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 xml:space="preserve">Müller, R. and Turner, R. (2007) ‘The influence of project managers on project success criteria and project success by type of project’, </w:t>
      </w:r>
      <w:r w:rsidRPr="009A7818">
        <w:rPr>
          <w:rFonts w:ascii="Times New Roman" w:hAnsi="Times New Roman" w:cs="Times New Roman"/>
          <w:i/>
          <w:iCs/>
        </w:rPr>
        <w:t>European Management Journal</w:t>
      </w:r>
      <w:r w:rsidRPr="009A7818">
        <w:rPr>
          <w:rFonts w:ascii="Times New Roman" w:hAnsi="Times New Roman" w:cs="Times New Roman"/>
        </w:rPr>
        <w:t>, 25(4), pp. 298–309.</w:t>
      </w:r>
    </w:p>
    <w:p w14:paraId="773D412E"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 xml:space="preserve">Project Management Institute (2021) </w:t>
      </w:r>
      <w:r w:rsidRPr="009A7818">
        <w:rPr>
          <w:rFonts w:ascii="Times New Roman" w:hAnsi="Times New Roman" w:cs="Times New Roman"/>
          <w:i/>
          <w:iCs/>
        </w:rPr>
        <w:t>A Guide to the Project Management Body of Knowledge: PMBOK Guide</w:t>
      </w:r>
      <w:r w:rsidRPr="009A7818">
        <w:rPr>
          <w:rFonts w:ascii="Times New Roman" w:hAnsi="Times New Roman" w:cs="Times New Roman"/>
        </w:rPr>
        <w:t xml:space="preserve">. 7th </w:t>
      </w:r>
      <w:proofErr w:type="spellStart"/>
      <w:r w:rsidRPr="009A7818">
        <w:rPr>
          <w:rFonts w:ascii="Times New Roman" w:hAnsi="Times New Roman" w:cs="Times New Roman"/>
        </w:rPr>
        <w:t>edn</w:t>
      </w:r>
      <w:proofErr w:type="spellEnd"/>
      <w:r w:rsidRPr="009A7818">
        <w:rPr>
          <w:rFonts w:ascii="Times New Roman" w:hAnsi="Times New Roman" w:cs="Times New Roman"/>
        </w:rPr>
        <w:t>. Newtown Square: Project Management Institute.</w:t>
      </w:r>
    </w:p>
    <w:p w14:paraId="03FA7075"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 xml:space="preserve">Reiss, G. (2007) </w:t>
      </w:r>
      <w:r w:rsidRPr="009A7818">
        <w:rPr>
          <w:rFonts w:ascii="Times New Roman" w:hAnsi="Times New Roman" w:cs="Times New Roman"/>
          <w:i/>
          <w:iCs/>
        </w:rPr>
        <w:t>Project Management Demystified</w:t>
      </w:r>
      <w:r w:rsidRPr="009A7818">
        <w:rPr>
          <w:rFonts w:ascii="Times New Roman" w:hAnsi="Times New Roman" w:cs="Times New Roman"/>
        </w:rPr>
        <w:t xml:space="preserve">. 3rd </w:t>
      </w:r>
      <w:proofErr w:type="spellStart"/>
      <w:r w:rsidRPr="009A7818">
        <w:rPr>
          <w:rFonts w:ascii="Times New Roman" w:hAnsi="Times New Roman" w:cs="Times New Roman"/>
        </w:rPr>
        <w:t>edn</w:t>
      </w:r>
      <w:proofErr w:type="spellEnd"/>
      <w:r w:rsidRPr="009A7818">
        <w:rPr>
          <w:rFonts w:ascii="Times New Roman" w:hAnsi="Times New Roman" w:cs="Times New Roman"/>
        </w:rPr>
        <w:t>. London: Taylor &amp; Francis.</w:t>
      </w:r>
    </w:p>
    <w:p w14:paraId="39B8FDF7"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 xml:space="preserve">Tuckman, B.W. (1965) ‘Developmental sequence in small groups’, </w:t>
      </w:r>
      <w:r w:rsidRPr="009A7818">
        <w:rPr>
          <w:rFonts w:ascii="Times New Roman" w:hAnsi="Times New Roman" w:cs="Times New Roman"/>
          <w:i/>
          <w:iCs/>
        </w:rPr>
        <w:t>Psychological Bulletin</w:t>
      </w:r>
      <w:r w:rsidRPr="009A7818">
        <w:rPr>
          <w:rFonts w:ascii="Times New Roman" w:hAnsi="Times New Roman" w:cs="Times New Roman"/>
        </w:rPr>
        <w:t>, 63(6), pp. 384–399.</w:t>
      </w:r>
    </w:p>
    <w:p w14:paraId="08F3AED2" w14:textId="77777777" w:rsidR="00FF6D58" w:rsidRPr="009A7818" w:rsidRDefault="00FF6D58" w:rsidP="00FF6D58">
      <w:pPr>
        <w:spacing w:line="360" w:lineRule="auto"/>
        <w:jc w:val="both"/>
        <w:rPr>
          <w:rFonts w:ascii="Times New Roman" w:hAnsi="Times New Roman" w:cs="Times New Roman"/>
        </w:rPr>
      </w:pPr>
      <w:r w:rsidRPr="009A7818">
        <w:rPr>
          <w:rFonts w:ascii="Times New Roman" w:hAnsi="Times New Roman" w:cs="Times New Roman"/>
        </w:rPr>
        <w:t xml:space="preserve">Wysocki, R.K. (2019) </w:t>
      </w:r>
      <w:r w:rsidRPr="009A7818">
        <w:rPr>
          <w:rFonts w:ascii="Times New Roman" w:hAnsi="Times New Roman" w:cs="Times New Roman"/>
          <w:i/>
          <w:iCs/>
        </w:rPr>
        <w:t>Effective Project Management: Traditional, Agile, Extreme, Hybrid</w:t>
      </w:r>
      <w:r w:rsidRPr="009A7818">
        <w:rPr>
          <w:rFonts w:ascii="Times New Roman" w:hAnsi="Times New Roman" w:cs="Times New Roman"/>
        </w:rPr>
        <w:t xml:space="preserve">. 8th </w:t>
      </w:r>
      <w:proofErr w:type="spellStart"/>
      <w:r w:rsidRPr="009A7818">
        <w:rPr>
          <w:rFonts w:ascii="Times New Roman" w:hAnsi="Times New Roman" w:cs="Times New Roman"/>
        </w:rPr>
        <w:t>edn</w:t>
      </w:r>
      <w:proofErr w:type="spellEnd"/>
      <w:r w:rsidRPr="009A7818">
        <w:rPr>
          <w:rFonts w:ascii="Times New Roman" w:hAnsi="Times New Roman" w:cs="Times New Roman"/>
        </w:rPr>
        <w:t>. Indianapolis: Wiley.</w:t>
      </w:r>
    </w:p>
    <w:p w14:paraId="078669B6" w14:textId="77777777" w:rsidR="00FF6D58" w:rsidRPr="009A7818" w:rsidRDefault="00FF6D58" w:rsidP="00FF6D58">
      <w:pPr>
        <w:spacing w:line="360" w:lineRule="auto"/>
        <w:jc w:val="both"/>
        <w:rPr>
          <w:rFonts w:ascii="Times New Roman" w:hAnsi="Times New Roman" w:cs="Times New Roman"/>
        </w:rPr>
      </w:pPr>
    </w:p>
    <w:p w14:paraId="3BFBFE0D" w14:textId="77777777" w:rsidR="009835ED" w:rsidRPr="009D7A08" w:rsidRDefault="009835ED" w:rsidP="00090243">
      <w:pPr>
        <w:spacing w:line="360" w:lineRule="auto"/>
        <w:jc w:val="both"/>
        <w:rPr>
          <w:rFonts w:ascii="Times New Roman" w:hAnsi="Times New Roman" w:cs="Times New Roman"/>
        </w:rPr>
      </w:pPr>
    </w:p>
    <w:sectPr w:rsidR="009835ED" w:rsidRPr="009D7A08" w:rsidSect="00CF00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62EFE"/>
    <w:multiLevelType w:val="hybridMultilevel"/>
    <w:tmpl w:val="F67A2D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4E84385"/>
    <w:multiLevelType w:val="hybridMultilevel"/>
    <w:tmpl w:val="F9443E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6123251">
    <w:abstractNumId w:val="0"/>
  </w:num>
  <w:num w:numId="2" w16cid:durableId="6226895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3D8"/>
    <w:rsid w:val="0002088B"/>
    <w:rsid w:val="00090243"/>
    <w:rsid w:val="001155D4"/>
    <w:rsid w:val="00182F46"/>
    <w:rsid w:val="003943D8"/>
    <w:rsid w:val="0069666C"/>
    <w:rsid w:val="006F2A79"/>
    <w:rsid w:val="007121CE"/>
    <w:rsid w:val="00771242"/>
    <w:rsid w:val="009835ED"/>
    <w:rsid w:val="00A048D1"/>
    <w:rsid w:val="00AA4DD0"/>
    <w:rsid w:val="00B12D5E"/>
    <w:rsid w:val="00C25800"/>
    <w:rsid w:val="00C53AA0"/>
    <w:rsid w:val="00C9582C"/>
    <w:rsid w:val="00CA1981"/>
    <w:rsid w:val="00CF001B"/>
    <w:rsid w:val="00D76D40"/>
    <w:rsid w:val="00E9478C"/>
    <w:rsid w:val="00FF4679"/>
    <w:rsid w:val="00FF6D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AD3F1"/>
  <w15:chartTrackingRefBased/>
  <w15:docId w15:val="{12B05B79-F83E-463C-9DF4-D15DA3E6E2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001B"/>
    <w:pPr>
      <w:spacing w:line="278" w:lineRule="auto"/>
    </w:pPr>
    <w:rPr>
      <w:sz w:val="24"/>
      <w:szCs w:val="24"/>
    </w:rPr>
  </w:style>
  <w:style w:type="paragraph" w:styleId="Heading1">
    <w:name w:val="heading 1"/>
    <w:basedOn w:val="Normal"/>
    <w:next w:val="Normal"/>
    <w:link w:val="Heading1Char"/>
    <w:uiPriority w:val="9"/>
    <w:qFormat/>
    <w:rsid w:val="003943D8"/>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943D8"/>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43D8"/>
    <w:pPr>
      <w:keepNext/>
      <w:keepLines/>
      <w:spacing w:before="160" w:after="80" w:line="259"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43D8"/>
    <w:pPr>
      <w:keepNext/>
      <w:keepLines/>
      <w:spacing w:before="80" w:after="40" w:line="259" w:lineRule="auto"/>
      <w:outlineLvl w:val="3"/>
    </w:pPr>
    <w:rPr>
      <w:rFonts w:eastAsiaTheme="majorEastAsia" w:cstheme="majorBidi"/>
      <w:i/>
      <w:iCs/>
      <w:color w:val="0F4761" w:themeColor="accent1" w:themeShade="BF"/>
      <w:sz w:val="22"/>
      <w:szCs w:val="22"/>
    </w:rPr>
  </w:style>
  <w:style w:type="paragraph" w:styleId="Heading5">
    <w:name w:val="heading 5"/>
    <w:basedOn w:val="Normal"/>
    <w:next w:val="Normal"/>
    <w:link w:val="Heading5Char"/>
    <w:uiPriority w:val="9"/>
    <w:semiHidden/>
    <w:unhideWhenUsed/>
    <w:qFormat/>
    <w:rsid w:val="003943D8"/>
    <w:pPr>
      <w:keepNext/>
      <w:keepLines/>
      <w:spacing w:before="80" w:after="40" w:line="259" w:lineRule="auto"/>
      <w:outlineLvl w:val="4"/>
    </w:pPr>
    <w:rPr>
      <w:rFonts w:eastAsiaTheme="majorEastAsia" w:cstheme="majorBidi"/>
      <w:color w:val="0F4761" w:themeColor="accent1" w:themeShade="BF"/>
      <w:sz w:val="22"/>
      <w:szCs w:val="22"/>
    </w:rPr>
  </w:style>
  <w:style w:type="paragraph" w:styleId="Heading6">
    <w:name w:val="heading 6"/>
    <w:basedOn w:val="Normal"/>
    <w:next w:val="Normal"/>
    <w:link w:val="Heading6Char"/>
    <w:uiPriority w:val="9"/>
    <w:semiHidden/>
    <w:unhideWhenUsed/>
    <w:qFormat/>
    <w:rsid w:val="003943D8"/>
    <w:pPr>
      <w:keepNext/>
      <w:keepLines/>
      <w:spacing w:before="40" w:after="0" w:line="259" w:lineRule="auto"/>
      <w:outlineLvl w:val="5"/>
    </w:pPr>
    <w:rPr>
      <w:rFonts w:eastAsiaTheme="majorEastAsia" w:cstheme="majorBidi"/>
      <w:i/>
      <w:iCs/>
      <w:color w:val="595959" w:themeColor="text1" w:themeTint="A6"/>
      <w:sz w:val="22"/>
      <w:szCs w:val="22"/>
    </w:rPr>
  </w:style>
  <w:style w:type="paragraph" w:styleId="Heading7">
    <w:name w:val="heading 7"/>
    <w:basedOn w:val="Normal"/>
    <w:next w:val="Normal"/>
    <w:link w:val="Heading7Char"/>
    <w:uiPriority w:val="9"/>
    <w:semiHidden/>
    <w:unhideWhenUsed/>
    <w:qFormat/>
    <w:rsid w:val="003943D8"/>
    <w:pPr>
      <w:keepNext/>
      <w:keepLines/>
      <w:spacing w:before="40" w:after="0" w:line="259" w:lineRule="auto"/>
      <w:outlineLvl w:val="6"/>
    </w:pPr>
    <w:rPr>
      <w:rFonts w:eastAsiaTheme="majorEastAsia" w:cstheme="majorBidi"/>
      <w:color w:val="595959" w:themeColor="text1" w:themeTint="A6"/>
      <w:sz w:val="22"/>
      <w:szCs w:val="22"/>
    </w:rPr>
  </w:style>
  <w:style w:type="paragraph" w:styleId="Heading8">
    <w:name w:val="heading 8"/>
    <w:basedOn w:val="Normal"/>
    <w:next w:val="Normal"/>
    <w:link w:val="Heading8Char"/>
    <w:uiPriority w:val="9"/>
    <w:semiHidden/>
    <w:unhideWhenUsed/>
    <w:qFormat/>
    <w:rsid w:val="003943D8"/>
    <w:pPr>
      <w:keepNext/>
      <w:keepLines/>
      <w:spacing w:after="0" w:line="259" w:lineRule="auto"/>
      <w:outlineLvl w:val="7"/>
    </w:pPr>
    <w:rPr>
      <w:rFonts w:eastAsiaTheme="majorEastAsia" w:cstheme="majorBidi"/>
      <w:i/>
      <w:iCs/>
      <w:color w:val="272727" w:themeColor="text1" w:themeTint="D8"/>
      <w:sz w:val="22"/>
      <w:szCs w:val="22"/>
    </w:rPr>
  </w:style>
  <w:style w:type="paragraph" w:styleId="Heading9">
    <w:name w:val="heading 9"/>
    <w:basedOn w:val="Normal"/>
    <w:next w:val="Normal"/>
    <w:link w:val="Heading9Char"/>
    <w:uiPriority w:val="9"/>
    <w:semiHidden/>
    <w:unhideWhenUsed/>
    <w:qFormat/>
    <w:rsid w:val="003943D8"/>
    <w:pPr>
      <w:keepNext/>
      <w:keepLines/>
      <w:spacing w:after="0" w:line="259" w:lineRule="auto"/>
      <w:outlineLvl w:val="8"/>
    </w:pPr>
    <w:rPr>
      <w:rFonts w:eastAsiaTheme="majorEastAsia" w:cstheme="majorBidi"/>
      <w:color w:val="272727" w:themeColor="text1" w:themeTint="D8"/>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43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943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43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43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43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43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43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43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43D8"/>
    <w:rPr>
      <w:rFonts w:eastAsiaTheme="majorEastAsia" w:cstheme="majorBidi"/>
      <w:color w:val="272727" w:themeColor="text1" w:themeTint="D8"/>
    </w:rPr>
  </w:style>
  <w:style w:type="paragraph" w:styleId="Title">
    <w:name w:val="Title"/>
    <w:basedOn w:val="Normal"/>
    <w:next w:val="Normal"/>
    <w:link w:val="TitleChar"/>
    <w:uiPriority w:val="10"/>
    <w:qFormat/>
    <w:rsid w:val="003943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43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43D8"/>
    <w:pPr>
      <w:numPr>
        <w:ilvl w:val="1"/>
      </w:numPr>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43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43D8"/>
    <w:pPr>
      <w:spacing w:before="160" w:line="259" w:lineRule="auto"/>
      <w:jc w:val="center"/>
    </w:pPr>
    <w:rPr>
      <w:i/>
      <w:iCs/>
      <w:color w:val="404040" w:themeColor="text1" w:themeTint="BF"/>
      <w:sz w:val="22"/>
      <w:szCs w:val="22"/>
    </w:rPr>
  </w:style>
  <w:style w:type="character" w:customStyle="1" w:styleId="QuoteChar">
    <w:name w:val="Quote Char"/>
    <w:basedOn w:val="DefaultParagraphFont"/>
    <w:link w:val="Quote"/>
    <w:uiPriority w:val="29"/>
    <w:rsid w:val="003943D8"/>
    <w:rPr>
      <w:i/>
      <w:iCs/>
      <w:color w:val="404040" w:themeColor="text1" w:themeTint="BF"/>
    </w:rPr>
  </w:style>
  <w:style w:type="paragraph" w:styleId="ListParagraph">
    <w:name w:val="List Paragraph"/>
    <w:basedOn w:val="Normal"/>
    <w:uiPriority w:val="34"/>
    <w:qFormat/>
    <w:rsid w:val="003943D8"/>
    <w:pPr>
      <w:spacing w:line="259" w:lineRule="auto"/>
      <w:ind w:left="720"/>
      <w:contextualSpacing/>
    </w:pPr>
    <w:rPr>
      <w:sz w:val="22"/>
      <w:szCs w:val="22"/>
    </w:rPr>
  </w:style>
  <w:style w:type="character" w:styleId="IntenseEmphasis">
    <w:name w:val="Intense Emphasis"/>
    <w:basedOn w:val="DefaultParagraphFont"/>
    <w:uiPriority w:val="21"/>
    <w:qFormat/>
    <w:rsid w:val="003943D8"/>
    <w:rPr>
      <w:i/>
      <w:iCs/>
      <w:color w:val="0F4761" w:themeColor="accent1" w:themeShade="BF"/>
    </w:rPr>
  </w:style>
  <w:style w:type="paragraph" w:styleId="IntenseQuote">
    <w:name w:val="Intense Quote"/>
    <w:basedOn w:val="Normal"/>
    <w:next w:val="Normal"/>
    <w:link w:val="IntenseQuoteChar"/>
    <w:uiPriority w:val="30"/>
    <w:qFormat/>
    <w:rsid w:val="003943D8"/>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sz w:val="22"/>
      <w:szCs w:val="22"/>
    </w:rPr>
  </w:style>
  <w:style w:type="character" w:customStyle="1" w:styleId="IntenseQuoteChar">
    <w:name w:val="Intense Quote Char"/>
    <w:basedOn w:val="DefaultParagraphFont"/>
    <w:link w:val="IntenseQuote"/>
    <w:uiPriority w:val="30"/>
    <w:rsid w:val="003943D8"/>
    <w:rPr>
      <w:i/>
      <w:iCs/>
      <w:color w:val="0F4761" w:themeColor="accent1" w:themeShade="BF"/>
    </w:rPr>
  </w:style>
  <w:style w:type="character" w:styleId="IntenseReference">
    <w:name w:val="Intense Reference"/>
    <w:basedOn w:val="DefaultParagraphFont"/>
    <w:uiPriority w:val="32"/>
    <w:qFormat/>
    <w:rsid w:val="003943D8"/>
    <w:rPr>
      <w:b/>
      <w:bCs/>
      <w:smallCaps/>
      <w:color w:val="0F4761" w:themeColor="accent1" w:themeShade="BF"/>
      <w:spacing w:val="5"/>
    </w:rPr>
  </w:style>
  <w:style w:type="paragraph" w:styleId="TOCHeading">
    <w:name w:val="TOC Heading"/>
    <w:basedOn w:val="Heading1"/>
    <w:next w:val="Normal"/>
    <w:uiPriority w:val="39"/>
    <w:unhideWhenUsed/>
    <w:qFormat/>
    <w:rsid w:val="00CF001B"/>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CF001B"/>
    <w:pPr>
      <w:spacing w:after="100"/>
    </w:pPr>
  </w:style>
  <w:style w:type="character" w:styleId="Hyperlink">
    <w:name w:val="Hyperlink"/>
    <w:basedOn w:val="DefaultParagraphFont"/>
    <w:uiPriority w:val="99"/>
    <w:unhideWhenUsed/>
    <w:rsid w:val="00CF001B"/>
    <w:rPr>
      <w:color w:val="467886" w:themeColor="hyperlink"/>
      <w:u w:val="single"/>
    </w:rPr>
  </w:style>
  <w:style w:type="table" w:styleId="TableGrid">
    <w:name w:val="Table Grid"/>
    <w:basedOn w:val="TableNormal"/>
    <w:uiPriority w:val="39"/>
    <w:rsid w:val="00090243"/>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09024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1526</TotalTime>
  <Pages>9</Pages>
  <Words>2533</Words>
  <Characters>14339</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Sorina Bortos</dc:creator>
  <cp:keywords/>
  <dc:description/>
  <cp:lastModifiedBy>Sorina Bortos</cp:lastModifiedBy>
  <cp:revision>18</cp:revision>
  <dcterms:created xsi:type="dcterms:W3CDTF">2026-06-17T18:02:00Z</dcterms:created>
  <dcterms:modified xsi:type="dcterms:W3CDTF">2026-07-07T16:46:00Z</dcterms:modified>
</cp:coreProperties>
</file>