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83F4" w14:textId="77777777" w:rsidR="00B52B4A" w:rsidRDefault="00B52B4A" w:rsidP="001F1A37">
      <w:pPr>
        <w:pStyle w:val="Title"/>
        <w:jc w:val="both"/>
        <w:rPr>
          <w:rFonts w:eastAsia="Arial"/>
          <w:lang w:eastAsia="zh-CN"/>
        </w:rPr>
      </w:pPr>
    </w:p>
    <w:p w14:paraId="13D04FC3" w14:textId="77777777" w:rsidR="00B52B4A" w:rsidRDefault="00B52B4A" w:rsidP="0035339D">
      <w:pPr>
        <w:pStyle w:val="Title"/>
        <w:jc w:val="both"/>
        <w:rPr>
          <w:rFonts w:eastAsia="Arial"/>
          <w:lang w:eastAsia="zh-CN"/>
        </w:rPr>
      </w:pPr>
    </w:p>
    <w:p w14:paraId="7ED4BA38" w14:textId="77777777" w:rsidR="00B52B4A" w:rsidRDefault="00B52B4A" w:rsidP="001F1A37">
      <w:pPr>
        <w:pStyle w:val="Title"/>
        <w:jc w:val="both"/>
        <w:rPr>
          <w:rFonts w:eastAsia="Arial"/>
          <w:lang w:eastAsia="zh-CN"/>
        </w:rPr>
      </w:pPr>
    </w:p>
    <w:p w14:paraId="0816FF06" w14:textId="77777777" w:rsidR="00B52B4A" w:rsidRDefault="00B52B4A" w:rsidP="00590566">
      <w:pPr>
        <w:pStyle w:val="Title"/>
        <w:rPr>
          <w:rFonts w:eastAsia="Arial"/>
          <w:lang w:eastAsia="zh-CN"/>
        </w:rPr>
      </w:pPr>
    </w:p>
    <w:p w14:paraId="0BCFD935" w14:textId="41F8FD37" w:rsidR="00736957" w:rsidRPr="0035339D" w:rsidRDefault="00590566" w:rsidP="0035339D">
      <w:pPr>
        <w:pStyle w:val="IntenseQuote"/>
        <w:rPr>
          <w:b/>
          <w:bCs/>
          <w:sz w:val="36"/>
          <w:szCs w:val="36"/>
          <w:lang w:eastAsia="zh-CN"/>
        </w:rPr>
      </w:pPr>
      <w:r w:rsidRPr="0035339D">
        <w:rPr>
          <w:b/>
          <w:bCs/>
          <w:sz w:val="36"/>
          <w:szCs w:val="36"/>
          <w:lang w:eastAsia="zh-CN"/>
        </w:rPr>
        <w:t>REFORM OF HOMICIDE</w:t>
      </w:r>
    </w:p>
    <w:p w14:paraId="2227D134" w14:textId="77777777" w:rsidR="0035339D" w:rsidRDefault="0035339D" w:rsidP="00590566">
      <w:pPr>
        <w:jc w:val="center"/>
        <w:rPr>
          <w:b/>
          <w:bCs/>
          <w:i/>
          <w:iCs/>
          <w:lang w:eastAsia="zh-CN"/>
        </w:rPr>
      </w:pPr>
    </w:p>
    <w:p w14:paraId="2F20B4F7" w14:textId="77777777" w:rsidR="001F1A37" w:rsidRDefault="001F1A37" w:rsidP="00590566">
      <w:pPr>
        <w:jc w:val="center"/>
        <w:rPr>
          <w:b/>
          <w:bCs/>
          <w:i/>
          <w:iCs/>
          <w:lang w:eastAsia="zh-CN"/>
        </w:rPr>
      </w:pPr>
    </w:p>
    <w:p w14:paraId="21AE4860" w14:textId="77777777" w:rsidR="0035339D" w:rsidRDefault="0035339D" w:rsidP="00590566">
      <w:pPr>
        <w:jc w:val="center"/>
        <w:rPr>
          <w:b/>
          <w:bCs/>
          <w:i/>
          <w:iCs/>
          <w:lang w:eastAsia="zh-CN"/>
        </w:rPr>
      </w:pPr>
    </w:p>
    <w:p w14:paraId="581FE292" w14:textId="77777777" w:rsidR="0035339D" w:rsidRDefault="0035339D" w:rsidP="00590566">
      <w:pPr>
        <w:jc w:val="center"/>
        <w:rPr>
          <w:b/>
          <w:bCs/>
          <w:i/>
          <w:iCs/>
          <w:lang w:eastAsia="zh-CN"/>
        </w:rPr>
      </w:pPr>
      <w:r>
        <w:rPr>
          <w:b/>
          <w:bCs/>
          <w:i/>
          <w:iCs/>
          <w:lang w:eastAsia="zh-CN"/>
        </w:rPr>
        <w:t>By</w:t>
      </w:r>
    </w:p>
    <w:p w14:paraId="7969D4F7" w14:textId="77777777" w:rsidR="0035339D" w:rsidRDefault="0035339D" w:rsidP="00590566">
      <w:pPr>
        <w:jc w:val="center"/>
        <w:rPr>
          <w:b/>
          <w:bCs/>
          <w:i/>
          <w:iCs/>
          <w:lang w:eastAsia="zh-CN"/>
        </w:rPr>
      </w:pPr>
    </w:p>
    <w:p w14:paraId="089A6252" w14:textId="77777777" w:rsidR="0035339D" w:rsidRDefault="0035339D" w:rsidP="00590566">
      <w:pPr>
        <w:jc w:val="center"/>
        <w:rPr>
          <w:b/>
          <w:bCs/>
          <w:i/>
          <w:iCs/>
          <w:lang w:eastAsia="zh-CN"/>
        </w:rPr>
      </w:pPr>
    </w:p>
    <w:p w14:paraId="03ED8A7F" w14:textId="77777777" w:rsidR="0035339D" w:rsidRDefault="0035339D" w:rsidP="00590566">
      <w:pPr>
        <w:jc w:val="center"/>
        <w:rPr>
          <w:b/>
          <w:bCs/>
          <w:i/>
          <w:iCs/>
          <w:lang w:eastAsia="zh-CN"/>
        </w:rPr>
      </w:pPr>
    </w:p>
    <w:p w14:paraId="6D3E2B9A" w14:textId="75458D80" w:rsidR="00590566" w:rsidRPr="00590566" w:rsidRDefault="00590566" w:rsidP="00590566">
      <w:pPr>
        <w:jc w:val="center"/>
        <w:rPr>
          <w:b/>
          <w:bCs/>
          <w:i/>
          <w:iCs/>
          <w:lang w:eastAsia="zh-CN"/>
        </w:rPr>
      </w:pPr>
      <w:r w:rsidRPr="00590566">
        <w:rPr>
          <w:b/>
          <w:bCs/>
          <w:i/>
          <w:iCs/>
          <w:lang w:eastAsia="zh-CN"/>
        </w:rPr>
        <w:t>Student Name:</w:t>
      </w:r>
      <w:r w:rsidR="0035339D">
        <w:rPr>
          <w:b/>
          <w:bCs/>
          <w:i/>
          <w:iCs/>
          <w:lang w:eastAsia="zh-CN"/>
        </w:rPr>
        <w:t xml:space="preserve"> </w:t>
      </w:r>
      <w:r w:rsidR="001F1A37">
        <w:rPr>
          <w:b/>
          <w:bCs/>
          <w:i/>
          <w:iCs/>
          <w:lang w:eastAsia="zh-CN"/>
        </w:rPr>
        <w:t>GEORGE GABRIEL ABRANI</w:t>
      </w:r>
    </w:p>
    <w:p w14:paraId="0CBC2876" w14:textId="529236AD" w:rsidR="00590566" w:rsidRPr="00590566" w:rsidRDefault="00590566" w:rsidP="00590566">
      <w:pPr>
        <w:jc w:val="center"/>
        <w:rPr>
          <w:b/>
          <w:bCs/>
          <w:i/>
          <w:iCs/>
          <w:lang w:eastAsia="zh-CN"/>
        </w:rPr>
      </w:pPr>
      <w:r w:rsidRPr="00590566">
        <w:rPr>
          <w:b/>
          <w:bCs/>
          <w:i/>
          <w:iCs/>
          <w:lang w:eastAsia="zh-CN"/>
        </w:rPr>
        <w:t>Student ID:</w:t>
      </w:r>
      <w:r w:rsidR="001F1A37">
        <w:rPr>
          <w:b/>
          <w:bCs/>
          <w:i/>
          <w:iCs/>
          <w:lang w:eastAsia="zh-CN"/>
        </w:rPr>
        <w:t xml:space="preserve"> 2244462</w:t>
      </w:r>
    </w:p>
    <w:p w14:paraId="6AAACA04" w14:textId="4CA23850" w:rsidR="00590566" w:rsidRPr="00590566" w:rsidRDefault="00590566" w:rsidP="00590566">
      <w:pPr>
        <w:jc w:val="center"/>
        <w:rPr>
          <w:b/>
          <w:bCs/>
          <w:i/>
          <w:iCs/>
          <w:lang w:eastAsia="zh-CN"/>
        </w:rPr>
      </w:pPr>
    </w:p>
    <w:p w14:paraId="1736E0D7" w14:textId="2A83CB8F" w:rsidR="00B52B4A" w:rsidRDefault="00B52B4A" w:rsidP="00590566">
      <w:pPr>
        <w:jc w:val="center"/>
        <w:rPr>
          <w:b/>
          <w:bCs/>
          <w:i/>
          <w:iCs/>
          <w:lang w:eastAsia="zh-CN"/>
        </w:rPr>
      </w:pPr>
    </w:p>
    <w:p w14:paraId="5E469007" w14:textId="50854559" w:rsidR="00B52B4A" w:rsidRPr="00E75F98" w:rsidRDefault="00B52B4A">
      <w:pPr>
        <w:spacing w:line="259" w:lineRule="auto"/>
        <w:jc w:val="left"/>
        <w:rPr>
          <w:b/>
          <w:bCs/>
          <w:i/>
          <w:iCs/>
          <w:lang w:eastAsia="zh-CN"/>
        </w:rPr>
      </w:pPr>
      <w:r>
        <w:rPr>
          <w:b/>
          <w:bCs/>
          <w:lang w:eastAsia="zh-CN"/>
        </w:rPr>
        <w:br w:type="page"/>
      </w:r>
    </w:p>
    <w:p w14:paraId="698DAD9F" w14:textId="77777777" w:rsidR="004D5BF0" w:rsidRDefault="00B52B4A" w:rsidP="004D5BF0">
      <w:pPr>
        <w:pStyle w:val="Heading1"/>
        <w:rPr>
          <w:lang w:eastAsia="zh-CN"/>
        </w:rPr>
      </w:pPr>
      <w:r>
        <w:rPr>
          <w:lang w:eastAsia="zh-CN"/>
        </w:rPr>
        <w:lastRenderedPageBreak/>
        <w:t>Introduction</w:t>
      </w:r>
    </w:p>
    <w:p w14:paraId="32CE7356" w14:textId="30B6E299" w:rsidR="00590566" w:rsidRDefault="00860DC6" w:rsidP="0011471C">
      <w:pPr>
        <w:rPr>
          <w:lang w:eastAsia="zh-CN"/>
        </w:rPr>
      </w:pPr>
      <w:r>
        <w:rPr>
          <w:shd w:val="clear" w:color="auto" w:fill="FFFFFF"/>
        </w:rPr>
        <w:t xml:space="preserve">According to </w:t>
      </w:r>
      <w:r>
        <w:t>Sinnamon, (2015, p. 250), m</w:t>
      </w:r>
      <w:r w:rsidR="00692AF9" w:rsidRPr="00692AF9">
        <w:rPr>
          <w:shd w:val="clear" w:color="auto" w:fill="FFFFFF"/>
        </w:rPr>
        <w:t>anslaughter and murder are two of the crimes that make up homicide. There are three methods to conduct manslaughter: murdering with the purpose to kill but where an incomplete defence, such as loss of control, exists; reduced culpability; or murdering in accordance with an agreement to commit suicide. In response to public input, the federal government is recommending a number of modifications to the murder statute. Law reform suggestions regarding murder, manslaughter, and abortion. These suggestions—or modified versions of them—are anticipated to be included in the Law Reform, Survivors and Witnesses Bill, which is scheduled to be released in December of the current year. The new regulation may become effective as early as 2009.  The classification of homicide offences under English and Welsh law is fairly crude and basic.</w:t>
      </w:r>
      <w:r w:rsidR="00692AF9">
        <w:rPr>
          <w:shd w:val="clear" w:color="auto" w:fill="FFFFFF"/>
        </w:rPr>
        <w:t xml:space="preserve"> </w:t>
      </w:r>
      <w:r w:rsidR="00692AF9" w:rsidRPr="00692AF9">
        <w:rPr>
          <w:lang w:eastAsia="zh-CN"/>
        </w:rPr>
        <w:t>Murder as well as manslaughter are the only two basic homicide offences. The bulk of illegal killings must fall under one of two categories. Therefore, the current study emphasises the homicide legislation for the federal governments of England and Wales as well as the suggested legal reforms.</w:t>
      </w:r>
    </w:p>
    <w:p w14:paraId="3599D71C" w14:textId="369C8FC6" w:rsidR="004D5BF0" w:rsidRDefault="004D5BF0" w:rsidP="004D5BF0">
      <w:pPr>
        <w:pStyle w:val="Heading1"/>
        <w:rPr>
          <w:lang w:eastAsia="zh-CN"/>
        </w:rPr>
      </w:pPr>
      <w:r>
        <w:rPr>
          <w:lang w:eastAsia="zh-CN"/>
        </w:rPr>
        <w:t xml:space="preserve">Discussion </w:t>
      </w:r>
    </w:p>
    <w:p w14:paraId="2627451E" w14:textId="77777777" w:rsidR="00F24966" w:rsidRDefault="00F40405" w:rsidP="004D5BF0">
      <w:pPr>
        <w:rPr>
          <w:lang w:eastAsia="zh-CN"/>
        </w:rPr>
      </w:pPr>
      <w:r w:rsidRPr="00F40405">
        <w:rPr>
          <w:lang w:eastAsia="zh-CN"/>
        </w:rPr>
        <w:t>A three-tier structure for general charges for homicide was suggested by the Law Commission in its 2006 summary: manslaughter, second-degree assassination, and first-degree killing, each carrying a potential life penalty. First-degree murder would be subject to the obligatory life term. The Commission on Law and Order had initially suggested in its 2005 interaction paper that "first degree murder" be limited to deliberate murder (a proposal that JUSTICE had praised for its clarity and coherence), but in its 2006 indicate this was expanded to include killing with a view to cause serious harm while also being aware of a significant risk of leading to death. Provocation, lessened accountability, and participation are three other components of the law of homicide that the Law Commission suggested changing</w:t>
      </w:r>
      <w:r w:rsidR="00906DB4">
        <w:rPr>
          <w:lang w:eastAsia="zh-CN"/>
        </w:rPr>
        <w:t xml:space="preserve"> (</w:t>
      </w:r>
      <w:r w:rsidR="00906DB4">
        <w:t>justice.org.uk, 2018</w:t>
      </w:r>
      <w:r w:rsidR="00906DB4">
        <w:rPr>
          <w:lang w:eastAsia="zh-CN"/>
        </w:rPr>
        <w:t>)</w:t>
      </w:r>
      <w:r w:rsidRPr="00F40405">
        <w:rPr>
          <w:lang w:eastAsia="zh-CN"/>
        </w:rPr>
        <w:t xml:space="preserve">. </w:t>
      </w:r>
    </w:p>
    <w:p w14:paraId="3F0D1CF2" w14:textId="107651A8" w:rsidR="00F571C5" w:rsidRPr="004D5BF0" w:rsidRDefault="00F40405" w:rsidP="004D5BF0">
      <w:pPr>
        <w:rPr>
          <w:b/>
          <w:bCs/>
          <w:lang w:eastAsia="zh-CN"/>
        </w:rPr>
      </w:pPr>
      <w:r w:rsidRPr="00F40405">
        <w:rPr>
          <w:lang w:eastAsia="zh-CN"/>
        </w:rPr>
        <w:t>The partial justification of murdering in reaction to gross provocation or to a fear of significant harm would take the place of the present law of incitement, which was only recently established in the case of the Attorney-General v. Holley [2005] UKPC 23. There would be no longer be a need for a lack of self-control. A documented medical condition-related defect in mental health or, in the event of an accuser under the age of 18, developmental inexperience would be required for the upgraded partial defence of diminished responsibility. Importantly, under the Law Commission's framework, both partial defences would reduce first-degree murder to second-degree murder (as opposed to the current reduction of murder to manslaughter).</w:t>
      </w:r>
      <w:r w:rsidR="00F571C5" w:rsidRPr="00F571C5">
        <w:rPr>
          <w:lang w:eastAsia="zh-CN"/>
        </w:rPr>
        <w:t xml:space="preserve"> </w:t>
      </w:r>
      <w:r w:rsidRPr="00F40405">
        <w:rPr>
          <w:lang w:eastAsia="zh-CN"/>
        </w:rPr>
        <w:t>As a result, they would initially be more limited than the limited defences that are already available.</w:t>
      </w:r>
    </w:p>
    <w:p w14:paraId="125F1F8F" w14:textId="57E6028C" w:rsidR="00F40405" w:rsidRDefault="00F24966" w:rsidP="004D5BF0">
      <w:r>
        <w:lastRenderedPageBreak/>
        <w:t>As reviewed from “A</w:t>
      </w:r>
      <w:r w:rsidRPr="00F24966">
        <w:rPr>
          <w:i/>
          <w:iCs/>
        </w:rPr>
        <w:t xml:space="preserve"> new homicide act for </w:t>
      </w:r>
      <w:r w:rsidR="00371690" w:rsidRPr="00F24966">
        <w:rPr>
          <w:i/>
          <w:iCs/>
        </w:rPr>
        <w:t>England</w:t>
      </w:r>
      <w:r w:rsidRPr="00F24966">
        <w:rPr>
          <w:i/>
          <w:iCs/>
        </w:rPr>
        <w:t xml:space="preserve"> and </w:t>
      </w:r>
      <w:r w:rsidR="00371690" w:rsidRPr="00F24966">
        <w:rPr>
          <w:i/>
          <w:iCs/>
        </w:rPr>
        <w:t>Wales</w:t>
      </w:r>
      <w:r>
        <w:t>” (2023), p</w:t>
      </w:r>
      <w:r w:rsidR="00F40405" w:rsidRPr="00F40405">
        <w:t>rovocation, lessened culpability, and murdering in furtherance of a self-destruction pact are now recognised as three partial responses to murder. If successfully pleaded, they do not result in a total acquit instead resulting in a manslaughter verdict as opposed to a murder sentence. There are nevertheless further partial defences that may be described as "concealed" that were established by statute as distinct offences. Examples include infanticide, which occurs when a woman with a disordered mental state kills her child who is under 12 months old, and participation in suicide, which occurs when someone aids or urges another person to attempt suicide.</w:t>
      </w:r>
    </w:p>
    <w:p w14:paraId="3A983593" w14:textId="77777777" w:rsidR="006D1300" w:rsidRDefault="006D1300" w:rsidP="004D5BF0">
      <w:r w:rsidRPr="006D1300">
        <w:t>Everyone found guilty of homicide receives a life term. The minimal term is the first of the three spaces in the phrase. Before becoming eligible for parole, the criminal must serve this amount of time in jail. The trial judge determines the minimum term's duration. He or she must consider the rules laid down by Parliament in the Criminal Justice Act of 2003 (often known as "the 2003 Act") when determining the duration. According to the regulations, the severity of the crime will determine how long the minimum sentence is. Consider a scenario in which the accused aids in the plot to kill two or more people and subsequently takes part in their killings.</w:t>
      </w:r>
      <w:r w:rsidR="0065091F">
        <w:t xml:space="preserve"> </w:t>
      </w:r>
      <w:r w:rsidRPr="006D1300">
        <w:t>The inclusion of such suggested minimum sentences strengthens the case for changing the murder legislation. According to the 2003 Act, the absence of a killing purpose is a "mitigating element" if a killing results from a desire to solely cause significant injury.</w:t>
      </w:r>
    </w:p>
    <w:p w14:paraId="6304CA92" w14:textId="218204E9" w:rsidR="00F428CE" w:rsidRDefault="006D1300" w:rsidP="006D1300">
      <w:pPr>
        <w:rPr>
          <w:b/>
          <w:bCs/>
          <w:lang w:eastAsia="zh-CN"/>
        </w:rPr>
      </w:pPr>
      <w:r w:rsidRPr="006D1300">
        <w:t xml:space="preserve">There is no required term for murder, and the potential penalties under UK law include: A jail sentence, usually between 2 and 10 years. In accordance with traditional law, there are just two types of manslaughter: illegal carelessness and unauthorised and hazardous acts. </w:t>
      </w:r>
      <w:r w:rsidR="00F428CE">
        <w:rPr>
          <w:b/>
          <w:bCs/>
          <w:lang w:eastAsia="zh-CN"/>
        </w:rPr>
        <w:br w:type="page"/>
      </w:r>
    </w:p>
    <w:p w14:paraId="423EEDC6" w14:textId="3E233086" w:rsidR="00467055" w:rsidRDefault="00467055" w:rsidP="004D5BF0">
      <w:r w:rsidRPr="00467055">
        <w:lastRenderedPageBreak/>
        <w:t>The federal government has decided not to move through with changes to the murder framework, at least for the time being</w:t>
      </w:r>
      <w:r w:rsidR="002618AA">
        <w:t xml:space="preserve"> (</w:t>
      </w:r>
      <w:r w:rsidR="002618AA" w:rsidRPr="002F5F9B">
        <w:rPr>
          <w:i/>
          <w:iCs/>
          <w:lang w:eastAsia="en-GB"/>
        </w:rPr>
        <w:t>Homicide act 1957</w:t>
      </w:r>
      <w:r w:rsidR="002618AA">
        <w:rPr>
          <w:i/>
          <w:iCs/>
          <w:lang w:eastAsia="en-GB"/>
        </w:rPr>
        <w:t xml:space="preserve">, </w:t>
      </w:r>
      <w:r w:rsidR="002618AA" w:rsidRPr="002618AA">
        <w:rPr>
          <w:lang w:eastAsia="en-GB"/>
        </w:rPr>
        <w:t>2023</w:t>
      </w:r>
      <w:r w:rsidR="002618AA">
        <w:t>)</w:t>
      </w:r>
      <w:r w:rsidRPr="00467055">
        <w:t>. The Legislative Commission's recommendations on instigation and decreased culpability, which in its original form would have reduced murder to manslaughter, have been adopted in an amended form. In situations where, between other things, the offender must have had a dread of serious assault or items must have occurred done or said that "amounted to an outstanding happening" and gave rise to the defendant's acceptable sense of being severely wronged, "provocation" would be substituted with killing. Although it is no longer necessary for the loss of discipline to be "sudden," the condition has been reinstated.</w:t>
      </w:r>
      <w:r w:rsidR="008844C5">
        <w:t xml:space="preserve"> </w:t>
      </w:r>
      <w:r w:rsidR="008844C5" w:rsidRPr="008844C5">
        <w:t>First, the accuser must be held accountable for the victim's death. The accused must also have known that the act would likely result in death or have the intent to kill. Finally, there must have been no legal explanation or defence for the act that caused the death.</w:t>
      </w:r>
      <w:r w:rsidRPr="00467055">
        <w:t xml:space="preserve"> </w:t>
      </w:r>
    </w:p>
    <w:p w14:paraId="7BDE702E" w14:textId="77777777" w:rsidR="00A07FA0" w:rsidRDefault="00A07FA0" w:rsidP="004D5BF0">
      <w:r w:rsidRPr="00A07FA0">
        <w:t>Although the Legal Commission's Participation in Crime study from 2007 recommended more broad revisions to the statute of involvement, the current legislation also seeks to modify the rule of culpability for murder. ((LC 305)) A public survey on the topic of executions by mercy as well as other legal commission recommendations from the 2006 mortality report, such as the idea that pressure should be recognised as a plea to murder, have tragically not yet been implemented.</w:t>
      </w:r>
    </w:p>
    <w:p w14:paraId="5734FABB" w14:textId="494B16AD" w:rsidR="00BD32AF" w:rsidRDefault="00BE1F41" w:rsidP="00BE1F41">
      <w:pPr>
        <w:rPr>
          <w:b/>
          <w:bCs/>
        </w:rPr>
      </w:pPr>
      <w:r w:rsidRPr="00BE1F41">
        <w:t>The Law Commission's plan for killing, homicide, and child murder laboured as an integrated whole, according to the Justice Department, but since the government did not recognise this, choosing some components while denying other, more significant ones runs the risk of causing major issues in the law and in actual application. The Law Commission's plan was specifically intended to lower first-degree murder to second-degree murder by allowing for the partial defences of aggravation and reduced culpability; under that plan, a much lesser percentage of cases were subject to the obligatory life sentence</w:t>
      </w:r>
      <w:r w:rsidR="002618AA">
        <w:t xml:space="preserve"> (</w:t>
      </w:r>
      <w:r w:rsidR="002618AA">
        <w:rPr>
          <w:i/>
          <w:iCs/>
        </w:rPr>
        <w:t>IPC Notes- Culpable Homicide and Murder</w:t>
      </w:r>
      <w:r w:rsidR="002618AA">
        <w:t>, 2023)</w:t>
      </w:r>
      <w:r w:rsidRPr="00BE1F41">
        <w:t>. Thus, they cannot just be translated into the previous murder/manslaughter divide. Furthermore, the changes made to the limited defences by the federal government were mainly for the worse: reintroducing the need for loss of discipline into incitement may make it harder for women that suffered domestic abuse (to whom the governance aimed at demonstrating some degree of sympathy) to make out the limited defence; meanwhile, eliminating the "developmental immaturity" component of reduced accountability for kids would entail that a significant chance to demonstrate diminished accountability for youngsters would be destroyed.</w:t>
      </w:r>
      <w:r w:rsidR="00BD32AF">
        <w:rPr>
          <w:b/>
          <w:bCs/>
        </w:rPr>
        <w:br w:type="page"/>
      </w:r>
    </w:p>
    <w:p w14:paraId="245095BA" w14:textId="034C5ECB" w:rsidR="00BD32AF" w:rsidRPr="004D5BF0" w:rsidRDefault="00F22C9B" w:rsidP="004D5BF0">
      <w:pPr>
        <w:rPr>
          <w:b/>
          <w:bCs/>
        </w:rPr>
      </w:pPr>
      <w:r w:rsidRPr="00F22C9B">
        <w:lastRenderedPageBreak/>
        <w:t xml:space="preserve">Any change to the murder statute is crucial because judgements for homicide offenses—which are undoubtedly the most severe of all legal offenses—greatly limit the offender's freedom. In addition, this falls under Article 2 of the European Convention on the Protection of Human Rights, which requires the state to defend the fundamental right to live. The Law Commission's recommendations were questioned by Victor </w:t>
      </w:r>
      <w:proofErr w:type="spellStart"/>
      <w:r w:rsidRPr="00F22C9B">
        <w:t>Tadros</w:t>
      </w:r>
      <w:proofErr w:type="spellEnd"/>
      <w:r w:rsidRPr="00F22C9B">
        <w:t>, who said that the suggested escalating scale of severity based on the level of fault "maybe add to an established psychological idea: apathy to death." There may be disagreements over whether rung represents a more severe infraction, and depending on how one weighs a motive, judgement may come into play to varying degrees</w:t>
      </w:r>
      <w:r w:rsidR="00BA1E1F">
        <w:t xml:space="preserve"> (justice.org.uk, 2018)</w:t>
      </w:r>
      <w:r w:rsidRPr="00F22C9B">
        <w:t>. The recommendations, according to Elliot and de Than (2009), are "too firmly established in the institutional underpinnings of the ordinary law... The kind of murder crimes that are being perpetrated in modern times need to be addressed immediately by legislation. The justifications put out by proponents of more reform, however, centre on issues such as fair packaging, the inaccuracy of obligatory punishment, the erroneous application of the law as it now stands, and the paradoxical outcomes of the present setup.</w:t>
      </w:r>
    </w:p>
    <w:p w14:paraId="388476D4" w14:textId="47FFC292" w:rsidR="004D5BF0" w:rsidRDefault="004D5BF0" w:rsidP="004D5BF0">
      <w:pPr>
        <w:pStyle w:val="Heading1"/>
        <w:rPr>
          <w:lang w:eastAsia="zh-CN"/>
        </w:rPr>
      </w:pPr>
      <w:r>
        <w:rPr>
          <w:lang w:eastAsia="zh-CN"/>
        </w:rPr>
        <w:t xml:space="preserve">Conclusion </w:t>
      </w:r>
    </w:p>
    <w:p w14:paraId="3A1ECF72" w14:textId="77454411" w:rsidR="007F2073" w:rsidRDefault="00395FC3" w:rsidP="00395FC3">
      <w:pPr>
        <w:rPr>
          <w:lang w:eastAsia="zh-CN"/>
        </w:rPr>
      </w:pPr>
      <w:r w:rsidRPr="00395FC3">
        <w:rPr>
          <w:lang w:eastAsia="zh-CN"/>
        </w:rPr>
        <w:t>In conclusion, homicide and murder are complex events with a variety of possible consequences. These might be connected to victims, offenders, situations, or the environment. A homicide happens when someone is murdered by another person, but a murder happens when someone is killed on purpose. Manslaughter and homicide differ based on the relationship between the innocent victims and the offenders as well as the location or circumstances of the crime, but even this distinction does not fully convey the minor variations between each act. There is no doubting the intricacy of homicide and murder, as well as the chance that any given killing may evade prompt notice, classification, or resolution by the criminal justice system.</w:t>
      </w:r>
    </w:p>
    <w:p w14:paraId="37513763" w14:textId="77777777" w:rsidR="007F2073" w:rsidRDefault="007F2073">
      <w:pPr>
        <w:spacing w:line="259" w:lineRule="auto"/>
        <w:jc w:val="left"/>
        <w:rPr>
          <w:lang w:eastAsia="zh-CN"/>
        </w:rPr>
      </w:pPr>
      <w:r>
        <w:rPr>
          <w:lang w:eastAsia="zh-CN"/>
        </w:rPr>
        <w:br w:type="page"/>
      </w:r>
    </w:p>
    <w:p w14:paraId="71C03F32" w14:textId="133DFD7C" w:rsidR="0067252E" w:rsidRDefault="00103B79" w:rsidP="00103B79">
      <w:pPr>
        <w:pStyle w:val="Heading1"/>
        <w:rPr>
          <w:lang w:eastAsia="zh-CN"/>
        </w:rPr>
      </w:pPr>
      <w:r>
        <w:rPr>
          <w:lang w:eastAsia="zh-CN"/>
        </w:rPr>
        <w:lastRenderedPageBreak/>
        <w:t xml:space="preserve">References </w:t>
      </w:r>
    </w:p>
    <w:p w14:paraId="4A665B27" w14:textId="77777777" w:rsidR="007536A9" w:rsidRDefault="007536A9" w:rsidP="009B5770">
      <w:r>
        <w:t>A NEW HOMICIDE ACT FOR ENGLAND AND WALES (2023) </w:t>
      </w:r>
      <w:r>
        <w:rPr>
          <w:i/>
          <w:iCs/>
        </w:rPr>
        <w:t>S3-eu-west-2.amazonaws.com</w:t>
      </w:r>
      <w:r>
        <w:t>. Available at: https://s3-eu-west-2.amazonaws.com/lawcom-prod-storage-11jsxou24uy7q/uploads/2015/03/cp177_Murder_Manslaughter_and_Infanticide_consultation_.pdf (Accessed: 7 July 2023).</w:t>
      </w:r>
    </w:p>
    <w:p w14:paraId="53C3CBDF" w14:textId="77777777" w:rsidR="007536A9" w:rsidRDefault="007536A9" w:rsidP="002F5F9B">
      <w:pPr>
        <w:rPr>
          <w:lang w:eastAsia="en-GB"/>
        </w:rPr>
      </w:pPr>
      <w:r w:rsidRPr="002F5F9B">
        <w:rPr>
          <w:i/>
          <w:iCs/>
          <w:lang w:eastAsia="en-GB"/>
        </w:rPr>
        <w:t>Homicide act 1957</w:t>
      </w:r>
      <w:r w:rsidRPr="002F5F9B">
        <w:rPr>
          <w:lang w:eastAsia="en-GB"/>
        </w:rPr>
        <w:t xml:space="preserve"> </w:t>
      </w:r>
      <w:r w:rsidRPr="002F5F9B">
        <w:rPr>
          <w:i/>
          <w:iCs/>
          <w:lang w:eastAsia="en-GB"/>
        </w:rPr>
        <w:t>Legislation.gov.uk</w:t>
      </w:r>
      <w:r w:rsidRPr="002F5F9B">
        <w:rPr>
          <w:lang w:eastAsia="en-GB"/>
        </w:rPr>
        <w:t>. Available at: https://www.legislation.gov.uk/ukpga/Eliz2/5-6/11/enacted (Accessed: 07 July 2023).</w:t>
      </w:r>
    </w:p>
    <w:p w14:paraId="197108A6" w14:textId="77777777" w:rsidR="007536A9" w:rsidRDefault="007536A9" w:rsidP="006E0CD5">
      <w:r>
        <w:rPr>
          <w:i/>
          <w:iCs/>
        </w:rPr>
        <w:t>IPC Notes- Culpable Homicide and Murder</w:t>
      </w:r>
      <w:r>
        <w:t> (2023). Available at: https://lawctopus.com/clatalogue/clat-pg/ipc-notes-culpable-homicide-and-murder/ (Accessed: 7 July 2023).</w:t>
      </w:r>
    </w:p>
    <w:p w14:paraId="20658B98" w14:textId="77777777" w:rsidR="007536A9" w:rsidRDefault="007536A9" w:rsidP="009B5770">
      <w:r>
        <w:t>Post, M. (2018) </w:t>
      </w:r>
      <w:r>
        <w:rPr>
          <w:i/>
          <w:iCs/>
        </w:rPr>
        <w:t>Homicide law reform - JUSTICE</w:t>
      </w:r>
      <w:r>
        <w:t>, </w:t>
      </w:r>
      <w:r>
        <w:rPr>
          <w:i/>
          <w:iCs/>
        </w:rPr>
        <w:t>JUSTICE</w:t>
      </w:r>
      <w:r>
        <w:t>. Available at: https://justice.org.uk/homicide-law-reform/#:~:text=The%20government%20has%2C%20at%20least,now%20reduce%20murder%20to%20manslaughter. (Accessed: 7 July 2023).</w:t>
      </w:r>
    </w:p>
    <w:p w14:paraId="72A8FE0A" w14:textId="77777777" w:rsidR="007536A9" w:rsidRDefault="007536A9" w:rsidP="00EF613E">
      <w:r>
        <w:t>Post, M. (2018) </w:t>
      </w:r>
      <w:r>
        <w:rPr>
          <w:i/>
          <w:iCs/>
        </w:rPr>
        <w:t>Homicide law reform - JUSTICE</w:t>
      </w:r>
      <w:r>
        <w:t>, </w:t>
      </w:r>
      <w:r>
        <w:rPr>
          <w:i/>
          <w:iCs/>
        </w:rPr>
        <w:t>JUSTICE</w:t>
      </w:r>
      <w:r>
        <w:t>. Available at: https://justice.org.uk/homicide-law-reform/ (Accessed: 7 July 2023).</w:t>
      </w:r>
    </w:p>
    <w:p w14:paraId="5826ABD5" w14:textId="77777777" w:rsidR="007536A9" w:rsidRDefault="007536A9" w:rsidP="00E25F8E">
      <w:r>
        <w:t xml:space="preserve">Sinnamon, G. (2015) "Psychopathology and Criminal </w:t>
      </w:r>
      <w:proofErr w:type="spellStart"/>
      <w:r>
        <w:t>Behavior</w:t>
      </w:r>
      <w:proofErr w:type="spellEnd"/>
      <w:r>
        <w:t>", </w:t>
      </w:r>
      <w:r>
        <w:rPr>
          <w:i/>
          <w:iCs/>
        </w:rPr>
        <w:t>Applied Crime Analysis</w:t>
      </w:r>
      <w:r>
        <w:t xml:space="preserve">, pp. 208-252. </w:t>
      </w:r>
      <w:proofErr w:type="spellStart"/>
      <w:r>
        <w:t>doi</w:t>
      </w:r>
      <w:proofErr w:type="spellEnd"/>
      <w:r>
        <w:t>: 10.1016/b978-0-323-29460-7.00011-9.</w:t>
      </w:r>
    </w:p>
    <w:p w14:paraId="3CA4BFFE" w14:textId="77777777" w:rsidR="00EF613E" w:rsidRDefault="00EF613E" w:rsidP="00EF613E"/>
    <w:p w14:paraId="6B2D8941" w14:textId="77777777" w:rsidR="006E0CD5" w:rsidRDefault="006E0CD5" w:rsidP="006E0CD5"/>
    <w:p w14:paraId="083D9821" w14:textId="6FDE66CC" w:rsidR="002F5F9B" w:rsidRPr="002F5F9B" w:rsidRDefault="002F5F9B" w:rsidP="002F5F9B">
      <w:pPr>
        <w:rPr>
          <w:lang w:eastAsia="en-GB"/>
        </w:rPr>
      </w:pPr>
      <w:r w:rsidRPr="002F5F9B">
        <w:rPr>
          <w:lang w:eastAsia="en-GB"/>
        </w:rPr>
        <w:t xml:space="preserve"> </w:t>
      </w:r>
    </w:p>
    <w:p w14:paraId="430B9BD0" w14:textId="77777777" w:rsidR="009B5770" w:rsidRDefault="009B5770" w:rsidP="009B5770"/>
    <w:p w14:paraId="289AB871" w14:textId="77777777" w:rsidR="009B5770" w:rsidRDefault="009B5770" w:rsidP="009B5770"/>
    <w:p w14:paraId="378EA827" w14:textId="77777777" w:rsidR="00E25F8E" w:rsidRDefault="00E25F8E" w:rsidP="00E25F8E"/>
    <w:p w14:paraId="5357EDC7" w14:textId="77777777" w:rsidR="00103B79" w:rsidRPr="00103B79" w:rsidRDefault="00103B79" w:rsidP="00E25F8E">
      <w:pPr>
        <w:rPr>
          <w:lang w:eastAsia="zh-CN"/>
        </w:rPr>
      </w:pPr>
    </w:p>
    <w:sectPr w:rsidR="00103B79" w:rsidRPr="00103B79" w:rsidSect="0029755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7A9E4" w14:textId="77777777" w:rsidR="00FE6FC7" w:rsidRDefault="00FE6FC7" w:rsidP="00364A49">
      <w:pPr>
        <w:spacing w:after="0" w:line="240" w:lineRule="auto"/>
      </w:pPr>
      <w:r>
        <w:separator/>
      </w:r>
    </w:p>
  </w:endnote>
  <w:endnote w:type="continuationSeparator" w:id="0">
    <w:p w14:paraId="4625AB8B" w14:textId="77777777" w:rsidR="00FE6FC7" w:rsidRDefault="00FE6FC7" w:rsidP="00364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497356"/>
      <w:docPartObj>
        <w:docPartGallery w:val="Page Numbers (Bottom of Page)"/>
        <w:docPartUnique/>
      </w:docPartObj>
    </w:sdtPr>
    <w:sdtEndPr>
      <w:rPr>
        <w:color w:val="7F7F7F"/>
        <w:spacing w:val="60"/>
      </w:rPr>
    </w:sdtEndPr>
    <w:sdtContent>
      <w:p w14:paraId="141C969B" w14:textId="1C566707" w:rsidR="00364A49" w:rsidRDefault="00364A49" w:rsidP="00590566">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590566">
          <w:rPr>
            <w:color w:val="7F7F7F"/>
            <w:spacing w:val="60"/>
          </w:rPr>
          <w:t>Page</w:t>
        </w:r>
      </w:p>
    </w:sdtContent>
  </w:sdt>
  <w:p w14:paraId="778C6A5E" w14:textId="77777777" w:rsidR="00364A49" w:rsidRDefault="00364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585CE" w14:textId="77777777" w:rsidR="00FE6FC7" w:rsidRDefault="00FE6FC7" w:rsidP="00364A49">
      <w:pPr>
        <w:spacing w:after="0" w:line="240" w:lineRule="auto"/>
      </w:pPr>
      <w:r>
        <w:separator/>
      </w:r>
    </w:p>
  </w:footnote>
  <w:footnote w:type="continuationSeparator" w:id="0">
    <w:p w14:paraId="7CA83ECA" w14:textId="77777777" w:rsidR="00FE6FC7" w:rsidRDefault="00FE6FC7" w:rsidP="00364A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85A"/>
    <w:rsid w:val="0001685A"/>
    <w:rsid w:val="000837B4"/>
    <w:rsid w:val="00103B79"/>
    <w:rsid w:val="0011471C"/>
    <w:rsid w:val="001F1A37"/>
    <w:rsid w:val="002618AA"/>
    <w:rsid w:val="0029059B"/>
    <w:rsid w:val="00297552"/>
    <w:rsid w:val="002D3F4F"/>
    <w:rsid w:val="002F5F9B"/>
    <w:rsid w:val="00312443"/>
    <w:rsid w:val="0035339D"/>
    <w:rsid w:val="00364A49"/>
    <w:rsid w:val="00371690"/>
    <w:rsid w:val="00395FC3"/>
    <w:rsid w:val="00462DEC"/>
    <w:rsid w:val="00467055"/>
    <w:rsid w:val="00472E2A"/>
    <w:rsid w:val="004D5BF0"/>
    <w:rsid w:val="004E7F69"/>
    <w:rsid w:val="005164AA"/>
    <w:rsid w:val="00590566"/>
    <w:rsid w:val="0065091F"/>
    <w:rsid w:val="0067252E"/>
    <w:rsid w:val="00692AF9"/>
    <w:rsid w:val="006B6F46"/>
    <w:rsid w:val="006D1300"/>
    <w:rsid w:val="006E0CD5"/>
    <w:rsid w:val="0070581B"/>
    <w:rsid w:val="00736957"/>
    <w:rsid w:val="00737A10"/>
    <w:rsid w:val="007536A9"/>
    <w:rsid w:val="007F2073"/>
    <w:rsid w:val="00815621"/>
    <w:rsid w:val="00860DC6"/>
    <w:rsid w:val="008626FD"/>
    <w:rsid w:val="008844C5"/>
    <w:rsid w:val="00906DB4"/>
    <w:rsid w:val="00956F4F"/>
    <w:rsid w:val="009B5770"/>
    <w:rsid w:val="00A07FA0"/>
    <w:rsid w:val="00A4260A"/>
    <w:rsid w:val="00B52B4A"/>
    <w:rsid w:val="00B6111F"/>
    <w:rsid w:val="00BA1E1F"/>
    <w:rsid w:val="00BD32AF"/>
    <w:rsid w:val="00BE1F41"/>
    <w:rsid w:val="00E25F8E"/>
    <w:rsid w:val="00E75F98"/>
    <w:rsid w:val="00EF613E"/>
    <w:rsid w:val="00F22C9B"/>
    <w:rsid w:val="00F24966"/>
    <w:rsid w:val="00F40405"/>
    <w:rsid w:val="00F428CE"/>
    <w:rsid w:val="00F571C5"/>
    <w:rsid w:val="00FE6FC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30488"/>
  <w15:chartTrackingRefBased/>
  <w15:docId w15:val="{B5F3C39C-E7AF-4570-8220-F019ABC21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A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64A49"/>
    <w:pPr>
      <w:keepNext/>
      <w:keepLines/>
      <w:spacing w:before="240" w:after="0"/>
      <w:outlineLvl w:val="0"/>
    </w:pPr>
    <w:rPr>
      <w:rFonts w:eastAsiaTheme="majorEastAsia" w:cstheme="majorBidi"/>
      <w:b/>
      <w:szCs w:val="32"/>
    </w:rPr>
  </w:style>
  <w:style w:type="paragraph" w:styleId="Heading2">
    <w:name w:val="heading 2"/>
    <w:basedOn w:val="Heading1"/>
    <w:next w:val="Normal"/>
    <w:link w:val="Heading2Char"/>
    <w:uiPriority w:val="9"/>
    <w:unhideWhenUsed/>
    <w:qFormat/>
    <w:rsid w:val="00364A49"/>
    <w:pPr>
      <w:jc w:val="center"/>
      <w:outlineLvl w:val="1"/>
    </w:pPr>
    <w:rPr>
      <w:sz w:val="20"/>
    </w:rPr>
  </w:style>
  <w:style w:type="paragraph" w:styleId="Heading4">
    <w:name w:val="heading 4"/>
    <w:basedOn w:val="Normal"/>
    <w:next w:val="Normal"/>
    <w:link w:val="Heading4Char"/>
    <w:uiPriority w:val="9"/>
    <w:semiHidden/>
    <w:unhideWhenUsed/>
    <w:qFormat/>
    <w:rsid w:val="00E25F8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A49"/>
  </w:style>
  <w:style w:type="paragraph" w:styleId="Footer">
    <w:name w:val="footer"/>
    <w:basedOn w:val="Normal"/>
    <w:link w:val="FooterChar"/>
    <w:uiPriority w:val="99"/>
    <w:unhideWhenUsed/>
    <w:rsid w:val="00364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A49"/>
  </w:style>
  <w:style w:type="character" w:customStyle="1" w:styleId="Heading1Char">
    <w:name w:val="Heading 1 Char"/>
    <w:basedOn w:val="DefaultParagraphFont"/>
    <w:link w:val="Heading1"/>
    <w:uiPriority w:val="9"/>
    <w:rsid w:val="00364A4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64A49"/>
    <w:rPr>
      <w:rFonts w:ascii="Times New Roman" w:eastAsiaTheme="majorEastAsia" w:hAnsi="Times New Roman" w:cstheme="majorBidi"/>
      <w:b/>
      <w:sz w:val="20"/>
      <w:szCs w:val="32"/>
    </w:rPr>
  </w:style>
  <w:style w:type="paragraph" w:styleId="Title">
    <w:name w:val="Title"/>
    <w:basedOn w:val="Heading2"/>
    <w:next w:val="Normal"/>
    <w:link w:val="TitleChar"/>
    <w:uiPriority w:val="10"/>
    <w:qFormat/>
    <w:rsid w:val="00364A49"/>
    <w:rPr>
      <w:sz w:val="36"/>
    </w:rPr>
  </w:style>
  <w:style w:type="character" w:customStyle="1" w:styleId="TitleChar">
    <w:name w:val="Title Char"/>
    <w:basedOn w:val="DefaultParagraphFont"/>
    <w:link w:val="Title"/>
    <w:uiPriority w:val="10"/>
    <w:rsid w:val="00364A49"/>
    <w:rPr>
      <w:rFonts w:ascii="Times New Roman" w:eastAsiaTheme="majorEastAsia" w:hAnsi="Times New Roman" w:cstheme="majorBidi"/>
      <w:b/>
      <w:sz w:val="36"/>
      <w:szCs w:val="32"/>
    </w:rPr>
  </w:style>
  <w:style w:type="paragraph" w:styleId="NormalWeb">
    <w:name w:val="Normal (Web)"/>
    <w:basedOn w:val="Normal"/>
    <w:uiPriority w:val="99"/>
    <w:semiHidden/>
    <w:unhideWhenUsed/>
    <w:rsid w:val="00F571C5"/>
    <w:rPr>
      <w:rFonts w:cs="Times New Roman"/>
      <w:szCs w:val="24"/>
    </w:rPr>
  </w:style>
  <w:style w:type="character" w:styleId="Hyperlink">
    <w:name w:val="Hyperlink"/>
    <w:basedOn w:val="DefaultParagraphFont"/>
    <w:uiPriority w:val="99"/>
    <w:unhideWhenUsed/>
    <w:rsid w:val="00472E2A"/>
    <w:rPr>
      <w:color w:val="0563C1" w:themeColor="hyperlink"/>
      <w:u w:val="single"/>
    </w:rPr>
  </w:style>
  <w:style w:type="character" w:styleId="UnresolvedMention">
    <w:name w:val="Unresolved Mention"/>
    <w:basedOn w:val="DefaultParagraphFont"/>
    <w:uiPriority w:val="99"/>
    <w:semiHidden/>
    <w:unhideWhenUsed/>
    <w:rsid w:val="00472E2A"/>
    <w:rPr>
      <w:color w:val="605E5C"/>
      <w:shd w:val="clear" w:color="auto" w:fill="E1DFDD"/>
    </w:rPr>
  </w:style>
  <w:style w:type="character" w:customStyle="1" w:styleId="Heading4Char">
    <w:name w:val="Heading 4 Char"/>
    <w:basedOn w:val="DefaultParagraphFont"/>
    <w:link w:val="Heading4"/>
    <w:uiPriority w:val="9"/>
    <w:semiHidden/>
    <w:rsid w:val="00E25F8E"/>
    <w:rPr>
      <w:rFonts w:asciiTheme="majorHAnsi" w:eastAsiaTheme="majorEastAsia" w:hAnsiTheme="majorHAnsi" w:cstheme="majorBidi"/>
      <w:i/>
      <w:iCs/>
      <w:color w:val="2F5496" w:themeColor="accent1" w:themeShade="BF"/>
      <w:sz w:val="24"/>
    </w:rPr>
  </w:style>
  <w:style w:type="paragraph" w:styleId="IntenseQuote">
    <w:name w:val="Intense Quote"/>
    <w:basedOn w:val="Normal"/>
    <w:next w:val="Normal"/>
    <w:link w:val="IntenseQuoteChar"/>
    <w:uiPriority w:val="30"/>
    <w:qFormat/>
    <w:rsid w:val="003533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5339D"/>
    <w:rPr>
      <w:rFonts w:ascii="Times New Roman" w:hAnsi="Times New Roman"/>
      <w:i/>
      <w:iCs/>
      <w:color w:val="4472C4"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10414">
      <w:bodyDiv w:val="1"/>
      <w:marLeft w:val="0"/>
      <w:marRight w:val="0"/>
      <w:marTop w:val="0"/>
      <w:marBottom w:val="0"/>
      <w:divBdr>
        <w:top w:val="none" w:sz="0" w:space="0" w:color="auto"/>
        <w:left w:val="none" w:sz="0" w:space="0" w:color="auto"/>
        <w:bottom w:val="none" w:sz="0" w:space="0" w:color="auto"/>
        <w:right w:val="none" w:sz="0" w:space="0" w:color="auto"/>
      </w:divBdr>
    </w:div>
    <w:div w:id="372117102">
      <w:bodyDiv w:val="1"/>
      <w:marLeft w:val="0"/>
      <w:marRight w:val="0"/>
      <w:marTop w:val="0"/>
      <w:marBottom w:val="0"/>
      <w:divBdr>
        <w:top w:val="none" w:sz="0" w:space="0" w:color="auto"/>
        <w:left w:val="none" w:sz="0" w:space="0" w:color="auto"/>
        <w:bottom w:val="none" w:sz="0" w:space="0" w:color="auto"/>
        <w:right w:val="none" w:sz="0" w:space="0" w:color="auto"/>
      </w:divBdr>
    </w:div>
    <w:div w:id="722296821">
      <w:bodyDiv w:val="1"/>
      <w:marLeft w:val="0"/>
      <w:marRight w:val="0"/>
      <w:marTop w:val="0"/>
      <w:marBottom w:val="0"/>
      <w:divBdr>
        <w:top w:val="none" w:sz="0" w:space="0" w:color="auto"/>
        <w:left w:val="none" w:sz="0" w:space="0" w:color="auto"/>
        <w:bottom w:val="none" w:sz="0" w:space="0" w:color="auto"/>
        <w:right w:val="none" w:sz="0" w:space="0" w:color="auto"/>
      </w:divBdr>
    </w:div>
    <w:div w:id="897861067">
      <w:bodyDiv w:val="1"/>
      <w:marLeft w:val="0"/>
      <w:marRight w:val="0"/>
      <w:marTop w:val="0"/>
      <w:marBottom w:val="0"/>
      <w:divBdr>
        <w:top w:val="none" w:sz="0" w:space="0" w:color="auto"/>
        <w:left w:val="none" w:sz="0" w:space="0" w:color="auto"/>
        <w:bottom w:val="none" w:sz="0" w:space="0" w:color="auto"/>
        <w:right w:val="none" w:sz="0" w:space="0" w:color="auto"/>
      </w:divBdr>
    </w:div>
    <w:div w:id="920141689">
      <w:bodyDiv w:val="1"/>
      <w:marLeft w:val="0"/>
      <w:marRight w:val="0"/>
      <w:marTop w:val="0"/>
      <w:marBottom w:val="0"/>
      <w:divBdr>
        <w:top w:val="none" w:sz="0" w:space="0" w:color="auto"/>
        <w:left w:val="none" w:sz="0" w:space="0" w:color="auto"/>
        <w:bottom w:val="none" w:sz="0" w:space="0" w:color="auto"/>
        <w:right w:val="none" w:sz="0" w:space="0" w:color="auto"/>
      </w:divBdr>
    </w:div>
    <w:div w:id="1232883407">
      <w:bodyDiv w:val="1"/>
      <w:marLeft w:val="0"/>
      <w:marRight w:val="0"/>
      <w:marTop w:val="0"/>
      <w:marBottom w:val="0"/>
      <w:divBdr>
        <w:top w:val="none" w:sz="0" w:space="0" w:color="auto"/>
        <w:left w:val="none" w:sz="0" w:space="0" w:color="auto"/>
        <w:bottom w:val="none" w:sz="0" w:space="0" w:color="auto"/>
        <w:right w:val="none" w:sz="0" w:space="0" w:color="auto"/>
      </w:divBdr>
    </w:div>
    <w:div w:id="1411583867">
      <w:bodyDiv w:val="1"/>
      <w:marLeft w:val="0"/>
      <w:marRight w:val="0"/>
      <w:marTop w:val="0"/>
      <w:marBottom w:val="0"/>
      <w:divBdr>
        <w:top w:val="none" w:sz="0" w:space="0" w:color="auto"/>
        <w:left w:val="none" w:sz="0" w:space="0" w:color="auto"/>
        <w:bottom w:val="none" w:sz="0" w:space="0" w:color="auto"/>
        <w:right w:val="none" w:sz="0" w:space="0" w:color="auto"/>
      </w:divBdr>
    </w:div>
    <w:div w:id="1439720227">
      <w:bodyDiv w:val="1"/>
      <w:marLeft w:val="0"/>
      <w:marRight w:val="0"/>
      <w:marTop w:val="0"/>
      <w:marBottom w:val="0"/>
      <w:divBdr>
        <w:top w:val="none" w:sz="0" w:space="0" w:color="auto"/>
        <w:left w:val="none" w:sz="0" w:space="0" w:color="auto"/>
        <w:bottom w:val="none" w:sz="0" w:space="0" w:color="auto"/>
        <w:right w:val="none" w:sz="0" w:space="0" w:color="auto"/>
      </w:divBdr>
    </w:div>
    <w:div w:id="1451051783">
      <w:bodyDiv w:val="1"/>
      <w:marLeft w:val="0"/>
      <w:marRight w:val="0"/>
      <w:marTop w:val="0"/>
      <w:marBottom w:val="0"/>
      <w:divBdr>
        <w:top w:val="none" w:sz="0" w:space="0" w:color="auto"/>
        <w:left w:val="none" w:sz="0" w:space="0" w:color="auto"/>
        <w:bottom w:val="none" w:sz="0" w:space="0" w:color="auto"/>
        <w:right w:val="none" w:sz="0" w:space="0" w:color="auto"/>
      </w:divBdr>
    </w:div>
    <w:div w:id="1498109797">
      <w:bodyDiv w:val="1"/>
      <w:marLeft w:val="0"/>
      <w:marRight w:val="0"/>
      <w:marTop w:val="0"/>
      <w:marBottom w:val="0"/>
      <w:divBdr>
        <w:top w:val="none" w:sz="0" w:space="0" w:color="auto"/>
        <w:left w:val="none" w:sz="0" w:space="0" w:color="auto"/>
        <w:bottom w:val="none" w:sz="0" w:space="0" w:color="auto"/>
        <w:right w:val="none" w:sz="0" w:space="0" w:color="auto"/>
      </w:divBdr>
    </w:div>
    <w:div w:id="1552615233">
      <w:bodyDiv w:val="1"/>
      <w:marLeft w:val="0"/>
      <w:marRight w:val="0"/>
      <w:marTop w:val="0"/>
      <w:marBottom w:val="0"/>
      <w:divBdr>
        <w:top w:val="none" w:sz="0" w:space="0" w:color="auto"/>
        <w:left w:val="none" w:sz="0" w:space="0" w:color="auto"/>
        <w:bottom w:val="none" w:sz="0" w:space="0" w:color="auto"/>
        <w:right w:val="none" w:sz="0" w:space="0" w:color="auto"/>
      </w:divBdr>
    </w:div>
    <w:div w:id="189150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9209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Arpita Chakladar</dc:creator>
  <cp:keywords/>
  <dc:description/>
  <cp:lastModifiedBy>horlescumirelaandreea@gmail.com</cp:lastModifiedBy>
  <cp:revision>2</cp:revision>
  <dcterms:created xsi:type="dcterms:W3CDTF">2023-07-07T19:38:00Z</dcterms:created>
  <dcterms:modified xsi:type="dcterms:W3CDTF">2023-07-07T19:38:00Z</dcterms:modified>
</cp:coreProperties>
</file>