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844FFFA" w14:textId="7E7AA3E5" w:rsidR="00DC206B" w:rsidRDefault="00932A04" w:rsidP="00A51544">
      <w:pPr>
        <w:pStyle w:val="Title"/>
        <w:jc w:val="center"/>
        <w:rPr>
          <w:color w:val="538135" w:themeColor="accent6" w:themeShade="BF"/>
          <w:sz w:val="36"/>
          <w:szCs w:val="36"/>
          <w:u w:val="single"/>
        </w:rPr>
      </w:pPr>
      <w:bookmarkStart w:id="0" w:name="_GoBack"/>
      <w:bookmarkEnd w:id="0"/>
      <w:r>
        <w:rPr>
          <w:color w:val="538135" w:themeColor="accent6" w:themeShade="BF"/>
          <w:sz w:val="36"/>
          <w:szCs w:val="36"/>
          <w:u w:val="single"/>
        </w:rPr>
        <w:t xml:space="preserve">An </w:t>
      </w:r>
      <w:r w:rsidRPr="00901EC1">
        <w:rPr>
          <w:color w:val="538135"/>
          <w:sz w:val="36"/>
          <w:szCs w:val="36"/>
          <w:u w:val="single"/>
        </w:rPr>
        <w:t>investigation into factors affecting</w:t>
      </w:r>
      <w:r w:rsidR="004555E3" w:rsidRPr="00901EC1">
        <w:rPr>
          <w:color w:val="538135"/>
          <w:sz w:val="36"/>
          <w:szCs w:val="36"/>
          <w:u w:val="single"/>
        </w:rPr>
        <w:t xml:space="preserve"> tree growth at Varteg, Blaenavon</w:t>
      </w:r>
    </w:p>
    <w:sdt>
      <w:sdtPr>
        <w:rPr>
          <w:caps w:val="0"/>
          <w:color w:val="auto"/>
          <w:spacing w:val="0"/>
          <w:sz w:val="20"/>
          <w:szCs w:val="20"/>
        </w:rPr>
        <w:id w:val="-8998322"/>
        <w:docPartObj>
          <w:docPartGallery w:val="Table of Contents"/>
          <w:docPartUnique/>
        </w:docPartObj>
      </w:sdtPr>
      <w:sdtEndPr>
        <w:rPr>
          <w:b/>
          <w:bCs/>
          <w:noProof/>
        </w:rPr>
      </w:sdtEndPr>
      <w:sdtContent>
        <w:p w14:paraId="6A1CFB60" w14:textId="77777777" w:rsidR="004555E3" w:rsidRDefault="004555E3" w:rsidP="00DD0B01">
          <w:pPr>
            <w:pStyle w:val="TOCHeading"/>
            <w:shd w:val="clear" w:color="auto" w:fill="538135"/>
          </w:pPr>
          <w:r>
            <w:t>Table of Contents</w:t>
          </w:r>
        </w:p>
        <w:p w14:paraId="224FA5A2" w14:textId="2D44EACB" w:rsidR="00A067A1" w:rsidRDefault="004555E3">
          <w:pPr>
            <w:pStyle w:val="TOC2"/>
            <w:tabs>
              <w:tab w:val="right" w:leader="dot" w:pos="9016"/>
            </w:tabs>
            <w:rPr>
              <w:noProof/>
              <w:sz w:val="22"/>
              <w:szCs w:val="22"/>
              <w:lang w:eastAsia="en-GB"/>
            </w:rPr>
          </w:pPr>
          <w:r>
            <w:fldChar w:fldCharType="begin"/>
          </w:r>
          <w:r>
            <w:instrText xml:space="preserve"> TOC \o "1-3" \h \z \u </w:instrText>
          </w:r>
          <w:r>
            <w:fldChar w:fldCharType="separate"/>
          </w:r>
          <w:hyperlink w:anchor="_Toc26805700" w:history="1">
            <w:r w:rsidR="00A067A1" w:rsidRPr="0046362D">
              <w:rPr>
                <w:rStyle w:val="Hyperlink"/>
                <w:noProof/>
              </w:rPr>
              <w:t>Introduction</w:t>
            </w:r>
            <w:r w:rsidR="00A067A1">
              <w:rPr>
                <w:noProof/>
                <w:webHidden/>
              </w:rPr>
              <w:tab/>
            </w:r>
            <w:r w:rsidR="00A067A1">
              <w:rPr>
                <w:noProof/>
                <w:webHidden/>
              </w:rPr>
              <w:fldChar w:fldCharType="begin"/>
            </w:r>
            <w:r w:rsidR="00A067A1">
              <w:rPr>
                <w:noProof/>
                <w:webHidden/>
              </w:rPr>
              <w:instrText xml:space="preserve"> PAGEREF _Toc26805700 \h </w:instrText>
            </w:r>
            <w:r w:rsidR="00A067A1">
              <w:rPr>
                <w:noProof/>
                <w:webHidden/>
              </w:rPr>
            </w:r>
            <w:r w:rsidR="00A067A1">
              <w:rPr>
                <w:noProof/>
                <w:webHidden/>
              </w:rPr>
              <w:fldChar w:fldCharType="separate"/>
            </w:r>
            <w:r w:rsidR="00A067A1">
              <w:rPr>
                <w:noProof/>
                <w:webHidden/>
              </w:rPr>
              <w:t>1</w:t>
            </w:r>
            <w:r w:rsidR="00A067A1">
              <w:rPr>
                <w:noProof/>
                <w:webHidden/>
              </w:rPr>
              <w:fldChar w:fldCharType="end"/>
            </w:r>
          </w:hyperlink>
        </w:p>
        <w:p w14:paraId="6491EB07" w14:textId="036C7213" w:rsidR="00A067A1" w:rsidRDefault="009A2CCF">
          <w:pPr>
            <w:pStyle w:val="TOC2"/>
            <w:tabs>
              <w:tab w:val="right" w:leader="dot" w:pos="9016"/>
            </w:tabs>
            <w:rPr>
              <w:noProof/>
              <w:sz w:val="22"/>
              <w:szCs w:val="22"/>
              <w:lang w:eastAsia="en-GB"/>
            </w:rPr>
          </w:pPr>
          <w:hyperlink w:anchor="_Toc26805701" w:history="1">
            <w:r w:rsidR="00A067A1" w:rsidRPr="0046362D">
              <w:rPr>
                <w:rStyle w:val="Hyperlink"/>
                <w:noProof/>
              </w:rPr>
              <w:t>Methodology</w:t>
            </w:r>
            <w:r w:rsidR="00A067A1">
              <w:rPr>
                <w:noProof/>
                <w:webHidden/>
              </w:rPr>
              <w:tab/>
            </w:r>
            <w:r w:rsidR="00A067A1">
              <w:rPr>
                <w:noProof/>
                <w:webHidden/>
              </w:rPr>
              <w:fldChar w:fldCharType="begin"/>
            </w:r>
            <w:r w:rsidR="00A067A1">
              <w:rPr>
                <w:noProof/>
                <w:webHidden/>
              </w:rPr>
              <w:instrText xml:space="preserve"> PAGEREF _Toc26805701 \h </w:instrText>
            </w:r>
            <w:r w:rsidR="00A067A1">
              <w:rPr>
                <w:noProof/>
                <w:webHidden/>
              </w:rPr>
            </w:r>
            <w:r w:rsidR="00A067A1">
              <w:rPr>
                <w:noProof/>
                <w:webHidden/>
              </w:rPr>
              <w:fldChar w:fldCharType="separate"/>
            </w:r>
            <w:r w:rsidR="00A067A1">
              <w:rPr>
                <w:noProof/>
                <w:webHidden/>
              </w:rPr>
              <w:t>1</w:t>
            </w:r>
            <w:r w:rsidR="00A067A1">
              <w:rPr>
                <w:noProof/>
                <w:webHidden/>
              </w:rPr>
              <w:fldChar w:fldCharType="end"/>
            </w:r>
          </w:hyperlink>
        </w:p>
        <w:p w14:paraId="4CF247B4" w14:textId="151369E7" w:rsidR="00A067A1" w:rsidRDefault="009A2CCF">
          <w:pPr>
            <w:pStyle w:val="TOC2"/>
            <w:tabs>
              <w:tab w:val="right" w:leader="dot" w:pos="9016"/>
            </w:tabs>
            <w:rPr>
              <w:noProof/>
              <w:sz w:val="22"/>
              <w:szCs w:val="22"/>
              <w:lang w:eastAsia="en-GB"/>
            </w:rPr>
          </w:pPr>
          <w:hyperlink w:anchor="_Toc26805702" w:history="1">
            <w:r w:rsidR="00A067A1" w:rsidRPr="0046362D">
              <w:rPr>
                <w:rStyle w:val="Hyperlink"/>
                <w:noProof/>
              </w:rPr>
              <w:t>Results</w:t>
            </w:r>
            <w:r w:rsidR="00A067A1">
              <w:rPr>
                <w:noProof/>
                <w:webHidden/>
              </w:rPr>
              <w:tab/>
            </w:r>
            <w:r w:rsidR="00A067A1">
              <w:rPr>
                <w:noProof/>
                <w:webHidden/>
              </w:rPr>
              <w:fldChar w:fldCharType="begin"/>
            </w:r>
            <w:r w:rsidR="00A067A1">
              <w:rPr>
                <w:noProof/>
                <w:webHidden/>
              </w:rPr>
              <w:instrText xml:space="preserve"> PAGEREF _Toc26805702 \h </w:instrText>
            </w:r>
            <w:r w:rsidR="00A067A1">
              <w:rPr>
                <w:noProof/>
                <w:webHidden/>
              </w:rPr>
            </w:r>
            <w:r w:rsidR="00A067A1">
              <w:rPr>
                <w:noProof/>
                <w:webHidden/>
              </w:rPr>
              <w:fldChar w:fldCharType="separate"/>
            </w:r>
            <w:r w:rsidR="00A067A1">
              <w:rPr>
                <w:noProof/>
                <w:webHidden/>
              </w:rPr>
              <w:t>3</w:t>
            </w:r>
            <w:r w:rsidR="00A067A1">
              <w:rPr>
                <w:noProof/>
                <w:webHidden/>
              </w:rPr>
              <w:fldChar w:fldCharType="end"/>
            </w:r>
          </w:hyperlink>
        </w:p>
        <w:p w14:paraId="05B5AE45" w14:textId="7BF10495" w:rsidR="00A067A1" w:rsidRDefault="009A2CCF">
          <w:pPr>
            <w:pStyle w:val="TOC2"/>
            <w:tabs>
              <w:tab w:val="right" w:leader="dot" w:pos="9016"/>
            </w:tabs>
            <w:rPr>
              <w:noProof/>
              <w:sz w:val="22"/>
              <w:szCs w:val="22"/>
              <w:lang w:eastAsia="en-GB"/>
            </w:rPr>
          </w:pPr>
          <w:hyperlink w:anchor="_Toc26805703" w:history="1">
            <w:r w:rsidR="00A067A1" w:rsidRPr="0046362D">
              <w:rPr>
                <w:rStyle w:val="Hyperlink"/>
                <w:noProof/>
              </w:rPr>
              <w:t>Discussion</w:t>
            </w:r>
            <w:r w:rsidR="00A067A1">
              <w:rPr>
                <w:noProof/>
                <w:webHidden/>
              </w:rPr>
              <w:tab/>
            </w:r>
            <w:r w:rsidR="00A067A1">
              <w:rPr>
                <w:noProof/>
                <w:webHidden/>
              </w:rPr>
              <w:fldChar w:fldCharType="begin"/>
            </w:r>
            <w:r w:rsidR="00A067A1">
              <w:rPr>
                <w:noProof/>
                <w:webHidden/>
              </w:rPr>
              <w:instrText xml:space="preserve"> PAGEREF _Toc26805703 \h </w:instrText>
            </w:r>
            <w:r w:rsidR="00A067A1">
              <w:rPr>
                <w:noProof/>
                <w:webHidden/>
              </w:rPr>
            </w:r>
            <w:r w:rsidR="00A067A1">
              <w:rPr>
                <w:noProof/>
                <w:webHidden/>
              </w:rPr>
              <w:fldChar w:fldCharType="separate"/>
            </w:r>
            <w:r w:rsidR="00A067A1">
              <w:rPr>
                <w:noProof/>
                <w:webHidden/>
              </w:rPr>
              <w:t>5</w:t>
            </w:r>
            <w:r w:rsidR="00A067A1">
              <w:rPr>
                <w:noProof/>
                <w:webHidden/>
              </w:rPr>
              <w:fldChar w:fldCharType="end"/>
            </w:r>
          </w:hyperlink>
        </w:p>
        <w:p w14:paraId="25EB336E" w14:textId="616D5ECD" w:rsidR="00A067A1" w:rsidRDefault="009A2CCF">
          <w:pPr>
            <w:pStyle w:val="TOC2"/>
            <w:tabs>
              <w:tab w:val="right" w:leader="dot" w:pos="9016"/>
            </w:tabs>
            <w:rPr>
              <w:noProof/>
              <w:sz w:val="22"/>
              <w:szCs w:val="22"/>
              <w:lang w:eastAsia="en-GB"/>
            </w:rPr>
          </w:pPr>
          <w:hyperlink w:anchor="_Toc26805704" w:history="1">
            <w:r w:rsidR="00A067A1" w:rsidRPr="0046362D">
              <w:rPr>
                <w:rStyle w:val="Hyperlink"/>
                <w:noProof/>
              </w:rPr>
              <w:t>Conclusion</w:t>
            </w:r>
            <w:r w:rsidR="00A067A1">
              <w:rPr>
                <w:noProof/>
                <w:webHidden/>
              </w:rPr>
              <w:tab/>
            </w:r>
            <w:r w:rsidR="00A067A1">
              <w:rPr>
                <w:noProof/>
                <w:webHidden/>
              </w:rPr>
              <w:fldChar w:fldCharType="begin"/>
            </w:r>
            <w:r w:rsidR="00A067A1">
              <w:rPr>
                <w:noProof/>
                <w:webHidden/>
              </w:rPr>
              <w:instrText xml:space="preserve"> PAGEREF _Toc26805704 \h </w:instrText>
            </w:r>
            <w:r w:rsidR="00A067A1">
              <w:rPr>
                <w:noProof/>
                <w:webHidden/>
              </w:rPr>
            </w:r>
            <w:r w:rsidR="00A067A1">
              <w:rPr>
                <w:noProof/>
                <w:webHidden/>
              </w:rPr>
              <w:fldChar w:fldCharType="separate"/>
            </w:r>
            <w:r w:rsidR="00A067A1">
              <w:rPr>
                <w:noProof/>
                <w:webHidden/>
              </w:rPr>
              <w:t>6</w:t>
            </w:r>
            <w:r w:rsidR="00A067A1">
              <w:rPr>
                <w:noProof/>
                <w:webHidden/>
              </w:rPr>
              <w:fldChar w:fldCharType="end"/>
            </w:r>
          </w:hyperlink>
        </w:p>
        <w:p w14:paraId="4B20DCCD" w14:textId="30EE8ED1" w:rsidR="00A067A1" w:rsidRDefault="009A2CCF">
          <w:pPr>
            <w:pStyle w:val="TOC2"/>
            <w:tabs>
              <w:tab w:val="right" w:leader="dot" w:pos="9016"/>
            </w:tabs>
            <w:rPr>
              <w:noProof/>
              <w:sz w:val="22"/>
              <w:szCs w:val="22"/>
              <w:lang w:eastAsia="en-GB"/>
            </w:rPr>
          </w:pPr>
          <w:hyperlink w:anchor="_Toc26805705" w:history="1">
            <w:r w:rsidR="00A067A1" w:rsidRPr="0046362D">
              <w:rPr>
                <w:rStyle w:val="Hyperlink"/>
                <w:noProof/>
              </w:rPr>
              <w:t>References</w:t>
            </w:r>
            <w:r w:rsidR="00A067A1">
              <w:rPr>
                <w:noProof/>
                <w:webHidden/>
              </w:rPr>
              <w:tab/>
            </w:r>
            <w:r w:rsidR="00A067A1">
              <w:rPr>
                <w:noProof/>
                <w:webHidden/>
              </w:rPr>
              <w:fldChar w:fldCharType="begin"/>
            </w:r>
            <w:r w:rsidR="00A067A1">
              <w:rPr>
                <w:noProof/>
                <w:webHidden/>
              </w:rPr>
              <w:instrText xml:space="preserve"> PAGEREF _Toc26805705 \h </w:instrText>
            </w:r>
            <w:r w:rsidR="00A067A1">
              <w:rPr>
                <w:noProof/>
                <w:webHidden/>
              </w:rPr>
            </w:r>
            <w:r w:rsidR="00A067A1">
              <w:rPr>
                <w:noProof/>
                <w:webHidden/>
              </w:rPr>
              <w:fldChar w:fldCharType="separate"/>
            </w:r>
            <w:r w:rsidR="00A067A1">
              <w:rPr>
                <w:noProof/>
                <w:webHidden/>
              </w:rPr>
              <w:t>6</w:t>
            </w:r>
            <w:r w:rsidR="00A067A1">
              <w:rPr>
                <w:noProof/>
                <w:webHidden/>
              </w:rPr>
              <w:fldChar w:fldCharType="end"/>
            </w:r>
          </w:hyperlink>
        </w:p>
        <w:p w14:paraId="74E47EBE" w14:textId="5CCF043F" w:rsidR="004555E3" w:rsidRDefault="004555E3">
          <w:r>
            <w:rPr>
              <w:b/>
              <w:bCs/>
              <w:noProof/>
            </w:rPr>
            <w:fldChar w:fldCharType="end"/>
          </w:r>
        </w:p>
      </w:sdtContent>
    </w:sdt>
    <w:p w14:paraId="7CDF3C4D" w14:textId="77777777" w:rsidR="004555E3" w:rsidRDefault="004555E3" w:rsidP="00901EC1">
      <w:pPr>
        <w:pStyle w:val="Heading2"/>
        <w:shd w:val="clear" w:color="auto" w:fill="DBECD0"/>
      </w:pPr>
      <w:bookmarkStart w:id="1" w:name="_Toc26805700"/>
      <w:r>
        <w:t>Introduction</w:t>
      </w:r>
      <w:bookmarkEnd w:id="1"/>
    </w:p>
    <w:p w14:paraId="25686DDD" w14:textId="7ED77F46" w:rsidR="00AC47A2" w:rsidRDefault="003665A3" w:rsidP="004555E3">
      <w:r>
        <w:t xml:space="preserve">Varteg </w:t>
      </w:r>
      <w:r w:rsidR="00581288">
        <w:t>H</w:t>
      </w:r>
      <w:r>
        <w:t>ill</w:t>
      </w:r>
      <w:r w:rsidR="00581288">
        <w:t xml:space="preserve"> lies within the </w:t>
      </w:r>
      <w:r w:rsidR="005C097D">
        <w:t>S</w:t>
      </w:r>
      <w:r w:rsidR="00581288">
        <w:t xml:space="preserve">outh Wales Coalfield, with heavy </w:t>
      </w:r>
      <w:r w:rsidR="005C097D">
        <w:t>opencast coal mining</w:t>
      </w:r>
      <w:r w:rsidR="00AC47A2">
        <w:t xml:space="preserve"> </w:t>
      </w:r>
      <w:r w:rsidR="00581288">
        <w:t>taking place from the late 18</w:t>
      </w:r>
      <w:r w:rsidR="00581288" w:rsidRPr="00581288">
        <w:rPr>
          <w:vertAlign w:val="superscript"/>
        </w:rPr>
        <w:t>th</w:t>
      </w:r>
      <w:r w:rsidR="00581288">
        <w:t xml:space="preserve"> century </w:t>
      </w:r>
      <w:r w:rsidR="002A6291">
        <w:t xml:space="preserve">(Abersychan and Garndiffaith Local History Group 2018) </w:t>
      </w:r>
      <w:r w:rsidR="00581288">
        <w:t>until the site’s</w:t>
      </w:r>
      <w:r w:rsidR="002A6291">
        <w:t xml:space="preserve"> designation</w:t>
      </w:r>
      <w:r w:rsidR="00581288">
        <w:t xml:space="preserve"> for land reclamation in 19</w:t>
      </w:r>
      <w:r w:rsidR="002A6291">
        <w:t>63</w:t>
      </w:r>
      <w:r w:rsidR="004F54D1">
        <w:t xml:space="preserve"> (Cradle For Nature 2019)</w:t>
      </w:r>
      <w:r w:rsidR="002A6291">
        <w:t>.</w:t>
      </w:r>
      <w:r w:rsidR="00AC47A2">
        <w:t xml:space="preserve"> </w:t>
      </w:r>
      <w:r w:rsidR="005C097D">
        <w:t>This former mine spoil’s land is contaminated by cadmium, copper, manganese, lead and zinc</w:t>
      </w:r>
      <w:r w:rsidR="002B03F4">
        <w:t xml:space="preserve"> (Haigh et al, 2013)</w:t>
      </w:r>
      <w:r w:rsidR="005C097D">
        <w:t>, so after an ill-fated attempt to transform it into grassland for open grazing from 1963, including grass seeding trials, Varteg Hill Reclamation became a phytoremediation site in 1990 (Cradle For Nature 2019).</w:t>
      </w:r>
      <w:r w:rsidR="005E5A1C">
        <w:t xml:space="preserve"> </w:t>
      </w:r>
      <w:r w:rsidR="004D43FB">
        <w:t>This site has faced many issues, such as extreme soil compaction thanks to its past as a mine spoil, along with gullying and accelerated runoff, making it relatively inhospitable in earlier years, and are issues likely exacerbated by poor land husbandry during its period as common land (Haigh, M, 1992)</w:t>
      </w:r>
      <w:r w:rsidR="00A77AFC">
        <w:t>.</w:t>
      </w:r>
    </w:p>
    <w:p w14:paraId="5B0D43CC" w14:textId="4BFFD2D6" w:rsidR="00A77AFC" w:rsidRDefault="00A77AFC" w:rsidP="004555E3">
      <w:r>
        <w:t>The project was taken over by Oxford Brookes University and University of Wales Trinity St David (formerly Swansea Metropolitan) in 2005, with a new plot acquired in 2006, with four blocks of 100 trees planted. A group of Environmental Conservation students from the University of Wales Trinity St David were taken up to this part of the</w:t>
      </w:r>
      <w:r w:rsidR="0021692F">
        <w:t xml:space="preserve"> </w:t>
      </w:r>
      <w:r>
        <w:t>site on the 15</w:t>
      </w:r>
      <w:r w:rsidRPr="00AD7966">
        <w:rPr>
          <w:vertAlign w:val="superscript"/>
        </w:rPr>
        <w:t>th</w:t>
      </w:r>
      <w:r>
        <w:t xml:space="preserve"> of October 2019 to assess quality of tree growth, and to identify any patterns of mortality. </w:t>
      </w:r>
      <w:r w:rsidR="001527C9">
        <w:t xml:space="preserve">This report </w:t>
      </w:r>
      <w:r w:rsidR="005B16A6">
        <w:t xml:space="preserve">will </w:t>
      </w:r>
      <w:r w:rsidR="004C456F">
        <w:t xml:space="preserve">take a more detailed </w:t>
      </w:r>
      <w:r w:rsidR="001527C9">
        <w:t xml:space="preserve">look into the 100 trees </w:t>
      </w:r>
      <w:r w:rsidR="004C456F">
        <w:t>planted in</w:t>
      </w:r>
      <w:r w:rsidR="001527C9">
        <w:t xml:space="preserve"> block B</w:t>
      </w:r>
      <w:r w:rsidR="004C456F">
        <w:t>, analysing the 1</w:t>
      </w:r>
      <w:r w:rsidR="005B16A6">
        <w:t>3</w:t>
      </w:r>
      <w:r w:rsidR="004C456F">
        <w:t xml:space="preserve"> years of data, including from October 2019.</w:t>
      </w:r>
    </w:p>
    <w:p w14:paraId="3456E1C1" w14:textId="77777777" w:rsidR="004555E3" w:rsidRDefault="004555E3" w:rsidP="004555E3">
      <w:pPr>
        <w:pStyle w:val="Heading2"/>
      </w:pPr>
      <w:bookmarkStart w:id="2" w:name="_Toc26805701"/>
      <w:r>
        <w:t>Methodology</w:t>
      </w:r>
      <w:bookmarkEnd w:id="2"/>
    </w:p>
    <w:p w14:paraId="1888AFA2" w14:textId="3BC6694C" w:rsidR="006850CB" w:rsidRDefault="00533BBC" w:rsidP="006850CB">
      <w:pPr>
        <w:rPr>
          <w:iCs/>
        </w:rPr>
      </w:pPr>
      <w:r>
        <w:t>Five main species of tree were chosen for this site, with a view to returning the site to its origin</w:t>
      </w:r>
      <w:r w:rsidR="006850CB">
        <w:t xml:space="preserve">al </w:t>
      </w:r>
      <w:r>
        <w:t>oak woodland</w:t>
      </w:r>
      <w:r w:rsidR="00A51775">
        <w:t>: alder (</w:t>
      </w:r>
      <w:r w:rsidR="00A51775">
        <w:rPr>
          <w:i/>
          <w:iCs/>
        </w:rPr>
        <w:t>a</w:t>
      </w:r>
      <w:r w:rsidR="00A51775" w:rsidRPr="00A51775">
        <w:rPr>
          <w:i/>
          <w:iCs/>
        </w:rPr>
        <w:t>lnus glutinosa</w:t>
      </w:r>
      <w:r w:rsidR="00A51775">
        <w:t>), sessile oak (</w:t>
      </w:r>
      <w:r w:rsidR="00A51775">
        <w:rPr>
          <w:i/>
          <w:iCs/>
        </w:rPr>
        <w:t>q</w:t>
      </w:r>
      <w:r w:rsidR="00A51775" w:rsidRPr="00A51775">
        <w:rPr>
          <w:i/>
          <w:iCs/>
        </w:rPr>
        <w:t>uercus petrea</w:t>
      </w:r>
      <w:r w:rsidR="00A51775">
        <w:t>), silver birch</w:t>
      </w:r>
      <w:r w:rsidR="002B03F4">
        <w:t xml:space="preserve"> </w:t>
      </w:r>
      <w:r w:rsidR="00A51775">
        <w:t>(</w:t>
      </w:r>
      <w:r w:rsidR="00A51775">
        <w:rPr>
          <w:i/>
          <w:iCs/>
        </w:rPr>
        <w:t>b</w:t>
      </w:r>
      <w:r w:rsidR="00A51775" w:rsidRPr="00A51775">
        <w:rPr>
          <w:i/>
          <w:iCs/>
        </w:rPr>
        <w:t>etula pendular</w:t>
      </w:r>
      <w:r w:rsidR="00A51775">
        <w:t>), downy birch</w:t>
      </w:r>
      <w:r w:rsidR="002B03F4">
        <w:t xml:space="preserve"> </w:t>
      </w:r>
      <w:r w:rsidR="00A51775">
        <w:t>(</w:t>
      </w:r>
      <w:r w:rsidR="00A51775">
        <w:rPr>
          <w:i/>
          <w:iCs/>
        </w:rPr>
        <w:t>b</w:t>
      </w:r>
      <w:r w:rsidR="00A51775" w:rsidRPr="00A51775">
        <w:rPr>
          <w:i/>
          <w:iCs/>
        </w:rPr>
        <w:t>etula pubescens</w:t>
      </w:r>
      <w:r w:rsidR="00A51775">
        <w:t>) and goat willow (</w:t>
      </w:r>
      <w:r w:rsidR="00A51775">
        <w:rPr>
          <w:i/>
          <w:iCs/>
        </w:rPr>
        <w:t>s</w:t>
      </w:r>
      <w:r w:rsidR="00A51775" w:rsidRPr="00A51775">
        <w:rPr>
          <w:i/>
          <w:iCs/>
        </w:rPr>
        <w:t>alix caprea</w:t>
      </w:r>
      <w:r w:rsidR="00A51775">
        <w:rPr>
          <w:i/>
          <w:iCs/>
        </w:rPr>
        <w:t>)</w:t>
      </w:r>
      <w:r w:rsidR="00222DFF">
        <w:rPr>
          <w:iCs/>
        </w:rPr>
        <w:t xml:space="preserve">. </w:t>
      </w:r>
      <w:r w:rsidR="006850CB">
        <w:rPr>
          <w:iCs/>
        </w:rPr>
        <w:t>Alder and silver birch are known as ‘pioneer species’ for being relatively undemanding, while encouraging the propagation of other plant species, along with being hyperaccumulators of heavy metals (Desai et al, 2019), like those that contaminate the soil at Varteg. There were also some assorted mixed species of tree, including whitebeam (</w:t>
      </w:r>
      <w:r w:rsidR="006850CB">
        <w:rPr>
          <w:i/>
          <w:iCs/>
        </w:rPr>
        <w:t>sorbus aria</w:t>
      </w:r>
      <w:r w:rsidR="006850CB">
        <w:rPr>
          <w:iCs/>
        </w:rPr>
        <w:t>) and spindle (</w:t>
      </w:r>
      <w:r w:rsidR="002B03F4">
        <w:rPr>
          <w:i/>
          <w:iCs/>
        </w:rPr>
        <w:t>e</w:t>
      </w:r>
      <w:r w:rsidR="006850CB" w:rsidRPr="006850CB">
        <w:rPr>
          <w:i/>
          <w:iCs/>
        </w:rPr>
        <w:t>uonymus europaeu</w:t>
      </w:r>
      <w:r w:rsidR="006850CB">
        <w:rPr>
          <w:i/>
          <w:iCs/>
        </w:rPr>
        <w:t>s)</w:t>
      </w:r>
      <w:r w:rsidR="006D177D">
        <w:rPr>
          <w:iCs/>
        </w:rPr>
        <w:t xml:space="preserve">, but in relatively small quantities. </w:t>
      </w:r>
      <w:r w:rsidR="009B47BC">
        <w:rPr>
          <w:iCs/>
        </w:rPr>
        <w:t xml:space="preserve">The saplings were planted </w:t>
      </w:r>
      <w:r w:rsidR="00AD0C86">
        <w:rPr>
          <w:iCs/>
        </w:rPr>
        <w:t xml:space="preserve">in November of 2006 </w:t>
      </w:r>
      <w:r w:rsidR="009B47BC">
        <w:rPr>
          <w:iCs/>
        </w:rPr>
        <w:t>using the ‘notch planting’ method, the forestry standard method</w:t>
      </w:r>
      <w:r w:rsidR="00A9763C">
        <w:rPr>
          <w:iCs/>
        </w:rPr>
        <w:t xml:space="preserve"> (Haigh et al, 2013)</w:t>
      </w:r>
      <w:r w:rsidR="009B47BC">
        <w:rPr>
          <w:iCs/>
        </w:rPr>
        <w:t>, on ground ploughed by the farmer that previously presided over the land.</w:t>
      </w:r>
      <w:r w:rsidR="00AD0C86">
        <w:rPr>
          <w:iCs/>
        </w:rPr>
        <w:t xml:space="preserve"> </w:t>
      </w:r>
      <w:r w:rsidR="00421769">
        <w:rPr>
          <w:iCs/>
        </w:rPr>
        <w:t xml:space="preserve">The site was split into four plots, A, B, C and D, with 100 trees planted per plot, using the latin square pattern, with this report focusing on plot B, which is divided into four blocks of 25, B1, B2, B3 and B4. In this plot, there were 14 alders planted (although one was wrongly assumed to be an oak), 17 downy birches, 14 silver birches, 14 goat willows, 34 sessile oaks and 7 trees planted of a variety of other species. This was done to test which species of tree are best suited to this environment, with the goal of the </w:t>
      </w:r>
      <w:r w:rsidR="00421769">
        <w:rPr>
          <w:iCs/>
        </w:rPr>
        <w:lastRenderedPageBreak/>
        <w:t xml:space="preserve">hyperaccumulators (alder and silver birch) </w:t>
      </w:r>
      <w:r w:rsidR="002B03F4">
        <w:rPr>
          <w:iCs/>
        </w:rPr>
        <w:t xml:space="preserve">especially </w:t>
      </w:r>
      <w:r w:rsidR="00421769">
        <w:rPr>
          <w:iCs/>
        </w:rPr>
        <w:t xml:space="preserve">improving the soil quality by increased uptake of heavy metals. </w:t>
      </w:r>
    </w:p>
    <w:p w14:paraId="312F79AA" w14:textId="432CE950" w:rsidR="002A692A" w:rsidRDefault="002A692A" w:rsidP="002A692A">
      <w:pPr>
        <w:pStyle w:val="Caption"/>
        <w:framePr w:hSpace="180" w:wrap="around" w:vAnchor="text" w:hAnchor="page" w:x="5626" w:y="6089"/>
      </w:pPr>
      <w:r>
        <w:t xml:space="preserve">Figure </w:t>
      </w:r>
      <w:r w:rsidR="009A2CCF">
        <w:fldChar w:fldCharType="begin"/>
      </w:r>
      <w:r w:rsidR="009A2CCF">
        <w:instrText xml:space="preserve"> SEQ Figure \* ARABIC </w:instrText>
      </w:r>
      <w:r w:rsidR="009A2CCF">
        <w:fldChar w:fldCharType="separate"/>
      </w:r>
      <w:r>
        <w:rPr>
          <w:noProof/>
        </w:rPr>
        <w:t>1</w:t>
      </w:r>
      <w:r w:rsidR="009A2CCF">
        <w:rPr>
          <w:noProof/>
        </w:rPr>
        <w:fldChar w:fldCharType="end"/>
      </w:r>
      <w:r>
        <w:t xml:space="preserve"> showing the vitality index created</w:t>
      </w:r>
    </w:p>
    <w:p w14:paraId="4B3F94C2" w14:textId="440C1A97" w:rsidR="00DF067C" w:rsidRDefault="006612D0" w:rsidP="006850CB">
      <w:pPr>
        <w:rPr>
          <w:iCs/>
        </w:rPr>
      </w:pPr>
      <w:r>
        <w:rPr>
          <w:noProof/>
          <w:lang w:eastAsia="zh-CN"/>
        </w:rPr>
        <mc:AlternateContent>
          <mc:Choice Requires="wps">
            <w:drawing>
              <wp:anchor distT="0" distB="0" distL="114300" distR="114300" simplePos="0" relativeHeight="251689984" behindDoc="0" locked="0" layoutInCell="1" allowOverlap="1" wp14:anchorId="1F64F89C" wp14:editId="1A1AEDB1">
                <wp:simplePos x="0" y="0"/>
                <wp:positionH relativeFrom="column">
                  <wp:posOffset>-215900</wp:posOffset>
                </wp:positionH>
                <wp:positionV relativeFrom="paragraph">
                  <wp:posOffset>5493385</wp:posOffset>
                </wp:positionV>
                <wp:extent cx="2504440"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2504440" cy="635"/>
                        </a:xfrm>
                        <a:prstGeom prst="rect">
                          <a:avLst/>
                        </a:prstGeom>
                        <a:solidFill>
                          <a:prstClr val="white"/>
                        </a:solidFill>
                        <a:ln>
                          <a:noFill/>
                        </a:ln>
                      </wps:spPr>
                      <wps:txbx>
                        <w:txbxContent>
                          <w:p w14:paraId="0FD6F1EF" w14:textId="2EC6CD53" w:rsidR="006612D0" w:rsidRPr="005045DA" w:rsidRDefault="006612D0" w:rsidP="006612D0">
                            <w:pPr>
                              <w:pStyle w:val="Caption"/>
                              <w:rPr>
                                <w:noProof/>
                                <w:sz w:val="20"/>
                                <w:szCs w:val="20"/>
                              </w:rPr>
                            </w:pPr>
                            <w:r>
                              <w:t xml:space="preserve">Figure </w:t>
                            </w:r>
                            <w:r w:rsidR="009A2CCF">
                              <w:fldChar w:fldCharType="begin"/>
                            </w:r>
                            <w:r w:rsidR="009A2CCF">
                              <w:instrText xml:space="preserve"> SEQ Figure \* ARABIC </w:instrText>
                            </w:r>
                            <w:r w:rsidR="009A2CCF">
                              <w:fldChar w:fldCharType="separate"/>
                            </w:r>
                            <w:r w:rsidR="002A692A">
                              <w:rPr>
                                <w:noProof/>
                              </w:rPr>
                              <w:t>2</w:t>
                            </w:r>
                            <w:r w:rsidR="009A2CCF">
                              <w:rPr>
                                <w:noProof/>
                              </w:rPr>
                              <w:fldChar w:fldCharType="end"/>
                            </w:r>
                            <w:r>
                              <w:t xml:space="preserve"> showing a tree's metal number tag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1F64F89C" id="_x0000_t202" coordsize="21600,21600" o:spt="202" path="m,l,21600r21600,l21600,xe">
                <v:stroke joinstyle="miter"/>
                <v:path gradientshapeok="t" o:connecttype="rect"/>
              </v:shapetype>
              <v:shape id="Text Box 5" o:spid="_x0000_s1026" type="#_x0000_t202" style="position:absolute;margin-left:-17pt;margin-top:432.55pt;width:197.2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4t/LQIAAF0EAAAOAAAAZHJzL2Uyb0RvYy54bWysVMGO2jAQvVfqP1i+lwCFVRURVpQVVSW0&#10;uxJUezaOQyw5HndsSOjXd+wQtt32VPXijGfGY7/3ZrK47xrDzgq9BlvwyWjMmbISSm2PBf+233z4&#10;xJkPwpbCgFUFvyjP75fv3y1al6sp1GBKhYyKWJ+3ruB1CC7PMi9r1Qg/AqcsBSvARgTa4jErUbRU&#10;vTHZdDy+y1rA0iFI5T15H/ogX6b6VaVkeKoqrwIzBae3hbRiWg9xzZYLkR9RuFrL6zPEP7yiEdrS&#10;pbdSDyIIdkL9R6lGSwQPVRhJaDKoKi1VwkBoJuM3aHa1cCphIXK8u9Hk/19Z+Xh+RqbLgs85s6Ih&#10;ifaqC+wzdGwe2Wmdzylp5ygtdOQmlQe/J2cE3VXYxC/BYRQnni83bmMxSc7pfDybzSgkKXb3MdXO&#10;Xo869OGLgoZFo+BIwiU+xXnrAz2DUoeUeJMHo8uNNiZuYmBtkJ0FidzWOqj4QDrxW5axMddCPNWH&#10;oyeL+Hoc0QrdobuCPkB5IcwIfc94JzeaLtoKH54FUpMQFmr88ERLZaAtOFwtzmrAH3/zx3zSjqKc&#10;tdR0BfffTwIVZ+arJVVjhw4GDsZhMOypWQNBnNBIOZlMOoDBDGaF0LzQPKziLRQSVtJdBQ+DuQ59&#10;69M8SbVapSTqQyfC1u6cjKUHQvfdi0B3lSOQio8wtKPI36jS5yZd3OoUiOIkWSS0Z/HKM/Vw0uU6&#10;b3FIft2nrNe/wvInAAAA//8DAFBLAwQUAAYACAAAACEAazYas+IAAAALAQAADwAAAGRycy9kb3du&#10;cmV2LnhtbEyPwU7DMBBE70j8g7VIXFDrtAlRFeJUVQUHuFSEXri58TZOG68j22nD32O4wHF2RrNv&#10;yvVkenZB5ztLAhbzBBhSY1VHrYD9x8tsBcwHSUr2llDAF3pYV7c3pSyUvdI7XurQslhCvpACdAhD&#10;wblvNBrp53ZAit7ROiNDlK7lyslrLDc9XyZJzo3sKH7QcsCtxuZcj0bALvvc6Yfx+Py2yVL3uh+3&#10;+amthbi/mzZPwAJO4S8MP/gRHarIdLAjKc96AbM0i1uCgFX+uAAWE2meZMAOv5cl8Krk/zdU3wAA&#10;AP//AwBQSwECLQAUAAYACAAAACEAtoM4kv4AAADhAQAAEwAAAAAAAAAAAAAAAAAAAAAAW0NvbnRl&#10;bnRfVHlwZXNdLnhtbFBLAQItABQABgAIAAAAIQA4/SH/1gAAAJQBAAALAAAAAAAAAAAAAAAAAC8B&#10;AABfcmVscy8ucmVsc1BLAQItABQABgAIAAAAIQBOQ4t/LQIAAF0EAAAOAAAAAAAAAAAAAAAAAC4C&#10;AABkcnMvZTJvRG9jLnhtbFBLAQItABQABgAIAAAAIQBrNhqz4gAAAAsBAAAPAAAAAAAAAAAAAAAA&#10;AIcEAABkcnMvZG93bnJldi54bWxQSwUGAAAAAAQABADzAAAAlgUAAAAA&#10;" stroked="f">
                <v:textbox style="mso-fit-shape-to-text:t" inset="0,0,0,0">
                  <w:txbxContent>
                    <w:p w14:paraId="0FD6F1EF" w14:textId="2EC6CD53" w:rsidR="006612D0" w:rsidRPr="005045DA" w:rsidRDefault="006612D0" w:rsidP="006612D0">
                      <w:pPr>
                        <w:pStyle w:val="Caption"/>
                        <w:rPr>
                          <w:noProof/>
                          <w:sz w:val="20"/>
                          <w:szCs w:val="20"/>
                        </w:rPr>
                      </w:pPr>
                      <w:r>
                        <w:t xml:space="preserve">Figure </w:t>
                      </w:r>
                      <w:fldSimple w:instr=" SEQ Figure \* ARABIC ">
                        <w:r w:rsidR="002A692A">
                          <w:rPr>
                            <w:noProof/>
                          </w:rPr>
                          <w:t>2</w:t>
                        </w:r>
                      </w:fldSimple>
                      <w:r>
                        <w:t xml:space="preserve"> showing a tree's metal number tag</w:t>
                      </w:r>
                    </w:p>
                  </w:txbxContent>
                </v:textbox>
                <w10:wrap type="topAndBottom"/>
              </v:shape>
            </w:pict>
          </mc:Fallback>
        </mc:AlternateContent>
      </w:r>
      <w:r w:rsidR="00421769">
        <w:rPr>
          <w:noProof/>
          <w:lang w:eastAsia="zh-CN"/>
        </w:rPr>
        <w:drawing>
          <wp:anchor distT="0" distB="0" distL="114300" distR="114300" simplePos="0" relativeHeight="251660288" behindDoc="0" locked="0" layoutInCell="1" allowOverlap="1" wp14:anchorId="0B590C72" wp14:editId="6AD47272">
            <wp:simplePos x="0" y="0"/>
            <wp:positionH relativeFrom="margin">
              <wp:posOffset>-633730</wp:posOffset>
            </wp:positionH>
            <wp:positionV relativeFrom="paragraph">
              <wp:posOffset>2514600</wp:posOffset>
            </wp:positionV>
            <wp:extent cx="3339465" cy="2504440"/>
            <wp:effectExtent l="0" t="1587"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3339465" cy="25044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9763C">
        <w:rPr>
          <w:iCs/>
        </w:rPr>
        <w:t xml:space="preserve">Two methods are used to measure the growth of the trees; firstly, a telescopic measuring rod is utilised to take the height of the tree from root to the highest </w:t>
      </w:r>
      <w:r w:rsidR="00672B43">
        <w:rPr>
          <w:iCs/>
        </w:rPr>
        <w:t>part of the living crown</w:t>
      </w:r>
      <w:r w:rsidR="00A9763C">
        <w:rPr>
          <w:iCs/>
        </w:rPr>
        <w:t xml:space="preserve"> and this measurement is noted down. </w:t>
      </w:r>
      <w:r w:rsidR="00DF067C">
        <w:rPr>
          <w:iCs/>
        </w:rPr>
        <w:t>Typically</w:t>
      </w:r>
      <w:r w:rsidR="002B03F4">
        <w:rPr>
          <w:iCs/>
        </w:rPr>
        <w:t>,</w:t>
      </w:r>
      <w:r w:rsidR="00DF067C">
        <w:rPr>
          <w:iCs/>
        </w:rPr>
        <w:t xml:space="preserve"> </w:t>
      </w:r>
      <w:r w:rsidR="00A9763C">
        <w:rPr>
          <w:iCs/>
        </w:rPr>
        <w:t>a tree’s girth</w:t>
      </w:r>
      <w:r w:rsidR="00DF067C">
        <w:rPr>
          <w:iCs/>
        </w:rPr>
        <w:t xml:space="preserve"> is measured in diameter at breast height</w:t>
      </w:r>
      <w:r w:rsidR="005005D0">
        <w:rPr>
          <w:iCs/>
        </w:rPr>
        <w:t xml:space="preserve"> (DBH), but since </w:t>
      </w:r>
      <w:r w:rsidR="00691CDB">
        <w:rPr>
          <w:iCs/>
        </w:rPr>
        <w:t>measurements have been taken from the time of planting as small saplings</w:t>
      </w:r>
      <w:r w:rsidR="002B1044">
        <w:rPr>
          <w:iCs/>
        </w:rPr>
        <w:t>, the diameter of the trees has been taken at the base using calipers</w:t>
      </w:r>
      <w:r w:rsidR="00A9763C">
        <w:rPr>
          <w:iCs/>
        </w:rPr>
        <w:t xml:space="preserve"> and again recorded on the sheet. </w:t>
      </w:r>
      <w:r w:rsidR="00D1685B">
        <w:rPr>
          <w:iCs/>
        </w:rPr>
        <w:t xml:space="preserve">This surveying starts from the first tree (101 for block B), as identified by small metal number plates attached a branch, with enough slack so as not to impact growth (see </w:t>
      </w:r>
      <w:r w:rsidR="001B0792">
        <w:rPr>
          <w:i/>
          <w:iCs/>
        </w:rPr>
        <w:t>figure 1</w:t>
      </w:r>
      <w:r w:rsidR="00D1685B">
        <w:rPr>
          <w:iCs/>
        </w:rPr>
        <w:t xml:space="preserve">) </w:t>
      </w:r>
      <w:r w:rsidR="00CF36EB">
        <w:rPr>
          <w:iCs/>
        </w:rPr>
        <w:t>This is done once a year for each block</w:t>
      </w:r>
      <w:r w:rsidR="00D1685B">
        <w:rPr>
          <w:iCs/>
        </w:rPr>
        <w:t xml:space="preserve">, </w:t>
      </w:r>
      <w:r w:rsidR="00CF36EB">
        <w:rPr>
          <w:iCs/>
        </w:rPr>
        <w:t xml:space="preserve">providing clear, quantitative data stretching back 13 years from the date of this report, allowing the growth to be tracked for individual trees and for the </w:t>
      </w:r>
      <w:r w:rsidR="0044494B">
        <w:rPr>
          <w:iCs/>
        </w:rPr>
        <w:t xml:space="preserve">wider blocks. </w:t>
      </w:r>
      <w:r w:rsidR="00D1685B">
        <w:rPr>
          <w:iCs/>
        </w:rPr>
        <w:t xml:space="preserve">With these measurements considered, alongside any visual clues, a vitality index </w:t>
      </w:r>
      <w:r w:rsidR="001B0792">
        <w:rPr>
          <w:iCs/>
        </w:rPr>
        <w:t>(</w:t>
      </w:r>
      <w:r w:rsidR="001B0792">
        <w:rPr>
          <w:i/>
          <w:iCs/>
        </w:rPr>
        <w:t xml:space="preserve">figure </w:t>
      </w:r>
      <w:r w:rsidR="001B0792" w:rsidRPr="001B0792">
        <w:rPr>
          <w:iCs/>
        </w:rPr>
        <w:t>2</w:t>
      </w:r>
      <w:r w:rsidR="001B0792">
        <w:rPr>
          <w:iCs/>
        </w:rPr>
        <w:t xml:space="preserve">) </w:t>
      </w:r>
      <w:r w:rsidR="00D1685B" w:rsidRPr="001B0792">
        <w:rPr>
          <w:iCs/>
        </w:rPr>
        <w:t>was</w:t>
      </w:r>
      <w:r w:rsidR="00D1685B">
        <w:rPr>
          <w:iCs/>
        </w:rPr>
        <w:t xml:space="preserve"> created to quantify the health of the trees, as different species exhibit very different growth rates and forms naturally, so to compare just heights/girths could cause falsities in the data, compromising the integrity of the experiment.</w:t>
      </w:r>
    </w:p>
    <w:tbl>
      <w:tblPr>
        <w:tblStyle w:val="GridTable1Light-Accent1"/>
        <w:tblpPr w:leftFromText="180" w:rightFromText="180" w:vertAnchor="text" w:horzAnchor="page" w:tblpX="5366" w:tblpY="155"/>
        <w:tblW w:w="0" w:type="auto"/>
        <w:tblLook w:val="04A0" w:firstRow="1" w:lastRow="0" w:firstColumn="1" w:lastColumn="0" w:noHBand="0" w:noVBand="1"/>
      </w:tblPr>
      <w:tblGrid>
        <w:gridCol w:w="3034"/>
        <w:gridCol w:w="3034"/>
      </w:tblGrid>
      <w:tr w:rsidR="00255E25" w14:paraId="42D57F9C" w14:textId="77777777" w:rsidTr="00255E25">
        <w:trPr>
          <w:cnfStyle w:val="100000000000" w:firstRow="1" w:lastRow="0" w:firstColumn="0" w:lastColumn="0" w:oddVBand="0" w:evenVBand="0" w:oddHBand="0" w:evenHBand="0" w:firstRowFirstColumn="0" w:firstRowLastColumn="0" w:lastRowFirstColumn="0" w:lastRowLastColumn="0"/>
          <w:trHeight w:val="254"/>
        </w:trPr>
        <w:tc>
          <w:tcPr>
            <w:cnfStyle w:val="001000000000" w:firstRow="0" w:lastRow="0" w:firstColumn="1" w:lastColumn="0" w:oddVBand="0" w:evenVBand="0" w:oddHBand="0" w:evenHBand="0" w:firstRowFirstColumn="0" w:firstRowLastColumn="0" w:lastRowFirstColumn="0" w:lastRowLastColumn="0"/>
            <w:tcW w:w="3034" w:type="dxa"/>
            <w:vAlign w:val="center"/>
          </w:tcPr>
          <w:p w14:paraId="5BB353E3" w14:textId="77777777" w:rsidR="00255E25" w:rsidRDefault="00255E25" w:rsidP="00255E25">
            <w:pPr>
              <w:jc w:val="center"/>
              <w:rPr>
                <w:iCs/>
              </w:rPr>
            </w:pPr>
            <w:r>
              <w:rPr>
                <w:iCs/>
              </w:rPr>
              <w:t>Vitality Score</w:t>
            </w:r>
          </w:p>
        </w:tc>
        <w:tc>
          <w:tcPr>
            <w:tcW w:w="3034" w:type="dxa"/>
            <w:vAlign w:val="center"/>
          </w:tcPr>
          <w:p w14:paraId="09A6108C" w14:textId="77777777" w:rsidR="00255E25" w:rsidRDefault="00255E25" w:rsidP="00255E25">
            <w:pPr>
              <w:jc w:val="center"/>
              <w:cnfStyle w:val="100000000000" w:firstRow="1" w:lastRow="0" w:firstColumn="0" w:lastColumn="0" w:oddVBand="0" w:evenVBand="0" w:oddHBand="0" w:evenHBand="0" w:firstRowFirstColumn="0" w:firstRowLastColumn="0" w:lastRowFirstColumn="0" w:lastRowLastColumn="0"/>
              <w:rPr>
                <w:iCs/>
              </w:rPr>
            </w:pPr>
            <w:r>
              <w:rPr>
                <w:iCs/>
              </w:rPr>
              <w:t>Criteria</w:t>
            </w:r>
          </w:p>
        </w:tc>
      </w:tr>
      <w:tr w:rsidR="00255E25" w14:paraId="4FFF36BA" w14:textId="77777777" w:rsidTr="00255E25">
        <w:trPr>
          <w:trHeight w:val="263"/>
        </w:trPr>
        <w:tc>
          <w:tcPr>
            <w:cnfStyle w:val="001000000000" w:firstRow="0" w:lastRow="0" w:firstColumn="1" w:lastColumn="0" w:oddVBand="0" w:evenVBand="0" w:oddHBand="0" w:evenHBand="0" w:firstRowFirstColumn="0" w:firstRowLastColumn="0" w:lastRowFirstColumn="0" w:lastRowLastColumn="0"/>
            <w:tcW w:w="3034" w:type="dxa"/>
            <w:vAlign w:val="center"/>
          </w:tcPr>
          <w:p w14:paraId="138D58B8" w14:textId="77777777" w:rsidR="00255E25" w:rsidRDefault="00255E25" w:rsidP="00255E25">
            <w:pPr>
              <w:jc w:val="center"/>
              <w:rPr>
                <w:iCs/>
              </w:rPr>
            </w:pPr>
            <w:r>
              <w:rPr>
                <w:iCs/>
              </w:rPr>
              <w:t>0</w:t>
            </w:r>
          </w:p>
        </w:tc>
        <w:tc>
          <w:tcPr>
            <w:tcW w:w="3034" w:type="dxa"/>
            <w:vAlign w:val="center"/>
          </w:tcPr>
          <w:p w14:paraId="3091448A" w14:textId="77777777" w:rsidR="00255E25" w:rsidRDefault="00255E25" w:rsidP="00255E25">
            <w:pPr>
              <w:jc w:val="center"/>
              <w:cnfStyle w:val="000000000000" w:firstRow="0" w:lastRow="0" w:firstColumn="0" w:lastColumn="0" w:oddVBand="0" w:evenVBand="0" w:oddHBand="0" w:evenHBand="0" w:firstRowFirstColumn="0" w:firstRowLastColumn="0" w:lastRowFirstColumn="0" w:lastRowLastColumn="0"/>
              <w:rPr>
                <w:iCs/>
              </w:rPr>
            </w:pPr>
            <w:r>
              <w:rPr>
                <w:iCs/>
              </w:rPr>
              <w:t>Disappeared/missing</w:t>
            </w:r>
          </w:p>
        </w:tc>
      </w:tr>
      <w:tr w:rsidR="00255E25" w14:paraId="00610146" w14:textId="77777777" w:rsidTr="00255E25">
        <w:trPr>
          <w:trHeight w:val="254"/>
        </w:trPr>
        <w:tc>
          <w:tcPr>
            <w:cnfStyle w:val="001000000000" w:firstRow="0" w:lastRow="0" w:firstColumn="1" w:lastColumn="0" w:oddVBand="0" w:evenVBand="0" w:oddHBand="0" w:evenHBand="0" w:firstRowFirstColumn="0" w:firstRowLastColumn="0" w:lastRowFirstColumn="0" w:lastRowLastColumn="0"/>
            <w:tcW w:w="3034" w:type="dxa"/>
            <w:vAlign w:val="center"/>
          </w:tcPr>
          <w:p w14:paraId="0CE35A2F" w14:textId="77777777" w:rsidR="00255E25" w:rsidRDefault="00255E25" w:rsidP="00255E25">
            <w:pPr>
              <w:jc w:val="center"/>
              <w:rPr>
                <w:iCs/>
              </w:rPr>
            </w:pPr>
            <w:r>
              <w:rPr>
                <w:iCs/>
              </w:rPr>
              <w:t>1</w:t>
            </w:r>
          </w:p>
        </w:tc>
        <w:tc>
          <w:tcPr>
            <w:tcW w:w="3034" w:type="dxa"/>
            <w:vAlign w:val="center"/>
          </w:tcPr>
          <w:p w14:paraId="09078409" w14:textId="77777777" w:rsidR="00255E25" w:rsidRDefault="00255E25" w:rsidP="00255E25">
            <w:pPr>
              <w:jc w:val="center"/>
              <w:cnfStyle w:val="000000000000" w:firstRow="0" w:lastRow="0" w:firstColumn="0" w:lastColumn="0" w:oddVBand="0" w:evenVBand="0" w:oddHBand="0" w:evenHBand="0" w:firstRowFirstColumn="0" w:firstRowLastColumn="0" w:lastRowFirstColumn="0" w:lastRowLastColumn="0"/>
              <w:rPr>
                <w:iCs/>
              </w:rPr>
            </w:pPr>
            <w:r>
              <w:rPr>
                <w:iCs/>
              </w:rPr>
              <w:t>Stick in ground/stump</w:t>
            </w:r>
          </w:p>
        </w:tc>
      </w:tr>
      <w:tr w:rsidR="00255E25" w14:paraId="492AB723" w14:textId="77777777" w:rsidTr="00255E25">
        <w:trPr>
          <w:trHeight w:val="254"/>
        </w:trPr>
        <w:tc>
          <w:tcPr>
            <w:cnfStyle w:val="001000000000" w:firstRow="0" w:lastRow="0" w:firstColumn="1" w:lastColumn="0" w:oddVBand="0" w:evenVBand="0" w:oddHBand="0" w:evenHBand="0" w:firstRowFirstColumn="0" w:firstRowLastColumn="0" w:lastRowFirstColumn="0" w:lastRowLastColumn="0"/>
            <w:tcW w:w="3034" w:type="dxa"/>
            <w:vAlign w:val="center"/>
          </w:tcPr>
          <w:p w14:paraId="247A9028" w14:textId="77777777" w:rsidR="00255E25" w:rsidRDefault="00255E25" w:rsidP="00255E25">
            <w:pPr>
              <w:jc w:val="center"/>
              <w:rPr>
                <w:iCs/>
              </w:rPr>
            </w:pPr>
            <w:r>
              <w:rPr>
                <w:iCs/>
              </w:rPr>
              <w:t>2</w:t>
            </w:r>
          </w:p>
        </w:tc>
        <w:tc>
          <w:tcPr>
            <w:tcW w:w="3034" w:type="dxa"/>
            <w:vAlign w:val="center"/>
          </w:tcPr>
          <w:p w14:paraId="0CF90B14" w14:textId="77777777" w:rsidR="00255E25" w:rsidRDefault="00255E25" w:rsidP="00255E25">
            <w:pPr>
              <w:jc w:val="center"/>
              <w:cnfStyle w:val="000000000000" w:firstRow="0" w:lastRow="0" w:firstColumn="0" w:lastColumn="0" w:oddVBand="0" w:evenVBand="0" w:oddHBand="0" w:evenHBand="0" w:firstRowFirstColumn="0" w:firstRowLastColumn="0" w:lastRowFirstColumn="0" w:lastRowLastColumn="0"/>
              <w:rPr>
                <w:iCs/>
              </w:rPr>
            </w:pPr>
            <w:r>
              <w:rPr>
                <w:iCs/>
              </w:rPr>
              <w:t>Poor growth, heavily damaged</w:t>
            </w:r>
          </w:p>
        </w:tc>
      </w:tr>
      <w:tr w:rsidR="00255E25" w14:paraId="73EFB2E8" w14:textId="77777777" w:rsidTr="00255E25">
        <w:trPr>
          <w:trHeight w:val="254"/>
        </w:trPr>
        <w:tc>
          <w:tcPr>
            <w:cnfStyle w:val="001000000000" w:firstRow="0" w:lastRow="0" w:firstColumn="1" w:lastColumn="0" w:oddVBand="0" w:evenVBand="0" w:oddHBand="0" w:evenHBand="0" w:firstRowFirstColumn="0" w:firstRowLastColumn="0" w:lastRowFirstColumn="0" w:lastRowLastColumn="0"/>
            <w:tcW w:w="3034" w:type="dxa"/>
            <w:vAlign w:val="center"/>
          </w:tcPr>
          <w:p w14:paraId="06C08E63" w14:textId="77777777" w:rsidR="00255E25" w:rsidRDefault="00255E25" w:rsidP="00255E25">
            <w:pPr>
              <w:jc w:val="center"/>
              <w:rPr>
                <w:iCs/>
              </w:rPr>
            </w:pPr>
            <w:r>
              <w:rPr>
                <w:iCs/>
              </w:rPr>
              <w:t>3</w:t>
            </w:r>
          </w:p>
        </w:tc>
        <w:tc>
          <w:tcPr>
            <w:tcW w:w="3034" w:type="dxa"/>
            <w:vAlign w:val="center"/>
          </w:tcPr>
          <w:p w14:paraId="2423292F" w14:textId="77777777" w:rsidR="00255E25" w:rsidRDefault="00255E25" w:rsidP="00255E25">
            <w:pPr>
              <w:jc w:val="center"/>
              <w:cnfStyle w:val="000000000000" w:firstRow="0" w:lastRow="0" w:firstColumn="0" w:lastColumn="0" w:oddVBand="0" w:evenVBand="0" w:oddHBand="0" w:evenHBand="0" w:firstRowFirstColumn="0" w:firstRowLastColumn="0" w:lastRowFirstColumn="0" w:lastRowLastColumn="0"/>
              <w:rPr>
                <w:iCs/>
              </w:rPr>
            </w:pPr>
            <w:r>
              <w:rPr>
                <w:iCs/>
              </w:rPr>
              <w:t>Average growth, moderate damage</w:t>
            </w:r>
          </w:p>
        </w:tc>
      </w:tr>
      <w:tr w:rsidR="00255E25" w14:paraId="5EF7AECA" w14:textId="77777777" w:rsidTr="00255E25">
        <w:trPr>
          <w:trHeight w:val="254"/>
        </w:trPr>
        <w:tc>
          <w:tcPr>
            <w:cnfStyle w:val="001000000000" w:firstRow="0" w:lastRow="0" w:firstColumn="1" w:lastColumn="0" w:oddVBand="0" w:evenVBand="0" w:oddHBand="0" w:evenHBand="0" w:firstRowFirstColumn="0" w:firstRowLastColumn="0" w:lastRowFirstColumn="0" w:lastRowLastColumn="0"/>
            <w:tcW w:w="3034" w:type="dxa"/>
            <w:vAlign w:val="center"/>
          </w:tcPr>
          <w:p w14:paraId="4DAF6F62" w14:textId="77777777" w:rsidR="00255E25" w:rsidRDefault="00255E25" w:rsidP="00255E25">
            <w:pPr>
              <w:jc w:val="center"/>
              <w:rPr>
                <w:iCs/>
              </w:rPr>
            </w:pPr>
            <w:r>
              <w:rPr>
                <w:iCs/>
              </w:rPr>
              <w:t>4</w:t>
            </w:r>
          </w:p>
        </w:tc>
        <w:tc>
          <w:tcPr>
            <w:tcW w:w="3034" w:type="dxa"/>
            <w:vAlign w:val="center"/>
          </w:tcPr>
          <w:p w14:paraId="5E50DB3D" w14:textId="77777777" w:rsidR="00255E25" w:rsidRDefault="00255E25" w:rsidP="00255E25">
            <w:pPr>
              <w:jc w:val="center"/>
              <w:cnfStyle w:val="000000000000" w:firstRow="0" w:lastRow="0" w:firstColumn="0" w:lastColumn="0" w:oddVBand="0" w:evenVBand="0" w:oddHBand="0" w:evenHBand="0" w:firstRowFirstColumn="0" w:firstRowLastColumn="0" w:lastRowFirstColumn="0" w:lastRowLastColumn="0"/>
              <w:rPr>
                <w:iCs/>
              </w:rPr>
            </w:pPr>
            <w:r>
              <w:rPr>
                <w:iCs/>
              </w:rPr>
              <w:t>Fairly typical growth, mild damage</w:t>
            </w:r>
          </w:p>
        </w:tc>
      </w:tr>
      <w:tr w:rsidR="00255E25" w14:paraId="1D9C480D" w14:textId="77777777" w:rsidTr="00255E25">
        <w:trPr>
          <w:trHeight w:val="254"/>
        </w:trPr>
        <w:tc>
          <w:tcPr>
            <w:cnfStyle w:val="001000000000" w:firstRow="0" w:lastRow="0" w:firstColumn="1" w:lastColumn="0" w:oddVBand="0" w:evenVBand="0" w:oddHBand="0" w:evenHBand="0" w:firstRowFirstColumn="0" w:firstRowLastColumn="0" w:lastRowFirstColumn="0" w:lastRowLastColumn="0"/>
            <w:tcW w:w="3034" w:type="dxa"/>
            <w:vAlign w:val="center"/>
          </w:tcPr>
          <w:p w14:paraId="5EF97058" w14:textId="77777777" w:rsidR="00255E25" w:rsidRDefault="00255E25" w:rsidP="00255E25">
            <w:pPr>
              <w:jc w:val="center"/>
              <w:rPr>
                <w:iCs/>
              </w:rPr>
            </w:pPr>
            <w:r>
              <w:rPr>
                <w:iCs/>
              </w:rPr>
              <w:t>5</w:t>
            </w:r>
          </w:p>
        </w:tc>
        <w:tc>
          <w:tcPr>
            <w:tcW w:w="3034" w:type="dxa"/>
            <w:vAlign w:val="center"/>
          </w:tcPr>
          <w:p w14:paraId="2257CE91" w14:textId="77777777" w:rsidR="00255E25" w:rsidRDefault="00255E25" w:rsidP="006612D0">
            <w:pPr>
              <w:keepNext/>
              <w:jc w:val="center"/>
              <w:cnfStyle w:val="000000000000" w:firstRow="0" w:lastRow="0" w:firstColumn="0" w:lastColumn="0" w:oddVBand="0" w:evenVBand="0" w:oddHBand="0" w:evenHBand="0" w:firstRowFirstColumn="0" w:firstRowLastColumn="0" w:lastRowFirstColumn="0" w:lastRowLastColumn="0"/>
              <w:rPr>
                <w:iCs/>
              </w:rPr>
            </w:pPr>
            <w:r>
              <w:rPr>
                <w:iCs/>
              </w:rPr>
              <w:t>Thriving, form typical of species</w:t>
            </w:r>
          </w:p>
        </w:tc>
      </w:tr>
    </w:tbl>
    <w:p w14:paraId="3B0280AC" w14:textId="206A000B" w:rsidR="00961D3E" w:rsidRPr="006D177D" w:rsidRDefault="00961D3E" w:rsidP="006850CB">
      <w:pPr>
        <w:rPr>
          <w:iCs/>
        </w:rPr>
      </w:pPr>
    </w:p>
    <w:bookmarkStart w:id="3" w:name="_Toc26805702"/>
    <w:p w14:paraId="450CDD8D" w14:textId="51B7F731" w:rsidR="004555E3" w:rsidRDefault="00EA6AE3" w:rsidP="004555E3">
      <w:pPr>
        <w:pStyle w:val="Heading2"/>
      </w:pPr>
      <w:r>
        <w:rPr>
          <w:noProof/>
          <w:lang w:eastAsia="zh-CN"/>
        </w:rPr>
        <w:lastRenderedPageBreak/>
        <mc:AlternateContent>
          <mc:Choice Requires="wps">
            <w:drawing>
              <wp:anchor distT="0" distB="0" distL="114300" distR="114300" simplePos="0" relativeHeight="251676672" behindDoc="0" locked="0" layoutInCell="1" allowOverlap="1" wp14:anchorId="1361BD0C" wp14:editId="43C6E826">
                <wp:simplePos x="0" y="0"/>
                <wp:positionH relativeFrom="column">
                  <wp:posOffset>3061419</wp:posOffset>
                </wp:positionH>
                <wp:positionV relativeFrom="paragraph">
                  <wp:posOffset>6779152</wp:posOffset>
                </wp:positionV>
                <wp:extent cx="3148330" cy="635"/>
                <wp:effectExtent l="0" t="0" r="0" b="0"/>
                <wp:wrapTopAndBottom/>
                <wp:docPr id="20" name="Text Box 20"/>
                <wp:cNvGraphicFramePr/>
                <a:graphic xmlns:a="http://schemas.openxmlformats.org/drawingml/2006/main">
                  <a:graphicData uri="http://schemas.microsoft.com/office/word/2010/wordprocessingShape">
                    <wps:wsp>
                      <wps:cNvSpPr txBox="1"/>
                      <wps:spPr>
                        <a:xfrm>
                          <a:off x="0" y="0"/>
                          <a:ext cx="3148330" cy="635"/>
                        </a:xfrm>
                        <a:prstGeom prst="rect">
                          <a:avLst/>
                        </a:prstGeom>
                        <a:solidFill>
                          <a:prstClr val="white"/>
                        </a:solidFill>
                        <a:ln>
                          <a:noFill/>
                        </a:ln>
                      </wps:spPr>
                      <wps:txbx>
                        <w:txbxContent>
                          <w:p w14:paraId="635B9450" w14:textId="000D620C" w:rsidR="00557687" w:rsidRPr="006F06A0" w:rsidRDefault="00557687" w:rsidP="00557687">
                            <w:pPr>
                              <w:pStyle w:val="Caption"/>
                              <w:rPr>
                                <w:noProof/>
                                <w:sz w:val="20"/>
                                <w:szCs w:val="20"/>
                              </w:rPr>
                            </w:pPr>
                            <w:r>
                              <w:t xml:space="preserve">Figure </w:t>
                            </w:r>
                            <w:r w:rsidR="002B03F4">
                              <w:t>6</w:t>
                            </w:r>
                            <w:r>
                              <w:t xml:space="preserve"> showing the distribution of vitality scores across the four blocks in 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361BD0C" id="Text Box 20" o:spid="_x0000_s1027" type="#_x0000_t202" style="position:absolute;margin-left:241.05pt;margin-top:533.8pt;width:247.9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V/dLQIAAGYEAAAOAAAAZHJzL2Uyb0RvYy54bWysVE1v2zAMvQ/YfxB0X5yPrSiMOEWWIsOA&#10;oC2QDD0rshwbkERNYmJ3v36UbKdbt9Owi0KR1JPfe2KWd53R7KJ8aMAWfDaZcqashLKxp4J/O2w/&#10;3HIWUNhSaLCq4C8q8LvV+3fL1uVqDjXoUnlGIDbkrSt4jejyLAuyVkaECThlqViBNwJp609Z6UVL&#10;6EZn8+n0JmvBl86DVCFQ9r4v8lXCryol8bGqgkKmC07fhmn1aT3GNVstRX7ywtWNHD5D/MNXGNFY&#10;uvQKdS9QsLNv/oAyjfQQoMKJBJNBVTVSJQ7EZjZ9w2ZfC6cSFxInuKtM4f/ByofLk2dNWfA5yWOF&#10;IY8OqkP2GTpGKdKndSGntr2jRuwoTz6P+UDJSLurvIm/RIhRnaBerupGNEnJxezj7WJBJUm1m8Wn&#10;iJG9HnU+4BcFhsWg4J6sS4qKyy5g3zq2xJsC6KbcNlrHTSxstGcXQTa3dYNqAP+tS9vYayGe6gFj&#10;Jov8eh4xwu7YJT2uHI9QvhB1D/3jCU5uG7pvJwI+CU+vhSjRBOAjLZWGtuAwRJzV4H/8LR/7yUSq&#10;ctbS6yt4+H4WXnGmv1qylyBxDPwYHMfAns0GiOmMZsvJFNIBj3oMKw/mmQZjHW+hkrCS7io4juEG&#10;+xmgwZJqvU5N9CCdwJ3dOxmhR10P3bPwbnAFycwHGN+lyN+Y0/cme9z6jKR0ci7q2qs4yE2POXk/&#10;DF6cll/3qev172H1EwAA//8DAFBLAwQUAAYACAAAACEASjm3E+IAAAANAQAADwAAAGRycy9kb3du&#10;cmV2LnhtbEyPsU7DMBCGdyTewTokFkSdlihpQ5yqqmCApSJ0YXNjNw7E58h22vD2HOoA493/6b/v&#10;yvVke3bSPnQOBcxnCTCNjVMdtgL278/3S2AhSlSyd6gFfOsA6+r6qpSFcmd806c6toxKMBRSgIlx&#10;KDgPjdFWhpkbNFJ2dN7KSKNvufLyTOW254skybiVHdIFIwe9Nbr5qkcrYJd+7MzdeHx63aQP/mU/&#10;brPPthbi9mbaPAKLeop/MPzqkzpU5HRwI6rAegHpcjEnlIIkyzNghKzyfAXscFnlwKuS//+i+gEA&#10;AP//AwBQSwECLQAUAAYACAAAACEAtoM4kv4AAADhAQAAEwAAAAAAAAAAAAAAAAAAAAAAW0NvbnRl&#10;bnRfVHlwZXNdLnhtbFBLAQItABQABgAIAAAAIQA4/SH/1gAAAJQBAAALAAAAAAAAAAAAAAAAAC8B&#10;AABfcmVscy8ucmVsc1BLAQItABQABgAIAAAAIQDwtV/dLQIAAGYEAAAOAAAAAAAAAAAAAAAAAC4C&#10;AABkcnMvZTJvRG9jLnhtbFBLAQItABQABgAIAAAAIQBKObcT4gAAAA0BAAAPAAAAAAAAAAAAAAAA&#10;AIcEAABkcnMvZG93bnJldi54bWxQSwUGAAAAAAQABADzAAAAlgUAAAAA&#10;" stroked="f">
                <v:textbox style="mso-fit-shape-to-text:t" inset="0,0,0,0">
                  <w:txbxContent>
                    <w:p w14:paraId="635B9450" w14:textId="000D620C" w:rsidR="00557687" w:rsidRPr="006F06A0" w:rsidRDefault="00557687" w:rsidP="00557687">
                      <w:pPr>
                        <w:pStyle w:val="Caption"/>
                        <w:rPr>
                          <w:noProof/>
                          <w:sz w:val="20"/>
                          <w:szCs w:val="20"/>
                        </w:rPr>
                      </w:pPr>
                      <w:r>
                        <w:t xml:space="preserve">Figure </w:t>
                      </w:r>
                      <w:r w:rsidR="002B03F4">
                        <w:t>6</w:t>
                      </w:r>
                      <w:r>
                        <w:t xml:space="preserve"> showing the distribution of vitality scores across the four blocks in B</w:t>
                      </w:r>
                    </w:p>
                  </w:txbxContent>
                </v:textbox>
                <w10:wrap type="topAndBottom"/>
              </v:shape>
            </w:pict>
          </mc:Fallback>
        </mc:AlternateContent>
      </w:r>
      <w:r>
        <w:rPr>
          <w:noProof/>
          <w:lang w:eastAsia="zh-CN"/>
        </w:rPr>
        <w:drawing>
          <wp:anchor distT="0" distB="0" distL="114300" distR="114300" simplePos="0" relativeHeight="251674624" behindDoc="0" locked="0" layoutInCell="1" allowOverlap="1" wp14:anchorId="63D30866" wp14:editId="7CE53B5F">
            <wp:simplePos x="0" y="0"/>
            <wp:positionH relativeFrom="column">
              <wp:posOffset>2880684</wp:posOffset>
            </wp:positionH>
            <wp:positionV relativeFrom="paragraph">
              <wp:posOffset>3704111</wp:posOffset>
            </wp:positionV>
            <wp:extent cx="3467818" cy="2992563"/>
            <wp:effectExtent l="0" t="0" r="18415" b="17780"/>
            <wp:wrapTopAndBottom/>
            <wp:docPr id="19" name="Chart 19">
              <a:extLst xmlns:a="http://schemas.openxmlformats.org/drawingml/2006/main">
                <a:ext uri="{FF2B5EF4-FFF2-40B4-BE49-F238E27FC236}">
                  <a16:creationId xmlns:a16="http://schemas.microsoft.com/office/drawing/2014/main" id="{071E249D-B949-48F2-B5D0-7DD2D49170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2A692A">
        <w:rPr>
          <w:noProof/>
          <w:lang w:eastAsia="zh-CN"/>
        </w:rPr>
        <mc:AlternateContent>
          <mc:Choice Requires="wps">
            <w:drawing>
              <wp:anchor distT="0" distB="0" distL="114300" distR="114300" simplePos="0" relativeHeight="251696128" behindDoc="0" locked="0" layoutInCell="1" allowOverlap="1" wp14:anchorId="1992EEAA" wp14:editId="17F4338E">
                <wp:simplePos x="0" y="0"/>
                <wp:positionH relativeFrom="column">
                  <wp:posOffset>-671830</wp:posOffset>
                </wp:positionH>
                <wp:positionV relativeFrom="paragraph">
                  <wp:posOffset>6762115</wp:posOffset>
                </wp:positionV>
                <wp:extent cx="3441700" cy="635"/>
                <wp:effectExtent l="0" t="0" r="0" b="0"/>
                <wp:wrapTopAndBottom/>
                <wp:docPr id="8" name="Text Box 8"/>
                <wp:cNvGraphicFramePr/>
                <a:graphic xmlns:a="http://schemas.openxmlformats.org/drawingml/2006/main">
                  <a:graphicData uri="http://schemas.microsoft.com/office/word/2010/wordprocessingShape">
                    <wps:wsp>
                      <wps:cNvSpPr txBox="1"/>
                      <wps:spPr>
                        <a:xfrm>
                          <a:off x="0" y="0"/>
                          <a:ext cx="3441700" cy="635"/>
                        </a:xfrm>
                        <a:prstGeom prst="rect">
                          <a:avLst/>
                        </a:prstGeom>
                        <a:solidFill>
                          <a:prstClr val="white"/>
                        </a:solidFill>
                        <a:ln>
                          <a:noFill/>
                        </a:ln>
                      </wps:spPr>
                      <wps:txbx>
                        <w:txbxContent>
                          <w:p w14:paraId="327BC817" w14:textId="1588A19E" w:rsidR="002A692A" w:rsidRPr="008D3FFD" w:rsidRDefault="002A692A" w:rsidP="002A692A">
                            <w:pPr>
                              <w:pStyle w:val="Caption"/>
                              <w:rPr>
                                <w:caps/>
                                <w:noProof/>
                                <w:color w:val="auto"/>
                                <w:spacing w:val="15"/>
                                <w:sz w:val="20"/>
                                <w:szCs w:val="20"/>
                              </w:rPr>
                            </w:pPr>
                            <w:r>
                              <w:t>Figure 5 s</w:t>
                            </w:r>
                            <w:r w:rsidRPr="008A5A32">
                              <w:t>howing the distribution of vitality of the various tree species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992EEAA" id="Text Box 8" o:spid="_x0000_s1028" type="#_x0000_t202" style="position:absolute;margin-left:-52.9pt;margin-top:532.45pt;width:271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HCpLQIAAGQEAAAOAAAAZHJzL2Uyb0RvYy54bWysVMFu2zAMvQ/YPwi6L07SriuMOEWWIsOA&#10;oi2QDD0rshwLkEWNUmJnXz9KttOt22nYRaZIitJ7j/TirmsMOyn0GmzBZ5MpZ8pKKLU9FPzbbvPh&#10;ljMfhC2FAasKflae3y3fv1u0LldzqMGUChkVsT5vXcHrEFyeZV7WqhF+Ak5ZClaAjQi0xUNWomip&#10;emOy+XR6k7WApUOQynvy3vdBvkz1q0rJ8FRVXgVmCk5vC2nFtO7jmi0XIj+gcLWWwzPEP7yiEdrS&#10;pZdS9yIIdkT9R6lGSwQPVZhIaDKoKi1VwkBoZtM3aLa1cCphIXK8u9Dk/19Z+Xh6RqbLgpNQVjQk&#10;0U51gX2Gjt1Gdlrnc0raOkoLHblJ5dHvyRlBdxU28UtwGMWJ5/OF21hMkvPq+nr2aUohSbGbq4+x&#10;RvZ61KEPXxQ0LBoFRxIu8SlODz70qWNKvMmD0eVGGxM3MbA2yE6CRG5rHdRQ/LcsY2OuhXiqLxg9&#10;WcTX44hW6PZdYmM+YtxDeSboCH3reCc3mu57ED48C6ReIUjU/+GJlspAW3AYLM5qwB9/88d8kpCi&#10;nLXUewX3348CFWfmqyVxY6OOBo7GfjTssVkDIZ3RZDmZTDqAwYxmhdC80Fis4i0UElbSXQUPo7kO&#10;/QTQWEm1WqUkakcnwoPdOhlLj7zuuheBblAlkJiPMHalyN+I0+cmedzqGIjppFzktWdxoJtaOWk/&#10;jF2clV/3Kev157D8CQAA//8DAFBLAwQUAAYACAAAACEAxgfmxeQAAAAOAQAADwAAAGRycy9kb3du&#10;cmV2LnhtbEyPwU7DMBBE70j8g7VIXFBrt02jNsSpqgoOcKkIvXBz420ciNdR7LTh7zG9wHF2RjNv&#10;881oW3bG3jeOJMymAhhS5XRDtYTD+/NkBcwHRVq1jlDCN3rYFLc3ucq0u9AbnstQs1hCPlMSTAhd&#10;xrmvDFrlp65Dit7J9VaFKPua615dYrlt+VyIlFvVUFwwqsOdweqrHKyEffKxNw/D6el1myz6l8Ow&#10;Sz/rUsr7u3H7CCzgGP7C8Isf0aGITEc3kPaslTCZiWVkD9ERabIGFjPJIp0DO15PSwG8yPn/N4of&#10;AAAA//8DAFBLAQItABQABgAIAAAAIQC2gziS/gAAAOEBAAATAAAAAAAAAAAAAAAAAAAAAABbQ29u&#10;dGVudF9UeXBlc10ueG1sUEsBAi0AFAAGAAgAAAAhADj9If/WAAAAlAEAAAsAAAAAAAAAAAAAAAAA&#10;LwEAAF9yZWxzLy5yZWxzUEsBAi0AFAAGAAgAAAAhAEJIcKktAgAAZAQAAA4AAAAAAAAAAAAAAAAA&#10;LgIAAGRycy9lMm9Eb2MueG1sUEsBAi0AFAAGAAgAAAAhAMYH5sXkAAAADgEAAA8AAAAAAAAAAAAA&#10;AAAAhwQAAGRycy9kb3ducmV2LnhtbFBLBQYAAAAABAAEAPMAAACYBQAAAAA=&#10;" stroked="f">
                <v:textbox style="mso-fit-shape-to-text:t" inset="0,0,0,0">
                  <w:txbxContent>
                    <w:p w14:paraId="327BC817" w14:textId="1588A19E" w:rsidR="002A692A" w:rsidRPr="008D3FFD" w:rsidRDefault="002A692A" w:rsidP="002A692A">
                      <w:pPr>
                        <w:pStyle w:val="Caption"/>
                        <w:rPr>
                          <w:caps/>
                          <w:noProof/>
                          <w:color w:val="auto"/>
                          <w:spacing w:val="15"/>
                          <w:sz w:val="20"/>
                          <w:szCs w:val="20"/>
                        </w:rPr>
                      </w:pPr>
                      <w:r>
                        <w:t>Figure 5 s</w:t>
                      </w:r>
                      <w:r w:rsidRPr="008A5A32">
                        <w:t>howing the distribution of vitality of the various tree species</w:t>
                      </w:r>
                    </w:p>
                  </w:txbxContent>
                </v:textbox>
                <w10:wrap type="topAndBottom"/>
              </v:shape>
            </w:pict>
          </mc:Fallback>
        </mc:AlternateContent>
      </w:r>
      <w:r>
        <w:rPr>
          <w:noProof/>
          <w:lang w:eastAsia="zh-CN"/>
        </w:rPr>
        <w:drawing>
          <wp:anchor distT="0" distB="0" distL="114300" distR="114300" simplePos="0" relativeHeight="251679744" behindDoc="0" locked="0" layoutInCell="1" allowOverlap="1" wp14:anchorId="7A5D6C20" wp14:editId="434F9931">
            <wp:simplePos x="0" y="0"/>
            <wp:positionH relativeFrom="column">
              <wp:posOffset>-671878</wp:posOffset>
            </wp:positionH>
            <wp:positionV relativeFrom="paragraph">
              <wp:posOffset>3703368</wp:posOffset>
            </wp:positionV>
            <wp:extent cx="3441700" cy="3001645"/>
            <wp:effectExtent l="0" t="0" r="6350" b="8255"/>
            <wp:wrapTopAndBottom/>
            <wp:docPr id="25" name="Chart 25">
              <a:extLst xmlns:a="http://schemas.openxmlformats.org/drawingml/2006/main">
                <a:ext uri="{FF2B5EF4-FFF2-40B4-BE49-F238E27FC236}">
                  <a16:creationId xmlns:a16="http://schemas.microsoft.com/office/drawing/2014/main" id="{A5632D94-9959-422D-AD6D-92BDB7A4BD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2A692A">
        <w:rPr>
          <w:noProof/>
          <w:lang w:eastAsia="zh-CN"/>
        </w:rPr>
        <mc:AlternateContent>
          <mc:Choice Requires="wps">
            <w:drawing>
              <wp:anchor distT="0" distB="0" distL="114300" distR="114300" simplePos="0" relativeHeight="251692032" behindDoc="0" locked="0" layoutInCell="1" allowOverlap="1" wp14:anchorId="10E43C4C" wp14:editId="183E303F">
                <wp:simplePos x="0" y="0"/>
                <wp:positionH relativeFrom="column">
                  <wp:posOffset>-621030</wp:posOffset>
                </wp:positionH>
                <wp:positionV relativeFrom="paragraph">
                  <wp:posOffset>3274060</wp:posOffset>
                </wp:positionV>
                <wp:extent cx="3467735"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3467735" cy="635"/>
                        </a:xfrm>
                        <a:prstGeom prst="rect">
                          <a:avLst/>
                        </a:prstGeom>
                        <a:solidFill>
                          <a:prstClr val="white"/>
                        </a:solidFill>
                        <a:ln>
                          <a:noFill/>
                        </a:ln>
                      </wps:spPr>
                      <wps:txbx>
                        <w:txbxContent>
                          <w:p w14:paraId="75547FF3" w14:textId="3584603B" w:rsidR="002A692A" w:rsidRPr="000214D6" w:rsidRDefault="002A692A" w:rsidP="002A692A">
                            <w:pPr>
                              <w:pStyle w:val="Caption"/>
                              <w:rPr>
                                <w:caps/>
                                <w:noProof/>
                                <w:color w:val="auto"/>
                                <w:spacing w:val="15"/>
                                <w:sz w:val="20"/>
                                <w:szCs w:val="20"/>
                              </w:rPr>
                            </w:pPr>
                            <w:r>
                              <w:t xml:space="preserve">Figure 3 </w:t>
                            </w:r>
                            <w:r w:rsidRPr="00B012DF">
                              <w:t>demonstrating overall mortality rates of the tree species planted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0E43C4C" id="Text Box 6" o:spid="_x0000_s1029" type="#_x0000_t202" style="position:absolute;margin-left:-48.9pt;margin-top:257.8pt;width:273.0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0ILgIAAGQEAAAOAAAAZHJzL2Uyb0RvYy54bWysVMFu2zAMvQ/YPwi6L07aLh2MOEWWIsOA&#10;oi2QDD0rshwLkEWNUmJnXz9KttOt22nYRaZIitJ7j/TirmsMOyn0GmzBZ5MpZ8pKKLU9FPzbbvPh&#10;E2c+CFsKA1YV/Kw8v1u+f7doXa6uoAZTKmRUxPq8dQWvQ3B5lnlZq0b4CThlKVgBNiLQFg9ZiaKl&#10;6o3JrqbTedYClg5BKu/Je98H+TLVryolw1NVeRWYKTi9LaQV07qPa7ZciPyAwtVaDs8Q//CKRmhL&#10;l15K3Ysg2BH1H6UaLRE8VGEiocmgqrRUCQOhmU3foNnWwqmEhcjx7kKT/39l5ePpGZkuCz7nzIqG&#10;JNqpLrDP0LF5ZKd1PqekraO00JGbVB79npwRdFdhE78Eh1GceD5fuI3FJDmvb+a3t9cfOZMUm5NB&#10;tbPXow59+KKgYdEoOJJwiU9xevChTx1T4k0ejC432pi4iYG1QXYSJHJb66CG4r9lGRtzLcRTfcHo&#10;ySK+Hke0QrfvEhs3I8Y9lGeCjtC3jndyo+m+B+HDs0DqFUJL/R+eaKkMtAWHweKsBvzxN3/MJwkp&#10;yllLvVdw//0oUHFmvloSNzbqaOBo7EfDHps1ENIZTZaTyaQDGMxoVgjNC43FKt5CIWEl3VXwMJrr&#10;0E8AjZVUq1VKonZ0IjzYrZOx9MjrrnsR6AZVAon5CGNXivyNOH1uksetjoGYTspFXnsWB7qplZP2&#10;w9jFWfl1n7Jefw7LnwAAAP//AwBQSwMEFAAGAAgAAAAhAJX/7FHiAAAACwEAAA8AAABkcnMvZG93&#10;bnJldi54bWxMj8FOwzAQRO9I/IO1SFxQ65SmaQlxqqqCA71UhF64ufE2DsTryHba8PcYLnDc2dHM&#10;m2I9mo6d0fnWkoDZNAGGVFvVUiPg8PY8WQHzQZKSnSUU8IUe1uX1VSFzZS/0iucqNCyGkM+lAB1C&#10;n3Pua41G+qntkeLvZJ2RIZ6u4crJSww3Hb9Pkowb2VJs0LLHrcb6sxqMgH36vtd3w+lpt0nn7uUw&#10;bLOPphLi9mbcPAILOIY/M/zgR3QoI9PRDqQ86wRMHpYRPQhYzBYZsOhI09Uc2PFXWQIvC/5/Q/kN&#10;AAD//wMAUEsBAi0AFAAGAAgAAAAhALaDOJL+AAAA4QEAABMAAAAAAAAAAAAAAAAAAAAAAFtDb250&#10;ZW50X1R5cGVzXS54bWxQSwECLQAUAAYACAAAACEAOP0h/9YAAACUAQAACwAAAAAAAAAAAAAAAAAv&#10;AQAAX3JlbHMvLnJlbHNQSwECLQAUAAYACAAAACEAvxndCC4CAABkBAAADgAAAAAAAAAAAAAAAAAu&#10;AgAAZHJzL2Uyb0RvYy54bWxQSwECLQAUAAYACAAAACEAlf/sUeIAAAALAQAADwAAAAAAAAAAAAAA&#10;AACIBAAAZHJzL2Rvd25yZXYueG1sUEsFBgAAAAAEAAQA8wAAAJcFAAAAAA==&#10;" stroked="f">
                <v:textbox style="mso-fit-shape-to-text:t" inset="0,0,0,0">
                  <w:txbxContent>
                    <w:p w14:paraId="75547FF3" w14:textId="3584603B" w:rsidR="002A692A" w:rsidRPr="000214D6" w:rsidRDefault="002A692A" w:rsidP="002A692A">
                      <w:pPr>
                        <w:pStyle w:val="Caption"/>
                        <w:rPr>
                          <w:caps/>
                          <w:noProof/>
                          <w:color w:val="auto"/>
                          <w:spacing w:val="15"/>
                          <w:sz w:val="20"/>
                          <w:szCs w:val="20"/>
                        </w:rPr>
                      </w:pPr>
                      <w:r>
                        <w:t xml:space="preserve">Figure 3 </w:t>
                      </w:r>
                      <w:r w:rsidRPr="00B012DF">
                        <w:t>demonstrating overall mortality rates of the tree species planted</w:t>
                      </w:r>
                    </w:p>
                  </w:txbxContent>
                </v:textbox>
                <w10:wrap type="topAndBottom"/>
              </v:shape>
            </w:pict>
          </mc:Fallback>
        </mc:AlternateContent>
      </w:r>
      <w:r w:rsidR="00421769">
        <w:rPr>
          <w:noProof/>
          <w:lang w:eastAsia="zh-CN"/>
        </w:rPr>
        <w:drawing>
          <wp:anchor distT="0" distB="0" distL="114300" distR="114300" simplePos="0" relativeHeight="251670528" behindDoc="1" locked="0" layoutInCell="1" allowOverlap="1" wp14:anchorId="485236E6" wp14:editId="61D7ED1E">
            <wp:simplePos x="0" y="0"/>
            <wp:positionH relativeFrom="column">
              <wp:posOffset>-621077</wp:posOffset>
            </wp:positionH>
            <wp:positionV relativeFrom="paragraph">
              <wp:posOffset>396815</wp:posOffset>
            </wp:positionV>
            <wp:extent cx="3467735" cy="2820670"/>
            <wp:effectExtent l="0" t="0" r="18415" b="17780"/>
            <wp:wrapTopAndBottom/>
            <wp:docPr id="16" name="Chart 16">
              <a:extLst xmlns:a="http://schemas.openxmlformats.org/drawingml/2006/main">
                <a:ext uri="{FF2B5EF4-FFF2-40B4-BE49-F238E27FC236}">
                  <a16:creationId xmlns:a16="http://schemas.microsoft.com/office/drawing/2014/main" id="{7DCF809B-49BC-4B85-B0A1-325346EF65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002A692A">
        <w:rPr>
          <w:noProof/>
          <w:lang w:eastAsia="zh-CN"/>
        </w:rPr>
        <mc:AlternateContent>
          <mc:Choice Requires="wps">
            <w:drawing>
              <wp:anchor distT="0" distB="0" distL="114300" distR="114300" simplePos="0" relativeHeight="251694080" behindDoc="0" locked="0" layoutInCell="1" allowOverlap="1" wp14:anchorId="44E01452" wp14:editId="681D8C1F">
                <wp:simplePos x="0" y="0"/>
                <wp:positionH relativeFrom="column">
                  <wp:posOffset>2811145</wp:posOffset>
                </wp:positionH>
                <wp:positionV relativeFrom="paragraph">
                  <wp:posOffset>3194685</wp:posOffset>
                </wp:positionV>
                <wp:extent cx="3510915" cy="635"/>
                <wp:effectExtent l="0" t="0" r="0" b="0"/>
                <wp:wrapTopAndBottom/>
                <wp:docPr id="7" name="Text Box 7"/>
                <wp:cNvGraphicFramePr/>
                <a:graphic xmlns:a="http://schemas.openxmlformats.org/drawingml/2006/main">
                  <a:graphicData uri="http://schemas.microsoft.com/office/word/2010/wordprocessingShape">
                    <wps:wsp>
                      <wps:cNvSpPr txBox="1"/>
                      <wps:spPr>
                        <a:xfrm>
                          <a:off x="0" y="0"/>
                          <a:ext cx="3510915" cy="635"/>
                        </a:xfrm>
                        <a:prstGeom prst="rect">
                          <a:avLst/>
                        </a:prstGeom>
                        <a:solidFill>
                          <a:prstClr val="white"/>
                        </a:solidFill>
                        <a:ln>
                          <a:noFill/>
                        </a:ln>
                      </wps:spPr>
                      <wps:txbx>
                        <w:txbxContent>
                          <w:p w14:paraId="51AB6E8D" w14:textId="5D983689" w:rsidR="002A692A" w:rsidRPr="004279F7" w:rsidRDefault="002A692A" w:rsidP="002A692A">
                            <w:pPr>
                              <w:pStyle w:val="Caption"/>
                              <w:rPr>
                                <w:caps/>
                                <w:noProof/>
                                <w:color w:val="auto"/>
                                <w:spacing w:val="15"/>
                                <w:sz w:val="20"/>
                                <w:szCs w:val="20"/>
                              </w:rPr>
                            </w:pPr>
                            <w:r>
                              <w:t xml:space="preserve">Figure 4 </w:t>
                            </w:r>
                            <w:r w:rsidRPr="00CD010E">
                              <w:t>showing the number of trees dying per year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4E01452" id="Text Box 7" o:spid="_x0000_s1030" type="#_x0000_t202" style="position:absolute;margin-left:221.35pt;margin-top:251.55pt;width:276.45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UmLwIAAGQEAAAOAAAAZHJzL2Uyb0RvYy54bWysVMFu2zAMvQ/YPwi6L04apN2MOEWWIsOA&#10;oC2QDD0rshwLkEWNUmJnXz9KjtOt22nYRaZIitJ7j/T8vmsMOyn0GmzBJ6MxZ8pKKLU9FPzbbv3h&#10;I2c+CFsKA1YV/Kw8v1+8fzdvXa5uoAZTKmRUxPq8dQWvQ3B5lnlZq0b4EThlKVgBNiLQFg9ZiaKl&#10;6o3Jbsbj26wFLB2CVN6T96EP8kWqX1VKhqeq8iowU3B6W0grpnUf12wxF/kBhau1vDxD/MMrGqEt&#10;XXot9SCCYEfUf5RqtETwUIWRhCaDqtJSJQyEZjJ+g2ZbC6cSFiLHuytN/v+VlY+nZ2S6LPgdZ1Y0&#10;JNFOdYF9ho7dRXZa53NK2jpKCx25SeXB78kZQXcVNvFLcBjFiefzldtYTJJzOpuMP01mnEmK3U5n&#10;sUb2etShD18UNCwaBUcSLvEpThsf+tQhJd7kwehyrY2JmxhYGWQnQSK3tQ7qUvy3LGNjroV4qi8Y&#10;PVnE1+OIVuj2XWJjOmDcQ3km6Ah963gn15ru2wgfngVSrxBa6v/wREtloC04XCzOasAff/PHfJKQ&#10;opy11HsF99+PAhVn5qslcWOjDgYOxn4w7LFZASGd0GQ5mUw6gMEMZoXQvNBYLOMtFBJW0l0FD4O5&#10;Cv0E0FhJtVymJGpHJ8LGbp2MpQded92LQHdRJZCYjzB0pcjfiNPnJnnc8hiI6aRc5LVn8UI3tXLS&#10;/jJ2cVZ+3aes15/D4icAAAD//wMAUEsDBBQABgAIAAAAIQC5kDYP4gAAAAsBAAAPAAAAZHJzL2Rv&#10;d25yZXYueG1sTI+xTsMwEIZ3JN7BOiQWRJ2maaAhTlVVMMBSEbqwufE1DsTnyHba8PYYFhjv7tN/&#10;31+uJ9OzEzrfWRIwnyXAkBqrOmoF7N+ebu+B+SBJyd4SCvhCD+vq8qKUhbJnesVTHVoWQ8gXUoAO&#10;YSg4941GI/3MDkjxdrTOyBBH13Ll5DmGm56nSZJzIzuKH7QccKux+axHI2CXve/0zXh8fNlkC/e8&#10;H7f5R1sLcX01bR6ABZzCHww/+lEdquh0sCMpz3oBWZbeRVTAMlnMgUVitVrmwA6/mxR4VfL/Hapv&#10;AAAA//8DAFBLAQItABQABgAIAAAAIQC2gziS/gAAAOEBAAATAAAAAAAAAAAAAAAAAAAAAABbQ29u&#10;dGVudF9UeXBlc10ueG1sUEsBAi0AFAAGAAgAAAAhADj9If/WAAAAlAEAAAsAAAAAAAAAAAAAAAAA&#10;LwEAAF9yZWxzLy5yZWxzUEsBAi0AFAAGAAgAAAAhAMO75SYvAgAAZAQAAA4AAAAAAAAAAAAAAAAA&#10;LgIAAGRycy9lMm9Eb2MueG1sUEsBAi0AFAAGAAgAAAAhALmQNg/iAAAACwEAAA8AAAAAAAAAAAAA&#10;AAAAiQQAAGRycy9kb3ducmV2LnhtbFBLBQYAAAAABAAEAPMAAACYBQAAAAA=&#10;" stroked="f">
                <v:textbox style="mso-fit-shape-to-text:t" inset="0,0,0,0">
                  <w:txbxContent>
                    <w:p w14:paraId="51AB6E8D" w14:textId="5D983689" w:rsidR="002A692A" w:rsidRPr="004279F7" w:rsidRDefault="002A692A" w:rsidP="002A692A">
                      <w:pPr>
                        <w:pStyle w:val="Caption"/>
                        <w:rPr>
                          <w:caps/>
                          <w:noProof/>
                          <w:color w:val="auto"/>
                          <w:spacing w:val="15"/>
                          <w:sz w:val="20"/>
                          <w:szCs w:val="20"/>
                        </w:rPr>
                      </w:pPr>
                      <w:r>
                        <w:t xml:space="preserve">Figure 4 </w:t>
                      </w:r>
                      <w:r w:rsidRPr="00CD010E">
                        <w:t>showing the number of trees dying per year</w:t>
                      </w:r>
                    </w:p>
                  </w:txbxContent>
                </v:textbox>
                <w10:wrap type="topAndBottom"/>
              </v:shape>
            </w:pict>
          </mc:Fallback>
        </mc:AlternateContent>
      </w:r>
      <w:r w:rsidR="007C1CBD">
        <w:rPr>
          <w:noProof/>
          <w:lang w:eastAsia="zh-CN"/>
        </w:rPr>
        <w:drawing>
          <wp:anchor distT="0" distB="0" distL="114300" distR="114300" simplePos="0" relativeHeight="251665408" behindDoc="0" locked="0" layoutInCell="1" allowOverlap="1" wp14:anchorId="172AC66B" wp14:editId="2CAD38E8">
            <wp:simplePos x="0" y="0"/>
            <wp:positionH relativeFrom="column">
              <wp:posOffset>2811145</wp:posOffset>
            </wp:positionH>
            <wp:positionV relativeFrom="paragraph">
              <wp:posOffset>248465</wp:posOffset>
            </wp:positionV>
            <wp:extent cx="3510915" cy="2889250"/>
            <wp:effectExtent l="0" t="0" r="13335" b="6350"/>
            <wp:wrapTopAndBottom/>
            <wp:docPr id="12" name="Chart 12">
              <a:extLst xmlns:a="http://schemas.openxmlformats.org/drawingml/2006/main">
                <a:ext uri="{FF2B5EF4-FFF2-40B4-BE49-F238E27FC236}">
                  <a16:creationId xmlns:a16="http://schemas.microsoft.com/office/drawing/2014/main" id="{2E39A65D-7226-4D6B-A232-ECD59393DA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sidR="004555E3">
        <w:t>Results</w:t>
      </w:r>
      <w:bookmarkEnd w:id="3"/>
    </w:p>
    <w:p w14:paraId="2B273670" w14:textId="438A6A34" w:rsidR="00450D50" w:rsidRDefault="00A26E5B" w:rsidP="004555E3">
      <w:pPr>
        <w:rPr>
          <w:noProof/>
        </w:rPr>
      </w:pPr>
      <w:r>
        <w:t xml:space="preserve"> </w:t>
      </w:r>
    </w:p>
    <w:p w14:paraId="3725CCF3" w14:textId="468EAB05" w:rsidR="00AE5125" w:rsidRDefault="00AE5125" w:rsidP="00AE5125">
      <w:pPr>
        <w:pStyle w:val="Caption"/>
        <w:rPr>
          <w:noProof/>
        </w:rPr>
      </w:pPr>
    </w:p>
    <w:p w14:paraId="10F4F4D4" w14:textId="4F981DF8" w:rsidR="00AE5125" w:rsidRDefault="00EA6AE3" w:rsidP="004555E3">
      <w:r>
        <w:rPr>
          <w:noProof/>
          <w:lang w:eastAsia="zh-CN"/>
        </w:rPr>
        <w:lastRenderedPageBreak/>
        <mc:AlternateContent>
          <mc:Choice Requires="wps">
            <w:drawing>
              <wp:anchor distT="0" distB="0" distL="114300" distR="114300" simplePos="0" relativeHeight="251687936" behindDoc="0" locked="0" layoutInCell="1" allowOverlap="1" wp14:anchorId="613A20D8" wp14:editId="01B8796B">
                <wp:simplePos x="0" y="0"/>
                <wp:positionH relativeFrom="column">
                  <wp:posOffset>1405890</wp:posOffset>
                </wp:positionH>
                <wp:positionV relativeFrom="paragraph">
                  <wp:posOffset>2933065</wp:posOffset>
                </wp:positionV>
                <wp:extent cx="3674745" cy="635"/>
                <wp:effectExtent l="0" t="0" r="1905" b="635"/>
                <wp:wrapTopAndBottom/>
                <wp:docPr id="27" name="Text Box 27"/>
                <wp:cNvGraphicFramePr/>
                <a:graphic xmlns:a="http://schemas.openxmlformats.org/drawingml/2006/main">
                  <a:graphicData uri="http://schemas.microsoft.com/office/word/2010/wordprocessingShape">
                    <wps:wsp>
                      <wps:cNvSpPr txBox="1"/>
                      <wps:spPr>
                        <a:xfrm>
                          <a:off x="0" y="0"/>
                          <a:ext cx="3674745" cy="635"/>
                        </a:xfrm>
                        <a:prstGeom prst="rect">
                          <a:avLst/>
                        </a:prstGeom>
                        <a:solidFill>
                          <a:prstClr val="white"/>
                        </a:solidFill>
                        <a:ln>
                          <a:noFill/>
                        </a:ln>
                      </wps:spPr>
                      <wps:txbx>
                        <w:txbxContent>
                          <w:p w14:paraId="2943780F" w14:textId="43E56AC1" w:rsidR="00EA6AE3" w:rsidRPr="008455A4" w:rsidRDefault="00EA6AE3" w:rsidP="00EA6AE3">
                            <w:pPr>
                              <w:pStyle w:val="Caption"/>
                              <w:rPr>
                                <w:noProof/>
                                <w:sz w:val="20"/>
                                <w:szCs w:val="20"/>
                              </w:rPr>
                            </w:pPr>
                            <w:r>
                              <w:t xml:space="preserve">Figure </w:t>
                            </w:r>
                            <w:r w:rsidR="002A692A">
                              <w:t>7</w:t>
                            </w:r>
                            <w:r>
                              <w:t xml:space="preserve"> showing the planting pattern of species, colour coded with the key used in </w:t>
                            </w:r>
                            <w:r>
                              <w:rPr>
                                <w:i/>
                              </w:rPr>
                              <w:t>figures 5 and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13A20D8" id="Text Box 27" o:spid="_x0000_s1031" type="#_x0000_t202" style="position:absolute;margin-left:110.7pt;margin-top:230.95pt;width:289.35pt;height:.05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jrALwIAAGYEAAAOAAAAZHJzL2Uyb0RvYy54bWysVFFv2yAQfp+0/4B4X5ykbVJZcaosVaZJ&#10;UVspmfpMMI6RgGNAYme/fge2m63b07QXfNwdH3z33Xnx0GpFzsJ5Caagk9GYEmE4lNIcC/ptv/l0&#10;T4kPzJRMgREFvQhPH5YfPywam4sp1KBK4QiCGJ83tqB1CDbPMs9roZkfgRUGgxU4zQJu3TErHWsQ&#10;XatsOh7PsgZcaR1w4T16H7sgXSb8qhI8PFeVF4GoguLbQlpdWg9xzZYLlh8ds7Xk/TPYP7xCM2nw&#10;0jeoRxYYOTn5B5SW3IGHKow46AyqSnKROCCbyfgdm13NrEhcsDjevpXJ/z9Y/nR+cUSWBZ3OKTFM&#10;o0Z70QbyGVqCLqxPY32OaTuLiaFFP+o8+D06I+22cjp+kRDBOFb68lbdiMbReTOb385v7yjhGJvd&#10;3EWM7HrUOh++CNAkGgV1KF2qKDtvfehSh5R4kwcly41UKm5iYK0cOTOUuallED34b1nKxFwD8VQH&#10;GD1Z5NfxiFZoD22qR3pf9BygvCB1B13zeMs3Eu/bMh9emMNuQbY4AeEZl0pBU1DoLUpqcD/+5o/5&#10;KCJGKWmw+wrqv5+YE5Sorwblja06GG4wDoNhTnoNyHSCs2V5MvGAC2owKwf6FQdjFW/BEDMc7ypo&#10;GMx16GYAB4uL1SolYUNaFrZmZ3mEHuq6b1+Zs70qAcV8gqEvWf5OnC43yWNXp4CVTspdq9iXG5s5&#10;ad8PXpyWX/cp6/p7WP4EAAD//wMAUEsDBBQABgAIAAAAIQBHWeMp4QAAAAsBAAAPAAAAZHJzL2Rv&#10;d25yZXYueG1sTI+xTsMwEIb3SryDdUgsFbUToqiEOFVVwQBLRejC5sbXOBCfo9hpw9vjTjDe3af/&#10;vr/czLZnZxx950hCshLAkBqnO2olHD5e7tfAfFCkVe8IJfygh011syhVod2F3vFch5bFEPKFkmBC&#10;GArOfWPQKr9yA1K8ndxoVYjj2HI9qksMtz1Phci5VR3FD0YNuDPYfNeTlbDPPvdmOZ2e37bZw/h6&#10;mHb5V1tLeXc7b5+ABZzDHwxX/agOVXQ6uom0Z72ENE2yiErI8uQRWCTWQiTAjtdNKoBXJf/fofoF&#10;AAD//wMAUEsBAi0AFAAGAAgAAAAhALaDOJL+AAAA4QEAABMAAAAAAAAAAAAAAAAAAAAAAFtDb250&#10;ZW50X1R5cGVzXS54bWxQSwECLQAUAAYACAAAACEAOP0h/9YAAACUAQAACwAAAAAAAAAAAAAAAAAv&#10;AQAAX3JlbHMvLnJlbHNQSwECLQAUAAYACAAAACEAMcI6wC8CAABmBAAADgAAAAAAAAAAAAAAAAAu&#10;AgAAZHJzL2Uyb0RvYy54bWxQSwECLQAUAAYACAAAACEAR1njKeEAAAALAQAADwAAAAAAAAAAAAAA&#10;AACJBAAAZHJzL2Rvd25yZXYueG1sUEsFBgAAAAAEAAQA8wAAAJcFAAAAAA==&#10;" stroked="f">
                <v:textbox style="mso-fit-shape-to-text:t" inset="0,0,0,0">
                  <w:txbxContent>
                    <w:p w14:paraId="2943780F" w14:textId="43E56AC1" w:rsidR="00EA6AE3" w:rsidRPr="008455A4" w:rsidRDefault="00EA6AE3" w:rsidP="00EA6AE3">
                      <w:pPr>
                        <w:pStyle w:val="Caption"/>
                        <w:rPr>
                          <w:noProof/>
                          <w:sz w:val="20"/>
                          <w:szCs w:val="20"/>
                        </w:rPr>
                      </w:pPr>
                      <w:r>
                        <w:t xml:space="preserve">Figure </w:t>
                      </w:r>
                      <w:r w:rsidR="002A692A">
                        <w:t>7</w:t>
                      </w:r>
                      <w:bookmarkStart w:id="4" w:name="_GoBack"/>
                      <w:bookmarkEnd w:id="4"/>
                      <w:r>
                        <w:t xml:space="preserve"> showing the planting pattern of species, colour coded with the key used in </w:t>
                      </w:r>
                      <w:r>
                        <w:rPr>
                          <w:i/>
                        </w:rPr>
                        <w:t>figures 5 and 6</w:t>
                      </w:r>
                    </w:p>
                  </w:txbxContent>
                </v:textbox>
                <w10:wrap type="topAndBottom"/>
              </v:shape>
            </w:pict>
          </mc:Fallback>
        </mc:AlternateContent>
      </w:r>
      <w:r>
        <w:rPr>
          <w:noProof/>
          <w:lang w:eastAsia="zh-CN"/>
        </w:rPr>
        <w:drawing>
          <wp:anchor distT="0" distB="0" distL="114300" distR="114300" simplePos="0" relativeHeight="251678720" behindDoc="0" locked="0" layoutInCell="1" allowOverlap="1" wp14:anchorId="3D34717C" wp14:editId="3039CC0B">
            <wp:simplePos x="0" y="0"/>
            <wp:positionH relativeFrom="column">
              <wp:posOffset>3517828</wp:posOffset>
            </wp:positionH>
            <wp:positionV relativeFrom="paragraph">
              <wp:posOffset>2036864</wp:posOffset>
            </wp:positionV>
            <wp:extent cx="1338682" cy="796134"/>
            <wp:effectExtent l="0" t="0" r="0" b="4445"/>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1958" t="49919" r="59796" b="30790"/>
                    <a:stretch/>
                  </pic:blipFill>
                  <pic:spPr bwMode="auto">
                    <a:xfrm>
                      <a:off x="0" y="0"/>
                      <a:ext cx="1338682" cy="796134"/>
                    </a:xfrm>
                    <a:prstGeom prst="rect">
                      <a:avLst/>
                    </a:prstGeom>
                    <a:ln>
                      <a:noFill/>
                    </a:ln>
                    <a:extLst>
                      <a:ext uri="{53640926-AAD7-44D8-BBD7-CCE9431645EC}">
                        <a14:shadowObscured xmlns:a14="http://schemas.microsoft.com/office/drawing/2010/main"/>
                      </a:ext>
                    </a:extLst>
                  </pic:spPr>
                </pic:pic>
              </a:graphicData>
            </a:graphic>
          </wp:anchor>
        </w:drawing>
      </w:r>
      <w:r w:rsidR="00421769">
        <w:rPr>
          <w:noProof/>
          <w:lang w:eastAsia="zh-CN"/>
        </w:rPr>
        <w:drawing>
          <wp:anchor distT="0" distB="0" distL="114300" distR="114300" simplePos="0" relativeHeight="251677696" behindDoc="0" locked="0" layoutInCell="1" allowOverlap="1" wp14:anchorId="62D10C03" wp14:editId="01132557">
            <wp:simplePos x="0" y="0"/>
            <wp:positionH relativeFrom="margin">
              <wp:posOffset>1408358</wp:posOffset>
            </wp:positionH>
            <wp:positionV relativeFrom="paragraph">
              <wp:posOffset>-492</wp:posOffset>
            </wp:positionV>
            <wp:extent cx="2084705" cy="2874645"/>
            <wp:effectExtent l="0" t="0" r="0" b="1905"/>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1762" t="36391" r="51988" b="21326"/>
                    <a:stretch/>
                  </pic:blipFill>
                  <pic:spPr bwMode="auto">
                    <a:xfrm>
                      <a:off x="0" y="0"/>
                      <a:ext cx="2084705" cy="28746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074A">
        <w:rPr>
          <w:i/>
        </w:rPr>
        <w:t>Figure 3</w:t>
      </w:r>
      <w:r w:rsidR="0015074A">
        <w:t xml:space="preserve"> shows </w:t>
      </w:r>
      <w:r w:rsidR="00AE5125">
        <w:t xml:space="preserve">clearly the </w:t>
      </w:r>
      <w:r w:rsidR="00101E50">
        <w:t xml:space="preserve">trend of high </w:t>
      </w:r>
      <w:r w:rsidR="00AE5125">
        <w:t xml:space="preserve">mortality of trees as of 2019, </w:t>
      </w:r>
      <w:r w:rsidR="00101E50">
        <w:t>regardless of species, but especially</w:t>
      </w:r>
      <w:r w:rsidR="00AE5125">
        <w:t xml:space="preserve"> high mortality rates</w:t>
      </w:r>
      <w:r w:rsidR="00101E50">
        <w:t xml:space="preserve"> are obvious</w:t>
      </w:r>
      <w:r w:rsidR="00AE5125">
        <w:t xml:space="preserve"> for oak trees, of which there were 34 planted</w:t>
      </w:r>
      <w:r w:rsidR="00450D50">
        <w:t xml:space="preserve">, but only 18% have survived the 13 years since plantation. </w:t>
      </w:r>
      <w:r w:rsidR="00101E50">
        <w:t xml:space="preserve">The lowest mortality rate is for the mixed category of trees, with 42.9% dying, which while almost half of the figure for the oak trees, still represents nearly 50% of mixed trees. The data of </w:t>
      </w:r>
      <w:r w:rsidR="00101E50">
        <w:rPr>
          <w:i/>
        </w:rPr>
        <w:t xml:space="preserve">figure 4 </w:t>
      </w:r>
      <w:r w:rsidR="00101E50">
        <w:t xml:space="preserve">shows the how many trees died each year since planting, with a clear trend of decreasing deaths until 2018 when the number spiked up to 8, which occurred again in 2019. </w:t>
      </w:r>
      <w:r w:rsidR="00A739F8">
        <w:t xml:space="preserve">The first spike occurred in 2008, where 17 trees died, but more than halved to 6 the following year. </w:t>
      </w:r>
    </w:p>
    <w:p w14:paraId="7CECC6AF" w14:textId="133D7517" w:rsidR="00101E50" w:rsidRDefault="00A739F8" w:rsidP="004555E3">
      <w:r w:rsidRPr="00A12BAE">
        <w:rPr>
          <w:i/>
        </w:rPr>
        <w:t>Figure 5</w:t>
      </w:r>
      <w:r>
        <w:t xml:space="preserve"> </w:t>
      </w:r>
      <w:r w:rsidR="00A12BAE">
        <w:t xml:space="preserve">demonstrates the vitality ratings of </w:t>
      </w:r>
      <w:r w:rsidR="00A61823">
        <w:t xml:space="preserve">the six types of tree planted in this block, showing a trend towards poor quality trees, colour coded using the vitality scores. For all tree species, the mode vitality score is 0, with most demonstrating low values (1-3) as second most common scores, although alders have a shared </w:t>
      </w:r>
      <w:r w:rsidR="002B03F4">
        <w:t>secondary mode</w:t>
      </w:r>
      <w:r w:rsidR="00A61823">
        <w:t xml:space="preserve"> between 2 and 4, which means that some trees within this species are considerably hardier than other species. Vitality across the blocks within plot B are shown in </w:t>
      </w:r>
      <w:r w:rsidR="00A61823">
        <w:rPr>
          <w:i/>
        </w:rPr>
        <w:t>figure 6</w:t>
      </w:r>
      <w:r w:rsidR="00A61823">
        <w:t>, where it is obvious that the trees of B1 are faring far better than any other block, showing the least mortality, whereas B2 has a very high rate of tree</w:t>
      </w:r>
      <w:r w:rsidR="00EA6AE3">
        <w:t xml:space="preserve"> </w:t>
      </w:r>
      <w:r w:rsidR="00A61823">
        <w:lastRenderedPageBreak/>
        <w:t xml:space="preserve">death. This is further exemplified in </w:t>
      </w:r>
      <w:r w:rsidR="00A61823">
        <w:rPr>
          <w:i/>
        </w:rPr>
        <w:t>figure 7</w:t>
      </w:r>
      <w:r w:rsidR="00A61823">
        <w:t xml:space="preserve">, which shows the vitality scores for each tree, along with its </w:t>
      </w:r>
      <w:r w:rsidR="00EA6AE3">
        <w:rPr>
          <w:noProof/>
          <w:lang w:eastAsia="zh-CN"/>
        </w:rPr>
        <mc:AlternateContent>
          <mc:Choice Requires="wps">
            <w:drawing>
              <wp:anchor distT="0" distB="0" distL="114300" distR="114300" simplePos="0" relativeHeight="251685888" behindDoc="0" locked="0" layoutInCell="1" allowOverlap="1" wp14:anchorId="0E1C15FC" wp14:editId="0AA62695">
                <wp:simplePos x="0" y="0"/>
                <wp:positionH relativeFrom="margin">
                  <wp:align>left</wp:align>
                </wp:positionH>
                <wp:positionV relativeFrom="paragraph">
                  <wp:posOffset>4121126</wp:posOffset>
                </wp:positionV>
                <wp:extent cx="2785745" cy="635"/>
                <wp:effectExtent l="0" t="0" r="0" b="9525"/>
                <wp:wrapTopAndBottom/>
                <wp:docPr id="26" name="Text Box 26"/>
                <wp:cNvGraphicFramePr/>
                <a:graphic xmlns:a="http://schemas.openxmlformats.org/drawingml/2006/main">
                  <a:graphicData uri="http://schemas.microsoft.com/office/word/2010/wordprocessingShape">
                    <wps:wsp>
                      <wps:cNvSpPr txBox="1"/>
                      <wps:spPr>
                        <a:xfrm>
                          <a:off x="0" y="0"/>
                          <a:ext cx="2785745" cy="635"/>
                        </a:xfrm>
                        <a:prstGeom prst="rect">
                          <a:avLst/>
                        </a:prstGeom>
                        <a:solidFill>
                          <a:prstClr val="white"/>
                        </a:solidFill>
                        <a:ln>
                          <a:noFill/>
                        </a:ln>
                      </wps:spPr>
                      <wps:txbx>
                        <w:txbxContent>
                          <w:p w14:paraId="647B3020" w14:textId="55204AF5" w:rsidR="000A7CE7" w:rsidRPr="00AE59F8" w:rsidRDefault="000A7CE7" w:rsidP="000A7CE7">
                            <w:pPr>
                              <w:pStyle w:val="Caption"/>
                              <w:rPr>
                                <w:noProof/>
                                <w:sz w:val="20"/>
                                <w:szCs w:val="20"/>
                              </w:rPr>
                            </w:pPr>
                            <w:r>
                              <w:t xml:space="preserve">Figure </w:t>
                            </w:r>
                            <w:r w:rsidR="009A2CCF">
                              <w:fldChar w:fldCharType="begin"/>
                            </w:r>
                            <w:r w:rsidR="009A2CCF">
                              <w:instrText xml:space="preserve"> SEQ Figure \* ARABIC </w:instrText>
                            </w:r>
                            <w:r w:rsidR="009A2CCF">
                              <w:fldChar w:fldCharType="separate"/>
                            </w:r>
                            <w:r w:rsidR="002A692A">
                              <w:rPr>
                                <w:noProof/>
                              </w:rPr>
                              <w:t>7</w:t>
                            </w:r>
                            <w:r w:rsidR="009A2CCF">
                              <w:rPr>
                                <w:noProof/>
                              </w:rPr>
                              <w:fldChar w:fldCharType="end"/>
                            </w:r>
                            <w:r>
                              <w:t xml:space="preserve"> showing ground conditions in much of B3 and B4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E1C15FC" id="Text Box 26" o:spid="_x0000_s1032" type="#_x0000_t202" style="position:absolute;margin-left:0;margin-top:324.5pt;width:219.35pt;height:.05pt;z-index:25168588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fdRLwIAAGYEAAAOAAAAZHJzL2Uyb0RvYy54bWysVMFu2zAMvQ/YPwi6L06yJS2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k/nnFnR&#10;kEY71QX2GTpGLuKndT6ntK2jxNCRn3Qe/J6cEXZXYRO/BIhRnJg+X9mN1SQ5pze3s5tPM84kxeYf&#10;Z7FG9nrUoQ9fFDQsGgVHki4xKk4PPvSpQ0q8yYPR5UYbEzcxsDbIToJkbmsd1KX4b1nGxlwL8VRf&#10;MHqyiK/HEa3Q7bvExxX7HsozQUfom8c7udF034Pw4VkgdQuhpQkIT7RUBtqCw8XirAb88Td/zCcR&#10;KcpZS91XcP/9KFBxZr5akje26mDgYOwHwx6bNRDSCc2Wk8mkAxjMYFYIzQsNxireQiFhJd1V8DCY&#10;69DPAA2WVKtVSqKGdCI82K2TsfTA6657EeguqgQS8xGGvhT5G3H63CSPWx0DMZ2Ui7z2LF7opmZO&#10;2l8GL07Lr/uU9fp7WP4EAAD//wMAUEsDBBQABgAIAAAAIQAI2h/q3wAAAAgBAAAPAAAAZHJzL2Rv&#10;d25yZXYueG1sTI8xT8MwEIV3JP6DdUgsiDqlUSghTlVVMMBSEbqwufE1DsTnKHba8O85usB2d+/p&#10;3feK1eQ6ccQhtJ4UzGcJCKTam5YaBbv359sliBA1Gd15QgXfGGBVXl4UOjf+RG94rGIjOIRCrhXY&#10;GPtcylBbdDrMfI/E2sEPTkdeh0aaQZ843HXyLkky6XRL/MHqHjcW669qdAq26cfW3oyHp9d1uhhe&#10;duMm+2wqpa6vpvUjiIhT/DPDLz6jQ8lMez+SCaJTwEWigix94IHldLG8B7E/X+Ygy0L+L1D+AAAA&#10;//8DAFBLAQItABQABgAIAAAAIQC2gziS/gAAAOEBAAATAAAAAAAAAAAAAAAAAAAAAABbQ29udGVu&#10;dF9UeXBlc10ueG1sUEsBAi0AFAAGAAgAAAAhADj9If/WAAAAlAEAAAsAAAAAAAAAAAAAAAAALwEA&#10;AF9yZWxzLy5yZWxzUEsBAi0AFAAGAAgAAAAhAFbF91EvAgAAZgQAAA4AAAAAAAAAAAAAAAAALgIA&#10;AGRycy9lMm9Eb2MueG1sUEsBAi0AFAAGAAgAAAAhAAjaH+rfAAAACAEAAA8AAAAAAAAAAAAAAAAA&#10;iQQAAGRycy9kb3ducmV2LnhtbFBLBQYAAAAABAAEAPMAAACVBQAAAAA=&#10;" stroked="f">
                <v:textbox style="mso-fit-shape-to-text:t" inset="0,0,0,0">
                  <w:txbxContent>
                    <w:p w14:paraId="647B3020" w14:textId="55204AF5" w:rsidR="000A7CE7" w:rsidRPr="00AE59F8" w:rsidRDefault="000A7CE7" w:rsidP="000A7CE7">
                      <w:pPr>
                        <w:pStyle w:val="Caption"/>
                        <w:rPr>
                          <w:noProof/>
                          <w:sz w:val="20"/>
                          <w:szCs w:val="20"/>
                        </w:rPr>
                      </w:pPr>
                      <w:r>
                        <w:t xml:space="preserve">Figure </w:t>
                      </w:r>
                      <w:fldSimple w:instr=" SEQ Figure \* ARABIC ">
                        <w:r w:rsidR="002A692A">
                          <w:rPr>
                            <w:noProof/>
                          </w:rPr>
                          <w:t>7</w:t>
                        </w:r>
                      </w:fldSimple>
                      <w:r>
                        <w:t xml:space="preserve"> showing ground conditions in much of B3 and B4</w:t>
                      </w:r>
                    </w:p>
                  </w:txbxContent>
                </v:textbox>
                <w10:wrap type="topAndBottom" anchorx="margin"/>
              </v:shape>
            </w:pict>
          </mc:Fallback>
        </mc:AlternateContent>
      </w:r>
      <w:r w:rsidR="00EA6AE3">
        <w:rPr>
          <w:noProof/>
          <w:lang w:eastAsia="zh-CN"/>
        </w:rPr>
        <w:drawing>
          <wp:anchor distT="0" distB="0" distL="114300" distR="114300" simplePos="0" relativeHeight="251683840" behindDoc="0" locked="0" layoutInCell="1" allowOverlap="1" wp14:anchorId="07039A9E" wp14:editId="6CD97CB3">
            <wp:simplePos x="0" y="0"/>
            <wp:positionH relativeFrom="column">
              <wp:posOffset>2333625</wp:posOffset>
            </wp:positionH>
            <wp:positionV relativeFrom="paragraph">
              <wp:posOffset>886460</wp:posOffset>
            </wp:positionV>
            <wp:extent cx="3441065" cy="2871470"/>
            <wp:effectExtent l="0" t="952" r="6032" b="6033"/>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3635" t="554" r="9375" b="7031"/>
                    <a:stretch/>
                  </pic:blipFill>
                  <pic:spPr bwMode="auto">
                    <a:xfrm rot="5400000">
                      <a:off x="0" y="0"/>
                      <a:ext cx="3441065" cy="28714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A6AE3">
        <w:rPr>
          <w:noProof/>
          <w:lang w:eastAsia="zh-CN"/>
        </w:rPr>
        <w:drawing>
          <wp:anchor distT="0" distB="0" distL="114300" distR="114300" simplePos="0" relativeHeight="251681792" behindDoc="0" locked="0" layoutInCell="1" allowOverlap="1" wp14:anchorId="71BB71F2" wp14:editId="49BFF3A0">
            <wp:simplePos x="0" y="0"/>
            <wp:positionH relativeFrom="margin">
              <wp:posOffset>-424180</wp:posOffset>
            </wp:positionH>
            <wp:positionV relativeFrom="paragraph">
              <wp:posOffset>1039495</wp:posOffset>
            </wp:positionV>
            <wp:extent cx="3451225" cy="2586990"/>
            <wp:effectExtent l="0" t="6032"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3451225" cy="25869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61823">
        <w:t xml:space="preserve">species, and shows large swathes of missing trees across B2 and 3. </w:t>
      </w:r>
    </w:p>
    <w:p w14:paraId="009D0E06" w14:textId="77777777" w:rsidR="00EA6AE3" w:rsidRDefault="00EA6AE3" w:rsidP="004555E3"/>
    <w:p w14:paraId="34137450" w14:textId="112791D9" w:rsidR="00DE7FDA" w:rsidRPr="0015074A" w:rsidRDefault="000A7CE7" w:rsidP="000A7CE7">
      <w:pPr>
        <w:spacing w:before="0"/>
      </w:pPr>
      <w:r>
        <w:t>While at the site, it was noted that in much of plot B, specifically from B3 backwards, there was uneven, rocky (</w:t>
      </w:r>
      <w:r>
        <w:rPr>
          <w:i/>
        </w:rPr>
        <w:t xml:space="preserve">figure 8, far right) </w:t>
      </w:r>
      <w:r>
        <w:t>ground with litter present, and much heather</w:t>
      </w:r>
      <w:r w:rsidR="005B16A6">
        <w:t xml:space="preserve"> and gorse</w:t>
      </w:r>
      <w:r>
        <w:t xml:space="preserve"> growing (</w:t>
      </w:r>
      <w:r>
        <w:rPr>
          <w:i/>
        </w:rPr>
        <w:t xml:space="preserve">figure 8) </w:t>
      </w:r>
      <w:r>
        <w:t>even around the trees. Various mosses were also found growing on most of the exposed ground, with many small ditches hidden beneath these various plants.</w:t>
      </w:r>
    </w:p>
    <w:p w14:paraId="1898E642" w14:textId="7FADF756" w:rsidR="004555E3" w:rsidRDefault="004555E3" w:rsidP="004555E3">
      <w:pPr>
        <w:pStyle w:val="Heading2"/>
      </w:pPr>
      <w:bookmarkStart w:id="4" w:name="_Toc26805703"/>
      <w:r>
        <w:t>Discussion</w:t>
      </w:r>
      <w:bookmarkEnd w:id="4"/>
    </w:p>
    <w:p w14:paraId="613BA701" w14:textId="7BB5E6E7" w:rsidR="00CE4F1B" w:rsidRDefault="00CE4F1B" w:rsidP="004555E3">
      <w:r>
        <w:t xml:space="preserve">It may be noted that none of the trees in plot B of the Varteg Hill Reclamation achieved a score of 5 for vitality, and this is simply because no trees planted at the site have achieved the growth levels that would be typically expected for the species, and where it came close, there was high levels of insect damage or evidence of disease that means that none could be considered thriving. </w:t>
      </w:r>
    </w:p>
    <w:p w14:paraId="7658D8D0" w14:textId="4882CC78" w:rsidR="00C079F5" w:rsidRDefault="00C079F5" w:rsidP="004555E3">
      <w:r>
        <w:t xml:space="preserve">One factor </w:t>
      </w:r>
      <w:r w:rsidR="002F78FA">
        <w:t xml:space="preserve">that may have affected tree growth at the Varteg site is the method in which the trees were planted. While notch planting is standard for normal ground, the compacted nature of former minespoil land provides very dense soil for the trees to take root, and new research (Haigh et al, 2013) has shown that trees notch-planted in minespoil land perform the worst in terms of growth and </w:t>
      </w:r>
      <w:r w:rsidR="00036FAA">
        <w:t>survival</w:t>
      </w:r>
      <w:r w:rsidR="002F78FA">
        <w:t>, compared to both pit and trench planted trees.</w:t>
      </w:r>
      <w:r w:rsidR="00036FAA">
        <w:t xml:space="preserve"> This study specifically compared alder (</w:t>
      </w:r>
      <w:r w:rsidR="0044369A" w:rsidRPr="00B52942">
        <w:rPr>
          <w:i/>
        </w:rPr>
        <w:t>alnus glutinosa</w:t>
      </w:r>
      <w:r w:rsidR="00036FAA">
        <w:t>) and sessile oak (</w:t>
      </w:r>
      <w:r w:rsidR="00B52942" w:rsidRPr="00B52942">
        <w:rPr>
          <w:i/>
        </w:rPr>
        <w:t>quercus</w:t>
      </w:r>
      <w:r w:rsidR="00B52942">
        <w:t xml:space="preserve"> </w:t>
      </w:r>
      <w:r w:rsidR="00B52942" w:rsidRPr="00B52942">
        <w:rPr>
          <w:i/>
        </w:rPr>
        <w:t>petraea</w:t>
      </w:r>
      <w:r w:rsidR="00036FAA">
        <w:t>), finding that the benefits of the loosened rooting substrate were evident for more than 7 years from the initial planting, although the effect was somewhat weakened following auto-compaction (</w:t>
      </w:r>
      <w:r w:rsidR="0044369A">
        <w:t>resulting from the rapid breakdown of poorly consolidated minestones)</w:t>
      </w:r>
      <w:r w:rsidR="006B5E01">
        <w:t>. Furthermore, the land upon which the reclamation sits was ploughed prior to planting (Jenkins, 2019)</w:t>
      </w:r>
      <w:r w:rsidR="00A51544">
        <w:t>, causing the inorganic compounds in the minespoil to become bioavailable via react</w:t>
      </w:r>
      <w:r w:rsidR="00526D9F">
        <w:t xml:space="preserve">ions with air and water, while </w:t>
      </w:r>
      <w:r w:rsidR="00255E25">
        <w:t>exacerbating the weathering effects already felt by the site</w:t>
      </w:r>
      <w:r w:rsidR="00A51544">
        <w:t xml:space="preserve">. This means that the trees were exposed to a higher quantity of phytotoxic contaminants, which could explain </w:t>
      </w:r>
      <w:r w:rsidR="00A51544">
        <w:lastRenderedPageBreak/>
        <w:t xml:space="preserve">the limited growth and high mortality in the earlier years. </w:t>
      </w:r>
      <w:r w:rsidR="005B16A6">
        <w:t>Beyond this, the conditions during planting were less than ideal as the volunteers experienced heavy rain, which</w:t>
      </w:r>
      <w:r w:rsidR="00AF6724">
        <w:t xml:space="preserve"> may have provided a poor substrate for the trees to root, and the reduction in morale caused by adverse weather conditions may have led to inconsistent or low quality planting of the saplings. </w:t>
      </w:r>
    </w:p>
    <w:p w14:paraId="163F6893" w14:textId="13DEFA82" w:rsidR="000A7CE7" w:rsidRDefault="000A7CE7" w:rsidP="004555E3">
      <w:r>
        <w:t xml:space="preserve">The unusually high mortality in </w:t>
      </w:r>
      <w:r w:rsidR="00B30EED">
        <w:t>the year leading to 2008 may be explained by looking at the weather conditions over the previous year, as 2007 had an unusually rainy summer, with Torfaen being affected by many harsh floods (BBC News, 2007) in the June. As the Varteg remediation project is atop a hill, there won’t have been floods experienced, but the heavy rainfall may have acted in tandem with the accelerated runoff rates experienced by the site to rinse away much of the upper layers of soil. This would expose more contaminants to air, with reactions able to take place that would make inorganic compounds more bioavailable, so a larger quantity would affect the trees. Furthermore, such a strong weather event may have caused the soils to become saturated with water</w:t>
      </w:r>
      <w:r w:rsidR="00105E4B">
        <w:t xml:space="preserve">, which would accelerate the breakdown of minestones into pore-clogging particles and further compact the soil, which can affect root development (Taylor and Brar, 1991), impacting the plant’s access to water and nutrients. </w:t>
      </w:r>
    </w:p>
    <w:p w14:paraId="1F066F61" w14:textId="35D6A6F8" w:rsidR="00105E4B" w:rsidRDefault="000B7C79" w:rsidP="004555E3">
      <w:r>
        <w:t xml:space="preserve">As shown in </w:t>
      </w:r>
      <w:r>
        <w:rPr>
          <w:i/>
        </w:rPr>
        <w:t>figures 3 and 5</w:t>
      </w:r>
      <w:r>
        <w:t xml:space="preserve">, there is an exceptionally high mortality of oak trees in particular, which can be attributed at least in part to the conditions present across many minespoils, compacted soil in particular. The sessile oak (planted in this project) doesn’t favour compacted or wet soils (Forest Research, c2019), which </w:t>
      </w:r>
      <w:r w:rsidR="005B16A6">
        <w:t xml:space="preserve">is often the typical state of soil, thanks to Varteg’s industrial heritage and rainy location. The wetness of the soil is clear from the plants which have grown in place of much of the since-dead oaks; heathers prefer moist, relatively nutrient-poor </w:t>
      </w:r>
      <w:r w:rsidR="000623A4">
        <w:t xml:space="preserve">acid </w:t>
      </w:r>
      <w:r w:rsidR="005B16A6">
        <w:t>soils, and mosses thrive in areas where a lot of moisture is present.</w:t>
      </w:r>
      <w:r w:rsidR="000623A4">
        <w:t xml:space="preserve"> </w:t>
      </w:r>
      <w:r w:rsidR="0042502C">
        <w:t>In B3, there are three rows of just oak planted next to each other, all of which have since died, meaning that the conditions of the hill aren’t currently feasible to return the site to oak woodland.</w:t>
      </w:r>
      <w:r w:rsidR="002B03F4">
        <w:t xml:space="preserve"> Beyond this, the planting pattern of B3 proved especially fatal for oaks to be planted homogenously, suggesting that it is more beneficial to have a combination of different trees in order to support the growth of sessile oak.</w:t>
      </w:r>
    </w:p>
    <w:p w14:paraId="182BA714" w14:textId="394AFD5D" w:rsidR="0042502C" w:rsidRPr="000B7C79" w:rsidRDefault="000623A4" w:rsidP="004555E3">
      <w:r>
        <w:t xml:space="preserve">A limitation of the vitality index system utilised for the October 2019 expedition is that the seasonal conditions could cause false scores to be recorded. Since it was autumn and the majority of the trees are deciduous, the changing leaves could be mistaken for damage or disease by non-experts, and since the volunteers that surveyed the site were primarily students in their first year, this could cause trees to be categorised in poorer conditions than they actually were. </w:t>
      </w:r>
    </w:p>
    <w:p w14:paraId="19E235F1" w14:textId="20FE92AE" w:rsidR="004555E3" w:rsidRDefault="004555E3" w:rsidP="004555E3">
      <w:pPr>
        <w:pStyle w:val="Heading2"/>
      </w:pPr>
      <w:bookmarkStart w:id="5" w:name="_Toc26805704"/>
      <w:r>
        <w:t>Conclusion</w:t>
      </w:r>
      <w:bookmarkEnd w:id="5"/>
    </w:p>
    <w:p w14:paraId="163C2A62" w14:textId="3D8DF806" w:rsidR="004555E3" w:rsidRDefault="00A26E5B" w:rsidP="004555E3">
      <w:r>
        <w:t xml:space="preserve"> </w:t>
      </w:r>
      <w:r w:rsidR="000623A4">
        <w:t xml:space="preserve">This research project aims to assess the health and impact of </w:t>
      </w:r>
      <w:r w:rsidR="0042502C">
        <w:t>environmental conditions on tree growth at the Varteg Hill Reclamation, with data from over a decade considered. The results here have shown that the poor quality of the soil- both its low level of nutrients and its strong compaction- negatively affects the growth of trees at the site, especially in conjunction with the exposure due to being atop a hill. The planting method and poor weather conditions early on may have provided an unstable base for the trees to grow, with issues regarding soil exacerbated by the planting pattern of species, which left many oaks in close proximity to each other, fighting for nutrients. Yet, as there are no obvious paths for recourse, the main recommendation from this report is that further research is required into other potential avenues for remediation,</w:t>
      </w:r>
      <w:r w:rsidR="002B03F4">
        <w:t xml:space="preserve"> such as</w:t>
      </w:r>
      <w:r w:rsidR="0042502C">
        <w:t xml:space="preserve"> into organisms </w:t>
      </w:r>
      <w:r w:rsidR="002B03F4">
        <w:t xml:space="preserve">and plants </w:t>
      </w:r>
      <w:r w:rsidR="0042502C">
        <w:t xml:space="preserve">that could reduce soil acidity or mitigate soil compaction. </w:t>
      </w:r>
    </w:p>
    <w:p w14:paraId="1D329E30" w14:textId="20647BA8" w:rsidR="004555E3" w:rsidRDefault="0089781A" w:rsidP="004555E3">
      <w:pPr>
        <w:pStyle w:val="Heading2"/>
      </w:pPr>
      <w:bookmarkStart w:id="6" w:name="_Toc26805705"/>
      <w:r>
        <w:t>R</w:t>
      </w:r>
      <w:r w:rsidR="004555E3">
        <w:t>eference</w:t>
      </w:r>
      <w:r>
        <w:t>s</w:t>
      </w:r>
      <w:bookmarkEnd w:id="6"/>
    </w:p>
    <w:p w14:paraId="5703188F" w14:textId="7D7CBC8C" w:rsidR="00E33C89" w:rsidRDefault="00E33C89" w:rsidP="0089781A">
      <w:r w:rsidRPr="00E33C89">
        <w:t>Abersychan and Garndiffaith Local History Group, (2018), Industrial Heritage, Available at: http://www.webster.uk.net/Hobbies-and-Interests/Abersychan-and-Garndiffaith-Local-History-Group/Industrial-Heritage.aspx, (Accessed: 04 December 2019)</w:t>
      </w:r>
    </w:p>
    <w:p w14:paraId="4D07BD9C" w14:textId="00BF64DB" w:rsidR="00A739F8" w:rsidRDefault="00A739F8" w:rsidP="0089781A">
      <w:r>
        <w:lastRenderedPageBreak/>
        <w:t xml:space="preserve">BBC News, (2007), </w:t>
      </w:r>
      <w:r w:rsidRPr="00A739F8">
        <w:t>‘Flash floods hit homes and roads’</w:t>
      </w:r>
      <w:r>
        <w:t xml:space="preserve"> </w:t>
      </w:r>
      <w:r>
        <w:rPr>
          <w:i/>
        </w:rPr>
        <w:t>BBC News</w:t>
      </w:r>
      <w:r>
        <w:t xml:space="preserve">, Available at: </w:t>
      </w:r>
      <w:hyperlink r:id="rId19" w:history="1">
        <w:r w:rsidRPr="00387B34">
          <w:rPr>
            <w:rStyle w:val="Hyperlink"/>
          </w:rPr>
          <w:t>http://news.bbc.co.uk/1/hi/wales/south_east/6221060.stm</w:t>
        </w:r>
      </w:hyperlink>
      <w:r>
        <w:t xml:space="preserve"> (Accessed: 08 December 2019) </w:t>
      </w:r>
    </w:p>
    <w:p w14:paraId="1248894E" w14:textId="01EBC596" w:rsidR="0089781A" w:rsidRDefault="00F02113" w:rsidP="0089781A">
      <w:r w:rsidRPr="00F02113">
        <w:t xml:space="preserve">Desai, M., Haigh, M. &amp; Walkington, H., 2019. Phytoremediation: Metal decontamination of soils after the sequential forestation of former opencast coal land. </w:t>
      </w:r>
      <w:r w:rsidRPr="00FB0717">
        <w:rPr>
          <w:i/>
        </w:rPr>
        <w:t>Science of the Total Environment</w:t>
      </w:r>
      <w:r w:rsidRPr="00F02113">
        <w:t>, 656, pp.670–680.</w:t>
      </w:r>
      <w:r w:rsidR="00580D91">
        <w:t xml:space="preserve"> (</w:t>
      </w:r>
      <w:hyperlink r:id="rId20" w:history="1">
        <w:r w:rsidR="00580D91" w:rsidRPr="006E409E">
          <w:rPr>
            <w:rStyle w:val="Hyperlink"/>
          </w:rPr>
          <w:t>https://www-sciencedirect-com.ezproxy.uwtsd.ac.uk/science/article/pii/S0048969718346837</w:t>
        </w:r>
      </w:hyperlink>
      <w:r w:rsidR="00580D91">
        <w:t>)</w:t>
      </w:r>
    </w:p>
    <w:p w14:paraId="3CC9CFB4" w14:textId="0F353902" w:rsidR="002A6291" w:rsidRDefault="0052380A" w:rsidP="0089781A">
      <w:r>
        <w:t>Cradle For Nature</w:t>
      </w:r>
      <w:r w:rsidR="004F54D1">
        <w:t>, (c2019),</w:t>
      </w:r>
      <w:r w:rsidR="004F54D1" w:rsidRPr="004F54D1">
        <w:t xml:space="preserve"> Varteg Hill research site and its purpose</w:t>
      </w:r>
      <w:r w:rsidR="004F54D1">
        <w:t>, Available at:</w:t>
      </w:r>
      <w:r>
        <w:t xml:space="preserve"> </w:t>
      </w:r>
      <w:hyperlink r:id="rId21" w:history="1">
        <w:r w:rsidR="004F54D1" w:rsidRPr="006E409E">
          <w:rPr>
            <w:rStyle w:val="Hyperlink"/>
          </w:rPr>
          <w:t>http://cradlefornature.org.uk/background/</w:t>
        </w:r>
      </w:hyperlink>
      <w:r w:rsidR="004F54D1">
        <w:t xml:space="preserve"> (Accessed: 04 December 2019)</w:t>
      </w:r>
    </w:p>
    <w:p w14:paraId="5A3B566E" w14:textId="77777777" w:rsidR="00A12BAE" w:rsidRDefault="00A12BAE" w:rsidP="0089781A">
      <w:r>
        <w:t xml:space="preserve">Forest Research (c2019), Sessile Oak, Available at: </w:t>
      </w:r>
      <w:hyperlink r:id="rId22" w:history="1">
        <w:r w:rsidRPr="00387B34">
          <w:rPr>
            <w:rStyle w:val="Hyperlink"/>
          </w:rPr>
          <w:t>https://www.forestresearch.gov.uk/tools-and-resources/tree-species-database/sessile-oak-sok/</w:t>
        </w:r>
      </w:hyperlink>
      <w:r>
        <w:t xml:space="preserve"> (Accessed: 08 December 2019)</w:t>
      </w:r>
    </w:p>
    <w:p w14:paraId="052FF5E1" w14:textId="46E4FFEF" w:rsidR="00580D91" w:rsidRPr="00A12BAE" w:rsidRDefault="004D43FB" w:rsidP="0089781A">
      <w:r w:rsidRPr="004D43FB">
        <w:t>Haigh, M. (1992) Degradation of ‘reclaimed’ lands previously disturbed by coal mining in Wales: Causes and remedies</w:t>
      </w:r>
      <w:r w:rsidRPr="004D43FB">
        <w:rPr>
          <w:i/>
        </w:rPr>
        <w:t>. Land Degradation &amp; Development</w:t>
      </w:r>
    </w:p>
    <w:p w14:paraId="1D5229B8" w14:textId="011BBF53" w:rsidR="00AE0C65" w:rsidRDefault="00AE0C65" w:rsidP="0089781A">
      <w:r w:rsidRPr="00AE0C65">
        <w:t xml:space="preserve">Haigh, Martin &amp; Reed, H. &amp; Flege, A. &amp; D'Aucourt, M. &amp; Plamping, K. &amp; Cullis, Mike &amp; Woodruffe, P. &amp; Sawyer, S. &amp; Panhuis, W. &amp; Wilding, G. &amp; Farrugia, F. &amp; Powell, S.. (2013). Effect of Planting Method on the Growth of Alnus glutinosa and Quercus petraea in Compacted Opencast Coal-Mine Spoils, South Wales. </w:t>
      </w:r>
      <w:r w:rsidRPr="00AE0C65">
        <w:rPr>
          <w:i/>
        </w:rPr>
        <w:t>Land Degradation &amp; Development</w:t>
      </w:r>
      <w:r w:rsidRPr="00AE0C65">
        <w:t>. 26. 10.1002/ldr.2201.</w:t>
      </w:r>
    </w:p>
    <w:p w14:paraId="73F38961" w14:textId="5C991C91" w:rsidR="00DF067C" w:rsidRDefault="0093118C" w:rsidP="006B5E01">
      <w:pPr>
        <w:tabs>
          <w:tab w:val="left" w:pos="1320"/>
        </w:tabs>
      </w:pPr>
      <w:r>
        <w:t>Jenkins, R,</w:t>
      </w:r>
      <w:r w:rsidR="006B5E01">
        <w:t xml:space="preserve"> (2019), Email to Rowan Kenney, 5 December</w:t>
      </w:r>
    </w:p>
    <w:p w14:paraId="78E9CE73" w14:textId="21ACB7DD" w:rsidR="00105E4B" w:rsidRPr="0089781A" w:rsidRDefault="00105E4B" w:rsidP="006B5E01">
      <w:pPr>
        <w:tabs>
          <w:tab w:val="left" w:pos="1320"/>
        </w:tabs>
      </w:pPr>
      <w:r w:rsidRPr="00105E4B">
        <w:t>Taylor, H. and Brar, G. (1991). Effect of soil compaction on root development. Soil and Tillage Research, 19(2-3), pp.111-119.</w:t>
      </w:r>
    </w:p>
    <w:sectPr w:rsidR="00105E4B" w:rsidRPr="0089781A">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18EC45" w14:textId="77777777" w:rsidR="009A2CCF" w:rsidRDefault="009A2CCF" w:rsidP="002A32E0">
      <w:pPr>
        <w:spacing w:before="0" w:after="0" w:line="240" w:lineRule="auto"/>
      </w:pPr>
      <w:r>
        <w:separator/>
      </w:r>
    </w:p>
  </w:endnote>
  <w:endnote w:type="continuationSeparator" w:id="0">
    <w:p w14:paraId="61C2786B" w14:textId="77777777" w:rsidR="009A2CCF" w:rsidRDefault="009A2CCF" w:rsidP="002A32E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00"/>
    <w:family w:val="modern"/>
    <w:pitch w:val="fixed"/>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11C8B8" w14:textId="77777777" w:rsidR="009A2CCF" w:rsidRDefault="009A2CCF" w:rsidP="002A32E0">
      <w:pPr>
        <w:spacing w:before="0" w:after="0" w:line="240" w:lineRule="auto"/>
      </w:pPr>
      <w:r>
        <w:separator/>
      </w:r>
    </w:p>
  </w:footnote>
  <w:footnote w:type="continuationSeparator" w:id="0">
    <w:p w14:paraId="64CA42C6" w14:textId="77777777" w:rsidR="009A2CCF" w:rsidRDefault="009A2CCF" w:rsidP="002A32E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5289A9" w14:textId="05142E89" w:rsidR="002A32E0" w:rsidRDefault="002A32E0">
    <w:pPr>
      <w:spacing w:line="264" w:lineRule="auto"/>
    </w:pPr>
    <w:r>
      <w:rPr>
        <w:noProof/>
        <w:color w:val="000000"/>
        <w:lang w:eastAsia="zh-CN"/>
      </w:rPr>
      <mc:AlternateContent>
        <mc:Choice Requires="wps">
          <w:drawing>
            <wp:anchor distT="0" distB="0" distL="114300" distR="114300" simplePos="0" relativeHeight="251659264" behindDoc="0" locked="0" layoutInCell="1" allowOverlap="1" wp14:anchorId="6677FB4C" wp14:editId="23F089D3">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37C1499B"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rFonts w:asciiTheme="majorHAnsi" w:hAnsiTheme="majorHAnsi"/>
          <w:color w:val="538135" w:themeColor="accent1"/>
        </w:rPr>
        <w:alias w:val="Title"/>
        <w:id w:val="15524250"/>
        <w:placeholder>
          <w:docPart w:val="66CE3F08F8514AFBBCED7898BDA087C7"/>
        </w:placeholder>
        <w:dataBinding w:prefixMappings="xmlns:ns0='http://schemas.openxmlformats.org/package/2006/metadata/core-properties' xmlns:ns1='http://purl.org/dc/elements/1.1/'" w:xpath="/ns0:coreProperties[1]/ns1:title[1]" w:storeItemID="{6C3C8BC8-F283-45AE-878A-BAB7291924A1}"/>
        <w:text/>
      </w:sdtPr>
      <w:sdtEndPr>
        <w:rPr>
          <w:rFonts w:asciiTheme="minorHAnsi" w:hAnsiTheme="minorHAnsi"/>
        </w:rPr>
      </w:sdtEndPr>
      <w:sdtContent>
        <w:r>
          <w:rPr>
            <w:rFonts w:asciiTheme="majorHAnsi" w:hAnsiTheme="majorHAnsi"/>
            <w:color w:val="538135" w:themeColor="accent1"/>
          </w:rPr>
          <w:t>Rowan Kenney 1900547</w:t>
        </w:r>
      </w:sdtContent>
    </w:sdt>
  </w:p>
  <w:p w14:paraId="19608A83" w14:textId="77777777" w:rsidR="002A32E0" w:rsidRDefault="002A32E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oNotDisplayPageBoundarie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55E3"/>
    <w:rsid w:val="00022254"/>
    <w:rsid w:val="00036FAA"/>
    <w:rsid w:val="000623A4"/>
    <w:rsid w:val="00086D89"/>
    <w:rsid w:val="000A7CE7"/>
    <w:rsid w:val="000B7C79"/>
    <w:rsid w:val="000F2875"/>
    <w:rsid w:val="00101E50"/>
    <w:rsid w:val="00105E4B"/>
    <w:rsid w:val="00130873"/>
    <w:rsid w:val="0015074A"/>
    <w:rsid w:val="001527C9"/>
    <w:rsid w:val="001754FB"/>
    <w:rsid w:val="001B0792"/>
    <w:rsid w:val="0021692F"/>
    <w:rsid w:val="00222DFF"/>
    <w:rsid w:val="00255E25"/>
    <w:rsid w:val="002A32E0"/>
    <w:rsid w:val="002A6291"/>
    <w:rsid w:val="002A692A"/>
    <w:rsid w:val="002B03F4"/>
    <w:rsid w:val="002B1044"/>
    <w:rsid w:val="002F78FA"/>
    <w:rsid w:val="00355C87"/>
    <w:rsid w:val="003665A3"/>
    <w:rsid w:val="003F7C7C"/>
    <w:rsid w:val="00421769"/>
    <w:rsid w:val="0042502C"/>
    <w:rsid w:val="00434ECE"/>
    <w:rsid w:val="0044369A"/>
    <w:rsid w:val="0044494B"/>
    <w:rsid w:val="00450D50"/>
    <w:rsid w:val="004555E3"/>
    <w:rsid w:val="004659F5"/>
    <w:rsid w:val="0047148D"/>
    <w:rsid w:val="004C456F"/>
    <w:rsid w:val="004D43FB"/>
    <w:rsid w:val="004F54D1"/>
    <w:rsid w:val="005005D0"/>
    <w:rsid w:val="00512F5B"/>
    <w:rsid w:val="0052380A"/>
    <w:rsid w:val="00526D9F"/>
    <w:rsid w:val="00530062"/>
    <w:rsid w:val="00533BBC"/>
    <w:rsid w:val="00557687"/>
    <w:rsid w:val="00580D91"/>
    <w:rsid w:val="00581288"/>
    <w:rsid w:val="005B16A6"/>
    <w:rsid w:val="005C097D"/>
    <w:rsid w:val="005E0CCC"/>
    <w:rsid w:val="005E5A1C"/>
    <w:rsid w:val="006612D0"/>
    <w:rsid w:val="00672B43"/>
    <w:rsid w:val="006850CB"/>
    <w:rsid w:val="00691CDB"/>
    <w:rsid w:val="006B5E01"/>
    <w:rsid w:val="006C15BD"/>
    <w:rsid w:val="006D177D"/>
    <w:rsid w:val="006E1442"/>
    <w:rsid w:val="007C1CBD"/>
    <w:rsid w:val="00802383"/>
    <w:rsid w:val="00856AD6"/>
    <w:rsid w:val="0089781A"/>
    <w:rsid w:val="00901EC1"/>
    <w:rsid w:val="0093118C"/>
    <w:rsid w:val="00932A04"/>
    <w:rsid w:val="00961D3E"/>
    <w:rsid w:val="00973A9F"/>
    <w:rsid w:val="009A2CCF"/>
    <w:rsid w:val="009B47BC"/>
    <w:rsid w:val="00A067A1"/>
    <w:rsid w:val="00A12BAE"/>
    <w:rsid w:val="00A26E5B"/>
    <w:rsid w:val="00A5027C"/>
    <w:rsid w:val="00A51544"/>
    <w:rsid w:val="00A51775"/>
    <w:rsid w:val="00A61823"/>
    <w:rsid w:val="00A739F8"/>
    <w:rsid w:val="00A77AFC"/>
    <w:rsid w:val="00A9763C"/>
    <w:rsid w:val="00AC47A2"/>
    <w:rsid w:val="00AD0C86"/>
    <w:rsid w:val="00AD7966"/>
    <w:rsid w:val="00AE0C65"/>
    <w:rsid w:val="00AE5125"/>
    <w:rsid w:val="00AF6724"/>
    <w:rsid w:val="00B30EED"/>
    <w:rsid w:val="00B52942"/>
    <w:rsid w:val="00B54067"/>
    <w:rsid w:val="00C009E7"/>
    <w:rsid w:val="00C079F5"/>
    <w:rsid w:val="00CE4F1B"/>
    <w:rsid w:val="00CF36EB"/>
    <w:rsid w:val="00D1527A"/>
    <w:rsid w:val="00D1685B"/>
    <w:rsid w:val="00D564E2"/>
    <w:rsid w:val="00D629A9"/>
    <w:rsid w:val="00D84D23"/>
    <w:rsid w:val="00DC206B"/>
    <w:rsid w:val="00DD0B01"/>
    <w:rsid w:val="00DE7FDA"/>
    <w:rsid w:val="00DF067C"/>
    <w:rsid w:val="00E33C89"/>
    <w:rsid w:val="00E93C1E"/>
    <w:rsid w:val="00EA6AE3"/>
    <w:rsid w:val="00EE16C7"/>
    <w:rsid w:val="00F02113"/>
    <w:rsid w:val="00F057DD"/>
    <w:rsid w:val="00F87925"/>
    <w:rsid w:val="00FB07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66E81"/>
  <w15:chartTrackingRefBased/>
  <w15:docId w15:val="{9FA3480C-351F-48C9-A2A6-2CD38ED81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55E3"/>
  </w:style>
  <w:style w:type="paragraph" w:styleId="Heading1">
    <w:name w:val="heading 1"/>
    <w:basedOn w:val="Normal"/>
    <w:next w:val="Normal"/>
    <w:link w:val="Heading1Char"/>
    <w:uiPriority w:val="9"/>
    <w:qFormat/>
    <w:rsid w:val="004555E3"/>
    <w:pPr>
      <w:pBdr>
        <w:top w:val="single" w:sz="24" w:space="0" w:color="538135" w:themeColor="accent1"/>
        <w:left w:val="single" w:sz="24" w:space="0" w:color="538135" w:themeColor="accent1"/>
        <w:bottom w:val="single" w:sz="24" w:space="0" w:color="538135" w:themeColor="accent1"/>
        <w:right w:val="single" w:sz="24" w:space="0" w:color="538135" w:themeColor="accent1"/>
      </w:pBdr>
      <w:shd w:val="clear" w:color="auto" w:fill="53813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4555E3"/>
    <w:pPr>
      <w:pBdr>
        <w:top w:val="single" w:sz="24" w:space="0" w:color="DBECD0" w:themeColor="accent1" w:themeTint="33"/>
        <w:left w:val="single" w:sz="24" w:space="0" w:color="DBECD0" w:themeColor="accent1" w:themeTint="33"/>
        <w:bottom w:val="single" w:sz="24" w:space="0" w:color="DBECD0" w:themeColor="accent1" w:themeTint="33"/>
        <w:right w:val="single" w:sz="24" w:space="0" w:color="DBECD0" w:themeColor="accent1" w:themeTint="33"/>
      </w:pBdr>
      <w:shd w:val="clear" w:color="auto" w:fill="DBECD0"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4555E3"/>
    <w:pPr>
      <w:pBdr>
        <w:top w:val="single" w:sz="6" w:space="2" w:color="538135" w:themeColor="accent1"/>
      </w:pBdr>
      <w:spacing w:before="300" w:after="0"/>
      <w:outlineLvl w:val="2"/>
    </w:pPr>
    <w:rPr>
      <w:caps/>
      <w:color w:val="29401A" w:themeColor="accent1" w:themeShade="7F"/>
      <w:spacing w:val="15"/>
    </w:rPr>
  </w:style>
  <w:style w:type="paragraph" w:styleId="Heading4">
    <w:name w:val="heading 4"/>
    <w:basedOn w:val="Normal"/>
    <w:next w:val="Normal"/>
    <w:link w:val="Heading4Char"/>
    <w:uiPriority w:val="9"/>
    <w:semiHidden/>
    <w:unhideWhenUsed/>
    <w:qFormat/>
    <w:rsid w:val="004555E3"/>
    <w:pPr>
      <w:pBdr>
        <w:top w:val="dotted" w:sz="6" w:space="2" w:color="538135" w:themeColor="accent1"/>
      </w:pBdr>
      <w:spacing w:before="200" w:after="0"/>
      <w:outlineLvl w:val="3"/>
    </w:pPr>
    <w:rPr>
      <w:caps/>
      <w:color w:val="3D6027" w:themeColor="accent1" w:themeShade="BF"/>
      <w:spacing w:val="10"/>
    </w:rPr>
  </w:style>
  <w:style w:type="paragraph" w:styleId="Heading5">
    <w:name w:val="heading 5"/>
    <w:basedOn w:val="Normal"/>
    <w:next w:val="Normal"/>
    <w:link w:val="Heading5Char"/>
    <w:uiPriority w:val="9"/>
    <w:semiHidden/>
    <w:unhideWhenUsed/>
    <w:qFormat/>
    <w:rsid w:val="004555E3"/>
    <w:pPr>
      <w:pBdr>
        <w:bottom w:val="single" w:sz="6" w:space="1" w:color="538135" w:themeColor="accent1"/>
      </w:pBdr>
      <w:spacing w:before="200" w:after="0"/>
      <w:outlineLvl w:val="4"/>
    </w:pPr>
    <w:rPr>
      <w:caps/>
      <w:color w:val="3D6027" w:themeColor="accent1" w:themeShade="BF"/>
      <w:spacing w:val="10"/>
    </w:rPr>
  </w:style>
  <w:style w:type="paragraph" w:styleId="Heading6">
    <w:name w:val="heading 6"/>
    <w:basedOn w:val="Normal"/>
    <w:next w:val="Normal"/>
    <w:link w:val="Heading6Char"/>
    <w:uiPriority w:val="9"/>
    <w:semiHidden/>
    <w:unhideWhenUsed/>
    <w:qFormat/>
    <w:rsid w:val="004555E3"/>
    <w:pPr>
      <w:pBdr>
        <w:bottom w:val="dotted" w:sz="6" w:space="1" w:color="538135" w:themeColor="accent1"/>
      </w:pBdr>
      <w:spacing w:before="200" w:after="0"/>
      <w:outlineLvl w:val="5"/>
    </w:pPr>
    <w:rPr>
      <w:caps/>
      <w:color w:val="3D6027" w:themeColor="accent1" w:themeShade="BF"/>
      <w:spacing w:val="10"/>
    </w:rPr>
  </w:style>
  <w:style w:type="paragraph" w:styleId="Heading7">
    <w:name w:val="heading 7"/>
    <w:basedOn w:val="Normal"/>
    <w:next w:val="Normal"/>
    <w:link w:val="Heading7Char"/>
    <w:uiPriority w:val="9"/>
    <w:semiHidden/>
    <w:unhideWhenUsed/>
    <w:qFormat/>
    <w:rsid w:val="004555E3"/>
    <w:pPr>
      <w:spacing w:before="200" w:after="0"/>
      <w:outlineLvl w:val="6"/>
    </w:pPr>
    <w:rPr>
      <w:caps/>
      <w:color w:val="3D6027" w:themeColor="accent1" w:themeShade="BF"/>
      <w:spacing w:val="10"/>
    </w:rPr>
  </w:style>
  <w:style w:type="paragraph" w:styleId="Heading8">
    <w:name w:val="heading 8"/>
    <w:basedOn w:val="Normal"/>
    <w:next w:val="Normal"/>
    <w:link w:val="Heading8Char"/>
    <w:uiPriority w:val="9"/>
    <w:semiHidden/>
    <w:unhideWhenUsed/>
    <w:qFormat/>
    <w:rsid w:val="004555E3"/>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555E3"/>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555E3"/>
    <w:pPr>
      <w:spacing w:before="0" w:after="0"/>
    </w:pPr>
    <w:rPr>
      <w:rFonts w:asciiTheme="majorHAnsi" w:eastAsiaTheme="majorEastAsia" w:hAnsiTheme="majorHAnsi" w:cstheme="majorBidi"/>
      <w:caps/>
      <w:color w:val="538135" w:themeColor="accent1"/>
      <w:spacing w:val="10"/>
      <w:sz w:val="52"/>
      <w:szCs w:val="52"/>
    </w:rPr>
  </w:style>
  <w:style w:type="character" w:customStyle="1" w:styleId="TitleChar">
    <w:name w:val="Title Char"/>
    <w:basedOn w:val="DefaultParagraphFont"/>
    <w:link w:val="Title"/>
    <w:uiPriority w:val="10"/>
    <w:rsid w:val="004555E3"/>
    <w:rPr>
      <w:rFonts w:asciiTheme="majorHAnsi" w:eastAsiaTheme="majorEastAsia" w:hAnsiTheme="majorHAnsi" w:cstheme="majorBidi"/>
      <w:caps/>
      <w:color w:val="538135" w:themeColor="accent1"/>
      <w:spacing w:val="10"/>
      <w:sz w:val="52"/>
      <w:szCs w:val="52"/>
    </w:rPr>
  </w:style>
  <w:style w:type="character" w:customStyle="1" w:styleId="Heading1Char">
    <w:name w:val="Heading 1 Char"/>
    <w:basedOn w:val="DefaultParagraphFont"/>
    <w:link w:val="Heading1"/>
    <w:uiPriority w:val="9"/>
    <w:rsid w:val="004555E3"/>
    <w:rPr>
      <w:caps/>
      <w:color w:val="FFFFFF" w:themeColor="background1"/>
      <w:spacing w:val="15"/>
      <w:sz w:val="22"/>
      <w:szCs w:val="22"/>
      <w:shd w:val="clear" w:color="auto" w:fill="538135" w:themeFill="accent1"/>
    </w:rPr>
  </w:style>
  <w:style w:type="character" w:customStyle="1" w:styleId="Heading2Char">
    <w:name w:val="Heading 2 Char"/>
    <w:basedOn w:val="DefaultParagraphFont"/>
    <w:link w:val="Heading2"/>
    <w:uiPriority w:val="9"/>
    <w:rsid w:val="004555E3"/>
    <w:rPr>
      <w:caps/>
      <w:spacing w:val="15"/>
      <w:shd w:val="clear" w:color="auto" w:fill="DBECD0" w:themeFill="accent1" w:themeFillTint="33"/>
    </w:rPr>
  </w:style>
  <w:style w:type="paragraph" w:styleId="TOCHeading">
    <w:name w:val="TOC Heading"/>
    <w:basedOn w:val="Heading1"/>
    <w:next w:val="Normal"/>
    <w:uiPriority w:val="39"/>
    <w:unhideWhenUsed/>
    <w:qFormat/>
    <w:rsid w:val="004555E3"/>
    <w:pPr>
      <w:outlineLvl w:val="9"/>
    </w:pPr>
  </w:style>
  <w:style w:type="character" w:customStyle="1" w:styleId="Heading3Char">
    <w:name w:val="Heading 3 Char"/>
    <w:basedOn w:val="DefaultParagraphFont"/>
    <w:link w:val="Heading3"/>
    <w:uiPriority w:val="9"/>
    <w:semiHidden/>
    <w:rsid w:val="004555E3"/>
    <w:rPr>
      <w:caps/>
      <w:color w:val="29401A" w:themeColor="accent1" w:themeShade="7F"/>
      <w:spacing w:val="15"/>
    </w:rPr>
  </w:style>
  <w:style w:type="character" w:customStyle="1" w:styleId="Heading4Char">
    <w:name w:val="Heading 4 Char"/>
    <w:basedOn w:val="DefaultParagraphFont"/>
    <w:link w:val="Heading4"/>
    <w:uiPriority w:val="9"/>
    <w:semiHidden/>
    <w:rsid w:val="004555E3"/>
    <w:rPr>
      <w:caps/>
      <w:color w:val="3D6027" w:themeColor="accent1" w:themeShade="BF"/>
      <w:spacing w:val="10"/>
    </w:rPr>
  </w:style>
  <w:style w:type="character" w:customStyle="1" w:styleId="Heading5Char">
    <w:name w:val="Heading 5 Char"/>
    <w:basedOn w:val="DefaultParagraphFont"/>
    <w:link w:val="Heading5"/>
    <w:uiPriority w:val="9"/>
    <w:semiHidden/>
    <w:rsid w:val="004555E3"/>
    <w:rPr>
      <w:caps/>
      <w:color w:val="3D6027" w:themeColor="accent1" w:themeShade="BF"/>
      <w:spacing w:val="10"/>
    </w:rPr>
  </w:style>
  <w:style w:type="character" w:customStyle="1" w:styleId="Heading6Char">
    <w:name w:val="Heading 6 Char"/>
    <w:basedOn w:val="DefaultParagraphFont"/>
    <w:link w:val="Heading6"/>
    <w:uiPriority w:val="9"/>
    <w:semiHidden/>
    <w:rsid w:val="004555E3"/>
    <w:rPr>
      <w:caps/>
      <w:color w:val="3D6027" w:themeColor="accent1" w:themeShade="BF"/>
      <w:spacing w:val="10"/>
    </w:rPr>
  </w:style>
  <w:style w:type="character" w:customStyle="1" w:styleId="Heading7Char">
    <w:name w:val="Heading 7 Char"/>
    <w:basedOn w:val="DefaultParagraphFont"/>
    <w:link w:val="Heading7"/>
    <w:uiPriority w:val="9"/>
    <w:semiHidden/>
    <w:rsid w:val="004555E3"/>
    <w:rPr>
      <w:caps/>
      <w:color w:val="3D6027" w:themeColor="accent1" w:themeShade="BF"/>
      <w:spacing w:val="10"/>
    </w:rPr>
  </w:style>
  <w:style w:type="character" w:customStyle="1" w:styleId="Heading8Char">
    <w:name w:val="Heading 8 Char"/>
    <w:basedOn w:val="DefaultParagraphFont"/>
    <w:link w:val="Heading8"/>
    <w:uiPriority w:val="9"/>
    <w:semiHidden/>
    <w:rsid w:val="004555E3"/>
    <w:rPr>
      <w:caps/>
      <w:spacing w:val="10"/>
      <w:sz w:val="18"/>
      <w:szCs w:val="18"/>
    </w:rPr>
  </w:style>
  <w:style w:type="character" w:customStyle="1" w:styleId="Heading9Char">
    <w:name w:val="Heading 9 Char"/>
    <w:basedOn w:val="DefaultParagraphFont"/>
    <w:link w:val="Heading9"/>
    <w:uiPriority w:val="9"/>
    <w:semiHidden/>
    <w:rsid w:val="004555E3"/>
    <w:rPr>
      <w:i/>
      <w:iCs/>
      <w:caps/>
      <w:spacing w:val="10"/>
      <w:sz w:val="18"/>
      <w:szCs w:val="18"/>
    </w:rPr>
  </w:style>
  <w:style w:type="paragraph" w:styleId="Caption">
    <w:name w:val="caption"/>
    <w:basedOn w:val="Normal"/>
    <w:next w:val="Normal"/>
    <w:uiPriority w:val="35"/>
    <w:unhideWhenUsed/>
    <w:qFormat/>
    <w:rsid w:val="004555E3"/>
    <w:rPr>
      <w:b/>
      <w:bCs/>
      <w:color w:val="3D6027" w:themeColor="accent1" w:themeShade="BF"/>
      <w:sz w:val="16"/>
      <w:szCs w:val="16"/>
    </w:rPr>
  </w:style>
  <w:style w:type="paragraph" w:styleId="Subtitle">
    <w:name w:val="Subtitle"/>
    <w:basedOn w:val="Normal"/>
    <w:next w:val="Normal"/>
    <w:link w:val="SubtitleChar"/>
    <w:uiPriority w:val="11"/>
    <w:qFormat/>
    <w:rsid w:val="004555E3"/>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555E3"/>
    <w:rPr>
      <w:caps/>
      <w:color w:val="595959" w:themeColor="text1" w:themeTint="A6"/>
      <w:spacing w:val="10"/>
      <w:sz w:val="21"/>
      <w:szCs w:val="21"/>
    </w:rPr>
  </w:style>
  <w:style w:type="character" w:styleId="Strong">
    <w:name w:val="Strong"/>
    <w:uiPriority w:val="22"/>
    <w:qFormat/>
    <w:rsid w:val="004555E3"/>
    <w:rPr>
      <w:b/>
      <w:bCs/>
    </w:rPr>
  </w:style>
  <w:style w:type="character" w:styleId="Emphasis">
    <w:name w:val="Emphasis"/>
    <w:uiPriority w:val="20"/>
    <w:qFormat/>
    <w:rsid w:val="004555E3"/>
    <w:rPr>
      <w:caps/>
      <w:color w:val="29401A" w:themeColor="accent1" w:themeShade="7F"/>
      <w:spacing w:val="5"/>
    </w:rPr>
  </w:style>
  <w:style w:type="paragraph" w:styleId="NoSpacing">
    <w:name w:val="No Spacing"/>
    <w:uiPriority w:val="1"/>
    <w:qFormat/>
    <w:rsid w:val="004555E3"/>
    <w:pPr>
      <w:spacing w:after="0" w:line="240" w:lineRule="auto"/>
    </w:pPr>
  </w:style>
  <w:style w:type="paragraph" w:styleId="Quote">
    <w:name w:val="Quote"/>
    <w:basedOn w:val="Normal"/>
    <w:next w:val="Normal"/>
    <w:link w:val="QuoteChar"/>
    <w:uiPriority w:val="29"/>
    <w:qFormat/>
    <w:rsid w:val="004555E3"/>
    <w:rPr>
      <w:i/>
      <w:iCs/>
      <w:sz w:val="24"/>
      <w:szCs w:val="24"/>
    </w:rPr>
  </w:style>
  <w:style w:type="character" w:customStyle="1" w:styleId="QuoteChar">
    <w:name w:val="Quote Char"/>
    <w:basedOn w:val="DefaultParagraphFont"/>
    <w:link w:val="Quote"/>
    <w:uiPriority w:val="29"/>
    <w:rsid w:val="004555E3"/>
    <w:rPr>
      <w:i/>
      <w:iCs/>
      <w:sz w:val="24"/>
      <w:szCs w:val="24"/>
    </w:rPr>
  </w:style>
  <w:style w:type="paragraph" w:styleId="IntenseQuote">
    <w:name w:val="Intense Quote"/>
    <w:basedOn w:val="Normal"/>
    <w:next w:val="Normal"/>
    <w:link w:val="IntenseQuoteChar"/>
    <w:uiPriority w:val="30"/>
    <w:qFormat/>
    <w:rsid w:val="004555E3"/>
    <w:pPr>
      <w:spacing w:before="240" w:after="240" w:line="240" w:lineRule="auto"/>
      <w:ind w:left="1080" w:right="1080"/>
      <w:jc w:val="center"/>
    </w:pPr>
    <w:rPr>
      <w:color w:val="538135" w:themeColor="accent1"/>
      <w:sz w:val="24"/>
      <w:szCs w:val="24"/>
    </w:rPr>
  </w:style>
  <w:style w:type="character" w:customStyle="1" w:styleId="IntenseQuoteChar">
    <w:name w:val="Intense Quote Char"/>
    <w:basedOn w:val="DefaultParagraphFont"/>
    <w:link w:val="IntenseQuote"/>
    <w:uiPriority w:val="30"/>
    <w:rsid w:val="004555E3"/>
    <w:rPr>
      <w:color w:val="538135" w:themeColor="accent1"/>
      <w:sz w:val="24"/>
      <w:szCs w:val="24"/>
    </w:rPr>
  </w:style>
  <w:style w:type="character" w:styleId="SubtleEmphasis">
    <w:name w:val="Subtle Emphasis"/>
    <w:uiPriority w:val="19"/>
    <w:qFormat/>
    <w:rsid w:val="004555E3"/>
    <w:rPr>
      <w:i/>
      <w:iCs/>
      <w:color w:val="29401A" w:themeColor="accent1" w:themeShade="7F"/>
    </w:rPr>
  </w:style>
  <w:style w:type="character" w:styleId="IntenseEmphasis">
    <w:name w:val="Intense Emphasis"/>
    <w:uiPriority w:val="21"/>
    <w:qFormat/>
    <w:rsid w:val="004555E3"/>
    <w:rPr>
      <w:b/>
      <w:bCs/>
      <w:caps/>
      <w:color w:val="29401A" w:themeColor="accent1" w:themeShade="7F"/>
      <w:spacing w:val="10"/>
    </w:rPr>
  </w:style>
  <w:style w:type="character" w:styleId="SubtleReference">
    <w:name w:val="Subtle Reference"/>
    <w:uiPriority w:val="31"/>
    <w:qFormat/>
    <w:rsid w:val="004555E3"/>
    <w:rPr>
      <w:b/>
      <w:bCs/>
      <w:color w:val="538135" w:themeColor="accent1"/>
    </w:rPr>
  </w:style>
  <w:style w:type="character" w:styleId="IntenseReference">
    <w:name w:val="Intense Reference"/>
    <w:uiPriority w:val="32"/>
    <w:qFormat/>
    <w:rsid w:val="004555E3"/>
    <w:rPr>
      <w:b/>
      <w:bCs/>
      <w:i/>
      <w:iCs/>
      <w:caps/>
      <w:color w:val="538135" w:themeColor="accent1"/>
    </w:rPr>
  </w:style>
  <w:style w:type="character" w:styleId="BookTitle">
    <w:name w:val="Book Title"/>
    <w:uiPriority w:val="33"/>
    <w:qFormat/>
    <w:rsid w:val="004555E3"/>
    <w:rPr>
      <w:b/>
      <w:bCs/>
      <w:i/>
      <w:iCs/>
      <w:spacing w:val="0"/>
    </w:rPr>
  </w:style>
  <w:style w:type="paragraph" w:styleId="TOC2">
    <w:name w:val="toc 2"/>
    <w:basedOn w:val="Normal"/>
    <w:next w:val="Normal"/>
    <w:autoRedefine/>
    <w:uiPriority w:val="39"/>
    <w:unhideWhenUsed/>
    <w:rsid w:val="000F2875"/>
    <w:pPr>
      <w:spacing w:after="100"/>
      <w:ind w:left="200"/>
    </w:pPr>
  </w:style>
  <w:style w:type="character" w:styleId="Hyperlink">
    <w:name w:val="Hyperlink"/>
    <w:basedOn w:val="DefaultParagraphFont"/>
    <w:uiPriority w:val="99"/>
    <w:unhideWhenUsed/>
    <w:rsid w:val="000F2875"/>
    <w:rPr>
      <w:color w:val="0563C1" w:themeColor="hyperlink"/>
      <w:u w:val="single"/>
    </w:rPr>
  </w:style>
  <w:style w:type="paragraph" w:styleId="Header">
    <w:name w:val="header"/>
    <w:basedOn w:val="Normal"/>
    <w:link w:val="HeaderChar"/>
    <w:uiPriority w:val="99"/>
    <w:unhideWhenUsed/>
    <w:rsid w:val="002A32E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A32E0"/>
  </w:style>
  <w:style w:type="paragraph" w:styleId="Footer">
    <w:name w:val="footer"/>
    <w:basedOn w:val="Normal"/>
    <w:link w:val="FooterChar"/>
    <w:uiPriority w:val="99"/>
    <w:unhideWhenUsed/>
    <w:rsid w:val="002A32E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A32E0"/>
  </w:style>
  <w:style w:type="character" w:customStyle="1" w:styleId="UnresolvedMention">
    <w:name w:val="Unresolved Mention"/>
    <w:basedOn w:val="DefaultParagraphFont"/>
    <w:uiPriority w:val="99"/>
    <w:semiHidden/>
    <w:unhideWhenUsed/>
    <w:rsid w:val="00580D91"/>
    <w:rPr>
      <w:color w:val="605E5C"/>
      <w:shd w:val="clear" w:color="auto" w:fill="E1DFDD"/>
    </w:rPr>
  </w:style>
  <w:style w:type="character" w:styleId="FollowedHyperlink">
    <w:name w:val="FollowedHyperlink"/>
    <w:basedOn w:val="DefaultParagraphFont"/>
    <w:uiPriority w:val="99"/>
    <w:semiHidden/>
    <w:unhideWhenUsed/>
    <w:rsid w:val="00A26E5B"/>
    <w:rPr>
      <w:color w:val="954F72" w:themeColor="followedHyperlink"/>
      <w:u w:val="single"/>
    </w:rPr>
  </w:style>
  <w:style w:type="table" w:styleId="TableGrid">
    <w:name w:val="Table Grid"/>
    <w:basedOn w:val="TableNormal"/>
    <w:uiPriority w:val="39"/>
    <w:rsid w:val="00961D3E"/>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961D3E"/>
    <w:pPr>
      <w:spacing w:after="0" w:line="240" w:lineRule="auto"/>
    </w:pPr>
    <w:tblPr>
      <w:tblStyleRowBandSize w:val="1"/>
      <w:tblStyleColBandSize w:val="1"/>
      <w:tblBorders>
        <w:top w:val="single" w:sz="4" w:space="0" w:color="B7D8A1" w:themeColor="accent1" w:themeTint="66"/>
        <w:left w:val="single" w:sz="4" w:space="0" w:color="B7D8A1" w:themeColor="accent1" w:themeTint="66"/>
        <w:bottom w:val="single" w:sz="4" w:space="0" w:color="B7D8A1" w:themeColor="accent1" w:themeTint="66"/>
        <w:right w:val="single" w:sz="4" w:space="0" w:color="B7D8A1" w:themeColor="accent1" w:themeTint="66"/>
        <w:insideH w:val="single" w:sz="4" w:space="0" w:color="B7D8A1" w:themeColor="accent1" w:themeTint="66"/>
        <w:insideV w:val="single" w:sz="4" w:space="0" w:color="B7D8A1" w:themeColor="accent1" w:themeTint="66"/>
      </w:tblBorders>
    </w:tblPr>
    <w:tblStylePr w:type="firstRow">
      <w:rPr>
        <w:b/>
        <w:bCs/>
      </w:rPr>
      <w:tblPr/>
      <w:tcPr>
        <w:tcBorders>
          <w:bottom w:val="single" w:sz="12" w:space="0" w:color="93C573" w:themeColor="accent1" w:themeTint="99"/>
        </w:tcBorders>
      </w:tcPr>
    </w:tblStylePr>
    <w:tblStylePr w:type="lastRow">
      <w:rPr>
        <w:b/>
        <w:bCs/>
      </w:rPr>
      <w:tblPr/>
      <w:tcPr>
        <w:tcBorders>
          <w:top w:val="double" w:sz="2" w:space="0" w:color="93C573"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5831592">
      <w:bodyDiv w:val="1"/>
      <w:marLeft w:val="0"/>
      <w:marRight w:val="0"/>
      <w:marTop w:val="0"/>
      <w:marBottom w:val="0"/>
      <w:divBdr>
        <w:top w:val="none" w:sz="0" w:space="0" w:color="auto"/>
        <w:left w:val="none" w:sz="0" w:space="0" w:color="auto"/>
        <w:bottom w:val="none" w:sz="0" w:space="0" w:color="auto"/>
        <w:right w:val="none" w:sz="0" w:space="0" w:color="auto"/>
      </w:divBdr>
    </w:div>
    <w:div w:id="573011048">
      <w:bodyDiv w:val="1"/>
      <w:marLeft w:val="0"/>
      <w:marRight w:val="0"/>
      <w:marTop w:val="0"/>
      <w:marBottom w:val="0"/>
      <w:divBdr>
        <w:top w:val="none" w:sz="0" w:space="0" w:color="auto"/>
        <w:left w:val="none" w:sz="0" w:space="0" w:color="auto"/>
        <w:bottom w:val="none" w:sz="0" w:space="0" w:color="auto"/>
        <w:right w:val="none" w:sz="0" w:space="0" w:color="auto"/>
      </w:divBdr>
    </w:div>
    <w:div w:id="726876312">
      <w:bodyDiv w:val="1"/>
      <w:marLeft w:val="0"/>
      <w:marRight w:val="0"/>
      <w:marTop w:val="0"/>
      <w:marBottom w:val="0"/>
      <w:divBdr>
        <w:top w:val="none" w:sz="0" w:space="0" w:color="auto"/>
        <w:left w:val="none" w:sz="0" w:space="0" w:color="auto"/>
        <w:bottom w:val="none" w:sz="0" w:space="0" w:color="auto"/>
        <w:right w:val="none" w:sz="0" w:space="0" w:color="auto"/>
      </w:divBdr>
    </w:div>
    <w:div w:id="1613200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hart" Target="charts/chart3.xml"/><Relationship Id="rId18" Type="http://schemas.openxmlformats.org/officeDocument/2006/relationships/image" Target="media/image5.jpe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cradlefornature.org.uk/background/" TargetMode="External"/><Relationship Id="rId7" Type="http://schemas.openxmlformats.org/officeDocument/2006/relationships/webSettings" Target="webSettings.xml"/><Relationship Id="rId12" Type="http://schemas.openxmlformats.org/officeDocument/2006/relationships/chart" Target="charts/chart2.xml"/><Relationship Id="rId17" Type="http://schemas.openxmlformats.org/officeDocument/2006/relationships/image" Target="media/image4.jpe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sciencedirect-com.ezproxy.uwtsd.ac.uk/science/article/pii/S0048969718346837"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1.xm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2.png"/><Relationship Id="rId23" Type="http://schemas.openxmlformats.org/officeDocument/2006/relationships/header" Target="header1.xml"/><Relationship Id="rId10" Type="http://schemas.openxmlformats.org/officeDocument/2006/relationships/image" Target="media/image1.jpeg"/><Relationship Id="rId19" Type="http://schemas.openxmlformats.org/officeDocument/2006/relationships/hyperlink" Target="http://news.bbc.co.uk/1/hi/wales/south_east/6221060.stm"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chart" Target="charts/chart4.xml"/><Relationship Id="rId22" Type="http://schemas.openxmlformats.org/officeDocument/2006/relationships/hyperlink" Target="https://www.forestresearch.gov.uk/tools-and-resources/tree-species-database/sessile-oak-sok/"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1900547_student_uwtsd_ac_uk/Documents/varteg%20data%20with%20graphs%20n%20shit.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GB"/>
              <a:t>Vitality score by block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stacked"/>
        <c:varyColors val="0"/>
        <c:ser>
          <c:idx val="0"/>
          <c:order val="0"/>
          <c:tx>
            <c:v>0</c:v>
          </c:tx>
          <c:spPr>
            <a:solidFill>
              <a:srgbClr val="495177"/>
            </a:solidFill>
            <a:ln>
              <a:noFill/>
            </a:ln>
            <a:effectLst/>
          </c:spPr>
          <c:invertIfNegative val="0"/>
          <c:cat>
            <c:strRef>
              <c:f>'mortality rate'!$F$27:$F$31</c:f>
              <c:strCache>
                <c:ptCount val="4"/>
                <c:pt idx="0">
                  <c:v>B1</c:v>
                </c:pt>
                <c:pt idx="1">
                  <c:v>B2</c:v>
                </c:pt>
                <c:pt idx="2">
                  <c:v>B3</c:v>
                </c:pt>
                <c:pt idx="3">
                  <c:v>B4</c:v>
                </c:pt>
              </c:strCache>
            </c:strRef>
          </c:cat>
          <c:val>
            <c:numRef>
              <c:f>'mortality rate'!$G$27:$G$31</c:f>
              <c:numCache>
                <c:formatCode>General</c:formatCode>
                <c:ptCount val="4"/>
                <c:pt idx="0">
                  <c:v>5</c:v>
                </c:pt>
                <c:pt idx="1">
                  <c:v>23</c:v>
                </c:pt>
                <c:pt idx="2">
                  <c:v>22</c:v>
                </c:pt>
                <c:pt idx="3">
                  <c:v>18</c:v>
                </c:pt>
              </c:numCache>
            </c:numRef>
          </c:val>
          <c:extLst>
            <c:ext xmlns:c16="http://schemas.microsoft.com/office/drawing/2014/chart" uri="{C3380CC4-5D6E-409C-BE32-E72D297353CC}">
              <c16:uniqueId val="{00000000-7805-454F-8FA1-7D7BDD36CF4D}"/>
            </c:ext>
          </c:extLst>
        </c:ser>
        <c:ser>
          <c:idx val="1"/>
          <c:order val="1"/>
          <c:tx>
            <c:v>1</c:v>
          </c:tx>
          <c:spPr>
            <a:solidFill>
              <a:srgbClr val="F36D63"/>
            </a:solidFill>
            <a:ln>
              <a:noFill/>
            </a:ln>
            <a:effectLst/>
          </c:spPr>
          <c:invertIfNegative val="0"/>
          <c:cat>
            <c:strRef>
              <c:f>'mortality rate'!$F$27:$F$31</c:f>
              <c:strCache>
                <c:ptCount val="4"/>
                <c:pt idx="0">
                  <c:v>B1</c:v>
                </c:pt>
                <c:pt idx="1">
                  <c:v>B2</c:v>
                </c:pt>
                <c:pt idx="2">
                  <c:v>B3</c:v>
                </c:pt>
                <c:pt idx="3">
                  <c:v>B4</c:v>
                </c:pt>
              </c:strCache>
            </c:strRef>
          </c:cat>
          <c:val>
            <c:numRef>
              <c:f>'mortality rate'!$H$27:$H$31</c:f>
              <c:numCache>
                <c:formatCode>General</c:formatCode>
                <c:ptCount val="4"/>
                <c:pt idx="0">
                  <c:v>4</c:v>
                </c:pt>
                <c:pt idx="1">
                  <c:v>1</c:v>
                </c:pt>
                <c:pt idx="2">
                  <c:v>0</c:v>
                </c:pt>
                <c:pt idx="3">
                  <c:v>0</c:v>
                </c:pt>
              </c:numCache>
            </c:numRef>
          </c:val>
          <c:extLst>
            <c:ext xmlns:c16="http://schemas.microsoft.com/office/drawing/2014/chart" uri="{C3380CC4-5D6E-409C-BE32-E72D297353CC}">
              <c16:uniqueId val="{00000001-7805-454F-8FA1-7D7BDD36CF4D}"/>
            </c:ext>
          </c:extLst>
        </c:ser>
        <c:ser>
          <c:idx val="2"/>
          <c:order val="2"/>
          <c:tx>
            <c:v>2</c:v>
          </c:tx>
          <c:spPr>
            <a:solidFill>
              <a:srgbClr val="F0AB4E"/>
            </a:solidFill>
            <a:ln>
              <a:noFill/>
            </a:ln>
            <a:effectLst/>
          </c:spPr>
          <c:invertIfNegative val="0"/>
          <c:cat>
            <c:strRef>
              <c:f>'mortality rate'!$F$27:$F$31</c:f>
              <c:strCache>
                <c:ptCount val="4"/>
                <c:pt idx="0">
                  <c:v>B1</c:v>
                </c:pt>
                <c:pt idx="1">
                  <c:v>B2</c:v>
                </c:pt>
                <c:pt idx="2">
                  <c:v>B3</c:v>
                </c:pt>
                <c:pt idx="3">
                  <c:v>B4</c:v>
                </c:pt>
              </c:strCache>
            </c:strRef>
          </c:cat>
          <c:val>
            <c:numRef>
              <c:f>'mortality rate'!$I$27:$I$31</c:f>
              <c:numCache>
                <c:formatCode>General</c:formatCode>
                <c:ptCount val="4"/>
                <c:pt idx="0">
                  <c:v>6</c:v>
                </c:pt>
                <c:pt idx="1">
                  <c:v>0</c:v>
                </c:pt>
                <c:pt idx="2">
                  <c:v>0</c:v>
                </c:pt>
                <c:pt idx="3">
                  <c:v>4</c:v>
                </c:pt>
              </c:numCache>
            </c:numRef>
          </c:val>
          <c:extLst>
            <c:ext xmlns:c16="http://schemas.microsoft.com/office/drawing/2014/chart" uri="{C3380CC4-5D6E-409C-BE32-E72D297353CC}">
              <c16:uniqueId val="{00000002-7805-454F-8FA1-7D7BDD36CF4D}"/>
            </c:ext>
          </c:extLst>
        </c:ser>
        <c:ser>
          <c:idx val="3"/>
          <c:order val="3"/>
          <c:tx>
            <c:v>3</c:v>
          </c:tx>
          <c:spPr>
            <a:solidFill>
              <a:srgbClr val="FFFF99"/>
            </a:solidFill>
            <a:ln>
              <a:noFill/>
            </a:ln>
            <a:effectLst/>
          </c:spPr>
          <c:invertIfNegative val="0"/>
          <c:cat>
            <c:strRef>
              <c:f>'mortality rate'!$F$27:$F$31</c:f>
              <c:strCache>
                <c:ptCount val="4"/>
                <c:pt idx="0">
                  <c:v>B1</c:v>
                </c:pt>
                <c:pt idx="1">
                  <c:v>B2</c:v>
                </c:pt>
                <c:pt idx="2">
                  <c:v>B3</c:v>
                </c:pt>
                <c:pt idx="3">
                  <c:v>B4</c:v>
                </c:pt>
              </c:strCache>
            </c:strRef>
          </c:cat>
          <c:val>
            <c:numRef>
              <c:f>'mortality rate'!$J$27:$J$31</c:f>
              <c:numCache>
                <c:formatCode>General</c:formatCode>
                <c:ptCount val="4"/>
                <c:pt idx="0">
                  <c:v>8</c:v>
                </c:pt>
                <c:pt idx="1">
                  <c:v>1</c:v>
                </c:pt>
                <c:pt idx="2">
                  <c:v>2</c:v>
                </c:pt>
                <c:pt idx="3">
                  <c:v>2</c:v>
                </c:pt>
              </c:numCache>
            </c:numRef>
          </c:val>
          <c:extLst>
            <c:ext xmlns:c16="http://schemas.microsoft.com/office/drawing/2014/chart" uri="{C3380CC4-5D6E-409C-BE32-E72D297353CC}">
              <c16:uniqueId val="{00000003-7805-454F-8FA1-7D7BDD36CF4D}"/>
            </c:ext>
          </c:extLst>
        </c:ser>
        <c:ser>
          <c:idx val="4"/>
          <c:order val="4"/>
          <c:tx>
            <c:v>4</c:v>
          </c:tx>
          <c:spPr>
            <a:solidFill>
              <a:srgbClr val="4ED682"/>
            </a:solidFill>
            <a:ln>
              <a:noFill/>
            </a:ln>
            <a:effectLst/>
          </c:spPr>
          <c:invertIfNegative val="0"/>
          <c:cat>
            <c:strRef>
              <c:f>'mortality rate'!$F$27:$F$31</c:f>
              <c:strCache>
                <c:ptCount val="4"/>
                <c:pt idx="0">
                  <c:v>B1</c:v>
                </c:pt>
                <c:pt idx="1">
                  <c:v>B2</c:v>
                </c:pt>
                <c:pt idx="2">
                  <c:v>B3</c:v>
                </c:pt>
                <c:pt idx="3">
                  <c:v>B4</c:v>
                </c:pt>
              </c:strCache>
            </c:strRef>
          </c:cat>
          <c:val>
            <c:numRef>
              <c:f>'mortality rate'!$K$27:$K$31</c:f>
              <c:numCache>
                <c:formatCode>General</c:formatCode>
                <c:ptCount val="4"/>
                <c:pt idx="0">
                  <c:v>2</c:v>
                </c:pt>
                <c:pt idx="1">
                  <c:v>0</c:v>
                </c:pt>
                <c:pt idx="2">
                  <c:v>1</c:v>
                </c:pt>
                <c:pt idx="3">
                  <c:v>0</c:v>
                </c:pt>
              </c:numCache>
            </c:numRef>
          </c:val>
          <c:extLst>
            <c:ext xmlns:c16="http://schemas.microsoft.com/office/drawing/2014/chart" uri="{C3380CC4-5D6E-409C-BE32-E72D297353CC}">
              <c16:uniqueId val="{00000004-7805-454F-8FA1-7D7BDD36CF4D}"/>
            </c:ext>
          </c:extLst>
        </c:ser>
        <c:ser>
          <c:idx val="5"/>
          <c:order val="5"/>
          <c:tx>
            <c:v>5</c:v>
          </c:tx>
          <c:spPr>
            <a:solidFill>
              <a:schemeClr val="accent6"/>
            </a:solidFill>
            <a:ln>
              <a:noFill/>
            </a:ln>
            <a:effectLst/>
          </c:spPr>
          <c:invertIfNegative val="0"/>
          <c:cat>
            <c:strRef>
              <c:f>'mortality rate'!$F$27:$F$31</c:f>
              <c:strCache>
                <c:ptCount val="4"/>
                <c:pt idx="0">
                  <c:v>B1</c:v>
                </c:pt>
                <c:pt idx="1">
                  <c:v>B2</c:v>
                </c:pt>
                <c:pt idx="2">
                  <c:v>B3</c:v>
                </c:pt>
                <c:pt idx="3">
                  <c:v>B4</c:v>
                </c:pt>
              </c:strCache>
            </c:strRef>
          </c:cat>
          <c:val>
            <c:numRef>
              <c:f>'mortality rate'!$L$27:$L$31</c:f>
              <c:numCache>
                <c:formatCode>General</c:formatCode>
                <c:ptCount val="4"/>
                <c:pt idx="0">
                  <c:v>0</c:v>
                </c:pt>
                <c:pt idx="1">
                  <c:v>0</c:v>
                </c:pt>
                <c:pt idx="2">
                  <c:v>0</c:v>
                </c:pt>
                <c:pt idx="3">
                  <c:v>0</c:v>
                </c:pt>
              </c:numCache>
            </c:numRef>
          </c:val>
          <c:extLst>
            <c:ext xmlns:c16="http://schemas.microsoft.com/office/drawing/2014/chart" uri="{C3380CC4-5D6E-409C-BE32-E72D297353CC}">
              <c16:uniqueId val="{00000005-7805-454F-8FA1-7D7BDD36CF4D}"/>
            </c:ext>
          </c:extLst>
        </c:ser>
        <c:dLbls>
          <c:showLegendKey val="0"/>
          <c:showVal val="0"/>
          <c:showCatName val="0"/>
          <c:showSerName val="0"/>
          <c:showPercent val="0"/>
          <c:showBubbleSize val="0"/>
        </c:dLbls>
        <c:gapWidth val="150"/>
        <c:overlap val="100"/>
        <c:axId val="753300848"/>
        <c:axId val="753306096"/>
      </c:barChart>
      <c:catAx>
        <c:axId val="753300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753306096"/>
        <c:crosses val="autoZero"/>
        <c:auto val="1"/>
        <c:lblAlgn val="ctr"/>
        <c:lblOffset val="100"/>
        <c:noMultiLvlLbl val="0"/>
      </c:catAx>
      <c:valAx>
        <c:axId val="753306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753300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Vitality scores across tree</a:t>
            </a:r>
            <a:r>
              <a:rPr lang="en-GB" baseline="0"/>
              <a:t> species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0</c:v>
          </c:tx>
          <c:spPr>
            <a:solidFill>
              <a:srgbClr val="495177"/>
            </a:solidFill>
            <a:ln>
              <a:noFill/>
            </a:ln>
            <a:effectLst>
              <a:outerShdw blurRad="50800" dist="50800" dir="5400000" algn="ctr" rotWithShape="0">
                <a:srgbClr val="495177"/>
              </a:outerShdw>
            </a:effectLst>
          </c:spPr>
          <c:invertIfNegative val="0"/>
          <c:cat>
            <c:strRef>
              <c:f>Sheet1!$Q$3:$Q$8</c:f>
              <c:strCache>
                <c:ptCount val="6"/>
                <c:pt idx="0">
                  <c:v>Goat willow</c:v>
                </c:pt>
                <c:pt idx="1">
                  <c:v>Downy Birch</c:v>
                </c:pt>
                <c:pt idx="2">
                  <c:v>Silver Birch</c:v>
                </c:pt>
                <c:pt idx="3">
                  <c:v>Alder</c:v>
                </c:pt>
                <c:pt idx="4">
                  <c:v>Oak</c:v>
                </c:pt>
                <c:pt idx="5">
                  <c:v>Mixed</c:v>
                </c:pt>
              </c:strCache>
            </c:strRef>
          </c:cat>
          <c:val>
            <c:numRef>
              <c:f>Sheet1!$R$3:$R$8</c:f>
              <c:numCache>
                <c:formatCode>General</c:formatCode>
                <c:ptCount val="6"/>
                <c:pt idx="0">
                  <c:v>9</c:v>
                </c:pt>
                <c:pt idx="1">
                  <c:v>13</c:v>
                </c:pt>
                <c:pt idx="2">
                  <c:v>7</c:v>
                </c:pt>
                <c:pt idx="3">
                  <c:v>9</c:v>
                </c:pt>
                <c:pt idx="4">
                  <c:v>28</c:v>
                </c:pt>
                <c:pt idx="5">
                  <c:v>3</c:v>
                </c:pt>
              </c:numCache>
            </c:numRef>
          </c:val>
          <c:extLst>
            <c:ext xmlns:c16="http://schemas.microsoft.com/office/drawing/2014/chart" uri="{C3380CC4-5D6E-409C-BE32-E72D297353CC}">
              <c16:uniqueId val="{00000000-BC15-44E4-AC6F-5F4BE2F01035}"/>
            </c:ext>
          </c:extLst>
        </c:ser>
        <c:ser>
          <c:idx val="1"/>
          <c:order val="1"/>
          <c:tx>
            <c:v>1</c:v>
          </c:tx>
          <c:spPr>
            <a:solidFill>
              <a:srgbClr val="F36D63"/>
            </a:solidFill>
            <a:ln>
              <a:noFill/>
            </a:ln>
            <a:effectLst/>
          </c:spPr>
          <c:invertIfNegative val="0"/>
          <c:cat>
            <c:strRef>
              <c:f>Sheet1!$Q$3:$Q$8</c:f>
              <c:strCache>
                <c:ptCount val="6"/>
                <c:pt idx="0">
                  <c:v>Goat willow</c:v>
                </c:pt>
                <c:pt idx="1">
                  <c:v>Downy Birch</c:v>
                </c:pt>
                <c:pt idx="2">
                  <c:v>Silver Birch</c:v>
                </c:pt>
                <c:pt idx="3">
                  <c:v>Alder</c:v>
                </c:pt>
                <c:pt idx="4">
                  <c:v>Oak</c:v>
                </c:pt>
                <c:pt idx="5">
                  <c:v>Mixed</c:v>
                </c:pt>
              </c:strCache>
            </c:strRef>
          </c:cat>
          <c:val>
            <c:numRef>
              <c:f>Sheet1!$S$3:$S$8</c:f>
              <c:numCache>
                <c:formatCode>General</c:formatCode>
                <c:ptCount val="6"/>
                <c:pt idx="0">
                  <c:v>1</c:v>
                </c:pt>
                <c:pt idx="1">
                  <c:v>0</c:v>
                </c:pt>
                <c:pt idx="2">
                  <c:v>3</c:v>
                </c:pt>
                <c:pt idx="3">
                  <c:v>0</c:v>
                </c:pt>
                <c:pt idx="4">
                  <c:v>1</c:v>
                </c:pt>
                <c:pt idx="5">
                  <c:v>0</c:v>
                </c:pt>
              </c:numCache>
            </c:numRef>
          </c:val>
          <c:extLst>
            <c:ext xmlns:c16="http://schemas.microsoft.com/office/drawing/2014/chart" uri="{C3380CC4-5D6E-409C-BE32-E72D297353CC}">
              <c16:uniqueId val="{00000001-BC15-44E4-AC6F-5F4BE2F01035}"/>
            </c:ext>
          </c:extLst>
        </c:ser>
        <c:ser>
          <c:idx val="2"/>
          <c:order val="2"/>
          <c:tx>
            <c:v>2</c:v>
          </c:tx>
          <c:spPr>
            <a:solidFill>
              <a:srgbClr val="F0AB4E"/>
            </a:solidFill>
            <a:ln>
              <a:noFill/>
            </a:ln>
            <a:effectLst/>
          </c:spPr>
          <c:invertIfNegative val="0"/>
          <c:cat>
            <c:strRef>
              <c:f>Sheet1!$Q$3:$Q$8</c:f>
              <c:strCache>
                <c:ptCount val="6"/>
                <c:pt idx="0">
                  <c:v>Goat willow</c:v>
                </c:pt>
                <c:pt idx="1">
                  <c:v>Downy Birch</c:v>
                </c:pt>
                <c:pt idx="2">
                  <c:v>Silver Birch</c:v>
                </c:pt>
                <c:pt idx="3">
                  <c:v>Alder</c:v>
                </c:pt>
                <c:pt idx="4">
                  <c:v>Oak</c:v>
                </c:pt>
                <c:pt idx="5">
                  <c:v>Mixed</c:v>
                </c:pt>
              </c:strCache>
            </c:strRef>
          </c:cat>
          <c:val>
            <c:numRef>
              <c:f>Sheet1!$T$3:$T$8</c:f>
              <c:numCache>
                <c:formatCode>General</c:formatCode>
                <c:ptCount val="6"/>
                <c:pt idx="0">
                  <c:v>2</c:v>
                </c:pt>
                <c:pt idx="1">
                  <c:v>2</c:v>
                </c:pt>
                <c:pt idx="2">
                  <c:v>3</c:v>
                </c:pt>
                <c:pt idx="3">
                  <c:v>2</c:v>
                </c:pt>
                <c:pt idx="4">
                  <c:v>1</c:v>
                </c:pt>
                <c:pt idx="5">
                  <c:v>0</c:v>
                </c:pt>
              </c:numCache>
            </c:numRef>
          </c:val>
          <c:extLst>
            <c:ext xmlns:c16="http://schemas.microsoft.com/office/drawing/2014/chart" uri="{C3380CC4-5D6E-409C-BE32-E72D297353CC}">
              <c16:uniqueId val="{00000002-BC15-44E4-AC6F-5F4BE2F01035}"/>
            </c:ext>
          </c:extLst>
        </c:ser>
        <c:ser>
          <c:idx val="3"/>
          <c:order val="3"/>
          <c:tx>
            <c:v>3</c:v>
          </c:tx>
          <c:spPr>
            <a:solidFill>
              <a:srgbClr val="FFFF99"/>
            </a:solidFill>
            <a:ln>
              <a:noFill/>
            </a:ln>
            <a:effectLst/>
          </c:spPr>
          <c:invertIfNegative val="0"/>
          <c:cat>
            <c:strRef>
              <c:f>Sheet1!$Q$3:$Q$8</c:f>
              <c:strCache>
                <c:ptCount val="6"/>
                <c:pt idx="0">
                  <c:v>Goat willow</c:v>
                </c:pt>
                <c:pt idx="1">
                  <c:v>Downy Birch</c:v>
                </c:pt>
                <c:pt idx="2">
                  <c:v>Silver Birch</c:v>
                </c:pt>
                <c:pt idx="3">
                  <c:v>Alder</c:v>
                </c:pt>
                <c:pt idx="4">
                  <c:v>Oak</c:v>
                </c:pt>
                <c:pt idx="5">
                  <c:v>Mixed</c:v>
                </c:pt>
              </c:strCache>
            </c:strRef>
          </c:cat>
          <c:val>
            <c:numRef>
              <c:f>Sheet1!$U$3:$U$8</c:f>
              <c:numCache>
                <c:formatCode>General</c:formatCode>
                <c:ptCount val="6"/>
                <c:pt idx="0">
                  <c:v>2</c:v>
                </c:pt>
                <c:pt idx="1">
                  <c:v>2</c:v>
                </c:pt>
                <c:pt idx="2">
                  <c:v>1</c:v>
                </c:pt>
                <c:pt idx="3">
                  <c:v>1</c:v>
                </c:pt>
                <c:pt idx="4">
                  <c:v>4</c:v>
                </c:pt>
                <c:pt idx="5">
                  <c:v>3</c:v>
                </c:pt>
              </c:numCache>
            </c:numRef>
          </c:val>
          <c:extLst>
            <c:ext xmlns:c16="http://schemas.microsoft.com/office/drawing/2014/chart" uri="{C3380CC4-5D6E-409C-BE32-E72D297353CC}">
              <c16:uniqueId val="{00000003-BC15-44E4-AC6F-5F4BE2F01035}"/>
            </c:ext>
          </c:extLst>
        </c:ser>
        <c:ser>
          <c:idx val="4"/>
          <c:order val="4"/>
          <c:tx>
            <c:v>4</c:v>
          </c:tx>
          <c:spPr>
            <a:solidFill>
              <a:srgbClr val="4ED682"/>
            </a:solidFill>
            <a:ln>
              <a:noFill/>
            </a:ln>
            <a:effectLst/>
          </c:spPr>
          <c:invertIfNegative val="0"/>
          <c:cat>
            <c:strRef>
              <c:f>Sheet1!$Q$3:$Q$8</c:f>
              <c:strCache>
                <c:ptCount val="6"/>
                <c:pt idx="0">
                  <c:v>Goat willow</c:v>
                </c:pt>
                <c:pt idx="1">
                  <c:v>Downy Birch</c:v>
                </c:pt>
                <c:pt idx="2">
                  <c:v>Silver Birch</c:v>
                </c:pt>
                <c:pt idx="3">
                  <c:v>Alder</c:v>
                </c:pt>
                <c:pt idx="4">
                  <c:v>Oak</c:v>
                </c:pt>
                <c:pt idx="5">
                  <c:v>Mixed</c:v>
                </c:pt>
              </c:strCache>
            </c:strRef>
          </c:cat>
          <c:val>
            <c:numRef>
              <c:f>Sheet1!$V$3:$V$8</c:f>
              <c:numCache>
                <c:formatCode>General</c:formatCode>
                <c:ptCount val="6"/>
                <c:pt idx="0">
                  <c:v>0</c:v>
                </c:pt>
                <c:pt idx="1">
                  <c:v>0</c:v>
                </c:pt>
                <c:pt idx="2">
                  <c:v>0</c:v>
                </c:pt>
                <c:pt idx="3">
                  <c:v>2</c:v>
                </c:pt>
                <c:pt idx="4">
                  <c:v>0</c:v>
                </c:pt>
                <c:pt idx="5">
                  <c:v>1</c:v>
                </c:pt>
              </c:numCache>
            </c:numRef>
          </c:val>
          <c:extLst>
            <c:ext xmlns:c16="http://schemas.microsoft.com/office/drawing/2014/chart" uri="{C3380CC4-5D6E-409C-BE32-E72D297353CC}">
              <c16:uniqueId val="{00000004-BC15-44E4-AC6F-5F4BE2F01035}"/>
            </c:ext>
          </c:extLst>
        </c:ser>
        <c:ser>
          <c:idx val="5"/>
          <c:order val="5"/>
          <c:tx>
            <c:v>5</c:v>
          </c:tx>
          <c:spPr>
            <a:solidFill>
              <a:schemeClr val="accent6"/>
            </a:solidFill>
            <a:ln>
              <a:noFill/>
            </a:ln>
            <a:effectLst/>
          </c:spPr>
          <c:invertIfNegative val="0"/>
          <c:cat>
            <c:strRef>
              <c:f>Sheet1!$Q$3:$Q$8</c:f>
              <c:strCache>
                <c:ptCount val="6"/>
                <c:pt idx="0">
                  <c:v>Goat willow</c:v>
                </c:pt>
                <c:pt idx="1">
                  <c:v>Downy Birch</c:v>
                </c:pt>
                <c:pt idx="2">
                  <c:v>Silver Birch</c:v>
                </c:pt>
                <c:pt idx="3">
                  <c:v>Alder</c:v>
                </c:pt>
                <c:pt idx="4">
                  <c:v>Oak</c:v>
                </c:pt>
                <c:pt idx="5">
                  <c:v>Mixed</c:v>
                </c:pt>
              </c:strCache>
            </c:strRef>
          </c:cat>
          <c:val>
            <c:numRef>
              <c:f>Sheet1!$W$3:$W$8</c:f>
              <c:numCache>
                <c:formatCode>General</c:formatCode>
                <c:ptCount val="6"/>
                <c:pt idx="0">
                  <c:v>0</c:v>
                </c:pt>
                <c:pt idx="1">
                  <c:v>0</c:v>
                </c:pt>
                <c:pt idx="2">
                  <c:v>0</c:v>
                </c:pt>
                <c:pt idx="3">
                  <c:v>0</c:v>
                </c:pt>
                <c:pt idx="4">
                  <c:v>0</c:v>
                </c:pt>
                <c:pt idx="5">
                  <c:v>0</c:v>
                </c:pt>
              </c:numCache>
            </c:numRef>
          </c:val>
          <c:extLst>
            <c:ext xmlns:c16="http://schemas.microsoft.com/office/drawing/2014/chart" uri="{C3380CC4-5D6E-409C-BE32-E72D297353CC}">
              <c16:uniqueId val="{00000005-BC15-44E4-AC6F-5F4BE2F01035}"/>
            </c:ext>
          </c:extLst>
        </c:ser>
        <c:dLbls>
          <c:showLegendKey val="0"/>
          <c:showVal val="0"/>
          <c:showCatName val="0"/>
          <c:showSerName val="0"/>
          <c:showPercent val="0"/>
          <c:showBubbleSize val="0"/>
        </c:dLbls>
        <c:gapWidth val="219"/>
        <c:overlap val="-27"/>
        <c:axId val="753301176"/>
        <c:axId val="753305112"/>
      </c:barChart>
      <c:catAx>
        <c:axId val="7533011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Species</a:t>
                </a:r>
                <a:r>
                  <a:rPr lang="en-GB" baseline="0"/>
                  <a:t> of tree</a:t>
                </a:r>
                <a:endParaRPr lang="en-GB"/>
              </a:p>
            </c:rich>
          </c:tx>
          <c:layout>
            <c:manualLayout>
              <c:xMode val="edge"/>
              <c:yMode val="edge"/>
              <c:x val="0.41569950896359359"/>
              <c:y val="0.800803226230949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3305112"/>
        <c:crosses val="autoZero"/>
        <c:auto val="1"/>
        <c:lblAlgn val="ctr"/>
        <c:lblOffset val="100"/>
        <c:noMultiLvlLbl val="0"/>
      </c:catAx>
      <c:valAx>
        <c:axId val="753305112"/>
        <c:scaling>
          <c:orientation val="minMax"/>
        </c:scaling>
        <c:delete val="0"/>
        <c:axPos val="l"/>
        <c:majorGridlines>
          <c:spPr>
            <a:ln w="9525" cap="flat" cmpd="sng" algn="ctr">
              <a:solidFill>
                <a:schemeClr val="bg1">
                  <a:lumMod val="7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trees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3301176"/>
        <c:crosses val="autoZero"/>
        <c:crossBetween val="between"/>
      </c:valAx>
      <c:spPr>
        <a:noFill/>
        <a:ln>
          <a:noFill/>
        </a:ln>
        <a:effectLst/>
      </c:spPr>
    </c:plotArea>
    <c:legend>
      <c:legendPos val="b"/>
      <c:layout>
        <c:manualLayout>
          <c:xMode val="edge"/>
          <c:yMode val="edge"/>
          <c:x val="0.34499055699218412"/>
          <c:y val="0.88629101709229452"/>
          <c:w val="0.38381933346892522"/>
          <c:h val="7.139884963078578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GB"/>
              <a:t>Mortality</a:t>
            </a:r>
            <a:r>
              <a:rPr lang="en-GB" baseline="0"/>
              <a:t> rate by species</a:t>
            </a:r>
            <a:endParaRPr lang="en-GB"/>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barChart>
        <c:barDir val="col"/>
        <c:grouping val="clustered"/>
        <c:varyColors val="0"/>
        <c:ser>
          <c:idx val="0"/>
          <c:order val="0"/>
          <c:spPr>
            <a:pattFill prst="smCheck">
              <a:fgClr>
                <a:srgbClr val="DBECD0"/>
              </a:fgClr>
              <a:bgClr>
                <a:srgbClr val="538135"/>
              </a:bgClr>
            </a:patt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6">
                          <a:lumMod val="60000"/>
                          <a:lumOff val="40000"/>
                        </a:schemeClr>
                      </a:solidFill>
                    </a:ln>
                    <a:effectLst/>
                  </c:spPr>
                </c15:leaderLines>
              </c:ext>
            </c:extLst>
          </c:dLbls>
          <c:cat>
            <c:strRef>
              <c:f>Sheet1!$Q$11:$Q$16</c:f>
              <c:strCache>
                <c:ptCount val="6"/>
                <c:pt idx="0">
                  <c:v>Goat willow</c:v>
                </c:pt>
                <c:pt idx="1">
                  <c:v>Downy birch</c:v>
                </c:pt>
                <c:pt idx="2">
                  <c:v>Silver birch</c:v>
                </c:pt>
                <c:pt idx="3">
                  <c:v>Alder</c:v>
                </c:pt>
                <c:pt idx="4">
                  <c:v>Oak</c:v>
                </c:pt>
                <c:pt idx="5">
                  <c:v>Mixed</c:v>
                </c:pt>
              </c:strCache>
            </c:strRef>
          </c:cat>
          <c:val>
            <c:numRef>
              <c:f>Sheet1!$U$11:$U$16</c:f>
              <c:numCache>
                <c:formatCode>0.00%</c:formatCode>
                <c:ptCount val="6"/>
                <c:pt idx="0">
                  <c:v>0.64200000000000002</c:v>
                </c:pt>
                <c:pt idx="1">
                  <c:v>0.76500000000000001</c:v>
                </c:pt>
                <c:pt idx="2">
                  <c:v>0.5</c:v>
                </c:pt>
                <c:pt idx="3" formatCode="0%">
                  <c:v>0.64300000000000002</c:v>
                </c:pt>
                <c:pt idx="4" formatCode="0%">
                  <c:v>0.82399999999999995</c:v>
                </c:pt>
                <c:pt idx="5">
                  <c:v>0.42899999999999999</c:v>
                </c:pt>
              </c:numCache>
            </c:numRef>
          </c:val>
          <c:extLst>
            <c:ext xmlns:c16="http://schemas.microsoft.com/office/drawing/2014/chart" uri="{C3380CC4-5D6E-409C-BE32-E72D297353CC}">
              <c16:uniqueId val="{00000000-5E23-436A-B742-61142B0AE248}"/>
            </c:ext>
          </c:extLst>
        </c:ser>
        <c:dLbls>
          <c:dLblPos val="outEnd"/>
          <c:showLegendKey val="0"/>
          <c:showVal val="1"/>
          <c:showCatName val="0"/>
          <c:showSerName val="0"/>
          <c:showPercent val="0"/>
          <c:showBubbleSize val="0"/>
        </c:dLbls>
        <c:gapWidth val="269"/>
        <c:overlap val="-20"/>
        <c:axId val="415774248"/>
        <c:axId val="415774576"/>
      </c:barChart>
      <c:catAx>
        <c:axId val="415774248"/>
        <c:scaling>
          <c:orientation val="minMax"/>
        </c:scaling>
        <c:delete val="0"/>
        <c:axPos val="b"/>
        <c:majorGridlines>
          <c:spPr>
            <a:ln w="9525" cap="flat" cmpd="sng" algn="ctr">
              <a:solidFill>
                <a:schemeClr val="lt1">
                  <a:alpha val="2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GB" b="1"/>
                  <a:t>Species</a:t>
                </a:r>
                <a:r>
                  <a:rPr lang="en-GB" b="1" baseline="0"/>
                  <a:t> of tree</a:t>
                </a:r>
                <a:endParaRPr lang="en-GB" b="1"/>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accent6">
                <a:lumMod val="60000"/>
                <a:lumOff val="40000"/>
              </a:schemeClr>
            </a:solidFill>
            <a:round/>
          </a:ln>
          <a:effectLst/>
        </c:spPr>
        <c:txPr>
          <a:bodyPr rot="-60000000" spcFirstLastPara="1" vertOverflow="ellipsis" vert="horz" wrap="square" anchor="ctr" anchorCtr="1"/>
          <a:lstStyle/>
          <a:p>
            <a:pPr>
              <a:defRPr sz="800" b="0" i="0" u="none" strike="noStrike" kern="1200" cap="all" spc="150" normalizeH="0" baseline="0">
                <a:solidFill>
                  <a:schemeClr val="lt1"/>
                </a:solidFill>
                <a:latin typeface="+mn-lt"/>
                <a:ea typeface="+mn-ea"/>
                <a:cs typeface="+mn-cs"/>
              </a:defRPr>
            </a:pPr>
            <a:endParaRPr lang="en-US"/>
          </a:p>
        </c:txPr>
        <c:crossAx val="415774576"/>
        <c:crosses val="autoZero"/>
        <c:auto val="1"/>
        <c:lblAlgn val="ctr"/>
        <c:lblOffset val="100"/>
        <c:noMultiLvlLbl val="0"/>
      </c:catAx>
      <c:valAx>
        <c:axId val="415774576"/>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GB"/>
                  <a:t>Mortality</a:t>
                </a:r>
                <a:r>
                  <a:rPr lang="en-GB" baseline="0"/>
                  <a:t> rate</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415774248"/>
        <c:crosses val="autoZero"/>
        <c:crossBetween val="between"/>
      </c:valAx>
      <c:spPr>
        <a:noFill/>
        <a:ln>
          <a:noFill/>
        </a:ln>
        <a:effectLst/>
      </c:spPr>
    </c:plotArea>
    <c:plotVisOnly val="1"/>
    <c:dispBlanksAs val="gap"/>
    <c:showDLblsOverMax val="0"/>
  </c:chart>
  <c:spPr>
    <a:solidFill>
      <a:srgbClr val="538135"/>
    </a:solidFill>
    <a:ln w="9525" cap="flat" cmpd="sng" algn="ctr">
      <a:solidFill>
        <a:schemeClr val="accent6"/>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Tree deaths per year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rgbClr val="538135"/>
              </a:solidFill>
              <a:round/>
            </a:ln>
            <a:effectLst/>
          </c:spPr>
          <c:marker>
            <c:symbol val="none"/>
          </c:marker>
          <c:dLbls>
            <c:spPr>
              <a:solidFill>
                <a:srgbClr val="DBECD0"/>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'mortality rate'!$A$28:$A$40</c:f>
              <c:numCache>
                <c:formatCode>General</c:formatCode>
                <c:ptCount val="13"/>
                <c:pt idx="0">
                  <c:v>2007</c:v>
                </c:pt>
                <c:pt idx="1">
                  <c:v>2008</c:v>
                </c:pt>
                <c:pt idx="2">
                  <c:v>2009</c:v>
                </c:pt>
                <c:pt idx="3">
                  <c:v>2010</c:v>
                </c:pt>
                <c:pt idx="4">
                  <c:v>2011</c:v>
                </c:pt>
                <c:pt idx="5">
                  <c:v>2012</c:v>
                </c:pt>
                <c:pt idx="6">
                  <c:v>2013</c:v>
                </c:pt>
                <c:pt idx="7">
                  <c:v>2014</c:v>
                </c:pt>
                <c:pt idx="8">
                  <c:v>2015</c:v>
                </c:pt>
                <c:pt idx="9">
                  <c:v>2016</c:v>
                </c:pt>
                <c:pt idx="10">
                  <c:v>2017</c:v>
                </c:pt>
                <c:pt idx="11">
                  <c:v>2018</c:v>
                </c:pt>
                <c:pt idx="12">
                  <c:v>2019</c:v>
                </c:pt>
              </c:numCache>
            </c:numRef>
          </c:cat>
          <c:val>
            <c:numRef>
              <c:f>'mortality rate'!$B$28:$B$40</c:f>
              <c:numCache>
                <c:formatCode>General</c:formatCode>
                <c:ptCount val="13"/>
                <c:pt idx="0">
                  <c:v>3</c:v>
                </c:pt>
                <c:pt idx="1">
                  <c:v>17</c:v>
                </c:pt>
                <c:pt idx="2">
                  <c:v>6</c:v>
                </c:pt>
                <c:pt idx="3">
                  <c:v>10</c:v>
                </c:pt>
                <c:pt idx="4">
                  <c:v>7</c:v>
                </c:pt>
                <c:pt idx="5">
                  <c:v>2</c:v>
                </c:pt>
                <c:pt idx="6">
                  <c:v>3</c:v>
                </c:pt>
                <c:pt idx="7">
                  <c:v>4</c:v>
                </c:pt>
                <c:pt idx="8">
                  <c:v>1</c:v>
                </c:pt>
                <c:pt idx="9">
                  <c:v>1</c:v>
                </c:pt>
                <c:pt idx="10">
                  <c:v>0</c:v>
                </c:pt>
                <c:pt idx="11">
                  <c:v>8</c:v>
                </c:pt>
                <c:pt idx="12">
                  <c:v>8</c:v>
                </c:pt>
              </c:numCache>
            </c:numRef>
          </c:val>
          <c:smooth val="0"/>
          <c:extLst>
            <c:ext xmlns:c16="http://schemas.microsoft.com/office/drawing/2014/chart" uri="{C3380CC4-5D6E-409C-BE32-E72D297353CC}">
              <c16:uniqueId val="{00000000-DF97-4A16-8CA0-9FEA7C0D6C67}"/>
            </c:ext>
          </c:extLst>
        </c:ser>
        <c:dLbls>
          <c:dLblPos val="ctr"/>
          <c:showLegendKey val="0"/>
          <c:showVal val="1"/>
          <c:showCatName val="0"/>
          <c:showSerName val="0"/>
          <c:showPercent val="0"/>
          <c:showBubbleSize val="0"/>
        </c:dLbls>
        <c:smooth val="0"/>
        <c:axId val="415748152"/>
        <c:axId val="415745200"/>
      </c:lineChart>
      <c:catAx>
        <c:axId val="4157481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layout>
            <c:manualLayout>
              <c:xMode val="edge"/>
              <c:yMode val="edge"/>
              <c:x val="0.48923713618814463"/>
              <c:y val="0.8848130137578956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5745200"/>
        <c:crosses val="autoZero"/>
        <c:auto val="1"/>
        <c:lblAlgn val="ctr"/>
        <c:lblOffset val="100"/>
        <c:noMultiLvlLbl val="0"/>
      </c:catAx>
      <c:valAx>
        <c:axId val="415745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tree deaths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57481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4">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66CE3F08F8514AFBBCED7898BDA087C7"/>
        <w:category>
          <w:name w:val="General"/>
          <w:gallery w:val="placeholder"/>
        </w:category>
        <w:types>
          <w:type w:val="bbPlcHdr"/>
        </w:types>
        <w:behaviors>
          <w:behavior w:val="content"/>
        </w:behaviors>
        <w:guid w:val="{E4443E00-C440-4DAD-9A95-82D8E9EB9C28}"/>
      </w:docPartPr>
      <w:docPartBody>
        <w:p w:rsidR="00225589" w:rsidRDefault="00EF12A1" w:rsidP="00EF12A1">
          <w:pPr>
            <w:pStyle w:val="66CE3F08F8514AFBBCED7898BDA087C7"/>
          </w:pPr>
          <w:r>
            <w:rPr>
              <w:color w:val="5B9BD5"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00"/>
    <w:family w:val="modern"/>
    <w:pitch w:val="fixed"/>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00"/>
    <w:family w:val="roman"/>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12A1"/>
    <w:rsid w:val="00225589"/>
    <w:rsid w:val="00A77A04"/>
    <w:rsid w:val="00EF12A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CE3F08F8514AFBBCED7898BDA087C7">
    <w:name w:val="66CE3F08F8514AFBBCED7898BDA087C7"/>
    <w:rsid w:val="00EF12A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44546A"/>
      </a:dk2>
      <a:lt2>
        <a:srgbClr val="E7E6E6"/>
      </a:lt2>
      <a:accent1>
        <a:srgbClr val="538135"/>
      </a:accent1>
      <a:accent2>
        <a:srgbClr val="375623"/>
      </a:accent2>
      <a:accent3>
        <a:srgbClr val="A8D08D"/>
      </a:accent3>
      <a:accent4>
        <a:srgbClr val="70AD47"/>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2" ma:contentTypeDescription="Create a new document." ma:contentTypeScope="" ma:versionID="0a50801ffc88f43f06a0d52c6de40299">
  <xsd:schema xmlns:xsd="http://www.w3.org/2001/XMLSchema" xmlns:xs="http://www.w3.org/2001/XMLSchema" xmlns:p="http://schemas.microsoft.com/office/2006/metadata/properties" xmlns:ns3="38a49699-8251-46aa-85ce-476a66afaff0" targetNamespace="http://schemas.microsoft.com/office/2006/metadata/properties" ma:root="true" ma:fieldsID="bb3609a59f3c37bd47fc9871ecd4da38" ns3:_="">
    <xsd:import namespace="38a49699-8251-46aa-85ce-476a66afaff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C0F4107-1AB9-49AC-8054-B5653DF7778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D78F91B-4DDC-4530-9350-18DBEA04B683}">
  <ds:schemaRefs>
    <ds:schemaRef ds:uri="http://schemas.microsoft.com/sharepoint/v3/contenttype/forms"/>
  </ds:schemaRefs>
</ds:datastoreItem>
</file>

<file path=customXml/itemProps3.xml><?xml version="1.0" encoding="utf-8"?>
<ds:datastoreItem xmlns:ds="http://schemas.openxmlformats.org/officeDocument/2006/customXml" ds:itemID="{3D058BC6-4911-457E-959A-81B2EE318E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4B891BC-FF87-4AEB-B843-2EED2FA50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2184</Words>
  <Characters>12449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Rowan Kenney 1900547</vt:lpstr>
    </vt:vector>
  </TitlesOfParts>
  <Company/>
  <LinksUpToDate>false</LinksUpToDate>
  <CharactersWithSpaces>14604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Rowan Kenney 1900547</dc:title>
  <dc:subject/>
  <dc:creator>Rowan Kenney (1900547)</dc:creator>
  <cp:keywords/>
  <dc:description/>
  <cp:lastModifiedBy>Rhian Jenkins</cp:lastModifiedBy>
  <cp:revision>2</cp:revision>
  <dcterms:created xsi:type="dcterms:W3CDTF">2020-06-30T08:32:00Z</dcterms:created>
  <dcterms:modified xsi:type="dcterms:W3CDTF">2020-06-30T08:32:00Z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