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071969F" wp14:paraId="74B1243E" wp14:textId="5F9A8FE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3C9E3432">
        <w:drawing>
          <wp:inline xmlns:wp14="http://schemas.microsoft.com/office/word/2010/wordprocessingDrawing" wp14:editId="67C2E265" wp14:anchorId="3A31F81A">
            <wp:extent cx="5600700" cy="1371600"/>
            <wp:effectExtent l="0" t="0" r="0" b="0"/>
            <wp:docPr id="1738589801" name="drawing" title="A black text on a white backgroun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8589801" name="Picture 1738589801"/>
                    <pic:cNvPicPr/>
                  </pic:nvPicPr>
                  <pic:blipFill>
                    <a:blip xmlns:r="http://schemas.openxmlformats.org/officeDocument/2006/relationships" r:embed="rId998381543">
                      <a:extLst>
                        <a:ext uri="{28A0092B-C50C-407E-A947-70E740481C1C}">
                          <a14:useLocalDpi xmlns:a14="http://schemas.microsoft.com/office/drawing/2010/main"/>
                        </a:ext>
                      </a:extLst>
                    </a:blip>
                    <a:stretch>
                      <a:fillRect/>
                    </a:stretch>
                  </pic:blipFill>
                  <pic:spPr>
                    <a:xfrm>
                      <a:off x="0" y="0"/>
                      <a:ext cx="5600700" cy="1371600"/>
                    </a:xfrm>
                    <a:prstGeom prst="rect">
                      <a:avLst/>
                    </a:prstGeom>
                  </pic:spPr>
                </pic:pic>
              </a:graphicData>
            </a:graphic>
          </wp:inline>
        </w:drawing>
      </w:r>
    </w:p>
    <w:p xmlns:wp14="http://schemas.microsoft.com/office/word/2010/wordml" w:rsidP="5071969F" wp14:paraId="78DD0B64" wp14:textId="4C905DF9">
      <w:pPr>
        <w:spacing w:line="360"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p>
    <w:p xmlns:wp14="http://schemas.microsoft.com/office/word/2010/wordml" w:rsidP="5071969F" wp14:paraId="747D84B8" wp14:textId="0078E564">
      <w:pPr>
        <w:spacing w:line="360"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r w:rsidRPr="5071969F" w:rsidR="3C9E3432">
        <w:rPr>
          <w:rFonts w:ascii="Arial" w:hAnsi="Arial" w:eastAsia="Arial" w:cs="Arial"/>
          <w:b w:val="1"/>
          <w:bCs w:val="1"/>
          <w:i w:val="0"/>
          <w:iCs w:val="0"/>
          <w:caps w:val="0"/>
          <w:smallCaps w:val="0"/>
          <w:noProof w:val="0"/>
          <w:color w:val="000000" w:themeColor="text1" w:themeTint="FF" w:themeShade="FF"/>
          <w:sz w:val="44"/>
          <w:szCs w:val="44"/>
          <w:lang w:val="en-IN"/>
        </w:rPr>
        <w:t xml:space="preserve">Master of Business </w:t>
      </w:r>
      <w:r w:rsidRPr="5071969F" w:rsidR="3C9E3432">
        <w:rPr>
          <w:rFonts w:ascii="Arial" w:hAnsi="Arial" w:eastAsia="Arial" w:cs="Arial"/>
          <w:b w:val="1"/>
          <w:bCs w:val="1"/>
          <w:i w:val="0"/>
          <w:iCs w:val="0"/>
          <w:caps w:val="0"/>
          <w:smallCaps w:val="0"/>
          <w:noProof w:val="0"/>
          <w:color w:val="000000" w:themeColor="text1" w:themeTint="FF" w:themeShade="FF"/>
          <w:sz w:val="44"/>
          <w:szCs w:val="44"/>
          <w:lang w:val="en-IN"/>
        </w:rPr>
        <w:t>Administration</w:t>
      </w:r>
    </w:p>
    <w:p xmlns:wp14="http://schemas.microsoft.com/office/word/2010/wordml" w:rsidP="5071969F" wp14:paraId="73C59127" wp14:textId="1EEA74E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EC9D161" wp14:paraId="2333FE31" wp14:textId="6485FC1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Module name: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Dissertation</w:t>
      </w:r>
    </w:p>
    <w:p xmlns:wp14="http://schemas.microsoft.com/office/word/2010/wordml" w:rsidP="7EC9D161" wp14:paraId="0DD53940" wp14:textId="2F921F7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Module code: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LCMB7035</w:t>
      </w:r>
    </w:p>
    <w:p xmlns:wp14="http://schemas.microsoft.com/office/word/2010/wordml" w:rsidP="7EC9D161" wp14:paraId="79B1C849" wp14:textId="34111BE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Supervisor name: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Dr. Amare Desta.</w:t>
      </w:r>
    </w:p>
    <w:p xmlns:wp14="http://schemas.microsoft.com/office/word/2010/wordml" w:rsidP="7EC9D161" wp14:paraId="29FD971F" wp14:textId="463CE3A2">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Project Title: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w:t>
      </w:r>
      <w:r w:rsidRPr="7EC9D161" w:rsidR="51AD6160">
        <w:rPr>
          <w:rFonts w:ascii="Arial" w:hAnsi="Arial" w:eastAsia="Arial" w:cs="Arial"/>
          <w:b w:val="0"/>
          <w:bCs w:val="0"/>
          <w:i w:val="0"/>
          <w:iCs w:val="0"/>
          <w:caps w:val="0"/>
          <w:smallCaps w:val="0"/>
          <w:noProof w:val="0"/>
          <w:color w:val="000000" w:themeColor="text1" w:themeTint="FF" w:themeShade="FF"/>
          <w:sz w:val="24"/>
          <w:szCs w:val="24"/>
          <w:lang w:val="en-IN"/>
        </w:rPr>
        <w:t>“</w:t>
      </w:r>
      <w:r w:rsidRPr="7EC9D161" w:rsidR="7938C323">
        <w:rPr>
          <w:rFonts w:ascii="Arial" w:hAnsi="Arial" w:eastAsia="Arial" w:cs="Arial"/>
          <w:b w:val="0"/>
          <w:bCs w:val="0"/>
          <w:i w:val="0"/>
          <w:iCs w:val="0"/>
          <w:caps w:val="0"/>
          <w:smallCaps w:val="0"/>
          <w:noProof w:val="0"/>
          <w:color w:val="000000" w:themeColor="text1" w:themeTint="FF" w:themeShade="FF"/>
          <w:sz w:val="24"/>
          <w:szCs w:val="24"/>
          <w:lang w:val="en-GB"/>
        </w:rPr>
        <w:t>A Comparative Analysis of Customer Loyalty Drivers: “Functional versus Emotional Mechanisms in an Independent UK Off-Licence Store (Guney Food &amp; Wine) and a CO-OP Convenience Retail Chain.”</w:t>
      </w:r>
    </w:p>
    <w:p xmlns:wp14="http://schemas.microsoft.com/office/word/2010/wordml" w:rsidP="7EC9D161" wp14:paraId="72CD061F" wp14:textId="68B66A0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IN"/>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Student name: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Ravikumar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Pankajkumar</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Valand </w:t>
      </w:r>
    </w:p>
    <w:p xmlns:wp14="http://schemas.microsoft.com/office/word/2010/wordml" w:rsidP="7EC9D161" wp14:paraId="72AFCC42" wp14:textId="13BA83E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Student ID: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2421255</w:t>
      </w:r>
    </w:p>
    <w:p xmlns:wp14="http://schemas.microsoft.com/office/word/2010/wordml" w:rsidP="7EC9D161" wp14:paraId="0B3BD205" wp14:textId="22F6CAA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IN"/>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Word Count: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w:t>
      </w:r>
      <w:r w:rsidRPr="7EC9D161" w:rsidR="3E47BF53">
        <w:rPr>
          <w:rFonts w:ascii="Arial" w:hAnsi="Arial" w:eastAsia="Arial" w:cs="Arial"/>
          <w:b w:val="0"/>
          <w:bCs w:val="0"/>
          <w:i w:val="0"/>
          <w:iCs w:val="0"/>
          <w:caps w:val="0"/>
          <w:smallCaps w:val="0"/>
          <w:noProof w:val="0"/>
          <w:color w:val="000000" w:themeColor="text1" w:themeTint="FF" w:themeShade="FF"/>
          <w:sz w:val="24"/>
          <w:szCs w:val="24"/>
          <w:lang w:val="en-IN"/>
        </w:rPr>
        <w:t>2</w:t>
      </w:r>
      <w:r w:rsidRPr="7EC9D161" w:rsidR="3481CBF3">
        <w:rPr>
          <w:rFonts w:ascii="Arial" w:hAnsi="Arial" w:eastAsia="Arial" w:cs="Arial"/>
          <w:b w:val="0"/>
          <w:bCs w:val="0"/>
          <w:i w:val="0"/>
          <w:iCs w:val="0"/>
          <w:caps w:val="0"/>
          <w:smallCaps w:val="0"/>
          <w:noProof w:val="0"/>
          <w:color w:val="000000" w:themeColor="text1" w:themeTint="FF" w:themeShade="FF"/>
          <w:sz w:val="24"/>
          <w:szCs w:val="24"/>
          <w:lang w:val="en-IN"/>
        </w:rPr>
        <w:t xml:space="preserve">553 </w:t>
      </w:r>
    </w:p>
    <w:p xmlns:wp14="http://schemas.microsoft.com/office/word/2010/wordml" w:rsidP="7EC9D161" wp14:paraId="737E9D9D" wp14:textId="29136C9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C9D161" w:rsidR="3C9E3432">
        <w:rPr>
          <w:rFonts w:ascii="Arial" w:hAnsi="Arial" w:eastAsia="Arial" w:cs="Arial"/>
          <w:b w:val="1"/>
          <w:bCs w:val="1"/>
          <w:i w:val="0"/>
          <w:iCs w:val="0"/>
          <w:caps w:val="0"/>
          <w:smallCaps w:val="0"/>
          <w:noProof w:val="0"/>
          <w:color w:val="000000" w:themeColor="text1" w:themeTint="FF" w:themeShade="FF"/>
          <w:sz w:val="24"/>
          <w:szCs w:val="24"/>
          <w:lang w:val="en-IN"/>
        </w:rPr>
        <w:t>Submission Date: -</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7</w:t>
      </w:r>
      <w:r w:rsidRPr="7EC9D161" w:rsidR="3C9E3432">
        <w:rPr>
          <w:rFonts w:ascii="Arial" w:hAnsi="Arial" w:eastAsia="Arial" w:cs="Arial"/>
          <w:b w:val="0"/>
          <w:bCs w:val="0"/>
          <w:i w:val="0"/>
          <w:iCs w:val="0"/>
          <w:caps w:val="0"/>
          <w:smallCaps w:val="0"/>
          <w:noProof w:val="0"/>
          <w:color w:val="000000" w:themeColor="text1" w:themeTint="FF" w:themeShade="FF"/>
          <w:sz w:val="24"/>
          <w:szCs w:val="24"/>
          <w:vertAlign w:val="superscript"/>
          <w:lang w:val="en-IN"/>
        </w:rPr>
        <w:t>th</w:t>
      </w:r>
      <w:r w:rsidRPr="7EC9D161" w:rsidR="3C9E3432">
        <w:rPr>
          <w:rFonts w:ascii="Arial" w:hAnsi="Arial" w:eastAsia="Arial" w:cs="Arial"/>
          <w:b w:val="0"/>
          <w:bCs w:val="0"/>
          <w:i w:val="0"/>
          <w:iCs w:val="0"/>
          <w:caps w:val="0"/>
          <w:smallCaps w:val="0"/>
          <w:noProof w:val="0"/>
          <w:color w:val="000000" w:themeColor="text1" w:themeTint="FF" w:themeShade="FF"/>
          <w:sz w:val="24"/>
          <w:szCs w:val="24"/>
          <w:lang w:val="en-IN"/>
        </w:rPr>
        <w:t xml:space="preserve"> November 2025</w:t>
      </w:r>
      <w:r w:rsidRPr="7EC9D161" w:rsidR="42794F1B">
        <w:rPr>
          <w:rFonts w:ascii="Arial" w:hAnsi="Arial" w:eastAsia="Arial" w:cs="Arial"/>
          <w:b w:val="0"/>
          <w:bCs w:val="0"/>
          <w:i w:val="0"/>
          <w:iCs w:val="0"/>
          <w:caps w:val="0"/>
          <w:smallCaps w:val="0"/>
          <w:noProof w:val="0"/>
          <w:color w:val="000000" w:themeColor="text1" w:themeTint="FF" w:themeShade="FF"/>
          <w:sz w:val="24"/>
          <w:szCs w:val="24"/>
          <w:lang w:val="en-IN"/>
        </w:rPr>
        <w:t xml:space="preserve"> </w:t>
      </w:r>
    </w:p>
    <w:p xmlns:wp14="http://schemas.microsoft.com/office/word/2010/wordml" w:rsidP="5071969F" wp14:paraId="4C98FF66" wp14:textId="79D37F1C">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05858C4" wp14:textId="0A98E2F8">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9347AE4" wp14:textId="2233B723">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13C10A91" wp14:textId="1FBF952C">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7BBC83AC" wp14:textId="1C39EFCA">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6D3C0B39" wp14:textId="772D915D">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AFFD078" wp14:textId="3EA1FDC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071969F" w:rsidR="7D60244D">
        <w:rPr>
          <w:rFonts w:ascii="Arial" w:hAnsi="Arial" w:eastAsia="Arial" w:cs="Arial"/>
          <w:b w:val="1"/>
          <w:bCs w:val="1"/>
          <w:i w:val="0"/>
          <w:iCs w:val="0"/>
          <w:caps w:val="0"/>
          <w:smallCaps w:val="0"/>
          <w:noProof w:val="0"/>
          <w:color w:val="000000" w:themeColor="text1" w:themeTint="FF" w:themeShade="FF"/>
          <w:sz w:val="24"/>
          <w:szCs w:val="24"/>
          <w:lang w:val="en-GB"/>
        </w:rPr>
        <w:t xml:space="preserve">A Comparative Analysis of Customer Loyalty Drivers: </w:t>
      </w:r>
    </w:p>
    <w:p xmlns:wp14="http://schemas.microsoft.com/office/word/2010/wordml" w:rsidP="6BE394AE" wp14:paraId="7C1B0310" wp14:textId="452B43AF">
      <w:pPr>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6BE394AE" w:rsidR="52BFEB45">
        <w:rPr>
          <w:rFonts w:ascii="Arial" w:hAnsi="Arial" w:eastAsia="Arial" w:cs="Arial"/>
          <w:b w:val="1"/>
          <w:bCs w:val="1"/>
          <w:i w:val="0"/>
          <w:iCs w:val="0"/>
          <w:caps w:val="0"/>
          <w:smallCaps w:val="0"/>
          <w:noProof w:val="0"/>
          <w:color w:val="000000" w:themeColor="text1" w:themeTint="FF" w:themeShade="FF"/>
          <w:sz w:val="24"/>
          <w:szCs w:val="24"/>
          <w:lang w:val="en-GB"/>
        </w:rPr>
        <w:t>“</w:t>
      </w:r>
      <w:r w:rsidRPr="6BE394AE" w:rsidR="28DD5A2F">
        <w:rPr>
          <w:rFonts w:ascii="Arial" w:hAnsi="Arial" w:eastAsia="Arial" w:cs="Arial"/>
          <w:b w:val="1"/>
          <w:bCs w:val="1"/>
          <w:i w:val="0"/>
          <w:iCs w:val="0"/>
          <w:caps w:val="0"/>
          <w:smallCaps w:val="0"/>
          <w:noProof w:val="0"/>
          <w:color w:val="000000" w:themeColor="text1" w:themeTint="FF" w:themeShade="FF"/>
          <w:sz w:val="24"/>
          <w:szCs w:val="24"/>
          <w:lang w:val="en-GB"/>
        </w:rPr>
        <w:t>Functional versus Emotional Mechanisms in an Independent UK Off-Licence Store (Guney Food &amp; Wine) and a CO-OP Convenience Retail Chain.</w:t>
      </w:r>
      <w:r w:rsidRPr="6BE394AE" w:rsidR="396ED567">
        <w:rPr>
          <w:rFonts w:ascii="Arial" w:hAnsi="Arial" w:eastAsia="Arial" w:cs="Arial"/>
          <w:b w:val="1"/>
          <w:bCs w:val="1"/>
          <w:i w:val="0"/>
          <w:iCs w:val="0"/>
          <w:caps w:val="0"/>
          <w:smallCaps w:val="0"/>
          <w:noProof w:val="0"/>
          <w:color w:val="000000" w:themeColor="text1" w:themeTint="FF" w:themeShade="FF"/>
          <w:sz w:val="24"/>
          <w:szCs w:val="24"/>
          <w:lang w:val="en-GB"/>
        </w:rPr>
        <w:t>”</w:t>
      </w:r>
    </w:p>
    <w:p xmlns:wp14="http://schemas.microsoft.com/office/word/2010/wordml" w:rsidP="5071969F" wp14:paraId="1735297E" wp14:textId="4566BA3A">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77B432B" wp14:textId="2710F2A1">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68A168E2" wp14:textId="34592DE0">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7E02DED2" wp14:textId="4D4B4841">
      <w:pPr>
        <w:pStyle w:val="Normal"/>
        <w:spacing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5071969F" wp14:paraId="59E97544" wp14:textId="0F3E7B41">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A8BAA20" wp14:textId="339AF21E">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43D504B5" wp14:textId="20281153">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15863240" wp14:textId="282A27E1">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023BB582" wp14:textId="2570CA53">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2F0F5D4D" wp14:textId="02ADDF19">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907D6E2" wp14:textId="63BC79C1">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79C389DC" wp14:textId="16954C20">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38A05B33" wp14:textId="12F22A57">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529E8042" wp14:textId="19E1F2AB">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39852B08" wp14:textId="2726471B">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494F5411" wp14:textId="65D6F82B">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28316C48" wp14:textId="34B14F63">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76679C13" wp14:textId="5DFD6D60">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718F32FC" wp14:textId="34A29993">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5071969F" wp14:paraId="2ACBFC31" wp14:textId="344A6ADF">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sdt>
      <w:sdtPr>
        <w:id w:val="988347459"/>
        <w:docPartObj>
          <w:docPartGallery w:val="Table of Contents"/>
          <w:docPartUnique/>
        </w:docPartObj>
      </w:sdtPr>
      <w:sdtContent>
        <w:p xmlns:wp14="http://schemas.microsoft.com/office/word/2010/wordml" w:rsidP="0DC0BAFD" wp14:paraId="711B14A4" wp14:textId="70CFE408">
          <w:pPr>
            <w:pStyle w:val="TOC1"/>
            <w:tabs>
              <w:tab w:val="right" w:leader="dot" w:pos="9360"/>
            </w:tabs>
            <w:bidi w:val="0"/>
            <w:rPr>
              <w:rStyle w:val="Hyperlink"/>
            </w:rPr>
          </w:pPr>
          <w:r>
            <w:fldChar w:fldCharType="begin"/>
          </w:r>
          <w:r>
            <w:instrText xml:space="preserve">TOC \o "1-9" \z \u \h</w:instrText>
          </w:r>
          <w:r>
            <w:fldChar w:fldCharType="separate"/>
          </w:r>
          <w:hyperlink w:anchor="_Toc1829282574">
            <w:r w:rsidRPr="7EC9D161" w:rsidR="7EC9D161">
              <w:rPr>
                <w:rStyle w:val="Hyperlink"/>
              </w:rPr>
              <w:t>1. Introduction</w:t>
            </w:r>
            <w:r>
              <w:tab/>
            </w:r>
            <w:r>
              <w:fldChar w:fldCharType="begin"/>
            </w:r>
            <w:r>
              <w:instrText xml:space="preserve">PAGEREF _Toc1829282574 \h</w:instrText>
            </w:r>
            <w:r>
              <w:fldChar w:fldCharType="separate"/>
            </w:r>
            <w:r w:rsidRPr="7EC9D161" w:rsidR="7EC9D161">
              <w:rPr>
                <w:rStyle w:val="Hyperlink"/>
              </w:rPr>
              <w:t>3</w:t>
            </w:r>
            <w:r>
              <w:fldChar w:fldCharType="end"/>
            </w:r>
          </w:hyperlink>
        </w:p>
        <w:p xmlns:wp14="http://schemas.microsoft.com/office/word/2010/wordml" w:rsidP="0DC0BAFD" wp14:paraId="7995710A" wp14:textId="1D731DAF">
          <w:pPr>
            <w:pStyle w:val="TOC2"/>
            <w:tabs>
              <w:tab w:val="right" w:leader="dot" w:pos="9360"/>
            </w:tabs>
            <w:bidi w:val="0"/>
            <w:rPr>
              <w:rStyle w:val="Hyperlink"/>
            </w:rPr>
          </w:pPr>
          <w:hyperlink w:anchor="_Toc38474382">
            <w:r w:rsidRPr="7EC9D161" w:rsidR="7EC9D161">
              <w:rPr>
                <w:rStyle w:val="Hyperlink"/>
              </w:rPr>
              <w:t>1.1 Research Background</w:t>
            </w:r>
            <w:r>
              <w:tab/>
            </w:r>
            <w:r>
              <w:fldChar w:fldCharType="begin"/>
            </w:r>
            <w:r>
              <w:instrText xml:space="preserve">PAGEREF _Toc38474382 \h</w:instrText>
            </w:r>
            <w:r>
              <w:fldChar w:fldCharType="separate"/>
            </w:r>
            <w:r w:rsidRPr="7EC9D161" w:rsidR="7EC9D161">
              <w:rPr>
                <w:rStyle w:val="Hyperlink"/>
              </w:rPr>
              <w:t>3</w:t>
            </w:r>
            <w:r>
              <w:fldChar w:fldCharType="end"/>
            </w:r>
          </w:hyperlink>
        </w:p>
        <w:p xmlns:wp14="http://schemas.microsoft.com/office/word/2010/wordml" w:rsidP="0DC0BAFD" wp14:paraId="2517C077" wp14:textId="75BDD887">
          <w:pPr>
            <w:pStyle w:val="TOC2"/>
            <w:tabs>
              <w:tab w:val="right" w:leader="dot" w:pos="9360"/>
            </w:tabs>
            <w:bidi w:val="0"/>
            <w:rPr>
              <w:rStyle w:val="Hyperlink"/>
            </w:rPr>
          </w:pPr>
          <w:hyperlink w:anchor="_Toc1617816398">
            <w:r w:rsidRPr="7EC9D161" w:rsidR="7EC9D161">
              <w:rPr>
                <w:rStyle w:val="Hyperlink"/>
              </w:rPr>
              <w:t>1.2 Problem Statement</w:t>
            </w:r>
            <w:r>
              <w:tab/>
            </w:r>
            <w:r>
              <w:fldChar w:fldCharType="begin"/>
            </w:r>
            <w:r>
              <w:instrText xml:space="preserve">PAGEREF _Toc1617816398 \h</w:instrText>
            </w:r>
            <w:r>
              <w:fldChar w:fldCharType="separate"/>
            </w:r>
            <w:r w:rsidRPr="7EC9D161" w:rsidR="7EC9D161">
              <w:rPr>
                <w:rStyle w:val="Hyperlink"/>
              </w:rPr>
              <w:t>4</w:t>
            </w:r>
            <w:r>
              <w:fldChar w:fldCharType="end"/>
            </w:r>
          </w:hyperlink>
        </w:p>
        <w:p xmlns:wp14="http://schemas.microsoft.com/office/word/2010/wordml" w:rsidP="0DC0BAFD" wp14:paraId="3FE2B606" wp14:textId="53091550">
          <w:pPr>
            <w:pStyle w:val="TOC2"/>
            <w:tabs>
              <w:tab w:val="right" w:leader="dot" w:pos="9360"/>
            </w:tabs>
            <w:bidi w:val="0"/>
            <w:rPr>
              <w:rStyle w:val="Hyperlink"/>
            </w:rPr>
          </w:pPr>
          <w:hyperlink w:anchor="_Toc944677470">
            <w:r w:rsidRPr="7EC9D161" w:rsidR="7EC9D161">
              <w:rPr>
                <w:rStyle w:val="Hyperlink"/>
              </w:rPr>
              <w:t>1.3 Research Aim and Objectives</w:t>
            </w:r>
            <w:r>
              <w:tab/>
            </w:r>
            <w:r>
              <w:fldChar w:fldCharType="begin"/>
            </w:r>
            <w:r>
              <w:instrText xml:space="preserve">PAGEREF _Toc944677470 \h</w:instrText>
            </w:r>
            <w:r>
              <w:fldChar w:fldCharType="separate"/>
            </w:r>
            <w:r w:rsidRPr="7EC9D161" w:rsidR="7EC9D161">
              <w:rPr>
                <w:rStyle w:val="Hyperlink"/>
              </w:rPr>
              <w:t>5</w:t>
            </w:r>
            <w:r>
              <w:fldChar w:fldCharType="end"/>
            </w:r>
          </w:hyperlink>
        </w:p>
        <w:p xmlns:wp14="http://schemas.microsoft.com/office/word/2010/wordml" w:rsidP="0DC0BAFD" wp14:paraId="0CBF58D1" wp14:textId="7C0ACA95">
          <w:pPr>
            <w:pStyle w:val="TOC2"/>
            <w:tabs>
              <w:tab w:val="right" w:leader="dot" w:pos="9360"/>
            </w:tabs>
            <w:bidi w:val="0"/>
            <w:rPr>
              <w:rStyle w:val="Hyperlink"/>
            </w:rPr>
          </w:pPr>
          <w:hyperlink w:anchor="_Toc1981301155">
            <w:r w:rsidRPr="7EC9D161" w:rsidR="7EC9D161">
              <w:rPr>
                <w:rStyle w:val="Hyperlink"/>
              </w:rPr>
              <w:t>1.4 Research Questions</w:t>
            </w:r>
            <w:r>
              <w:tab/>
            </w:r>
            <w:r>
              <w:fldChar w:fldCharType="begin"/>
            </w:r>
            <w:r>
              <w:instrText xml:space="preserve">PAGEREF _Toc1981301155 \h</w:instrText>
            </w:r>
            <w:r>
              <w:fldChar w:fldCharType="separate"/>
            </w:r>
            <w:r w:rsidRPr="7EC9D161" w:rsidR="7EC9D161">
              <w:rPr>
                <w:rStyle w:val="Hyperlink"/>
              </w:rPr>
              <w:t>5</w:t>
            </w:r>
            <w:r>
              <w:fldChar w:fldCharType="end"/>
            </w:r>
          </w:hyperlink>
        </w:p>
        <w:p xmlns:wp14="http://schemas.microsoft.com/office/word/2010/wordml" w:rsidP="0DC0BAFD" wp14:paraId="2118C867" wp14:textId="76A05AE1">
          <w:pPr>
            <w:pStyle w:val="TOC1"/>
            <w:tabs>
              <w:tab w:val="right" w:leader="dot" w:pos="9360"/>
            </w:tabs>
            <w:bidi w:val="0"/>
            <w:rPr>
              <w:rStyle w:val="Hyperlink"/>
            </w:rPr>
          </w:pPr>
          <w:hyperlink w:anchor="_Toc1682753254">
            <w:r w:rsidRPr="7EC9D161" w:rsidR="7EC9D161">
              <w:rPr>
                <w:rStyle w:val="Hyperlink"/>
              </w:rPr>
              <w:t>2. Literature Review</w:t>
            </w:r>
            <w:r>
              <w:tab/>
            </w:r>
            <w:r>
              <w:fldChar w:fldCharType="begin"/>
            </w:r>
            <w:r>
              <w:instrText xml:space="preserve">PAGEREF _Toc1682753254 \h</w:instrText>
            </w:r>
            <w:r>
              <w:fldChar w:fldCharType="separate"/>
            </w:r>
            <w:r w:rsidRPr="7EC9D161" w:rsidR="7EC9D161">
              <w:rPr>
                <w:rStyle w:val="Hyperlink"/>
              </w:rPr>
              <w:t>6</w:t>
            </w:r>
            <w:r>
              <w:fldChar w:fldCharType="end"/>
            </w:r>
          </w:hyperlink>
        </w:p>
        <w:p xmlns:wp14="http://schemas.microsoft.com/office/word/2010/wordml" w:rsidP="0DC0BAFD" wp14:paraId="0674F4F9" wp14:textId="2A667DDF">
          <w:pPr>
            <w:pStyle w:val="TOC2"/>
            <w:tabs>
              <w:tab w:val="right" w:leader="dot" w:pos="9360"/>
            </w:tabs>
            <w:bidi w:val="0"/>
            <w:rPr>
              <w:rStyle w:val="Hyperlink"/>
            </w:rPr>
          </w:pPr>
          <w:hyperlink w:anchor="_Toc699288224">
            <w:r w:rsidRPr="7EC9D161" w:rsidR="7EC9D161">
              <w:rPr>
                <w:rStyle w:val="Hyperlink"/>
              </w:rPr>
              <w:t>2.1 Customer Loyalty: Functional and Emotional Perspectives</w:t>
            </w:r>
            <w:r>
              <w:tab/>
            </w:r>
            <w:r>
              <w:fldChar w:fldCharType="begin"/>
            </w:r>
            <w:r>
              <w:instrText xml:space="preserve">PAGEREF _Toc699288224 \h</w:instrText>
            </w:r>
            <w:r>
              <w:fldChar w:fldCharType="separate"/>
            </w:r>
            <w:r w:rsidRPr="7EC9D161" w:rsidR="7EC9D161">
              <w:rPr>
                <w:rStyle w:val="Hyperlink"/>
              </w:rPr>
              <w:t>6</w:t>
            </w:r>
            <w:r>
              <w:fldChar w:fldCharType="end"/>
            </w:r>
          </w:hyperlink>
        </w:p>
        <w:p xmlns:wp14="http://schemas.microsoft.com/office/word/2010/wordml" w:rsidP="0DC0BAFD" wp14:paraId="1CFAA2A6" wp14:textId="669AF74E">
          <w:pPr>
            <w:pStyle w:val="TOC2"/>
            <w:tabs>
              <w:tab w:val="right" w:leader="dot" w:pos="9360"/>
            </w:tabs>
            <w:bidi w:val="0"/>
            <w:rPr>
              <w:rStyle w:val="Hyperlink"/>
            </w:rPr>
          </w:pPr>
          <w:hyperlink w:anchor="_Toc344808936">
            <w:r w:rsidRPr="7EC9D161" w:rsidR="7EC9D161">
              <w:rPr>
                <w:rStyle w:val="Hyperlink"/>
              </w:rPr>
              <w:t>2.2 Loyalty Drivers in Independent Convenience Retailers</w:t>
            </w:r>
            <w:r>
              <w:tab/>
            </w:r>
            <w:r>
              <w:fldChar w:fldCharType="begin"/>
            </w:r>
            <w:r>
              <w:instrText xml:space="preserve">PAGEREF _Toc344808936 \h</w:instrText>
            </w:r>
            <w:r>
              <w:fldChar w:fldCharType="separate"/>
            </w:r>
            <w:r w:rsidRPr="7EC9D161" w:rsidR="7EC9D161">
              <w:rPr>
                <w:rStyle w:val="Hyperlink"/>
              </w:rPr>
              <w:t>7</w:t>
            </w:r>
            <w:r>
              <w:fldChar w:fldCharType="end"/>
            </w:r>
          </w:hyperlink>
        </w:p>
        <w:p xmlns:wp14="http://schemas.microsoft.com/office/word/2010/wordml" w:rsidP="0DC0BAFD" wp14:paraId="5E1099E2" wp14:textId="5A5C03BC">
          <w:pPr>
            <w:pStyle w:val="TOC2"/>
            <w:tabs>
              <w:tab w:val="right" w:leader="dot" w:pos="9360"/>
            </w:tabs>
            <w:bidi w:val="0"/>
            <w:rPr>
              <w:rStyle w:val="Hyperlink"/>
            </w:rPr>
          </w:pPr>
          <w:hyperlink w:anchor="_Toc1038950430">
            <w:r w:rsidRPr="7EC9D161" w:rsidR="7EC9D161">
              <w:rPr>
                <w:rStyle w:val="Hyperlink"/>
              </w:rPr>
              <w:t>2.3 Loyalty Drivers in Convenience Chains: The CO-OP Context</w:t>
            </w:r>
            <w:r>
              <w:tab/>
            </w:r>
            <w:r>
              <w:fldChar w:fldCharType="begin"/>
            </w:r>
            <w:r>
              <w:instrText xml:space="preserve">PAGEREF _Toc1038950430 \h</w:instrText>
            </w:r>
            <w:r>
              <w:fldChar w:fldCharType="separate"/>
            </w:r>
            <w:r w:rsidRPr="7EC9D161" w:rsidR="7EC9D161">
              <w:rPr>
                <w:rStyle w:val="Hyperlink"/>
              </w:rPr>
              <w:t>7</w:t>
            </w:r>
            <w:r>
              <w:fldChar w:fldCharType="end"/>
            </w:r>
          </w:hyperlink>
        </w:p>
        <w:p xmlns:wp14="http://schemas.microsoft.com/office/word/2010/wordml" w:rsidP="0DC0BAFD" wp14:paraId="454D1B51" wp14:textId="0787616C">
          <w:pPr>
            <w:pStyle w:val="TOC1"/>
            <w:tabs>
              <w:tab w:val="right" w:leader="dot" w:pos="9360"/>
            </w:tabs>
            <w:bidi w:val="0"/>
            <w:rPr>
              <w:rStyle w:val="Hyperlink"/>
            </w:rPr>
          </w:pPr>
          <w:hyperlink w:anchor="_Toc1730929187">
            <w:r w:rsidRPr="7EC9D161" w:rsidR="7EC9D161">
              <w:rPr>
                <w:rStyle w:val="Hyperlink"/>
              </w:rPr>
              <w:t>3. Methodology</w:t>
            </w:r>
            <w:r>
              <w:tab/>
            </w:r>
            <w:r>
              <w:fldChar w:fldCharType="begin"/>
            </w:r>
            <w:r>
              <w:instrText xml:space="preserve">PAGEREF _Toc1730929187 \h</w:instrText>
            </w:r>
            <w:r>
              <w:fldChar w:fldCharType="separate"/>
            </w:r>
            <w:r w:rsidRPr="7EC9D161" w:rsidR="7EC9D161">
              <w:rPr>
                <w:rStyle w:val="Hyperlink"/>
              </w:rPr>
              <w:t>7</w:t>
            </w:r>
            <w:r>
              <w:fldChar w:fldCharType="end"/>
            </w:r>
          </w:hyperlink>
        </w:p>
        <w:p xmlns:wp14="http://schemas.microsoft.com/office/word/2010/wordml" w:rsidP="0DC0BAFD" wp14:paraId="448BAD0F" wp14:textId="23AD82A2">
          <w:pPr>
            <w:pStyle w:val="TOC2"/>
            <w:tabs>
              <w:tab w:val="right" w:leader="dot" w:pos="9360"/>
            </w:tabs>
            <w:bidi w:val="0"/>
            <w:rPr>
              <w:rStyle w:val="Hyperlink"/>
            </w:rPr>
          </w:pPr>
          <w:hyperlink w:anchor="_Toc1831998958">
            <w:r w:rsidRPr="7EC9D161" w:rsidR="7EC9D161">
              <w:rPr>
                <w:rStyle w:val="Hyperlink"/>
              </w:rPr>
              <w:t>3.1 Research Philosophy and Approach</w:t>
            </w:r>
            <w:r>
              <w:tab/>
            </w:r>
            <w:r>
              <w:fldChar w:fldCharType="begin"/>
            </w:r>
            <w:r>
              <w:instrText xml:space="preserve">PAGEREF _Toc1831998958 \h</w:instrText>
            </w:r>
            <w:r>
              <w:fldChar w:fldCharType="separate"/>
            </w:r>
            <w:r w:rsidRPr="7EC9D161" w:rsidR="7EC9D161">
              <w:rPr>
                <w:rStyle w:val="Hyperlink"/>
              </w:rPr>
              <w:t>8</w:t>
            </w:r>
            <w:r>
              <w:fldChar w:fldCharType="end"/>
            </w:r>
          </w:hyperlink>
        </w:p>
        <w:p xmlns:wp14="http://schemas.microsoft.com/office/word/2010/wordml" w:rsidP="0DC0BAFD" wp14:paraId="192B9520" wp14:textId="7C4D7480">
          <w:pPr>
            <w:pStyle w:val="TOC2"/>
            <w:tabs>
              <w:tab w:val="right" w:leader="dot" w:pos="9360"/>
            </w:tabs>
            <w:bidi w:val="0"/>
            <w:rPr>
              <w:rStyle w:val="Hyperlink"/>
            </w:rPr>
          </w:pPr>
          <w:hyperlink w:anchor="_Toc13781734">
            <w:r w:rsidRPr="7EC9D161" w:rsidR="7EC9D161">
              <w:rPr>
                <w:rStyle w:val="Hyperlink"/>
              </w:rPr>
              <w:t>3.2 Research Design and Data Collection</w:t>
            </w:r>
            <w:r>
              <w:tab/>
            </w:r>
            <w:r>
              <w:fldChar w:fldCharType="begin"/>
            </w:r>
            <w:r>
              <w:instrText xml:space="preserve">PAGEREF _Toc13781734 \h</w:instrText>
            </w:r>
            <w:r>
              <w:fldChar w:fldCharType="separate"/>
            </w:r>
            <w:r w:rsidRPr="7EC9D161" w:rsidR="7EC9D161">
              <w:rPr>
                <w:rStyle w:val="Hyperlink"/>
              </w:rPr>
              <w:t>8</w:t>
            </w:r>
            <w:r>
              <w:fldChar w:fldCharType="end"/>
            </w:r>
          </w:hyperlink>
        </w:p>
        <w:p xmlns:wp14="http://schemas.microsoft.com/office/word/2010/wordml" w:rsidP="0DC0BAFD" wp14:paraId="7987CF45" wp14:textId="68B38264">
          <w:pPr>
            <w:pStyle w:val="TOC2"/>
            <w:tabs>
              <w:tab w:val="right" w:leader="dot" w:pos="9360"/>
            </w:tabs>
            <w:bidi w:val="0"/>
            <w:rPr>
              <w:rStyle w:val="Hyperlink"/>
            </w:rPr>
          </w:pPr>
          <w:hyperlink w:anchor="_Toc452737742">
            <w:r w:rsidRPr="7EC9D161" w:rsidR="7EC9D161">
              <w:rPr>
                <w:rStyle w:val="Hyperlink"/>
              </w:rPr>
              <w:t>3.3 Variables and Measurement</w:t>
            </w:r>
            <w:r>
              <w:tab/>
            </w:r>
            <w:r>
              <w:fldChar w:fldCharType="begin"/>
            </w:r>
            <w:r>
              <w:instrText xml:space="preserve">PAGEREF _Toc452737742 \h</w:instrText>
            </w:r>
            <w:r>
              <w:fldChar w:fldCharType="separate"/>
            </w:r>
            <w:r w:rsidRPr="7EC9D161" w:rsidR="7EC9D161">
              <w:rPr>
                <w:rStyle w:val="Hyperlink"/>
              </w:rPr>
              <w:t>10</w:t>
            </w:r>
            <w:r>
              <w:fldChar w:fldCharType="end"/>
            </w:r>
          </w:hyperlink>
        </w:p>
        <w:p xmlns:wp14="http://schemas.microsoft.com/office/word/2010/wordml" w:rsidP="0DC0BAFD" wp14:paraId="2D6175CF" wp14:textId="1332EB5A">
          <w:pPr>
            <w:pStyle w:val="TOC2"/>
            <w:tabs>
              <w:tab w:val="right" w:leader="dot" w:pos="9360"/>
            </w:tabs>
            <w:bidi w:val="0"/>
            <w:rPr>
              <w:rStyle w:val="Hyperlink"/>
            </w:rPr>
          </w:pPr>
          <w:hyperlink w:anchor="_Toc1125234958">
            <w:r w:rsidRPr="7EC9D161" w:rsidR="7EC9D161">
              <w:rPr>
                <w:rStyle w:val="Hyperlink"/>
              </w:rPr>
              <w:t>3.4 Data Analysis</w:t>
            </w:r>
            <w:r>
              <w:tab/>
            </w:r>
            <w:r>
              <w:fldChar w:fldCharType="begin"/>
            </w:r>
            <w:r>
              <w:instrText xml:space="preserve">PAGEREF _Toc1125234958 \h</w:instrText>
            </w:r>
            <w:r>
              <w:fldChar w:fldCharType="separate"/>
            </w:r>
            <w:r w:rsidRPr="7EC9D161" w:rsidR="7EC9D161">
              <w:rPr>
                <w:rStyle w:val="Hyperlink"/>
              </w:rPr>
              <w:t>10</w:t>
            </w:r>
            <w:r>
              <w:fldChar w:fldCharType="end"/>
            </w:r>
          </w:hyperlink>
        </w:p>
        <w:p xmlns:wp14="http://schemas.microsoft.com/office/word/2010/wordml" w:rsidP="0DC0BAFD" wp14:paraId="21D16EEE" wp14:textId="2006F198">
          <w:pPr>
            <w:pStyle w:val="TOC2"/>
            <w:tabs>
              <w:tab w:val="right" w:leader="dot" w:pos="9360"/>
            </w:tabs>
            <w:bidi w:val="0"/>
            <w:rPr>
              <w:rStyle w:val="Hyperlink"/>
            </w:rPr>
          </w:pPr>
          <w:hyperlink w:anchor="_Toc157862872">
            <w:r w:rsidRPr="7EC9D161" w:rsidR="7EC9D161">
              <w:rPr>
                <w:rStyle w:val="Hyperlink"/>
              </w:rPr>
              <w:t>3.5 Ethical Considerations</w:t>
            </w:r>
            <w:r>
              <w:tab/>
            </w:r>
            <w:r>
              <w:fldChar w:fldCharType="begin"/>
            </w:r>
            <w:r>
              <w:instrText xml:space="preserve">PAGEREF _Toc157862872 \h</w:instrText>
            </w:r>
            <w:r>
              <w:fldChar w:fldCharType="separate"/>
            </w:r>
            <w:r w:rsidRPr="7EC9D161" w:rsidR="7EC9D161">
              <w:rPr>
                <w:rStyle w:val="Hyperlink"/>
              </w:rPr>
              <w:t>10</w:t>
            </w:r>
            <w:r>
              <w:fldChar w:fldCharType="end"/>
            </w:r>
          </w:hyperlink>
        </w:p>
        <w:p xmlns:wp14="http://schemas.microsoft.com/office/word/2010/wordml" w:rsidP="0DC0BAFD" wp14:paraId="361FC1F6" wp14:textId="45C9AAEA">
          <w:pPr>
            <w:pStyle w:val="TOC1"/>
            <w:tabs>
              <w:tab w:val="right" w:leader="dot" w:pos="9360"/>
            </w:tabs>
            <w:bidi w:val="0"/>
            <w:rPr>
              <w:rStyle w:val="Hyperlink"/>
            </w:rPr>
          </w:pPr>
          <w:hyperlink w:anchor="_Toc836330651">
            <w:r w:rsidRPr="7EC9D161" w:rsidR="7EC9D161">
              <w:rPr>
                <w:rStyle w:val="Hyperlink"/>
              </w:rPr>
              <w:t>4. Expected Findings</w:t>
            </w:r>
            <w:r>
              <w:tab/>
            </w:r>
            <w:r>
              <w:fldChar w:fldCharType="begin"/>
            </w:r>
            <w:r>
              <w:instrText xml:space="preserve">PAGEREF _Toc836330651 \h</w:instrText>
            </w:r>
            <w:r>
              <w:fldChar w:fldCharType="separate"/>
            </w:r>
            <w:r w:rsidRPr="7EC9D161" w:rsidR="7EC9D161">
              <w:rPr>
                <w:rStyle w:val="Hyperlink"/>
              </w:rPr>
              <w:t>10</w:t>
            </w:r>
            <w:r>
              <w:fldChar w:fldCharType="end"/>
            </w:r>
          </w:hyperlink>
        </w:p>
        <w:p xmlns:wp14="http://schemas.microsoft.com/office/word/2010/wordml" w:rsidP="0DC0BAFD" wp14:paraId="5DA2CB68" wp14:textId="527CB0D7">
          <w:pPr>
            <w:pStyle w:val="TOC1"/>
            <w:tabs>
              <w:tab w:val="right" w:leader="dot" w:pos="9360"/>
            </w:tabs>
            <w:bidi w:val="0"/>
            <w:rPr>
              <w:rStyle w:val="Hyperlink"/>
            </w:rPr>
          </w:pPr>
          <w:hyperlink w:anchor="_Toc1843300805">
            <w:r w:rsidRPr="7EC9D161" w:rsidR="7EC9D161">
              <w:rPr>
                <w:rStyle w:val="Hyperlink"/>
              </w:rPr>
              <w:t>5. Limitations</w:t>
            </w:r>
            <w:r>
              <w:tab/>
            </w:r>
            <w:r>
              <w:fldChar w:fldCharType="begin"/>
            </w:r>
            <w:r>
              <w:instrText xml:space="preserve">PAGEREF _Toc1843300805 \h</w:instrText>
            </w:r>
            <w:r>
              <w:fldChar w:fldCharType="separate"/>
            </w:r>
            <w:r w:rsidRPr="7EC9D161" w:rsidR="7EC9D161">
              <w:rPr>
                <w:rStyle w:val="Hyperlink"/>
              </w:rPr>
              <w:t>11</w:t>
            </w:r>
            <w:r>
              <w:fldChar w:fldCharType="end"/>
            </w:r>
          </w:hyperlink>
        </w:p>
        <w:p xmlns:wp14="http://schemas.microsoft.com/office/word/2010/wordml" w:rsidP="0DC0BAFD" wp14:paraId="23A9B519" wp14:textId="4918598B">
          <w:pPr>
            <w:pStyle w:val="TOC1"/>
            <w:tabs>
              <w:tab w:val="right" w:leader="dot" w:pos="9360"/>
            </w:tabs>
            <w:bidi w:val="0"/>
            <w:rPr>
              <w:rStyle w:val="Hyperlink"/>
            </w:rPr>
          </w:pPr>
          <w:hyperlink w:anchor="_Toc1543512142">
            <w:r w:rsidRPr="7EC9D161" w:rsidR="7EC9D161">
              <w:rPr>
                <w:rStyle w:val="Hyperlink"/>
              </w:rPr>
              <w:t>6. Timeframe (Gantt Chart Indicative)</w:t>
            </w:r>
            <w:r>
              <w:tab/>
            </w:r>
            <w:r>
              <w:fldChar w:fldCharType="begin"/>
            </w:r>
            <w:r>
              <w:instrText xml:space="preserve">PAGEREF _Toc1543512142 \h</w:instrText>
            </w:r>
            <w:r>
              <w:fldChar w:fldCharType="separate"/>
            </w:r>
            <w:r w:rsidRPr="7EC9D161" w:rsidR="7EC9D161">
              <w:rPr>
                <w:rStyle w:val="Hyperlink"/>
              </w:rPr>
              <w:t>12</w:t>
            </w:r>
            <w:r>
              <w:fldChar w:fldCharType="end"/>
            </w:r>
          </w:hyperlink>
        </w:p>
        <w:p xmlns:wp14="http://schemas.microsoft.com/office/word/2010/wordml" w:rsidP="0DC0BAFD" wp14:paraId="2E17E6C9" wp14:textId="4084A886">
          <w:pPr>
            <w:pStyle w:val="TOC1"/>
            <w:tabs>
              <w:tab w:val="right" w:leader="dot" w:pos="9360"/>
            </w:tabs>
            <w:bidi w:val="0"/>
            <w:rPr>
              <w:rStyle w:val="Hyperlink"/>
            </w:rPr>
          </w:pPr>
          <w:hyperlink w:anchor="_Toc1926109470">
            <w:r w:rsidRPr="7EC9D161" w:rsidR="7EC9D161">
              <w:rPr>
                <w:rStyle w:val="Hyperlink"/>
              </w:rPr>
              <w:t>7. Conclusion</w:t>
            </w:r>
            <w:r>
              <w:tab/>
            </w:r>
            <w:r>
              <w:fldChar w:fldCharType="begin"/>
            </w:r>
            <w:r>
              <w:instrText xml:space="preserve">PAGEREF _Toc1926109470 \h</w:instrText>
            </w:r>
            <w:r>
              <w:fldChar w:fldCharType="separate"/>
            </w:r>
            <w:r w:rsidRPr="7EC9D161" w:rsidR="7EC9D161">
              <w:rPr>
                <w:rStyle w:val="Hyperlink"/>
              </w:rPr>
              <w:t>13</w:t>
            </w:r>
            <w:r>
              <w:fldChar w:fldCharType="end"/>
            </w:r>
          </w:hyperlink>
        </w:p>
        <w:p xmlns:wp14="http://schemas.microsoft.com/office/word/2010/wordml" w:rsidP="296C17B9" wp14:paraId="3DFFD1EB" wp14:textId="39D0303F">
          <w:pPr>
            <w:pStyle w:val="TOC1"/>
            <w:tabs>
              <w:tab w:val="right" w:leader="dot" w:pos="9360"/>
            </w:tabs>
            <w:spacing w:line="360" w:lineRule="auto"/>
            <w:ind/>
            <w:rPr>
              <w:rStyle w:val="Hyperlink"/>
              <w:noProof w:val="0"/>
              <w:lang w:val="en-GB"/>
            </w:rPr>
          </w:pPr>
          <w:hyperlink w:anchor="_Toc1061812864">
            <w:r w:rsidRPr="7EC9D161" w:rsidR="7EC9D161">
              <w:rPr>
                <w:rStyle w:val="Hyperlink"/>
              </w:rPr>
              <w:t>8. References</w:t>
            </w:r>
            <w:r>
              <w:tab/>
            </w:r>
            <w:r>
              <w:fldChar w:fldCharType="begin"/>
            </w:r>
            <w:r>
              <w:instrText xml:space="preserve">PAGEREF _Toc1061812864 \h</w:instrText>
            </w:r>
            <w:r>
              <w:fldChar w:fldCharType="separate"/>
            </w:r>
            <w:r w:rsidRPr="7EC9D161" w:rsidR="7EC9D161">
              <w:rPr>
                <w:rStyle w:val="Hyperlink"/>
              </w:rPr>
              <w:t>13</w:t>
            </w:r>
            <w:r>
              <w:fldChar w:fldCharType="end"/>
            </w:r>
          </w:hyperlink>
          <w:r>
            <w:fldChar w:fldCharType="end"/>
          </w:r>
        </w:p>
      </w:sdtContent>
    </w:sdt>
    <w:p w:rsidR="296C17B9" w:rsidP="6BE394AE" w:rsidRDefault="296C17B9" w14:paraId="61425466" w14:textId="7FB9D1B1">
      <w:pPr>
        <w:pStyle w:val="Heading1"/>
        <w:spacing w:line="360" w:lineRule="auto"/>
        <w:ind w:left="0"/>
        <w:jc w:val="both"/>
        <w:rPr>
          <w:rFonts w:ascii="Arial" w:hAnsi="Arial" w:eastAsia="Arial" w:cs="Arial" w:asciiTheme="minorAscii" w:hAnsiTheme="minorAscii" w:eastAsiaTheme="minorAscii" w:cstheme="minorAscii"/>
          <w:noProof w:val="0"/>
          <w:lang w:val="en-GB"/>
        </w:rPr>
      </w:pPr>
    </w:p>
    <w:p xmlns:wp14="http://schemas.microsoft.com/office/word/2010/wordml" w:rsidP="7EC9D161" wp14:paraId="2191FFD2" wp14:textId="71D387AF">
      <w:pPr>
        <w:pStyle w:val="Heading1"/>
        <w:spacing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bookmarkStart w:name="_Toc1829282574" w:id="701768573"/>
      <w:r w:rsidRPr="7EC9D161" w:rsidR="09713AB8">
        <w:rPr>
          <w:noProof w:val="0"/>
          <w:lang w:val="en-GB"/>
        </w:rPr>
        <w:t>1. Introduction</w:t>
      </w:r>
      <w:bookmarkEnd w:id="701768573"/>
    </w:p>
    <w:p xmlns:wp14="http://schemas.microsoft.com/office/word/2010/wordml" w:rsidP="7EC9D161" wp14:paraId="5348AAD4" wp14:textId="5E389285">
      <w:pPr>
        <w:pStyle w:val="Heading2"/>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bookmarkStart w:name="_Toc38474382" w:id="1162279390"/>
      <w:r w:rsidRPr="7EC9D161" w:rsidR="09713AB8">
        <w:rPr>
          <w:noProof w:val="0"/>
          <w:lang w:val="en-GB"/>
        </w:rPr>
        <w:t>1.1 Research Background</w:t>
      </w:r>
      <w:bookmarkEnd w:id="1162279390"/>
    </w:p>
    <w:p xmlns:wp14="http://schemas.microsoft.com/office/word/2010/wordml" w:rsidP="5071969F" wp14:paraId="292ECEC5" wp14:textId="06DD7C7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The UK convenience retail sector is characterized by sustained competitive intensity and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represents</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a significant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of the high-street economy. Beyond satisfying consumers’ routine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purchasing</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requirements, convenience retailers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operate</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as social touchpoints within local communities, particularly in urban and suburban environments (Euromonitor, 2023; Mintel, 2024). The sector encompasses a wide spectrum of retail formats, ranging from independently owned convenience stores to large national chains, each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exhibiting</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distinct strategic orientations, resource endowments, and competitive capabilities (Grewal et al., 2020).</w:t>
      </w:r>
    </w:p>
    <w:p xmlns:wp14="http://schemas.microsoft.com/office/word/2010/wordml" w:rsidP="0A8AACFA" wp14:paraId="1F3489BF" wp14:textId="6020D98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Independent convenience retailers, such as Guney Food &amp; Wine, commonly depend on </w:t>
      </w:r>
      <w:r w:rsidRPr="0A8AACFA" w:rsidR="3630255C">
        <w:rPr>
          <w:rFonts w:ascii="Arial" w:hAnsi="Arial" w:eastAsia="Arial" w:cs="Arial"/>
          <w:b w:val="0"/>
          <w:bCs w:val="0"/>
          <w:i w:val="0"/>
          <w:iCs w:val="0"/>
          <w:caps w:val="0"/>
          <w:smallCaps w:val="0"/>
          <w:noProof w:val="0"/>
          <w:color w:val="000000" w:themeColor="text1" w:themeTint="FF" w:themeShade="FF"/>
          <w:sz w:val="24"/>
          <w:szCs w:val="24"/>
          <w:lang w:val="en-US"/>
        </w:rPr>
        <w:t>personalized</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service provision, close interpersonal relationships, and strong local embeddedness to encourage repeat patronage. Frequent staff–customer interactions can cultivate familiarity and trust, thereby </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facilitating</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emotionally driven forms of customer loyalty. By contrast, chain retailers typically compete through economies of scale, </w:t>
      </w:r>
      <w:r w:rsidRPr="0A8AACFA" w:rsidR="0DEC95DE">
        <w:rPr>
          <w:rFonts w:ascii="Arial" w:hAnsi="Arial" w:eastAsia="Arial" w:cs="Arial"/>
          <w:b w:val="0"/>
          <w:bCs w:val="0"/>
          <w:i w:val="0"/>
          <w:iCs w:val="0"/>
          <w:caps w:val="0"/>
          <w:smallCaps w:val="0"/>
          <w:noProof w:val="0"/>
          <w:color w:val="000000" w:themeColor="text1" w:themeTint="FF" w:themeShade="FF"/>
          <w:sz w:val="24"/>
          <w:szCs w:val="24"/>
          <w:lang w:val="en-US"/>
        </w:rPr>
        <w:t>standardized</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assortments, extended opening hours, and </w:t>
      </w:r>
      <w:r w:rsidRPr="0A8AACFA" w:rsidR="5BD936E9">
        <w:rPr>
          <w:rFonts w:ascii="Arial" w:hAnsi="Arial" w:eastAsia="Arial" w:cs="Arial"/>
          <w:b w:val="0"/>
          <w:bCs w:val="0"/>
          <w:i w:val="0"/>
          <w:iCs w:val="0"/>
          <w:caps w:val="0"/>
          <w:smallCaps w:val="0"/>
          <w:noProof w:val="0"/>
          <w:color w:val="000000" w:themeColor="text1" w:themeTint="FF" w:themeShade="FF"/>
          <w:sz w:val="24"/>
          <w:szCs w:val="24"/>
          <w:lang w:val="en-US"/>
        </w:rPr>
        <w:t>formalized</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loyalty </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programmes</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designed to stimulate repeat </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purchasing</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A8AACFA" w:rsidR="2364674F">
        <w:rPr>
          <w:rFonts w:ascii="Arial" w:hAnsi="Arial" w:eastAsia="Arial" w:cs="Arial"/>
          <w:b w:val="0"/>
          <w:bCs w:val="0"/>
          <w:i w:val="0"/>
          <w:iCs w:val="0"/>
          <w:caps w:val="0"/>
          <w:smallCaps w:val="0"/>
          <w:noProof w:val="0"/>
          <w:color w:val="000000" w:themeColor="text1" w:themeTint="FF" w:themeShade="FF"/>
          <w:sz w:val="24"/>
          <w:szCs w:val="24"/>
          <w:lang w:val="en-US"/>
        </w:rPr>
        <w:t>behavior</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(Jones, </w:t>
      </w:r>
      <w:r w:rsidRPr="0A8AACFA" w:rsidR="7A3AF3DE">
        <w:rPr>
          <w:rFonts w:ascii="Arial" w:hAnsi="Arial" w:eastAsia="Arial" w:cs="Arial"/>
          <w:b w:val="0"/>
          <w:bCs w:val="0"/>
          <w:i w:val="0"/>
          <w:iCs w:val="0"/>
          <w:caps w:val="0"/>
          <w:smallCaps w:val="0"/>
          <w:noProof w:val="0"/>
          <w:color w:val="000000" w:themeColor="text1" w:themeTint="FF" w:themeShade="FF"/>
          <w:sz w:val="24"/>
          <w:szCs w:val="24"/>
          <w:lang w:val="en-US"/>
        </w:rPr>
        <w:t>Comfort,</w:t>
      </w:r>
      <w:r w:rsidRPr="0A8AACFA"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and Hillier, 2021).</w:t>
      </w:r>
    </w:p>
    <w:p xmlns:wp14="http://schemas.microsoft.com/office/word/2010/wordml" w:rsidP="5071969F" wp14:paraId="5FB20A3D" wp14:textId="3D91D5A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Within this competitive context, the Co-operative Group (CO-OP) occupies a distinctive market position due to its member-owned governance structure and ethical orientation. This cooperative model has the potential to generate functional loyalty through pricing incentives and membership benefits, while concurrently fostering emotional or value-based loyalty through alignment with ethical principles and community reinvestment initiatives (Co-operatives UK, 2024). Given increasing price sensitivity, regulatory oversight, and competitive pressure within the UK convenience retail market, understanding the mechanisms through which customer loyalty is formed and sustained across contrasting retail formats is of considerable strategic and academic relevance (Competition and Markets Authority, 2023).</w:t>
      </w:r>
    </w:p>
    <w:p xmlns:wp14="http://schemas.microsoft.com/office/word/2010/wordml" w:rsidP="5071969F" wp14:paraId="5E995AB5" wp14:textId="258CB4F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Accordingly</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this study employs a quantitative research approach to examine and compare the relative influence of functional and emotional customer loyalty drivers within an independent convenience retailer and a CO-OP convenience retail chain </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operating</w:t>
      </w:r>
      <w:r w:rsidRPr="5071969F" w:rsidR="7F20EEB9">
        <w:rPr>
          <w:rFonts w:ascii="Arial" w:hAnsi="Arial" w:eastAsia="Arial" w:cs="Arial"/>
          <w:b w:val="0"/>
          <w:bCs w:val="0"/>
          <w:i w:val="0"/>
          <w:iCs w:val="0"/>
          <w:caps w:val="0"/>
          <w:smallCaps w:val="0"/>
          <w:noProof w:val="0"/>
          <w:color w:val="000000" w:themeColor="text1" w:themeTint="FF" w:themeShade="FF"/>
          <w:sz w:val="24"/>
          <w:szCs w:val="24"/>
          <w:lang w:val="en-US"/>
        </w:rPr>
        <w:t xml:space="preserve"> within the same local context.</w:t>
      </w:r>
    </w:p>
    <w:p xmlns:wp14="http://schemas.microsoft.com/office/word/2010/wordml" w:rsidP="5071969F" wp14:paraId="68B75E30" wp14:textId="4C6FB1EE">
      <w:pPr>
        <w:pStyle w:val="Heading2"/>
        <w:spacing w:line="360" w:lineRule="auto"/>
        <w:jc w:val="both"/>
        <w:rPr>
          <w:rFonts w:ascii="Arial" w:hAnsi="Arial" w:eastAsia="Arial" w:cs="Arial" w:asciiTheme="minorAscii" w:hAnsiTheme="minorAscii" w:eastAsiaTheme="minorAscii" w:cstheme="minorAscii"/>
          <w:noProof w:val="0"/>
          <w:sz w:val="24"/>
          <w:szCs w:val="24"/>
          <w:lang w:val="en-GB"/>
        </w:rPr>
      </w:pPr>
      <w:bookmarkStart w:name="_Toc1617816398" w:id="1995334823"/>
      <w:r w:rsidRPr="7EC9D161" w:rsidR="3C2D2A50">
        <w:rPr>
          <w:noProof w:val="0"/>
          <w:lang w:val="en-GB"/>
        </w:rPr>
        <w:t>1.2 Problem Statement</w:t>
      </w:r>
      <w:bookmarkEnd w:id="1995334823"/>
    </w:p>
    <w:p xmlns:wp14="http://schemas.microsoft.com/office/word/2010/wordml" w:rsidP="5071969F" wp14:paraId="79FD7966" wp14:textId="580E6CF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Customer loyalty has been extensively examined within marketing and retail </w:t>
      </w:r>
      <w:r w:rsidRPr="5071969F" w:rsidR="48AA36B9">
        <w:rPr>
          <w:rFonts w:ascii="Arial" w:hAnsi="Arial" w:eastAsia="Arial" w:cs="Arial"/>
          <w:b w:val="0"/>
          <w:bCs w:val="0"/>
          <w:i w:val="0"/>
          <w:iCs w:val="0"/>
          <w:caps w:val="0"/>
          <w:smallCaps w:val="0"/>
          <w:noProof w:val="0"/>
          <w:color w:val="000000" w:themeColor="text1" w:themeTint="FF" w:themeShade="FF"/>
          <w:sz w:val="24"/>
          <w:szCs w:val="24"/>
          <w:lang w:val="en-US"/>
        </w:rPr>
        <w:t>scholarships</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with prior research consistently </w:t>
      </w:r>
      <w:r w:rsidRPr="5071969F" w:rsidR="53F08D33">
        <w:rPr>
          <w:rFonts w:ascii="Arial" w:hAnsi="Arial" w:eastAsia="Arial" w:cs="Arial"/>
          <w:b w:val="0"/>
          <w:bCs w:val="0"/>
          <w:i w:val="0"/>
          <w:iCs w:val="0"/>
          <w:caps w:val="0"/>
          <w:smallCaps w:val="0"/>
          <w:noProof w:val="0"/>
          <w:color w:val="000000" w:themeColor="text1" w:themeTint="FF" w:themeShade="FF"/>
          <w:sz w:val="24"/>
          <w:szCs w:val="24"/>
          <w:lang w:val="en-US"/>
        </w:rPr>
        <w:t>emphasizing</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its importance for long-term profitability, customer retention, and sustainable competitive advantage. However, a substantial proportion of existing empirical studies </w:t>
      </w:r>
      <w:r w:rsidRPr="5071969F" w:rsidR="0C98C9DD">
        <w:rPr>
          <w:rFonts w:ascii="Arial" w:hAnsi="Arial" w:eastAsia="Arial" w:cs="Arial"/>
          <w:b w:val="0"/>
          <w:bCs w:val="0"/>
          <w:i w:val="0"/>
          <w:iCs w:val="0"/>
          <w:caps w:val="0"/>
          <w:smallCaps w:val="0"/>
          <w:noProof w:val="0"/>
          <w:color w:val="000000" w:themeColor="text1" w:themeTint="FF" w:themeShade="FF"/>
          <w:sz w:val="24"/>
          <w:szCs w:val="24"/>
          <w:lang w:val="en-US"/>
        </w:rPr>
        <w:t>have</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focused on large supermarket chains or broadly defined retail categories, often neglecting the specific characteristics and competitive dynamics of the </w:t>
      </w:r>
      <w:r w:rsidRPr="5071969F" w:rsidR="68D8ADC1">
        <w:rPr>
          <w:rFonts w:ascii="Arial" w:hAnsi="Arial" w:eastAsia="Arial" w:cs="Arial"/>
          <w:b w:val="0"/>
          <w:bCs w:val="0"/>
          <w:i w:val="0"/>
          <w:iCs w:val="0"/>
          <w:caps w:val="0"/>
          <w:smallCaps w:val="0"/>
          <w:noProof w:val="0"/>
          <w:color w:val="000000" w:themeColor="text1" w:themeTint="FF" w:themeShade="FF"/>
          <w:sz w:val="24"/>
          <w:szCs w:val="24"/>
          <w:lang w:val="en-US"/>
        </w:rPr>
        <w:t>convenience of</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071969F" w:rsidR="08B3B31E">
        <w:rPr>
          <w:rFonts w:ascii="Arial" w:hAnsi="Arial" w:eastAsia="Arial" w:cs="Arial"/>
          <w:b w:val="0"/>
          <w:bCs w:val="0"/>
          <w:i w:val="0"/>
          <w:iCs w:val="0"/>
          <w:caps w:val="0"/>
          <w:smallCaps w:val="0"/>
          <w:noProof w:val="0"/>
          <w:color w:val="000000" w:themeColor="text1" w:themeTint="FF" w:themeShade="FF"/>
          <w:sz w:val="24"/>
          <w:szCs w:val="24"/>
          <w:lang w:val="en-US"/>
        </w:rPr>
        <w:t>the retail</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sector. Moreover, direct quantitative comparisons between independent convenience retailers and cooperative chain models </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operating</w:t>
      </w:r>
      <w:r w:rsidRPr="5071969F"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within the same geographical context remain limited (Lee, 2022).</w:t>
      </w:r>
    </w:p>
    <w:p xmlns:wp14="http://schemas.microsoft.com/office/word/2010/wordml" w:rsidP="0A8AACFA" wp14:paraId="554057D2" wp14:textId="12F1313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This absence of comparative empirical evidence restricts managerial understanding of whether customer loyalty in independent retail contexts is driven primarily by emotional mechanisms</w:t>
      </w:r>
      <w:r w:rsidRPr="0A8AACFA" w:rsidR="41C0A37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such as trust, interpersonal relationships, and community attachment</w:t>
      </w:r>
      <w:r w:rsidRPr="0A8AACFA" w:rsidR="7EA48EB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or whether functional mechanisms</w:t>
      </w:r>
      <w:r w:rsidRPr="0A8AACFA" w:rsidR="556BA7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such as price competitiveness, convenience, and structured loyalty </w:t>
      </w:r>
      <w:r w:rsidRPr="0A8AACFA" w:rsidR="4FE57C50">
        <w:rPr>
          <w:rFonts w:ascii="Arial" w:hAnsi="Arial" w:eastAsia="Arial" w:cs="Arial"/>
          <w:b w:val="0"/>
          <w:bCs w:val="0"/>
          <w:i w:val="0"/>
          <w:iCs w:val="0"/>
          <w:caps w:val="0"/>
          <w:smallCaps w:val="0"/>
          <w:noProof w:val="0"/>
          <w:color w:val="000000" w:themeColor="text1" w:themeTint="FF" w:themeShade="FF"/>
          <w:sz w:val="24"/>
          <w:szCs w:val="24"/>
          <w:lang w:val="en-US"/>
        </w:rPr>
        <w:t>programmers</w:t>
      </w:r>
      <w:r w:rsidRPr="0A8AACFA" w:rsidR="5AEA6C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exert a stronger influence within chain formats such as the CO-OP (Dick and Basu, 1994; Oliver, 1999). Addressing this gap is particularly pertinent for retailers </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seeking</w:t>
      </w:r>
      <w:r w:rsidRPr="0A8AACFA" w:rsidR="5227BBE0">
        <w:rPr>
          <w:rFonts w:ascii="Arial" w:hAnsi="Arial" w:eastAsia="Arial" w:cs="Arial"/>
          <w:b w:val="0"/>
          <w:bCs w:val="0"/>
          <w:i w:val="0"/>
          <w:iCs w:val="0"/>
          <w:caps w:val="0"/>
          <w:smallCaps w:val="0"/>
          <w:noProof w:val="0"/>
          <w:color w:val="000000" w:themeColor="text1" w:themeTint="FF" w:themeShade="FF"/>
          <w:sz w:val="24"/>
          <w:szCs w:val="24"/>
          <w:lang w:val="en-US"/>
        </w:rPr>
        <w:t xml:space="preserve"> to design effective, context-specific customer retention strategies within an increasingly competitive retail environment.</w:t>
      </w:r>
    </w:p>
    <w:p w:rsidR="43FF4932" w:rsidP="08025779" w:rsidRDefault="43FF4932" w14:paraId="14C4CFF3" w14:textId="125DC093">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US"/>
        </w:rPr>
      </w:pP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Empirical evidence in the literature of the past has been able to comprehensively investigate customer loyalty in large supermarket chains and small independent retail settings; however, an important empirical gap remains in the quantitative and comparative analysis of functional and affective loyalty determinants in independent convenience retailers and cooperative retail chains that share the common geographical location.</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In particular, the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previous</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research has mostly focused on discrete retailing forms, category-wide research, or qualitative research, thus limiting the direct comparison of loyalty processes between divergent convenience retail models.</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As a result, there is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an apparent</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gap in the literature of UK convenience retail.</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The current study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attempts</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to address this gap by adopting a quantitative comparative study design to evaluate the comparative effects of functional and emotional loyalty drivers in an independent </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off-licence</w:t>
      </w:r>
      <w:r w:rsidRPr="08025779" w:rsidR="43FF493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store and an independent CO-OP convenience retail chain.</w:t>
      </w:r>
    </w:p>
    <w:p xmlns:wp14="http://schemas.microsoft.com/office/word/2010/wordml" w:rsidP="7EC9D161" wp14:paraId="2F59B379" wp14:textId="07EEF810">
      <w:pPr>
        <w:pStyle w:val="Heading2"/>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944677470" w:id="534437539"/>
      <w:r w:rsidRPr="7EC9D161" w:rsidR="3C2D2A50">
        <w:rPr>
          <w:noProof w:val="0"/>
          <w:lang w:val="en-GB"/>
        </w:rPr>
        <w:t>1.3 Research Aim and Objectives</w:t>
      </w:r>
      <w:bookmarkEnd w:id="534437539"/>
    </w:p>
    <w:p xmlns:wp14="http://schemas.microsoft.com/office/word/2010/wordml" w:rsidP="5071969F" wp14:paraId="57AF1FD5" wp14:textId="4CADDA5F">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Research Aim </w:t>
      </w:r>
    </w:p>
    <w:p xmlns:wp14="http://schemas.microsoft.com/office/word/2010/wordml" w:rsidP="5071969F" wp14:paraId="5141AF1D" wp14:textId="2E80F87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have a comparative analysis of the customer loyalty drivers, namely the discussion of the functional and emotional mechanisms, in the independent UK off-licence store (Guney Food &amp; Wine) and in a CO-OP convenience retail chain.</w:t>
      </w:r>
    </w:p>
    <w:p xmlns:wp14="http://schemas.microsoft.com/office/word/2010/wordml" w:rsidP="5071969F" wp14:paraId="504E0ED1" wp14:textId="0F9E6DE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Research Objectives </w:t>
      </w:r>
    </w:p>
    <w:p xmlns:wp14="http://schemas.microsoft.com/office/word/2010/wordml" w:rsidP="5071969F" wp14:paraId="1E396F13" wp14:textId="53321E37">
      <w:pPr>
        <w:pStyle w:val="ListParagraph"/>
        <w:numPr>
          <w:ilvl w:val="0"/>
          <w:numId w:val="2"/>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key </w:t>
      </w: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functional and emotional factors</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influencing customer loyalty at Guney Food &amp; Wine.</w:t>
      </w:r>
    </w:p>
    <w:p xmlns:wp14="http://schemas.microsoft.com/office/word/2010/wordml" w:rsidP="5071969F" wp14:paraId="2BB01C9D" wp14:textId="2039B96B">
      <w:pPr>
        <w:pStyle w:val="ListParagraph"/>
        <w:numPr>
          <w:ilvl w:val="0"/>
          <w:numId w:val="2"/>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key </w:t>
      </w: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functional and emotional factors</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influencing customer loyalty at a selected CO-OP convenience retail branch.</w:t>
      </w:r>
    </w:p>
    <w:p xmlns:wp14="http://schemas.microsoft.com/office/word/2010/wordml" w:rsidP="5071969F" wp14:paraId="084C805D" wp14:textId="2243AF8E">
      <w:pPr>
        <w:pStyle w:val="ListParagraph"/>
        <w:numPr>
          <w:ilvl w:val="0"/>
          <w:numId w:val="2"/>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quantitatively compare</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relative strength of </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identified</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loyalty drivers between the independent retailer and the CO-OP chain.</w:t>
      </w:r>
    </w:p>
    <w:p xmlns:wp14="http://schemas.microsoft.com/office/word/2010/wordml" w:rsidP="5071969F" wp14:paraId="63CA201F" wp14:textId="17C5486E">
      <w:pPr>
        <w:pStyle w:val="ListParagraph"/>
        <w:numPr>
          <w:ilvl w:val="0"/>
          <w:numId w:val="2"/>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develop </w:t>
      </w: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evidence-based strategic recommendations</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improving customer loyalty for both retail formats.</w:t>
      </w:r>
    </w:p>
    <w:p xmlns:wp14="http://schemas.microsoft.com/office/word/2010/wordml" w:rsidP="7EC9D161" wp14:paraId="50AE23F1" wp14:textId="1A162917">
      <w:pPr>
        <w:pStyle w:val="Heading2"/>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981301155" w:id="1628245265"/>
      <w:r w:rsidRPr="7EC9D161" w:rsidR="3C2D2A50">
        <w:rPr>
          <w:noProof w:val="0"/>
          <w:lang w:val="en-GB"/>
        </w:rPr>
        <w:t>1.4 Research Questions</w:t>
      </w:r>
      <w:bookmarkEnd w:id="1628245265"/>
      <w:r w:rsidRPr="7EC9D161" w:rsidR="3C2D2A50">
        <w:rPr>
          <w:noProof w:val="0"/>
          <w:lang w:val="en-GB"/>
        </w:rPr>
        <w:t xml:space="preserve"> </w:t>
      </w:r>
    </w:p>
    <w:p xmlns:wp14="http://schemas.microsoft.com/office/word/2010/wordml" w:rsidP="5071969F" wp14:paraId="06A5150F" wp14:textId="24806E01">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RQ1:</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functional and emotional factors influence customer loyalty at Guney Food &amp; Wine?</w:t>
      </w:r>
    </w:p>
    <w:p xmlns:wp14="http://schemas.microsoft.com/office/word/2010/wordml" w:rsidP="5071969F" wp14:paraId="10A86CD4" wp14:textId="5A179735">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RQ2:</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functional and emotional factors influence customer loyalty at a CO-OP convenience retail chain?</w:t>
      </w:r>
    </w:p>
    <w:p xmlns:wp14="http://schemas.microsoft.com/office/word/2010/wordml" w:rsidP="5071969F" wp14:paraId="503AE104" wp14:textId="2E74AF41">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RQ3:</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there statistically significant differences in the relative importance of customer loyalty drivers between Guney Food &amp; Wine and the CO-OP?</w:t>
      </w:r>
    </w:p>
    <w:p xmlns:wp14="http://schemas.microsoft.com/office/word/2010/wordml" w:rsidP="5071969F" wp14:paraId="1D87D88F" wp14:textId="5BDE5DAF">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3C2D2A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RQ4:</w:t>
      </w:r>
      <w:r w:rsidRPr="5071969F" w:rsidR="3C2D2A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strategic recommendations can be derived from the findings to enhance customer retention for independent and chain convenience retailers?</w:t>
      </w:r>
    </w:p>
    <w:p xmlns:wp14="http://schemas.microsoft.com/office/word/2010/wordml" w:rsidP="5071969F" wp14:paraId="06427D59" wp14:textId="2179CF70">
      <w:pPr>
        <w:pStyle w:val="Heading1"/>
        <w:spacing w:line="360" w:lineRule="auto"/>
        <w:jc w:val="both"/>
        <w:rPr>
          <w:rFonts w:ascii="Arial" w:hAnsi="Arial" w:eastAsia="Arial" w:cs="Arial" w:asciiTheme="minorAscii" w:hAnsiTheme="minorAscii" w:eastAsiaTheme="minorAscii" w:cstheme="minorAscii"/>
          <w:noProof w:val="0"/>
          <w:sz w:val="24"/>
          <w:szCs w:val="24"/>
          <w:lang w:val="en-GB"/>
        </w:rPr>
      </w:pPr>
      <w:bookmarkStart w:name="_Toc1682753254" w:id="33957135"/>
      <w:r w:rsidRPr="7EC9D161" w:rsidR="3C2D2A50">
        <w:rPr>
          <w:noProof w:val="0"/>
          <w:lang w:val="en-GB"/>
        </w:rPr>
        <w:t>2. Literature Review</w:t>
      </w:r>
      <w:bookmarkEnd w:id="33957135"/>
    </w:p>
    <w:p xmlns:wp14="http://schemas.microsoft.com/office/word/2010/wordml" w:rsidP="11CE5447" wp14:paraId="6982DB85" wp14:textId="0AEF0BE3">
      <w:pPr>
        <w:pStyle w:val="Heading2"/>
        <w:spacing w:line="360" w:lineRule="auto"/>
        <w:rPr>
          <w:rFonts w:ascii="Arial" w:hAnsi="Arial" w:eastAsia="Arial" w:cs="Arial" w:asciiTheme="minorAscii" w:hAnsiTheme="minorAscii" w:eastAsiaTheme="minorAscii" w:cstheme="minorAscii"/>
          <w:b w:val="1"/>
          <w:bCs w:val="1"/>
          <w:noProof w:val="0"/>
          <w:color w:val="auto"/>
          <w:sz w:val="24"/>
          <w:szCs w:val="24"/>
          <w:lang w:val="en-GB"/>
        </w:rPr>
      </w:pPr>
      <w:bookmarkStart w:name="_Toc699288224" w:id="1324611275"/>
      <w:r w:rsidRPr="7EC9D161" w:rsidR="56A4A9F0">
        <w:rPr>
          <w:noProof w:val="0"/>
          <w:lang w:val="en-GB"/>
        </w:rPr>
        <w:t>2.1 Customer Loyalty: Functional and Emotional Perspectives</w:t>
      </w:r>
      <w:bookmarkEnd w:id="1324611275"/>
    </w:p>
    <w:p xmlns:wp14="http://schemas.microsoft.com/office/word/2010/wordml" w:rsidP="11CE5447" wp14:paraId="6000E470" wp14:textId="271C2106">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Customer loyalty is often theorised as a complex phenomenon that summarises the behavioural continuity along with the attitudinal devotion (Dick and Basu, 1994).</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Pioneering research on loyalty had been dominated by research on repeat purchasing, but later research argues that the psychological attachment that maintains long-lasting customer relationships has been overlooked through the use of behavioural measures alone (Oliver, 1999).</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Oliver has described four stages of the loyalty model that outlines a continuum of cognitive evaluation to affective commitment and advocacy.</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However, the alleged linear path has been disputed in the context of convenience retail, where habitual buying behaviour and convenience in the situation can slow the formation of strong affective relationships (Grewal et al., 2020).</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implications of these considerations are that the formations of loyalty might vary across retail formats thus making comparative examination.</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Price competitiveness, convenience, product availability as well as incentives provided by loyalty programmes are the rational drivers of functional loyalty (Dick and Basu, 1994).</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Although effective in developing recurring patronage, this loyalty type is often criticised because it can be easily imitated by a competitor and has comparatively low switching costs.</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On the other hand, emotional loyalty is the result of trust, commitment of a relationship and the feeling of belonging that comes about through the continuous positive service encounters (Oliver, 1999).</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0B547F8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Although it is claimed to be durable, there is not much agreement on the relative strength of emotional and functional loyalty in the context of convenience retailing (empirical literature).</w:t>
      </w:r>
    </w:p>
    <w:p xmlns:wp14="http://schemas.microsoft.com/office/word/2010/wordml" w:rsidP="11CE5447" wp14:paraId="56CA8EE2" wp14:textId="11DFDCFD">
      <w:pPr>
        <w:pStyle w:val="Heading2"/>
        <w:spacing w:line="360" w:lineRule="auto"/>
        <w:rPr>
          <w:rFonts w:ascii="Arial" w:hAnsi="Arial" w:eastAsia="Arial" w:cs="Arial" w:asciiTheme="minorAscii" w:hAnsiTheme="minorAscii" w:eastAsiaTheme="minorAscii" w:cstheme="minorAscii"/>
          <w:b w:val="1"/>
          <w:bCs w:val="1"/>
          <w:noProof w:val="0"/>
          <w:color w:val="auto"/>
          <w:sz w:val="24"/>
          <w:szCs w:val="24"/>
          <w:lang w:val="en-GB"/>
        </w:rPr>
      </w:pPr>
      <w:bookmarkStart w:name="_Toc344808936" w:id="610416380"/>
      <w:r w:rsidRPr="7EC9D161" w:rsidR="0B547F8F">
        <w:rPr>
          <w:noProof w:val="0"/>
          <w:lang w:val="en-GB"/>
        </w:rPr>
        <w:t>2.2 Loyalty Drivers in Independent Convenience Retailers</w:t>
      </w:r>
      <w:bookmarkEnd w:id="610416380"/>
    </w:p>
    <w:p xmlns:wp14="http://schemas.microsoft.com/office/word/2010/wordml" w:rsidP="11CE5447" wp14:paraId="17D960F8" wp14:textId="6561A5D4">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Independent convenience stores are often linked to an emotional loyalty with respect to the use of personalised service and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high level</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of interpersonal relationships with customers (Jones, Comfort and Hillier, 2021).</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Individualised service experiences may lead to trust and commitment to the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relationship,</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this leads to emotional attachment (Bitner, Booms and Mohr, 1994).</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Also, the embeddedness to community can enhance the loyalty by creating a sense of familiarity and belonging (Fox and Luff, 2019).</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Nonetheless, the viability of such relational benefits has been doubted especially in situations where price sensitivity and competition have been on the rise.</w:t>
      </w:r>
    </w:p>
    <w:p xmlns:wp14="http://schemas.microsoft.com/office/word/2010/wordml" w:rsidP="11CE5447" wp14:paraId="0B5855D2" wp14:textId="5715C49E">
      <w:pPr>
        <w:pStyle w:val="Heading2"/>
        <w:spacing w:line="360" w:lineRule="auto"/>
        <w:rPr>
          <w:rFonts w:ascii="Arial" w:hAnsi="Arial" w:eastAsia="Arial" w:cs="Arial" w:asciiTheme="minorAscii" w:hAnsiTheme="minorAscii" w:eastAsiaTheme="minorAscii" w:cstheme="minorAscii"/>
          <w:b w:val="1"/>
          <w:bCs w:val="1"/>
          <w:noProof w:val="0"/>
          <w:color w:val="auto"/>
          <w:sz w:val="24"/>
          <w:szCs w:val="24"/>
          <w:lang w:val="en-GB"/>
        </w:rPr>
      </w:pPr>
      <w:bookmarkStart w:name="_Toc1038950430" w:id="1258571606"/>
      <w:r w:rsidRPr="7EC9D161" w:rsidR="42F9C481">
        <w:rPr>
          <w:noProof w:val="0"/>
          <w:lang w:val="en-GB"/>
        </w:rPr>
        <w:t>2.3 Loyalty Drivers in Convenience Chains: The CO-OP Context</w:t>
      </w:r>
      <w:bookmarkEnd w:id="1258571606"/>
    </w:p>
    <w:p xmlns:wp14="http://schemas.microsoft.com/office/word/2010/wordml" w:rsidP="11CE5447" wp14:paraId="63489EB6" wp14:textId="08422451">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convenience retail chains are traditionally focused on functional loyalty systems, such as homogenous assortments, long opening hours, and systematic loyalty programs (Dick and Basu, 1994; Competition and Markets Authority, 2023).</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Although these mechanisms trigger the habitual buying, they are quite weak since switching costs are minimal.</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CO -OP is a hybrid model of the UK convenience industry that combines functional incentives with value-based emotional loyalty based on ethical positioning and cooperative ownership (Co-operatives UK, 2024).</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0A777A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Despite</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this unusual positioning, no quantitative and comparative studies have been conducted to examine the difference between the functional and emotional loyalty drivers between an independent convenience retailer and cooperative chains working in the same local environment.</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1CE5447" w:rsidR="42F9C48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This paper fills this gap.</w:t>
      </w:r>
    </w:p>
    <w:p xmlns:wp14="http://schemas.microsoft.com/office/word/2010/wordml" w:rsidP="7EC9D161" wp14:paraId="3378761C" wp14:textId="67E404F6">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1F1F1F"/>
          <w:sz w:val="24"/>
          <w:szCs w:val="24"/>
          <w:lang w:val="en-GB"/>
        </w:rPr>
      </w:pPr>
      <w:bookmarkStart w:name="_Toc1730929187" w:id="2105464226"/>
      <w:r w:rsidRPr="7EC9D161" w:rsidR="4AF10670">
        <w:rPr>
          <w:noProof w:val="0"/>
          <w:lang w:val="en-GB"/>
        </w:rPr>
        <w:t>3. Methodology</w:t>
      </w:r>
      <w:bookmarkEnd w:id="2105464226"/>
    </w:p>
    <w:p xmlns:wp14="http://schemas.microsoft.com/office/word/2010/wordml" w:rsidP="7EC9D161" wp14:paraId="3006C1BD" wp14:textId="62178481">
      <w:pPr>
        <w:pStyle w:val="Heading2"/>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1F1F1F"/>
          <w:sz w:val="24"/>
          <w:szCs w:val="24"/>
          <w:lang w:val="en-GB"/>
        </w:rPr>
      </w:pPr>
      <w:bookmarkStart w:name="_Toc1831998958" w:id="522977055"/>
      <w:r w:rsidRPr="7EC9D161" w:rsidR="4AF10670">
        <w:rPr>
          <w:noProof w:val="0"/>
          <w:lang w:val="en-GB"/>
        </w:rPr>
        <w:t>3.1 Research Philosophy and Approach</w:t>
      </w:r>
      <w:bookmarkEnd w:id="522977055"/>
    </w:p>
    <w:p xmlns:wp14="http://schemas.microsoft.com/office/word/2010/wordml" w:rsidP="5071969F" wp14:paraId="26C33FC1" wp14:textId="39FD0DDA">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The current study relies on a positivist epistemology, which is </w:t>
      </w: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appropriate when</w:t>
      </w: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it comes to questions that are intended to verify hypotheses </w:t>
      </w: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by means of</w:t>
      </w: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objective measurement and statistical analysis (Smith, 2020).</w:t>
      </w:r>
      <w:r w:rsidRPr="5071969F" w:rsidR="413D07D7">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5071969F" wp14:paraId="153298B5" wp14:textId="1CC2A292">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An approach of deduction is taken, according to which the existing loyalty theories are referred to</w:t>
      </w:r>
      <w:r w:rsidRPr="5071969F" w:rsidR="413D07D7">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operationalize quantifiable constructs and analyse the hypothesised relationships (Johnson, 2023).</w:t>
      </w:r>
    </w:p>
    <w:p w:rsidR="4EA98192" w:rsidP="5071969F" w:rsidRDefault="4EA98192" w14:paraId="3F5E12B9" w14:textId="17843C6C">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This study has a particular rationale to employ a quantitative, deductive approach, because it allows measuring the loyalty constructs objectively, in two different retail models.</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 given </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methodology</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is necessary to answer the Research Question 3 as it will provide the numerical data needed to perform the independent-samples t-tests and, therefore, </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determine</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whether the difference in the loyalty drivers is statistically significant.</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5071969F" w:rsidR="4EA9819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use of standardised scales guarantees a high degree of reliability and allows the direct and evidence-based comparison, which was not possible with the qualitative approach and with the same statistical accuracy.</w:t>
      </w:r>
    </w:p>
    <w:p xmlns:wp14="http://schemas.microsoft.com/office/word/2010/wordml" w:rsidP="5071969F" wp14:paraId="481B83D3" wp14:textId="4069B54C">
      <w:pPr>
        <w:pStyle w:val="Heading2"/>
        <w:spacing w:line="360" w:lineRule="auto"/>
        <w:jc w:val="both"/>
        <w:rPr>
          <w:rFonts w:ascii="Arial" w:hAnsi="Arial" w:eastAsia="Arial" w:cs="Arial" w:asciiTheme="minorAscii" w:hAnsiTheme="minorAscii" w:eastAsiaTheme="minorAscii" w:cstheme="minorAscii"/>
          <w:noProof w:val="0"/>
          <w:sz w:val="24"/>
          <w:szCs w:val="24"/>
          <w:lang w:val="en-GB"/>
        </w:rPr>
      </w:pPr>
      <w:bookmarkStart w:name="_Toc13781734" w:id="2097036486"/>
      <w:r w:rsidRPr="7EC9D161" w:rsidR="413D07D7">
        <w:rPr>
          <w:noProof w:val="0"/>
          <w:lang w:val="en-GB"/>
        </w:rPr>
        <w:t>3.2 Research Design and Data Collection</w:t>
      </w:r>
      <w:bookmarkEnd w:id="2097036486"/>
    </w:p>
    <w:p w:rsidR="296C17B9" w:rsidP="5071969F" w:rsidRDefault="296C17B9" w14:paraId="2D7A4364" w14:textId="78064967">
      <w:pPr>
        <w:spacing w:before="0" w:beforeAutospacing="off" w:after="211" w:afterAutospacing="off" w:line="360" w:lineRule="auto"/>
        <w:ind w:left="-5" w:right="12" w:hanging="10"/>
        <w:jc w:val="both"/>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11CE5447" w:rsidR="413D07D7">
        <w:rPr>
          <w:rFonts w:ascii="Arial" w:hAnsi="Arial" w:eastAsia="Arial" w:cs="Arial" w:asciiTheme="minorAscii" w:hAnsiTheme="minorAscii" w:eastAsiaTheme="minorAscii" w:cstheme="minorAscii"/>
          <w:noProof w:val="0"/>
          <w:color w:val="000000" w:themeColor="text1" w:themeTint="FF" w:themeShade="FF"/>
          <w:sz w:val="24"/>
          <w:szCs w:val="24"/>
          <w:lang w:val="en-GB"/>
        </w:rPr>
        <w:t>A cross-sectional survey design is employed to enable quantitative comparison between customer groups at a single point in time, a method widely used in business and retail research (Field, 2018).</w:t>
      </w:r>
      <w:r w:rsidRPr="11CE5447" w:rsidR="48955E6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p>
    <w:tbl>
      <w:tblPr>
        <w:tblStyle w:val="TableNormal"/>
        <w:bidiVisual w:val="0"/>
        <w:tblW w:w="0" w:type="auto"/>
        <w:jc w:val="left"/>
        <w:tblBorders>
          <w:top w:val="single" w:sz="6"/>
          <w:left w:val="single" w:sz="6"/>
          <w:bottom w:val="single" w:sz="6"/>
          <w:right w:val="single" w:sz="6"/>
        </w:tblBorders>
        <w:tblLook w:val="04A0" w:firstRow="1" w:lastRow="0" w:firstColumn="1" w:lastColumn="0" w:noHBand="0" w:noVBand="1"/>
      </w:tblPr>
      <w:tblGrid>
        <w:gridCol w:w="3060"/>
        <w:gridCol w:w="3150"/>
        <w:gridCol w:w="3060"/>
      </w:tblGrid>
      <w:tr w:rsidR="0DC0BAFD" w:rsidTr="7EC9D161" w14:paraId="2A6DF608">
        <w:trPr>
          <w:trHeight w:val="67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786A0655" w14:textId="72E7AE6E">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Component</w:t>
            </w: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57BEA98B" w14:textId="14B6D1D8">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Detail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06553D34" w14:textId="20F77CCC">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Rationale </w:t>
            </w:r>
          </w:p>
        </w:tc>
      </w:tr>
      <w:tr w:rsidR="0DC0BAFD" w:rsidTr="7EC9D161" w14:paraId="65122DF0">
        <w:trPr>
          <w:trHeight w:val="109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545BEC1A" w14:textId="76960384">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Research Design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4E4AEC66" w14:textId="20AA7C2D">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Cross-sectional Survey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3DAFC412" w14:textId="124480DD">
            <w:pPr>
              <w:spacing w:before="0" w:beforeAutospacing="off" w:after="0" w:afterAutospacing="off" w:line="360" w:lineRule="auto"/>
              <w:ind w:left="0" w:right="14"/>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Efficiently gathers data from a large sample at a single point in time for </w:t>
            </w:r>
          </w:p>
        </w:tc>
      </w:tr>
      <w:tr w:rsidR="0DC0BAFD" w:rsidTr="7EC9D161" w14:paraId="46E93D13">
        <w:trPr>
          <w:trHeight w:val="67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1086DD96" w14:textId="75FB713E">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46C44B59" w14:textId="139144C4">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00BDFE21" w14:textId="4206CB02">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quantitative comparison. </w:t>
            </w:r>
          </w:p>
        </w:tc>
      </w:tr>
      <w:tr w:rsidR="0DC0BAFD" w:rsidTr="7EC9D161" w14:paraId="22D74703">
        <w:trPr>
          <w:trHeight w:val="216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01F4F37F" w14:textId="16611AD4">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Population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E0572A2" w14:textId="77BA3999">
            <w:pPr>
              <w:spacing w:before="0" w:beforeAutospacing="off" w:after="0" w:afterAutospacing="off" w:line="360" w:lineRule="auto"/>
              <w:ind w:left="0" w:right="13"/>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Customers who regularly shop at both Guney</w:t>
            </w: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Food &amp; Wine and</w:t>
            </w: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the local CO-OP convenience store within the same area.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472E3AC" w14:textId="358422EA">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Controls for local demographics and competition, enhancing the validity of the comparison. </w:t>
            </w:r>
          </w:p>
        </w:tc>
      </w:tr>
      <w:tr w:rsidR="0DC0BAFD" w:rsidTr="7EC9D161" w14:paraId="6BB7E61F">
        <w:trPr>
          <w:trHeight w:val="247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5AF3F734" w14:textId="76B2D166">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Sampling Technique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7A01CE5E" w14:textId="3F333F1C">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Convenience Sampling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1F9A023C" w14:textId="3ABD7D91">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Practical for a time-constrained MBA dissertation, targeting customers in or near the two store locations via in-store flyers and online community groups. </w:t>
            </w:r>
          </w:p>
        </w:tc>
      </w:tr>
      <w:tr w:rsidR="0DC0BAFD" w:rsidTr="7EC9D161" w14:paraId="059C5C9A">
        <w:trPr>
          <w:trHeight w:val="157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A67CBA9" w14:textId="6C764E42">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Sample Size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580D626" w14:textId="40C8FCC8">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$N = 150-200$ (</w:t>
            </w: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Targeting 75–100 valid responses for each retailer)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1D8FD175" w14:textId="7C7036DB">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Provides sufficient power for statistical tests like t-tests and multiple regression analysis. </w:t>
            </w:r>
          </w:p>
        </w:tc>
      </w:tr>
      <w:tr w:rsidR="0DC0BAFD" w:rsidTr="7EC9D161" w14:paraId="3C02F5A4">
        <w:trPr>
          <w:trHeight w:val="198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56EA1E73" w14:textId="6ECAB142">
            <w:pPr>
              <w:spacing w:before="0" w:beforeAutospacing="off" w:after="0" w:afterAutospacing="off" w:line="360" w:lineRule="auto"/>
              <w:ind w:left="2" w:right="0"/>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Instrument </w:t>
            </w:r>
          </w:p>
        </w:tc>
        <w:tc>
          <w:tcPr>
            <w:tcW w:w="315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6C0A38D" w14:textId="04148098">
            <w:pPr>
              <w:spacing w:before="0" w:beforeAutospacing="off" w:after="1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Structured Questionnaire </w:t>
            </w:r>
          </w:p>
          <w:p w:rsidR="0DC0BAFD" w:rsidP="7EC9D161" w:rsidRDefault="0DC0BAFD" w14:paraId="4F18B78A" w14:textId="1FEBE6B2">
            <w:pPr>
              <w:spacing w:before="0" w:beforeAutospacing="off" w:after="1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(Online via Google </w:t>
            </w:r>
          </w:p>
          <w:p w:rsidR="0DC0BAFD" w:rsidP="7EC9D161" w:rsidRDefault="0DC0BAFD" w14:paraId="410BB90C" w14:textId="48C32A4F">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Forms/Qualtrics) </w:t>
            </w:r>
          </w:p>
        </w:tc>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F8FAFD"/>
            <w:tcMar>
              <w:top w:w="120" w:type="dxa"/>
              <w:left w:w="165" w:type="dxa"/>
              <w:right w:w="90" w:type="dxa"/>
            </w:tcMar>
            <w:vAlign w:val="center"/>
          </w:tcPr>
          <w:p w:rsidR="0DC0BAFD" w:rsidP="7EC9D161" w:rsidRDefault="0DC0BAFD" w14:paraId="2203EEE8" w14:textId="279C31A1">
            <w:pPr>
              <w:spacing w:before="0" w:beforeAutospacing="off" w:after="1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Primarily uses </w:t>
            </w: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5-point </w:t>
            </w:r>
          </w:p>
          <w:p w:rsidR="0DC0BAFD" w:rsidP="7EC9D161" w:rsidRDefault="0DC0BAFD" w14:paraId="63671F80" w14:textId="677A5147">
            <w:pPr>
              <w:spacing w:before="0" w:beforeAutospacing="off" w:after="1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rPr>
            </w:pPr>
            <w:r w:rsidRPr="7EC9D161" w:rsidR="03E728E0">
              <w:rPr>
                <w:rFonts w:ascii="Arial" w:hAnsi="Arial" w:eastAsia="Arial" w:cs="Arial" w:asciiTheme="minorAscii" w:hAnsiTheme="minorAscii" w:eastAsiaTheme="minorAscii" w:cstheme="minorAscii"/>
                <w:b w:val="1"/>
                <w:bCs w:val="1"/>
                <w:i w:val="0"/>
                <w:iCs w:val="0"/>
                <w:caps w:val="0"/>
                <w:smallCaps w:val="0"/>
                <w:color w:val="1F1F1F"/>
                <w:sz w:val="24"/>
                <w:szCs w:val="24"/>
                <w:lang w:val="en-GB"/>
              </w:rPr>
              <w:t xml:space="preserve"> Likert scales </w:t>
            </w: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(1=Strongly </w:t>
            </w:r>
          </w:p>
          <w:p w:rsidR="0DC0BAFD" w:rsidP="7EC9D161" w:rsidRDefault="0DC0BAFD" w14:paraId="5C34A5EE" w14:textId="521FD323">
            <w:pPr>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pPr>
            <w:r w:rsidRPr="7EC9D161" w:rsidR="03E728E0">
              <w:rPr>
                <w:rFonts w:ascii="Arial" w:hAnsi="Arial" w:eastAsia="Arial" w:cs="Arial" w:asciiTheme="minorAscii" w:hAnsiTheme="minorAscii" w:eastAsiaTheme="minorAscii" w:cstheme="minorAscii"/>
                <w:b w:val="0"/>
                <w:bCs w:val="0"/>
                <w:i w:val="0"/>
                <w:iCs w:val="0"/>
                <w:caps w:val="0"/>
                <w:smallCaps w:val="0"/>
                <w:color w:val="1F1F1F"/>
                <w:sz w:val="24"/>
                <w:szCs w:val="24"/>
                <w:lang w:val="en-GB"/>
              </w:rPr>
              <w:t xml:space="preserve"> Disagree to 5=Strongly Agree) to measure perceptual variables consistently.</w:t>
            </w:r>
          </w:p>
        </w:tc>
      </w:tr>
    </w:tbl>
    <w:p w:rsidR="4E1BA3D2" w:rsidP="5071969F" w:rsidRDefault="4E1BA3D2" w14:paraId="63C46A67" w14:textId="28422872">
      <w:pPr>
        <w:pStyle w:val="Normal"/>
        <w:keepNext w:val="1"/>
        <w:keepLines w:val="1"/>
        <w:spacing w:line="360" w:lineRule="auto"/>
        <w:jc w:val="both"/>
        <w:rPr>
          <w:rFonts w:ascii="Arial" w:hAnsi="Arial" w:eastAsia="Arial" w:cs="Arial" w:asciiTheme="minorAscii" w:hAnsiTheme="minorAscii" w:eastAsiaTheme="minorAscii" w:cstheme="minorAscii"/>
          <w:noProof w:val="0"/>
          <w:lang w:val="en-GB"/>
        </w:rPr>
      </w:pP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xml:space="preserve">To make the study manageable within MBA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time frame</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the survey will be distributed using a dual channel approach.</w:t>
      </w:r>
      <w:r w:rsidRPr="5071969F" w:rsidR="4E1BA3D2">
        <w:rPr>
          <w:rFonts w:ascii="Arial" w:hAnsi="Arial" w:eastAsia="Arial" w:cs="Arial" w:asciiTheme="minorAscii" w:hAnsiTheme="minorAscii" w:eastAsiaTheme="minorAscii" w:cstheme="minorAscii"/>
          <w:b w:val="0"/>
          <w:bCs w:val="0"/>
          <w:i w:val="0"/>
          <w:iCs w:val="0"/>
          <w:caps w:val="0"/>
          <w:smallCaps w:val="0"/>
          <w:noProof w:val="0"/>
          <w:lang w:val="en-GB"/>
        </w:rPr>
        <w:t xml:space="preserve">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xml:space="preserve">This will include online distribution using local communities' social media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and</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xml:space="preserve"> the physical distribution of the QR codes flyers where the stores are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located</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w:t>
      </w:r>
      <w:r w:rsidRPr="5071969F" w:rsidR="4E1BA3D2">
        <w:rPr>
          <w:rFonts w:ascii="Arial" w:hAnsi="Arial" w:eastAsia="Arial" w:cs="Arial" w:asciiTheme="minorAscii" w:hAnsiTheme="minorAscii" w:eastAsiaTheme="minorAscii" w:cstheme="minorAscii"/>
          <w:b w:val="0"/>
          <w:bCs w:val="0"/>
          <w:i w:val="0"/>
          <w:iCs w:val="0"/>
          <w:caps w:val="0"/>
          <w:smallCaps w:val="0"/>
          <w:noProof w:val="0"/>
          <w:lang w:val="en-GB"/>
        </w:rPr>
        <w:t xml:space="preserve">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xml:space="preserve">This approach will ensure that, despite the limited formal access to the stores, a sufficient sample size of 150 to 200 participants is obtained, thus </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maintaining</w:t>
      </w:r>
      <w:r w:rsidRPr="5071969F" w:rsidR="4E1BA3D2">
        <w:rPr>
          <w:rFonts w:ascii="Arial" w:hAnsi="Arial" w:eastAsia="Arial" w:cs="Arial" w:asciiTheme="minorAscii" w:hAnsiTheme="minorAscii" w:eastAsiaTheme="minorAscii" w:cstheme="minorAscii"/>
          <w:b w:val="0"/>
          <w:bCs w:val="0"/>
          <w:i w:val="0"/>
          <w:iCs w:val="0"/>
          <w:caps w:val="0"/>
          <w:smallCaps w:val="0"/>
          <w:noProof w:val="0"/>
          <w:color w:val="111111"/>
          <w:lang w:val="en-GB"/>
        </w:rPr>
        <w:t xml:space="preserve"> the statistical strength of the study.</w:t>
      </w:r>
    </w:p>
    <w:p xmlns:wp14="http://schemas.microsoft.com/office/word/2010/wordml" w:rsidP="7EC9D161" wp14:paraId="49C103DE" wp14:textId="161C7485">
      <w:pPr>
        <w:pStyle w:val="Heading2"/>
        <w:keepNext w:val="1"/>
        <w:keepLines w:val="1"/>
        <w:spacing w:before="0" w:beforeAutospacing="off" w:after="84" w:afterAutospacing="off" w:line="360" w:lineRule="auto"/>
        <w:ind w:left="-15" w:right="0" w:hanging="0"/>
        <w:jc w:val="both"/>
        <w:rPr>
          <w:rFonts w:ascii="Arial" w:hAnsi="Arial" w:eastAsia="Arial" w:cs="Arial" w:asciiTheme="minorAscii" w:hAnsiTheme="minorAscii" w:eastAsiaTheme="minorAscii" w:cstheme="minorAscii"/>
          <w:b w:val="1"/>
          <w:bCs w:val="1"/>
          <w:i w:val="0"/>
          <w:iCs w:val="0"/>
          <w:caps w:val="0"/>
          <w:smallCaps w:val="0"/>
          <w:noProof w:val="0"/>
          <w:color w:val="1F1F1F"/>
          <w:sz w:val="24"/>
          <w:szCs w:val="24"/>
          <w:lang w:val="en-GB"/>
        </w:rPr>
      </w:pPr>
      <w:bookmarkStart w:name="_Toc452737742" w:id="1591690609"/>
      <w:r w:rsidRPr="7EC9D161" w:rsidR="550E6463">
        <w:rPr>
          <w:noProof w:val="0"/>
          <w:lang w:val="en-GB"/>
        </w:rPr>
        <w:t xml:space="preserve">3.3 </w:t>
      </w:r>
      <w:r w:rsidRPr="7EC9D161" w:rsidR="2E1A34E5">
        <w:rPr>
          <w:noProof w:val="0"/>
          <w:lang w:val="en-GB"/>
        </w:rPr>
        <w:t>Variables and Measurement</w:t>
      </w:r>
      <w:bookmarkEnd w:id="1591690609"/>
    </w:p>
    <w:p xmlns:wp14="http://schemas.microsoft.com/office/word/2010/wordml" w:rsidP="5071969F" wp14:paraId="1E769350" wp14:textId="41181BFF">
      <w:pPr>
        <w:pStyle w:val="Normal"/>
        <w:keepNext w:val="1"/>
        <w:keepLines w:val="1"/>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5071969F" w:rsidR="7B8E1001">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 measures in service quality would be based on the SERVQUAL framework that defines such dimensions as responsiveness and assurance (Parasuraman, Zeithaml and Berry, 1988).</w:t>
      </w:r>
      <w:r w:rsidRPr="5071969F" w:rsidR="7B8E1001">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5071969F" w:rsidR="7B8E1001">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The emotional connexion is measured with the help of the trust, commitment, and sense of community constructs, which are consistent with the available research on customer experience (Klaus and </w:t>
      </w:r>
      <w:r w:rsidRPr="5071969F" w:rsidR="7B8E1001">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Maklan</w:t>
      </w:r>
      <w:r w:rsidRPr="5071969F" w:rsidR="7B8E1001">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2013).</w:t>
      </w:r>
      <w:r w:rsidRPr="5071969F" w:rsidR="7B8E1001">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5071969F" wp14:paraId="17B66224" wp14:textId="0B7A2794">
      <w:pPr>
        <w:pStyle w:val="Normal"/>
        <w:keepNext w:val="1"/>
        <w:keepLines w:val="1"/>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7B8E1001">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 measurement of customer loyalty is done on a composite scale which considers both the behavioural intention and the attitudinal advocacy measures (Oliver, 1999).</w:t>
      </w:r>
      <w:r w:rsidRPr="5071969F" w:rsidR="772D00A9">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w:t>
      </w:r>
    </w:p>
    <w:p xmlns:wp14="http://schemas.microsoft.com/office/word/2010/wordml" w:rsidP="5071969F" wp14:paraId="4381B173" wp14:textId="013D26AB">
      <w:pPr>
        <w:pStyle w:val="Heading2"/>
        <w:spacing w:line="360" w:lineRule="auto"/>
        <w:jc w:val="both"/>
        <w:rPr>
          <w:rFonts w:ascii="Arial" w:hAnsi="Arial" w:eastAsia="Arial" w:cs="Arial" w:asciiTheme="minorAscii" w:hAnsiTheme="minorAscii" w:eastAsiaTheme="minorAscii" w:cstheme="minorAscii"/>
          <w:noProof w:val="0"/>
          <w:sz w:val="24"/>
          <w:szCs w:val="24"/>
          <w:lang w:val="en-GB"/>
        </w:rPr>
      </w:pPr>
      <w:bookmarkStart w:name="_Toc1125234958" w:id="565375865"/>
      <w:r w:rsidRPr="7EC9D161" w:rsidR="1674065A">
        <w:rPr>
          <w:noProof w:val="0"/>
          <w:lang w:val="en-GB"/>
        </w:rPr>
        <w:t>3.4 Data Analysis</w:t>
      </w:r>
      <w:bookmarkEnd w:id="565375865"/>
    </w:p>
    <w:p xmlns:wp14="http://schemas.microsoft.com/office/word/2010/wordml" w:rsidP="5071969F" wp14:paraId="278729D1" wp14:textId="0BD922CF">
      <w:pPr>
        <w:pStyle w:val="Normal"/>
        <w:keepNext w:val="1"/>
        <w:keepLines w:val="1"/>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 reliability test will be performed using Cronbach alpha to measure the internal consistency of multi-items scales (Sriram and Krishnan, 2022).</w:t>
      </w:r>
      <w:r w:rsidRPr="5071969F" w:rsidR="10B73B9D">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Independent-samples t-tests and multiple regression analyses will be used as inferential tests because they are </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appropriate in</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comparative and predictive analysis research in the realm of business research (Hair et al., 2019).</w:t>
      </w:r>
    </w:p>
    <w:p xmlns:wp14="http://schemas.microsoft.com/office/word/2010/wordml" w:rsidP="5071969F" wp14:paraId="54B48921" wp14:textId="4FFA7537">
      <w:pPr>
        <w:pStyle w:val="Heading2"/>
        <w:spacing w:line="360" w:lineRule="auto"/>
        <w:jc w:val="both"/>
        <w:rPr>
          <w:rFonts w:ascii="Arial" w:hAnsi="Arial" w:eastAsia="Arial" w:cs="Arial" w:asciiTheme="minorAscii" w:hAnsiTheme="minorAscii" w:eastAsiaTheme="minorAscii" w:cstheme="minorAscii"/>
          <w:noProof w:val="0"/>
          <w:sz w:val="24"/>
          <w:szCs w:val="24"/>
          <w:lang w:val="en-GB"/>
        </w:rPr>
      </w:pPr>
      <w:bookmarkStart w:name="_Toc157862872" w:id="1978930362"/>
      <w:r w:rsidRPr="7EC9D161" w:rsidR="10B73B9D">
        <w:rPr>
          <w:noProof w:val="0"/>
          <w:lang w:val="en-GB"/>
        </w:rPr>
        <w:t>3.5 Ethical Considerations</w:t>
      </w:r>
      <w:bookmarkEnd w:id="1978930362"/>
    </w:p>
    <w:p xmlns:wp14="http://schemas.microsoft.com/office/word/2010/wordml" w:rsidP="5071969F" wp14:paraId="59449234" wp14:textId="0D64C51B">
      <w:pPr>
        <w:spacing w:before="0" w:beforeAutospacing="off" w:after="127"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Before the data collection process, the ethics board of the university will give formal approval.</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Informed consent will be obtained by all the participants with the help of an introductory statement on the survey platform.</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No personal identifying information will be collected so that anonymity will be guaranteed.</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071969F" w:rsidR="10B73B9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In the final report, the reference will only be made to the independent off-licence store, namely, Guney Food and Wine, but only with a direct written permission of the owner; otherwise, a pseudonym will be used.</w:t>
      </w:r>
    </w:p>
    <w:p xmlns:wp14="http://schemas.microsoft.com/office/word/2010/wordml" w:rsidP="7EC9D161" wp14:paraId="39A157F7" wp14:textId="42B9BB85">
      <w:pPr>
        <w:pStyle w:val="Heading1"/>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bookmarkStart w:name="_Toc836330651" w:id="1050635765"/>
      <w:r w:rsidRPr="7EC9D161" w:rsidR="13C67564">
        <w:rPr>
          <w:noProof w:val="0"/>
          <w:lang w:val="en-GB"/>
        </w:rPr>
        <w:t>4. Expected Findings</w:t>
      </w:r>
      <w:bookmarkEnd w:id="1050635765"/>
    </w:p>
    <w:p xmlns:wp14="http://schemas.microsoft.com/office/word/2010/wordml" w:rsidP="5071969F" wp14:paraId="58CC46F4" wp14:textId="1FF1B726">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Due to the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initial</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literature analysis and conceptual framework, the following findings are expected:</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71969F" wp14:paraId="358E3EB2" wp14:textId="606ABBC3">
      <w:pPr>
        <w:pStyle w:val="ListParagraph"/>
        <w:numPr>
          <w:ilvl w:val="0"/>
          <w:numId w:val="3"/>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H1:</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Emotional loyalty factors have a stronger positive effect on customer loyalty at Guney Food &amp; Wine than functional factors.</w:t>
      </w:r>
    </w:p>
    <w:p xmlns:wp14="http://schemas.microsoft.com/office/word/2010/wordml" w:rsidP="5071969F" wp14:paraId="70428C97" wp14:textId="6CE91B9B">
      <w:pPr>
        <w:pStyle w:val="ListParagraph"/>
        <w:numPr>
          <w:ilvl w:val="0"/>
          <w:numId w:val="3"/>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H2:</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Functional loyalty factors have a stronger positive effect on customer loyalty at the CO-OP than emotional factors.</w:t>
      </w:r>
    </w:p>
    <w:p xmlns:wp14="http://schemas.microsoft.com/office/word/2010/wordml" w:rsidP="5071969F" wp14:paraId="65EE8382" wp14:textId="48B22693">
      <w:pPr>
        <w:pStyle w:val="ListParagraph"/>
        <w:numPr>
          <w:ilvl w:val="0"/>
          <w:numId w:val="3"/>
        </w:num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H3:</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is a statistically significant difference in perceived emotional connection between customers of Guney Food &amp; Wine and the CO-OP. </w:t>
      </w:r>
    </w:p>
    <w:p xmlns:wp14="http://schemas.microsoft.com/office/word/2010/wordml" w:rsidP="5071969F" wp14:paraId="7CC74CAB" wp14:textId="6EF42B76">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Comparative Difference: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The outcomes of the T-tests are supposed to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indicate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that the Emotional Connexion mean score of Guney Food and Wine is statistically significantly greater than the CO-OP mean score, but the Price Competitiveness mean score of the CO-OP is statistically significantly greater.</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71969F" wp14:paraId="4976A774" wp14:textId="574197B5">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These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anticipated</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results will be able to directly answer the research questions and support the idea that effective retention strategies should be specific to the format of a retail and its fundamental competitive advantage.</w:t>
      </w:r>
    </w:p>
    <w:p xmlns:wp14="http://schemas.microsoft.com/office/word/2010/wordml" w:rsidP="7EC9D161" wp14:paraId="75CA0881" wp14:textId="6B8E8D3F">
      <w:pPr>
        <w:pStyle w:val="Heading1"/>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bookmarkStart w:name="_Toc1843300805" w:id="385566348"/>
      <w:r w:rsidRPr="7EC9D161" w:rsidR="13C67564">
        <w:rPr>
          <w:noProof w:val="0"/>
          <w:lang w:val="en-GB"/>
        </w:rPr>
        <w:t>5. Limitations</w:t>
      </w:r>
      <w:bookmarkEnd w:id="385566348"/>
      <w:r w:rsidRPr="7EC9D161" w:rsidR="13C67564">
        <w:rPr>
          <w:noProof w:val="0"/>
          <w:lang w:val="en-GB"/>
        </w:rPr>
        <w:t xml:space="preserve"> </w:t>
      </w:r>
    </w:p>
    <w:p xmlns:wp14="http://schemas.microsoft.com/office/word/2010/wordml" w:rsidP="5071969F" wp14:paraId="13A4533D" wp14:textId="5EFE01E5">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Despite the strict design, the research has several limitations:</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71969F" wp14:paraId="18463910" wp14:textId="0722F568">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Convenience Sampling:</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The convenience sampling can be a factor that restricts the ability of the findings to generalise outside of the local area of study.</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71969F" wp14:paraId="2BC322B8" wp14:textId="6C5F3137">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Cross-Sectional Design:</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The survey will only measure the attitudes at one time and will not be able to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determine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any causality or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determine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the loyalty change with time.</w:t>
      </w:r>
    </w:p>
    <w:p xmlns:wp14="http://schemas.microsoft.com/office/word/2010/wordml" w:rsidP="5071969F" wp14:paraId="274309DA" wp14:textId="5902B815">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Trust in Self-Reported Data:</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Customer Loyalty is a dependent variable that is assessed based on self-reported intentions (repurchase intent, recommendation), and not future behaviour, which creates the possibility of bias in responses.</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71969F" wp14:paraId="36D35EF1" wp14:textId="0BB65CD4">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Access Constraints:</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It might be difficult to obtain access to the CO-OP with enough numbers and formal access to the management to distribute the surveys and this might affect the final sample size.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C7213D3" w:rsidP="5071969F" w:rsidRDefault="0C7213D3" w14:paraId="7C9F363F" w14:textId="475B8166">
      <w:pPr>
        <w:pStyle w:val="Normal"/>
        <w:spacing w:before="0" w:beforeAutospacing="off" w:after="127" w:afterAutospacing="off" w:line="360" w:lineRule="auto"/>
        <w:jc w:val="both"/>
        <w:rPr>
          <w:rFonts w:ascii="Arial" w:hAnsi="Arial" w:eastAsia="Arial" w:cs="Arial"/>
          <w:noProof w:val="0"/>
          <w:sz w:val="24"/>
          <w:szCs w:val="24"/>
          <w:lang w:val="en-GB"/>
        </w:rPr>
      </w:pPr>
      <w:r w:rsidRPr="5071969F" w:rsidR="0C7213D3">
        <w:rPr>
          <w:rFonts w:ascii="Arial" w:hAnsi="Arial" w:eastAsia="Arial" w:cs="Arial"/>
          <w:b w:val="1"/>
          <w:bCs w:val="1"/>
          <w:i w:val="0"/>
          <w:iCs w:val="0"/>
          <w:caps w:val="0"/>
          <w:smallCaps w:val="0"/>
          <w:noProof w:val="0"/>
          <w:color w:val="111111"/>
          <w:sz w:val="24"/>
          <w:szCs w:val="24"/>
          <w:lang w:val="en-GB"/>
        </w:rPr>
        <w:t>Sampling Bias Mitigation:</w:t>
      </w:r>
      <w:r w:rsidRPr="5071969F" w:rsidR="0C7213D3">
        <w:rPr>
          <w:rFonts w:ascii="Arial" w:hAnsi="Arial" w:eastAsia="Arial" w:cs="Arial"/>
          <w:b w:val="0"/>
          <w:bCs w:val="0"/>
          <w:i w:val="0"/>
          <w:iCs w:val="0"/>
          <w:caps w:val="0"/>
          <w:smallCaps w:val="0"/>
          <w:noProof w:val="0"/>
          <w:color w:val="111111"/>
          <w:sz w:val="24"/>
          <w:szCs w:val="24"/>
          <w:lang w:val="en-GB"/>
        </w:rPr>
        <w:t xml:space="preserve"> To reduce the inherent constraints of convenience sampling, the researcher will target recruitment into certain local community centres, thus making sure that respondents are bona fide, regular shoppers of both Guney Food &amp; Wine and the CO-OP.</w:t>
      </w:r>
    </w:p>
    <w:p w:rsidR="62A4A1EB" w:rsidP="5071969F" w:rsidRDefault="62A4A1EB" w14:paraId="5EB56D74" w14:textId="646EDD01">
      <w:pPr>
        <w:pStyle w:val="Normal"/>
        <w:spacing w:before="0" w:beforeAutospacing="off" w:after="127"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5071969F" w:rsidR="62A4A1EB">
        <w:rPr>
          <w:rFonts w:ascii="Arial" w:hAnsi="Arial" w:eastAsia="Arial" w:cs="Arial" w:asciiTheme="minorAscii" w:hAnsiTheme="minorAscii" w:eastAsiaTheme="minorAscii" w:cstheme="minorAscii"/>
          <w:b w:val="1"/>
          <w:bCs w:val="1"/>
          <w:i w:val="0"/>
          <w:iCs w:val="0"/>
          <w:caps w:val="0"/>
          <w:smallCaps w:val="0"/>
          <w:noProof w:val="0"/>
          <w:color w:val="111111"/>
          <w:sz w:val="24"/>
          <w:szCs w:val="24"/>
          <w:lang w:val="en-GB"/>
        </w:rPr>
        <w:t>Reduction of Access Constraints:</w:t>
      </w:r>
      <w:r w:rsidRPr="5071969F" w:rsidR="62A4A1E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In cases whereby formal corporate access to the CO-OP is limited, the researcher will use the snowball sampling using the </w:t>
      </w:r>
      <w:r w:rsidRPr="5071969F" w:rsidR="62A4A1E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residents</w:t>
      </w:r>
      <w:r w:rsidRPr="5071969F" w:rsidR="62A4A1E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to ensure that the 75-100 responses needed per retailer are obtained thus </w:t>
      </w:r>
      <w:r w:rsidRPr="5071969F" w:rsidR="62A4A1E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eliminating</w:t>
      </w:r>
      <w:r w:rsidRPr="5071969F" w:rsidR="62A4A1E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the sole use of management permission.</w:t>
      </w:r>
    </w:p>
    <w:p w:rsidR="162C67FB" w:rsidP="5071969F" w:rsidRDefault="162C67FB" w14:paraId="750A9E89" w14:textId="5F2DC78B">
      <w:pPr>
        <w:pStyle w:val="Normal"/>
        <w:spacing w:before="0" w:beforeAutospacing="off" w:after="127"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5071969F" w:rsidR="162C67FB">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To improve reliability of self-reported measures of loyalty, the instrument will also include cross-verification questions that ask discrete antecedent behaviour, e.g. frequency of visits, thus, supporting the intentions expressed by participants towards repurchasing the product. </w:t>
      </w:r>
    </w:p>
    <w:p xmlns:wp14="http://schemas.microsoft.com/office/word/2010/wordml" w:rsidP="5071969F" wp14:paraId="7AF9808D" wp14:textId="30931EA9">
      <w:pPr>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These constraints will be recognised in the discussion, and the conclusion will bring out the extent and context of the recommendations arrived at.</w:t>
      </w:r>
    </w:p>
    <w:p xmlns:wp14="http://schemas.microsoft.com/office/word/2010/wordml" w:rsidP="7EC9D161" wp14:paraId="5D0AFEEE" wp14:textId="09805B3B">
      <w:pPr>
        <w:pStyle w:val="Heading1"/>
        <w:spacing w:before="0" w:beforeAutospacing="off" w:after="127"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bookmarkStart w:name="_Toc1543512142" w:id="566318551"/>
      <w:r w:rsidRPr="7EC9D161" w:rsidR="13C67564">
        <w:rPr>
          <w:noProof w:val="0"/>
          <w:lang w:val="en-GB"/>
        </w:rPr>
        <w:t xml:space="preserve">6. </w:t>
      </w:r>
      <w:r w:rsidRPr="7EC9D161" w:rsidR="13C67564">
        <w:rPr>
          <w:noProof w:val="0"/>
          <w:lang w:val="en-GB"/>
        </w:rPr>
        <w:t>Timeframe</w:t>
      </w:r>
      <w:r w:rsidRPr="7EC9D161" w:rsidR="13C67564">
        <w:rPr>
          <w:noProof w:val="0"/>
          <w:lang w:val="en-GB"/>
        </w:rPr>
        <w:t xml:space="preserve"> (Gantt Chart Indicative)</w:t>
      </w:r>
      <w:bookmarkEnd w:id="566318551"/>
    </w:p>
    <w:p xmlns:wp14="http://schemas.microsoft.com/office/word/2010/wordml" w:rsidP="5071969F" wp14:paraId="5904F4CF" wp14:textId="0C9CD101">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The project will be completed over 15 weeks period, structured to meet typical MBA dissertation deadlines. </w:t>
      </w:r>
    </w:p>
    <w:p xmlns:wp14="http://schemas.microsoft.com/office/word/2010/wordml" w:rsidP="5071969F" wp14:paraId="2AC2A7B9" wp14:textId="731E2E1B">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p>
    <w:p xmlns:wp14="http://schemas.microsoft.com/office/word/2010/wordml" w:rsidP="5071969F" wp14:paraId="616C3240" wp14:textId="42128279">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13C67564">
        <w:drawing>
          <wp:inline xmlns:wp14="http://schemas.microsoft.com/office/word/2010/wordprocessingDrawing" wp14:editId="5A13016D" wp14:anchorId="69D748E4">
            <wp:extent cx="5600700" cy="2466975"/>
            <wp:effectExtent l="0" t="0" r="0" b="0"/>
            <wp:docPr id="13333752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375206" name="Picture 1333375206"/>
                    <pic:cNvPicPr/>
                  </pic:nvPicPr>
                  <pic:blipFill>
                    <a:blip xmlns:r="http://schemas.openxmlformats.org/officeDocument/2006/relationships" r:embed="rId235091085">
                      <a:extLst>
                        <a:ext uri="{28A0092B-C50C-407E-A947-70E740481C1C}">
                          <a14:useLocalDpi xmlns:a14="http://schemas.microsoft.com/office/drawing/2010/main"/>
                        </a:ext>
                      </a:extLst>
                    </a:blip>
                    <a:stretch>
                      <a:fillRect/>
                    </a:stretch>
                  </pic:blipFill>
                  <pic:spPr>
                    <a:xfrm>
                      <a:off x="0" y="0"/>
                      <a:ext cx="5600700" cy="2466975"/>
                    </a:xfrm>
                    <a:prstGeom prst="rect">
                      <a:avLst/>
                    </a:prstGeom>
                  </pic:spPr>
                </pic:pic>
              </a:graphicData>
            </a:graphic>
          </wp:inline>
        </w:drawing>
      </w:r>
    </w:p>
    <w:p xmlns:wp14="http://schemas.microsoft.com/office/word/2010/wordml" w:rsidP="7EC9D161" wp14:paraId="4605FE92" wp14:textId="60235D2E">
      <w:pPr>
        <w:pStyle w:val="Heading1"/>
        <w:spacing w:before="0" w:beforeAutospacing="off" w:after="5" w:afterAutospacing="off"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1F1F1F"/>
          <w:sz w:val="24"/>
          <w:szCs w:val="24"/>
          <w:lang w:val="en-GB"/>
        </w:rPr>
      </w:pPr>
      <w:bookmarkStart w:name="_Toc1926109470" w:id="228619966"/>
      <w:r w:rsidRPr="7EC9D161" w:rsidR="13C67564">
        <w:rPr>
          <w:noProof w:val="0"/>
          <w:lang w:val="en-GB"/>
        </w:rPr>
        <w:t>7. Conclusion</w:t>
      </w:r>
      <w:bookmarkEnd w:id="228619966"/>
      <w:r w:rsidRPr="7EC9D161" w:rsidR="08A5E236">
        <w:rPr>
          <w:noProof w:val="0"/>
          <w:lang w:val="en-GB"/>
        </w:rPr>
        <w:t xml:space="preserve"> </w:t>
      </w:r>
    </w:p>
    <w:p xmlns:wp14="http://schemas.microsoft.com/office/word/2010/wordml" w:rsidP="5071969F" wp14:paraId="37D35A43" wp14:textId="5C8C6772">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The dissertation proposal outlines a strictly defined and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feasible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research project that shall carry out a comparative study of the drivers of customer loyalty in an independent store Guney Food and Wine and the CO-OP convenience retail chain.</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Using a sound quantitative research approach, hypotheses will be tested on relative pre-eminence of emotional and functional loyalty mechanisms in these divergent retail settings.</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35A26AB" w:rsidP="5071969F" w:rsidRDefault="135A26AB" w14:paraId="69FE0FE2" w14:textId="25BD70D9">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5071969F" wp14:paraId="5A4FC5B7" wp14:textId="2D40CE88">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 projected results have a large practical value, as they will provide the owner of Guney Food &amp; Wine and CO-OP strategists with empirically obtained information to streamline their customer retention efforts, therefore, resolving an existing business issue.</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071969F" w:rsidR="13C67564">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The study is methodologically sound research that fills a gap in the existing body of literature in retailing and adheres without question to necessary ethical and structural standards.</w:t>
      </w:r>
    </w:p>
    <w:p w:rsidR="135A26AB" w:rsidP="5071969F" w:rsidRDefault="135A26AB" w14:paraId="70372DE5" w14:textId="44FCB1E8">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w:rsidR="24A845B6" w:rsidP="5071969F" w:rsidRDefault="24A845B6" w14:paraId="673AFC12" w14:textId="4FF9063A">
      <w:pPr>
        <w:pStyle w:val="Normal"/>
        <w:spacing w:before="0" w:beforeAutospacing="off" w:after="5"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5071969F" w:rsidR="24A845B6">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To sum up, the chosen quantitative framework proves to be strong and suitable in comparison with the research goals and, therefore, </w:t>
      </w:r>
      <w:r w:rsidRPr="5071969F" w:rsidR="24A845B6">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provides</w:t>
      </w:r>
      <w:r w:rsidRPr="5071969F" w:rsidR="24A845B6">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a systematic way of deriving action-oriented strategic recommendations that could be implemented by independent and chain convenience retailers.</w:t>
      </w:r>
    </w:p>
    <w:p xmlns:wp14="http://schemas.microsoft.com/office/word/2010/wordml" w:rsidP="7EC9D161" wp14:paraId="4B6862C0" wp14:textId="6C799C65">
      <w:pPr>
        <w:pStyle w:val="Heading1"/>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bookmarkStart w:name="_Toc1061812864" w:id="1147233005"/>
      <w:r w:rsidRPr="7EC9D161" w:rsidR="147E086C">
        <w:rPr>
          <w:noProof w:val="0"/>
          <w:lang w:val="en-GB"/>
        </w:rPr>
        <w:t>8</w:t>
      </w:r>
      <w:r w:rsidRPr="7EC9D161" w:rsidR="147E086C">
        <w:rPr>
          <w:rFonts w:ascii="Arial" w:hAnsi="Arial" w:eastAsia="Arial" w:cs="Arial" w:asciiTheme="minorAscii" w:hAnsiTheme="minorAscii" w:eastAsiaTheme="minorAscii" w:cstheme="minorAscii"/>
          <w:noProof w:val="0"/>
          <w:lang w:val="en-GB"/>
        </w:rPr>
        <w:t>. References</w:t>
      </w:r>
      <w:bookmarkEnd w:id="1147233005"/>
      <w:r w:rsidRPr="7EC9D161" w:rsidR="147E086C">
        <w:rPr>
          <w:rFonts w:ascii="Arial" w:hAnsi="Arial" w:eastAsia="Arial" w:cs="Arial" w:asciiTheme="minorAscii" w:hAnsiTheme="minorAscii" w:eastAsiaTheme="minorAscii" w:cstheme="minorAscii"/>
          <w:noProof w:val="0"/>
          <w:lang w:val="en-GB"/>
        </w:rPr>
        <w:t xml:space="preserve"> </w:t>
      </w:r>
    </w:p>
    <w:p xmlns:wp14="http://schemas.microsoft.com/office/word/2010/wordml" w:rsidP="135A26AB" wp14:paraId="3E0AAA68" wp14:textId="4C2635EF">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Bitner, M.J., Booms, B.H. and Mohr, L.A. (1994) 'Service Encounters: Diagnosing Favourable and Unfavourable Incidents', </w:t>
      </w:r>
      <w:r w:rsidRPr="135A26AB" w:rsidR="38B5F403">
        <w:rPr>
          <w:rFonts w:ascii="Arial" w:hAnsi="Arial" w:eastAsia="Arial" w:cs="Arial"/>
          <w:b w:val="0"/>
          <w:bCs w:val="0"/>
          <w:i w:val="1"/>
          <w:iCs w:val="1"/>
          <w:caps w:val="0"/>
          <w:smallCaps w:val="0"/>
          <w:noProof w:val="0"/>
          <w:color w:val="1F1F1F"/>
          <w:sz w:val="24"/>
          <w:szCs w:val="24"/>
          <w:lang w:val="en-US"/>
        </w:rPr>
        <w:t>Journal of Marketing</w:t>
      </w:r>
      <w:r w:rsidRPr="135A26AB" w:rsidR="38B5F403">
        <w:rPr>
          <w:rFonts w:ascii="Arial" w:hAnsi="Arial" w:eastAsia="Arial" w:cs="Arial"/>
          <w:b w:val="0"/>
          <w:bCs w:val="0"/>
          <w:i w:val="0"/>
          <w:iCs w:val="0"/>
          <w:caps w:val="0"/>
          <w:smallCaps w:val="0"/>
          <w:noProof w:val="0"/>
          <w:color w:val="1F1F1F"/>
          <w:sz w:val="24"/>
          <w:szCs w:val="24"/>
          <w:lang w:val="en-US"/>
        </w:rPr>
        <w:t xml:space="preserve">, 58(1), pp. 71–84. Available at: </w:t>
      </w:r>
      <w:hyperlink r:id="R1ea4f56af00a477f">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https://journals.sagepub.com/doi/10.1177/002224299405800105</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299AB94B" wp14:textId="070E54EA">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Co-operatives UK (2024) </w:t>
      </w:r>
      <w:r w:rsidRPr="135A26AB" w:rsidR="38B5F403">
        <w:rPr>
          <w:rFonts w:ascii="Arial" w:hAnsi="Arial" w:eastAsia="Arial" w:cs="Arial"/>
          <w:b w:val="0"/>
          <w:bCs w:val="0"/>
          <w:i w:val="1"/>
          <w:iCs w:val="1"/>
          <w:caps w:val="0"/>
          <w:smallCaps w:val="0"/>
          <w:noProof w:val="0"/>
          <w:color w:val="1F1F1F"/>
          <w:sz w:val="24"/>
          <w:szCs w:val="24"/>
          <w:lang w:val="en-US"/>
        </w:rPr>
        <w:t>The Co-op Economy 2024: Customer Loyalty and Member Value</w:t>
      </w:r>
      <w:r w:rsidRPr="135A26AB" w:rsidR="38B5F403">
        <w:rPr>
          <w:rFonts w:ascii="Arial" w:hAnsi="Arial" w:eastAsia="Arial" w:cs="Arial"/>
          <w:b w:val="0"/>
          <w:bCs w:val="0"/>
          <w:i w:val="0"/>
          <w:iCs w:val="0"/>
          <w:caps w:val="0"/>
          <w:smallCaps w:val="0"/>
          <w:noProof w:val="0"/>
          <w:color w:val="1F1F1F"/>
          <w:sz w:val="24"/>
          <w:szCs w:val="24"/>
          <w:lang w:val="en-US"/>
        </w:rPr>
        <w:t xml:space="preserve">. Available at: </w:t>
      </w:r>
      <w:hyperlink r:id="R779def4d58dc489f">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https://www.uk.coop/resources/co-operative-economy</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67776B12" wp14:textId="1A664E76">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Competition and Markets Authority (2023) </w:t>
      </w:r>
      <w:r w:rsidRPr="135A26AB" w:rsidR="38B5F403">
        <w:rPr>
          <w:rFonts w:ascii="Arial" w:hAnsi="Arial" w:eastAsia="Arial" w:cs="Arial"/>
          <w:b w:val="0"/>
          <w:bCs w:val="0"/>
          <w:i w:val="1"/>
          <w:iCs w:val="1"/>
          <w:caps w:val="0"/>
          <w:smallCaps w:val="0"/>
          <w:noProof w:val="0"/>
          <w:color w:val="1F1F1F"/>
          <w:sz w:val="24"/>
          <w:szCs w:val="24"/>
          <w:lang w:val="en-US"/>
        </w:rPr>
        <w:t>Findings Report - Loyalty pricing in the groceries sector</w:t>
      </w:r>
      <w:r w:rsidRPr="135A26AB" w:rsidR="38B5F403">
        <w:rPr>
          <w:rFonts w:ascii="Arial" w:hAnsi="Arial" w:eastAsia="Arial" w:cs="Arial"/>
          <w:b w:val="0"/>
          <w:bCs w:val="0"/>
          <w:i w:val="0"/>
          <w:iCs w:val="0"/>
          <w:caps w:val="0"/>
          <w:smallCaps w:val="0"/>
          <w:noProof w:val="0"/>
          <w:color w:val="1F1F1F"/>
          <w:sz w:val="24"/>
          <w:szCs w:val="24"/>
          <w:lang w:val="en-US"/>
        </w:rPr>
        <w:t xml:space="preserve">. Available at: </w:t>
      </w:r>
      <w:hyperlink r:id="Rfaa9ddd6604c4d84">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https://www.gov.uk/government/publications/loyalty-pricing-in-the-groceries-sector</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3C3241F6" wp14:textId="5F96EBBF">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Dick, A.S. and Basu, K. (1994) 'Customer Loyalty: Toward an Integrated Conceptual Framework', </w:t>
      </w:r>
      <w:r w:rsidRPr="135A26AB" w:rsidR="38B5F403">
        <w:rPr>
          <w:rFonts w:ascii="Arial" w:hAnsi="Arial" w:eastAsia="Arial" w:cs="Arial"/>
          <w:b w:val="0"/>
          <w:bCs w:val="0"/>
          <w:i w:val="1"/>
          <w:iCs w:val="1"/>
          <w:caps w:val="0"/>
          <w:smallCaps w:val="0"/>
          <w:noProof w:val="0"/>
          <w:color w:val="1F1F1F"/>
          <w:sz w:val="24"/>
          <w:szCs w:val="24"/>
          <w:lang w:val="en-US"/>
        </w:rPr>
        <w:t>Journal of the Academy of Marketing Science</w:t>
      </w:r>
      <w:r w:rsidRPr="135A26AB" w:rsidR="38B5F403">
        <w:rPr>
          <w:rFonts w:ascii="Arial" w:hAnsi="Arial" w:eastAsia="Arial" w:cs="Arial"/>
          <w:b w:val="0"/>
          <w:bCs w:val="0"/>
          <w:i w:val="0"/>
          <w:iCs w:val="0"/>
          <w:caps w:val="0"/>
          <w:smallCaps w:val="0"/>
          <w:noProof w:val="0"/>
          <w:color w:val="1F1F1F"/>
          <w:sz w:val="24"/>
          <w:szCs w:val="24"/>
          <w:lang w:val="en-US"/>
        </w:rPr>
        <w:t xml:space="preserve">, 22(2), pp. 99–113. Available at: </w:t>
      </w:r>
      <w:hyperlink r:id="R127a2966cc4a41a7">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https://journals.sagepub.com/doi/10.1177/002224299402200205</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696C237A" wp14:textId="29AA57C4">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Euromonitor International (2023) </w:t>
      </w:r>
      <w:r w:rsidRPr="135A26AB" w:rsidR="38B5F403">
        <w:rPr>
          <w:rFonts w:ascii="Arial" w:hAnsi="Arial" w:eastAsia="Arial" w:cs="Arial"/>
          <w:b w:val="0"/>
          <w:bCs w:val="0"/>
          <w:i w:val="1"/>
          <w:iCs w:val="1"/>
          <w:caps w:val="0"/>
          <w:smallCaps w:val="0"/>
          <w:noProof w:val="0"/>
          <w:color w:val="1F1F1F"/>
          <w:sz w:val="24"/>
          <w:szCs w:val="24"/>
          <w:lang w:val="en-US"/>
        </w:rPr>
        <w:t>UK Convenience Retail Market Overview</w:t>
      </w:r>
      <w:r w:rsidRPr="135A26AB" w:rsidR="38B5F403">
        <w:rPr>
          <w:rFonts w:ascii="Arial" w:hAnsi="Arial" w:eastAsia="Arial" w:cs="Arial"/>
          <w:b w:val="0"/>
          <w:bCs w:val="0"/>
          <w:i w:val="0"/>
          <w:iCs w:val="0"/>
          <w:caps w:val="0"/>
          <w:smallCaps w:val="0"/>
          <w:noProof w:val="0"/>
          <w:color w:val="1F1F1F"/>
          <w:sz w:val="24"/>
          <w:szCs w:val="24"/>
          <w:lang w:val="en-US"/>
        </w:rPr>
        <w:t xml:space="preserve">. Available at: </w:t>
      </w:r>
      <w:hyperlink r:id="Ra24d3cbd9be04099">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https://www.euromonitor.com</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5EF31C60" wp14:textId="18B2C2B0">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Field, A. (2018) </w:t>
      </w:r>
      <w:r w:rsidRPr="135A26AB" w:rsidR="38B5F403">
        <w:rPr>
          <w:rFonts w:ascii="Arial" w:hAnsi="Arial" w:eastAsia="Arial" w:cs="Arial"/>
          <w:b w:val="0"/>
          <w:bCs w:val="0"/>
          <w:i w:val="1"/>
          <w:iCs w:val="1"/>
          <w:caps w:val="0"/>
          <w:smallCaps w:val="0"/>
          <w:noProof w:val="0"/>
          <w:color w:val="1F1F1F"/>
          <w:sz w:val="24"/>
          <w:szCs w:val="24"/>
          <w:lang w:val="en-US"/>
        </w:rPr>
        <w:t>Discovering Statistics Using IBM SPSS Statistics</w:t>
      </w:r>
      <w:r w:rsidRPr="135A26AB" w:rsidR="38B5F403">
        <w:rPr>
          <w:rFonts w:ascii="Arial" w:hAnsi="Arial" w:eastAsia="Arial" w:cs="Arial"/>
          <w:b w:val="0"/>
          <w:bCs w:val="0"/>
          <w:i w:val="0"/>
          <w:iCs w:val="0"/>
          <w:caps w:val="0"/>
          <w:smallCaps w:val="0"/>
          <w:noProof w:val="0"/>
          <w:color w:val="1F1F1F"/>
          <w:sz w:val="24"/>
          <w:szCs w:val="24"/>
          <w:lang w:val="en-US"/>
        </w:rPr>
        <w:t xml:space="preserve">. 5th edn. London: SAGE Publications. </w:t>
      </w:r>
    </w:p>
    <w:p xmlns:wp14="http://schemas.microsoft.com/office/word/2010/wordml" w:rsidP="135A26AB" wp14:paraId="1B28BB7A" wp14:textId="25B6597D">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Fox, K. and Luff, T. (2019) 'The Role of Atmosphere in Small Business Loyalty', </w:t>
      </w:r>
      <w:r w:rsidRPr="135A26AB" w:rsidR="38B5F403">
        <w:rPr>
          <w:rFonts w:ascii="Arial" w:hAnsi="Arial" w:eastAsia="Arial" w:cs="Arial"/>
          <w:b w:val="0"/>
          <w:bCs w:val="0"/>
          <w:i w:val="1"/>
          <w:iCs w:val="1"/>
          <w:caps w:val="0"/>
          <w:smallCaps w:val="0"/>
          <w:noProof w:val="0"/>
          <w:color w:val="1F1F1F"/>
          <w:sz w:val="24"/>
          <w:szCs w:val="24"/>
          <w:lang w:val="en-US"/>
        </w:rPr>
        <w:t>Journal of Small Business Management</w:t>
      </w:r>
      <w:r w:rsidRPr="135A26AB" w:rsidR="38B5F403">
        <w:rPr>
          <w:rFonts w:ascii="Arial" w:hAnsi="Arial" w:eastAsia="Arial" w:cs="Arial"/>
          <w:b w:val="0"/>
          <w:bCs w:val="0"/>
          <w:i w:val="0"/>
          <w:iCs w:val="0"/>
          <w:caps w:val="0"/>
          <w:smallCaps w:val="0"/>
          <w:noProof w:val="0"/>
          <w:color w:val="1F1F1F"/>
          <w:sz w:val="24"/>
          <w:szCs w:val="24"/>
          <w:lang w:val="en-US"/>
        </w:rPr>
        <w:t xml:space="preserve">, 57(4), pp. 120-135. Available at: </w:t>
      </w:r>
      <w:hyperlink r:id="R01cd983c95eb4175">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https://onlinelibrary.wiley.com/doi/10.1111/jsbm.12409</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79607E1B" wp14:textId="5AFF4BD3">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Grewal, D., Roggeveen, A. and Nordfält, J. (2020) </w:t>
      </w:r>
      <w:r w:rsidRPr="135A26AB" w:rsidR="38B5F403">
        <w:rPr>
          <w:rFonts w:ascii="Arial" w:hAnsi="Arial" w:eastAsia="Arial" w:cs="Arial"/>
          <w:b w:val="0"/>
          <w:bCs w:val="0"/>
          <w:i w:val="1"/>
          <w:iCs w:val="1"/>
          <w:caps w:val="0"/>
          <w:smallCaps w:val="0"/>
          <w:noProof w:val="0"/>
          <w:color w:val="1F1F1F"/>
          <w:sz w:val="24"/>
          <w:szCs w:val="24"/>
          <w:lang w:val="en-US"/>
        </w:rPr>
        <w:t>The Future of Retailing</w:t>
      </w:r>
      <w:r w:rsidRPr="135A26AB" w:rsidR="38B5F403">
        <w:rPr>
          <w:rFonts w:ascii="Arial" w:hAnsi="Arial" w:eastAsia="Arial" w:cs="Arial"/>
          <w:b w:val="0"/>
          <w:bCs w:val="0"/>
          <w:i w:val="0"/>
          <w:iCs w:val="0"/>
          <w:caps w:val="0"/>
          <w:smallCaps w:val="0"/>
          <w:noProof w:val="0"/>
          <w:color w:val="1F1F1F"/>
          <w:sz w:val="24"/>
          <w:szCs w:val="24"/>
          <w:lang w:val="en-US"/>
        </w:rPr>
        <w:t xml:space="preserve">. London: Emerald Publishing. Available at: </w:t>
      </w:r>
      <w:hyperlink r:id="R9434d251127647fc">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https://www.emerald.com/insight/publication/doi/10.1108/9781787432706</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3AF09152" wp14:textId="22CB3267">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Hair, J.F. et al. (2019) </w:t>
      </w:r>
      <w:r w:rsidRPr="135A26AB" w:rsidR="38B5F403">
        <w:rPr>
          <w:rFonts w:ascii="Arial" w:hAnsi="Arial" w:eastAsia="Arial" w:cs="Arial"/>
          <w:b w:val="0"/>
          <w:bCs w:val="0"/>
          <w:i w:val="1"/>
          <w:iCs w:val="1"/>
          <w:caps w:val="0"/>
          <w:smallCaps w:val="0"/>
          <w:noProof w:val="0"/>
          <w:color w:val="1F1F1F"/>
          <w:sz w:val="24"/>
          <w:szCs w:val="24"/>
          <w:lang w:val="en-US"/>
        </w:rPr>
        <w:t>Multivariate Data Analysis</w:t>
      </w:r>
      <w:r w:rsidRPr="135A26AB" w:rsidR="38B5F403">
        <w:rPr>
          <w:rFonts w:ascii="Arial" w:hAnsi="Arial" w:eastAsia="Arial" w:cs="Arial"/>
          <w:b w:val="0"/>
          <w:bCs w:val="0"/>
          <w:i w:val="0"/>
          <w:iCs w:val="0"/>
          <w:caps w:val="0"/>
          <w:smallCaps w:val="0"/>
          <w:noProof w:val="0"/>
          <w:color w:val="1F1F1F"/>
          <w:sz w:val="24"/>
          <w:szCs w:val="24"/>
          <w:lang w:val="en-US"/>
        </w:rPr>
        <w:t xml:space="preserve">. 8th edn. Harlow: Pearson Education Limited. Available at: </w:t>
      </w:r>
      <w:hyperlink r:id="R7f0ec45b90474c54">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https://www.pearson.com/en-gb/subject-catalog/p/multivariate-data-analysis/P200000006305</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0099882A" wp14:textId="66C02336">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Heskett, J.L. et al. (1994) 'Putting the Service-Profit Chain to Work', </w:t>
      </w:r>
      <w:r w:rsidRPr="135A26AB" w:rsidR="38B5F403">
        <w:rPr>
          <w:rFonts w:ascii="Arial" w:hAnsi="Arial" w:eastAsia="Arial" w:cs="Arial"/>
          <w:b w:val="0"/>
          <w:bCs w:val="0"/>
          <w:i w:val="1"/>
          <w:iCs w:val="1"/>
          <w:caps w:val="0"/>
          <w:smallCaps w:val="0"/>
          <w:noProof w:val="0"/>
          <w:color w:val="1F1F1F"/>
          <w:sz w:val="24"/>
          <w:szCs w:val="24"/>
          <w:lang w:val="en-US"/>
        </w:rPr>
        <w:t>Harvard Business Review</w:t>
      </w:r>
      <w:r w:rsidRPr="135A26AB" w:rsidR="38B5F403">
        <w:rPr>
          <w:rFonts w:ascii="Arial" w:hAnsi="Arial" w:eastAsia="Arial" w:cs="Arial"/>
          <w:b w:val="0"/>
          <w:bCs w:val="0"/>
          <w:i w:val="0"/>
          <w:iCs w:val="0"/>
          <w:caps w:val="0"/>
          <w:smallCaps w:val="0"/>
          <w:noProof w:val="0"/>
          <w:color w:val="1F1F1F"/>
          <w:sz w:val="24"/>
          <w:szCs w:val="24"/>
          <w:lang w:val="en-US"/>
        </w:rPr>
        <w:t xml:space="preserve">, 72(2), pp. 164–174. Available at: </w:t>
      </w:r>
      <w:hyperlink r:id="Rccd536a144844c3e">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https://hbr.org/1994/03/putting-the-service-profit-chain-to-work</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7C21DCEA" wp14:textId="1ECFE647">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Johnson, L. (2023) </w:t>
      </w:r>
      <w:r w:rsidRPr="135A26AB" w:rsidR="38B5F403">
        <w:rPr>
          <w:rFonts w:ascii="Arial" w:hAnsi="Arial" w:eastAsia="Arial" w:cs="Arial"/>
          <w:b w:val="0"/>
          <w:bCs w:val="0"/>
          <w:i w:val="1"/>
          <w:iCs w:val="1"/>
          <w:caps w:val="0"/>
          <w:smallCaps w:val="0"/>
          <w:noProof w:val="0"/>
          <w:color w:val="1F1F1F"/>
          <w:sz w:val="24"/>
          <w:szCs w:val="24"/>
          <w:lang w:val="en-US"/>
        </w:rPr>
        <w:t>A Guide to Qualitative and Quantitative Research in Business</w:t>
      </w:r>
      <w:r w:rsidRPr="135A26AB" w:rsidR="38B5F403">
        <w:rPr>
          <w:rFonts w:ascii="Arial" w:hAnsi="Arial" w:eastAsia="Arial" w:cs="Arial"/>
          <w:b w:val="0"/>
          <w:bCs w:val="0"/>
          <w:i w:val="0"/>
          <w:iCs w:val="0"/>
          <w:caps w:val="0"/>
          <w:smallCaps w:val="0"/>
          <w:noProof w:val="0"/>
          <w:color w:val="1F1F1F"/>
          <w:sz w:val="24"/>
          <w:szCs w:val="24"/>
          <w:lang w:val="en-US"/>
        </w:rPr>
        <w:t xml:space="preserve">. New York: Pearson. Available at: </w:t>
      </w:r>
      <w:hyperlink r:id="Rcbb1b00bdeac41bc">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https://www.pearson.com</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w:t>
      </w:r>
    </w:p>
    <w:p xmlns:wp14="http://schemas.microsoft.com/office/word/2010/wordml" w:rsidP="135A26AB" wp14:paraId="1121C055" wp14:textId="3E5366DB">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Jones, P., Comfort, D. and Hillier, D. (2021) 'Independent Retailers and Customer Loyalty in the UK', </w:t>
      </w:r>
      <w:r w:rsidRPr="135A26AB" w:rsidR="38B5F403">
        <w:rPr>
          <w:rFonts w:ascii="Arial" w:hAnsi="Arial" w:eastAsia="Arial" w:cs="Arial"/>
          <w:b w:val="0"/>
          <w:bCs w:val="0"/>
          <w:i w:val="1"/>
          <w:iCs w:val="1"/>
          <w:caps w:val="0"/>
          <w:smallCaps w:val="0"/>
          <w:noProof w:val="0"/>
          <w:color w:val="1F1F1F"/>
          <w:sz w:val="24"/>
          <w:szCs w:val="24"/>
          <w:lang w:val="en-US"/>
        </w:rPr>
        <w:t>International Journal of Retail &amp; Distribution Management</w:t>
      </w:r>
      <w:r w:rsidRPr="135A26AB" w:rsidR="38B5F403">
        <w:rPr>
          <w:rFonts w:ascii="Arial" w:hAnsi="Arial" w:eastAsia="Arial" w:cs="Arial"/>
          <w:b w:val="0"/>
          <w:bCs w:val="0"/>
          <w:i w:val="0"/>
          <w:iCs w:val="0"/>
          <w:caps w:val="0"/>
          <w:smallCaps w:val="0"/>
          <w:noProof w:val="0"/>
          <w:color w:val="1F1F1F"/>
          <w:sz w:val="24"/>
          <w:szCs w:val="24"/>
          <w:lang w:val="en-US"/>
        </w:rPr>
        <w:t xml:space="preserve">, 49(3), pp. 319–337. Available at: </w:t>
      </w:r>
      <w:hyperlink r:id="R43b797ce8a344566">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https://www.emerald.com/insight/content/doi/10.1108/IJRDM-07-2020-0295</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409FCA27" wp14:textId="3065CE7C">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Klaus, P. and Maklan, S. (2013) 'Towards a Better Measure of Customer Experience', </w:t>
      </w:r>
      <w:r w:rsidRPr="135A26AB" w:rsidR="38B5F403">
        <w:rPr>
          <w:rFonts w:ascii="Arial" w:hAnsi="Arial" w:eastAsia="Arial" w:cs="Arial"/>
          <w:b w:val="0"/>
          <w:bCs w:val="0"/>
          <w:i w:val="1"/>
          <w:iCs w:val="1"/>
          <w:caps w:val="0"/>
          <w:smallCaps w:val="0"/>
          <w:noProof w:val="0"/>
          <w:color w:val="1F1F1F"/>
          <w:sz w:val="24"/>
          <w:szCs w:val="24"/>
          <w:lang w:val="en-US"/>
        </w:rPr>
        <w:t>European Journal of Marketing</w:t>
      </w:r>
      <w:r w:rsidRPr="135A26AB" w:rsidR="38B5F403">
        <w:rPr>
          <w:rFonts w:ascii="Arial" w:hAnsi="Arial" w:eastAsia="Arial" w:cs="Arial"/>
          <w:b w:val="0"/>
          <w:bCs w:val="0"/>
          <w:i w:val="0"/>
          <w:iCs w:val="0"/>
          <w:caps w:val="0"/>
          <w:smallCaps w:val="0"/>
          <w:noProof w:val="0"/>
          <w:color w:val="1F1F1F"/>
          <w:sz w:val="24"/>
          <w:szCs w:val="24"/>
          <w:lang w:val="en-US"/>
        </w:rPr>
        <w:t xml:space="preserve">, 47(5/6), pp. 903–927. Available at: </w:t>
      </w:r>
      <w:hyperlink r:id="R45de9d30ba6c48c6">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https://www.emerald.com/insight/content/doi/10.1108/03090561311307455</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09723502" wp14:textId="0954D0F0">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Lee, S. (2022) 'Comparing Loyalty Drivers Between Independent and Chain Retailers in the UK', </w:t>
      </w:r>
      <w:r w:rsidRPr="135A26AB" w:rsidR="38B5F403">
        <w:rPr>
          <w:rFonts w:ascii="Arial" w:hAnsi="Arial" w:eastAsia="Arial" w:cs="Arial"/>
          <w:b w:val="0"/>
          <w:bCs w:val="0"/>
          <w:i w:val="1"/>
          <w:iCs w:val="1"/>
          <w:caps w:val="0"/>
          <w:smallCaps w:val="0"/>
          <w:noProof w:val="0"/>
          <w:color w:val="1F1F1F"/>
          <w:sz w:val="24"/>
          <w:szCs w:val="24"/>
          <w:lang w:val="en-US"/>
        </w:rPr>
        <w:t>Journal of Retailing and Consumer Services</w:t>
      </w:r>
      <w:r w:rsidRPr="135A26AB" w:rsidR="38B5F403">
        <w:rPr>
          <w:rFonts w:ascii="Arial" w:hAnsi="Arial" w:eastAsia="Arial" w:cs="Arial"/>
          <w:b w:val="0"/>
          <w:bCs w:val="0"/>
          <w:i w:val="0"/>
          <w:iCs w:val="0"/>
          <w:caps w:val="0"/>
          <w:smallCaps w:val="0"/>
          <w:noProof w:val="0"/>
          <w:color w:val="1F1F1F"/>
          <w:sz w:val="24"/>
          <w:szCs w:val="24"/>
          <w:lang w:val="en-US"/>
        </w:rPr>
        <w:t xml:space="preserve">, 64, 102801. Available at: </w:t>
      </w:r>
      <w:hyperlink r:id="R680250fc4f374c7b">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https://www.sciencedirect.com/science/article/pii/S096969892100321X</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4D600F45" wp14:textId="19DA4E87">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Mintel (2024) </w:t>
      </w:r>
      <w:r w:rsidRPr="135A26AB" w:rsidR="38B5F403">
        <w:rPr>
          <w:rFonts w:ascii="Arial" w:hAnsi="Arial" w:eastAsia="Arial" w:cs="Arial"/>
          <w:b w:val="0"/>
          <w:bCs w:val="0"/>
          <w:i w:val="1"/>
          <w:iCs w:val="1"/>
          <w:caps w:val="0"/>
          <w:smallCaps w:val="0"/>
          <w:noProof w:val="0"/>
          <w:color w:val="1F1F1F"/>
          <w:sz w:val="24"/>
          <w:szCs w:val="24"/>
          <w:lang w:val="en-US"/>
        </w:rPr>
        <w:t>UK Convenience Retail Market Report</w:t>
      </w:r>
      <w:r w:rsidRPr="135A26AB" w:rsidR="38B5F403">
        <w:rPr>
          <w:rFonts w:ascii="Arial" w:hAnsi="Arial" w:eastAsia="Arial" w:cs="Arial"/>
          <w:b w:val="0"/>
          <w:bCs w:val="0"/>
          <w:i w:val="0"/>
          <w:iCs w:val="0"/>
          <w:caps w:val="0"/>
          <w:smallCaps w:val="0"/>
          <w:noProof w:val="0"/>
          <w:color w:val="1F1F1F"/>
          <w:sz w:val="24"/>
          <w:szCs w:val="24"/>
          <w:lang w:val="en-US"/>
        </w:rPr>
        <w:t xml:space="preserve">. London: Mintel Group Ltd. Available at: </w:t>
      </w:r>
      <w:hyperlink r:id="R1409c984e38d4d26">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https://www.mintel.com</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085E76D0" wp14:textId="27782865">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Oliver, R.L. (1999) 'Whence Consumer Loyalty?', </w:t>
      </w:r>
      <w:r w:rsidRPr="135A26AB" w:rsidR="38B5F403">
        <w:rPr>
          <w:rFonts w:ascii="Arial" w:hAnsi="Arial" w:eastAsia="Arial" w:cs="Arial"/>
          <w:b w:val="0"/>
          <w:bCs w:val="0"/>
          <w:i w:val="1"/>
          <w:iCs w:val="1"/>
          <w:caps w:val="0"/>
          <w:smallCaps w:val="0"/>
          <w:noProof w:val="0"/>
          <w:color w:val="1F1F1F"/>
          <w:sz w:val="24"/>
          <w:szCs w:val="24"/>
          <w:lang w:val="en-US"/>
        </w:rPr>
        <w:t>Journal of Marketing</w:t>
      </w:r>
      <w:r w:rsidRPr="135A26AB" w:rsidR="38B5F403">
        <w:rPr>
          <w:rFonts w:ascii="Arial" w:hAnsi="Arial" w:eastAsia="Arial" w:cs="Arial"/>
          <w:b w:val="0"/>
          <w:bCs w:val="0"/>
          <w:i w:val="0"/>
          <w:iCs w:val="0"/>
          <w:caps w:val="0"/>
          <w:smallCaps w:val="0"/>
          <w:noProof w:val="0"/>
          <w:color w:val="1F1F1F"/>
          <w:sz w:val="24"/>
          <w:szCs w:val="24"/>
          <w:lang w:val="en-US"/>
        </w:rPr>
        <w:t xml:space="preserve">, 63, pp. 33–44. Available at: </w:t>
      </w:r>
      <w:hyperlink r:id="Ra93ace76d7e64bc4">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https://journals.sagepub.com/doi/10.1177/002224299906300302</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5751D052" wp14:textId="5CCD08FF">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Parasuraman, A., Zeithaml, V.A. and Berry, L.L. (1988) 'SERVQUAL: A Multiple-Item Scale for Measuring Consumer Perceptions of Service Quality', </w:t>
      </w:r>
      <w:r w:rsidRPr="135A26AB" w:rsidR="38B5F403">
        <w:rPr>
          <w:rFonts w:ascii="Arial" w:hAnsi="Arial" w:eastAsia="Arial" w:cs="Arial"/>
          <w:b w:val="0"/>
          <w:bCs w:val="0"/>
          <w:i w:val="1"/>
          <w:iCs w:val="1"/>
          <w:caps w:val="0"/>
          <w:smallCaps w:val="0"/>
          <w:noProof w:val="0"/>
          <w:color w:val="1F1F1F"/>
          <w:sz w:val="24"/>
          <w:szCs w:val="24"/>
          <w:lang w:val="en-US"/>
        </w:rPr>
        <w:t>Journal of Retailing</w:t>
      </w:r>
      <w:r w:rsidRPr="135A26AB" w:rsidR="38B5F403">
        <w:rPr>
          <w:rFonts w:ascii="Arial" w:hAnsi="Arial" w:eastAsia="Arial" w:cs="Arial"/>
          <w:b w:val="0"/>
          <w:bCs w:val="0"/>
          <w:i w:val="0"/>
          <w:iCs w:val="0"/>
          <w:caps w:val="0"/>
          <w:smallCaps w:val="0"/>
          <w:noProof w:val="0"/>
          <w:color w:val="1F1F1F"/>
          <w:sz w:val="24"/>
          <w:szCs w:val="24"/>
          <w:lang w:val="en-US"/>
        </w:rPr>
        <w:t xml:space="preserve">, 64(1), pp. 12–40. Available at: </w:t>
      </w:r>
      <w:hyperlink r:id="Rc75a995fead14c7a">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https://www.sciencedirect.com/science/article/pii/S0022435988701090</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0A1284D5" wp14:textId="68423E49">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Smith, B. (2020) </w:t>
      </w:r>
      <w:r w:rsidRPr="135A26AB" w:rsidR="38B5F403">
        <w:rPr>
          <w:rFonts w:ascii="Arial" w:hAnsi="Arial" w:eastAsia="Arial" w:cs="Arial"/>
          <w:b w:val="0"/>
          <w:bCs w:val="0"/>
          <w:i w:val="1"/>
          <w:iCs w:val="1"/>
          <w:caps w:val="0"/>
          <w:smallCaps w:val="0"/>
          <w:noProof w:val="0"/>
          <w:color w:val="1F1F1F"/>
          <w:sz w:val="24"/>
          <w:szCs w:val="24"/>
          <w:lang w:val="en-US"/>
        </w:rPr>
        <w:t>Research Philosophy for Business: Positivism and Interpretivism</w:t>
      </w:r>
      <w:r w:rsidRPr="135A26AB" w:rsidR="38B5F403">
        <w:rPr>
          <w:rFonts w:ascii="Arial" w:hAnsi="Arial" w:eastAsia="Arial" w:cs="Arial"/>
          <w:b w:val="0"/>
          <w:bCs w:val="0"/>
          <w:i w:val="0"/>
          <w:iCs w:val="0"/>
          <w:caps w:val="0"/>
          <w:smallCaps w:val="0"/>
          <w:noProof w:val="0"/>
          <w:color w:val="1F1F1F"/>
          <w:sz w:val="24"/>
          <w:szCs w:val="24"/>
          <w:lang w:val="en-US"/>
        </w:rPr>
        <w:t xml:space="preserve">. London: Routledge. Available at: </w:t>
      </w:r>
      <w:hyperlink r:id="Rcb6fde716d5442ec">
        <w:r w:rsidRPr="135A26AB" w:rsidR="38B5F403">
          <w:rPr>
            <w:rStyle w:val="Hyperlink"/>
            <w:rFonts w:ascii="Arial" w:hAnsi="Arial" w:eastAsia="Arial" w:cs="Arial"/>
            <w:b w:val="0"/>
            <w:bCs w:val="0"/>
            <w:i w:val="0"/>
            <w:iCs w:val="0"/>
            <w:caps w:val="0"/>
            <w:smallCaps w:val="0"/>
            <w:strike w:val="0"/>
            <w:dstrike w:val="0"/>
            <w:noProof w:val="0"/>
            <w:sz w:val="24"/>
            <w:szCs w:val="24"/>
            <w:lang w:val="en-US"/>
          </w:rPr>
          <w:t>https://www.routledge.com/Research-Philosophy-for-Business</w:t>
        </w:r>
      </w:hyperlink>
      <w:r w:rsidRPr="135A26AB" w:rsidR="38B5F403">
        <w:rPr>
          <w:rFonts w:ascii="Arial" w:hAnsi="Arial" w:eastAsia="Arial" w:cs="Arial"/>
          <w:b w:val="0"/>
          <w:bCs w:val="0"/>
          <w:i w:val="0"/>
          <w:iCs w:val="0"/>
          <w:caps w:val="0"/>
          <w:smallCaps w:val="0"/>
          <w:noProof w:val="0"/>
          <w:color w:val="1F1F1F"/>
          <w:sz w:val="24"/>
          <w:szCs w:val="24"/>
          <w:lang w:val="en-US"/>
        </w:rPr>
        <w:t xml:space="preserve"> (Accessed: 29 December 2025). </w:t>
      </w:r>
    </w:p>
    <w:p xmlns:wp14="http://schemas.microsoft.com/office/word/2010/wordml" w:rsidP="135A26AB" wp14:paraId="7779DDA7" wp14:textId="778791F9">
      <w:pPr>
        <w:spacing w:before="0" w:beforeAutospacing="off" w:after="240" w:afterAutospacing="off" w:line="360" w:lineRule="auto"/>
        <w:jc w:val="both"/>
        <w:rPr>
          <w:rFonts w:ascii="Arial" w:hAnsi="Arial" w:eastAsia="Arial" w:cs="Arial"/>
          <w:b w:val="0"/>
          <w:bCs w:val="0"/>
          <w:i w:val="0"/>
          <w:iCs w:val="0"/>
          <w:caps w:val="0"/>
          <w:smallCaps w:val="0"/>
          <w:noProof w:val="0"/>
          <w:color w:val="1F1F1F"/>
          <w:sz w:val="24"/>
          <w:szCs w:val="24"/>
          <w:lang w:val="en-US"/>
        </w:rPr>
      </w:pPr>
      <w:r w:rsidRPr="135A26AB" w:rsidR="38B5F403">
        <w:rPr>
          <w:rFonts w:ascii="Arial" w:hAnsi="Arial" w:eastAsia="Arial" w:cs="Arial"/>
          <w:b w:val="0"/>
          <w:bCs w:val="0"/>
          <w:i w:val="0"/>
          <w:iCs w:val="0"/>
          <w:caps w:val="0"/>
          <w:smallCaps w:val="0"/>
          <w:noProof w:val="0"/>
          <w:color w:val="1F1F1F"/>
          <w:sz w:val="24"/>
          <w:szCs w:val="24"/>
          <w:lang w:val="en-US"/>
        </w:rPr>
        <w:t xml:space="preserve">Sriram, R. and Krishnan, R. (2022) 'Reliability and Validity in Survey Instruments: A Guide to Cronbach’s Alpha', </w:t>
      </w:r>
      <w:r w:rsidRPr="135A26AB" w:rsidR="38B5F403">
        <w:rPr>
          <w:rFonts w:ascii="Arial" w:hAnsi="Arial" w:eastAsia="Arial" w:cs="Arial"/>
          <w:b w:val="0"/>
          <w:bCs w:val="0"/>
          <w:i w:val="1"/>
          <w:iCs w:val="1"/>
          <w:caps w:val="0"/>
          <w:smallCaps w:val="0"/>
          <w:noProof w:val="0"/>
          <w:color w:val="1F1F1F"/>
          <w:sz w:val="24"/>
          <w:szCs w:val="24"/>
          <w:lang w:val="en-US"/>
        </w:rPr>
        <w:t>International Journal of Research in Business and Management</w:t>
      </w:r>
      <w:r w:rsidRPr="135A26AB" w:rsidR="38B5F403">
        <w:rPr>
          <w:rFonts w:ascii="Arial" w:hAnsi="Arial" w:eastAsia="Arial" w:cs="Arial"/>
          <w:b w:val="0"/>
          <w:bCs w:val="0"/>
          <w:i w:val="0"/>
          <w:iCs w:val="0"/>
          <w:caps w:val="0"/>
          <w:smallCaps w:val="0"/>
          <w:noProof w:val="0"/>
          <w:color w:val="1F1F1F"/>
          <w:sz w:val="24"/>
          <w:szCs w:val="24"/>
          <w:lang w:val="en-US"/>
        </w:rPr>
        <w:t>, 10(2), pp. 1–10.</w:t>
      </w:r>
    </w:p>
    <w:p xmlns:wp14="http://schemas.microsoft.com/office/word/2010/wordml" w:rsidP="5071969F" wp14:paraId="7208553C" wp14:textId="7AEC542B">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p>
    <w:p xmlns:wp14="http://schemas.microsoft.com/office/word/2010/wordml" w:rsidP="5071969F" wp14:paraId="40F090A3" wp14:textId="7EEA731A">
      <w:pPr>
        <w:spacing w:before="0" w:beforeAutospacing="off" w:after="5"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0C14EFF8" wp14:textId="7D56D1D1">
      <w:pPr>
        <w:pStyle w:val="Normal"/>
        <w:keepNext w:val="1"/>
        <w:keepLines w:val="1"/>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40B271C0" wp14:textId="4C0E4AD4">
      <w:pPr>
        <w:pStyle w:val="Normal"/>
        <w:keepNext w:val="1"/>
        <w:keepLines w:val="1"/>
        <w:spacing w:line="360" w:lineRule="auto"/>
        <w:jc w:val="both"/>
        <w:rPr>
          <w:rFonts w:ascii="Arial" w:hAnsi="Arial" w:eastAsia="Arial" w:cs="Arial" w:asciiTheme="minorAscii" w:hAnsiTheme="minorAscii" w:eastAsiaTheme="minorAscii" w:cstheme="minorAscii"/>
          <w:noProof w:val="0"/>
          <w:lang w:val="en-GB"/>
        </w:rPr>
      </w:pPr>
    </w:p>
    <w:p xmlns:wp14="http://schemas.microsoft.com/office/word/2010/wordml" w:rsidP="5071969F" wp14:paraId="6B0A3FB4" wp14:textId="36C535D7">
      <w:pPr>
        <w:pStyle w:val="Normal"/>
        <w:keepNext w:val="1"/>
        <w:keepLines w:val="1"/>
        <w:spacing w:line="360" w:lineRule="auto"/>
        <w:jc w:val="both"/>
        <w:rPr>
          <w:rFonts w:ascii="Arial" w:hAnsi="Arial" w:eastAsia="Arial" w:cs="Arial" w:asciiTheme="minorAscii" w:hAnsiTheme="minorAscii" w:eastAsiaTheme="minorAscii" w:cstheme="minorAscii"/>
          <w:noProof w:val="0"/>
          <w:lang w:val="en-GB"/>
        </w:rPr>
      </w:pPr>
    </w:p>
    <w:p xmlns:wp14="http://schemas.microsoft.com/office/word/2010/wordml" w:rsidP="5071969F" wp14:paraId="50386218" wp14:textId="7733A9D8">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61512B97" wp14:textId="321D00F9">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29BB5541" wp14:textId="09FAAB9E">
      <w:pPr>
        <w:pStyle w:val="Normal"/>
        <w:spacing w:after="301"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11F70754" wp14:textId="3B1F102C">
      <w:pPr>
        <w:pStyle w:val="Normal"/>
        <w:spacing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pPr>
    </w:p>
    <w:p xmlns:wp14="http://schemas.microsoft.com/office/word/2010/wordml" w:rsidP="5071969F" wp14:paraId="2C078E63" wp14:textId="7677C772">
      <w:pPr>
        <w:spacing w:line="360" w:lineRule="auto"/>
        <w:jc w:val="both"/>
        <w:rPr>
          <w:rFonts w:ascii="Arial" w:hAnsi="Arial" w:eastAsia="Arial" w:cs="Arial" w:asciiTheme="minorAscii" w:hAnsiTheme="minorAscii" w:eastAsiaTheme="minorAscii" w:cstheme="minorAscii"/>
        </w:rPr>
      </w:pPr>
    </w:p>
    <w:sectPr>
      <w:pgSz w:w="12240" w:h="15840"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40f0eab14eb94084"/>
      <w:footerReference w:type="default" r:id="Rcb46e38bf4424b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C0BAFD" w:rsidTr="0DC0BAFD" w14:paraId="1E3E5CB5">
      <w:trPr>
        <w:trHeight w:val="300"/>
      </w:trPr>
      <w:tc>
        <w:tcPr>
          <w:tcW w:w="3120" w:type="dxa"/>
          <w:tcMar/>
        </w:tcPr>
        <w:p w:rsidR="0DC0BAFD" w:rsidP="0DC0BAFD" w:rsidRDefault="0DC0BAFD" w14:paraId="0823011C" w14:textId="683DF7FC">
          <w:pPr>
            <w:pStyle w:val="Header"/>
            <w:bidi w:val="0"/>
            <w:ind w:left="-115"/>
            <w:jc w:val="left"/>
          </w:pPr>
        </w:p>
      </w:tc>
      <w:tc>
        <w:tcPr>
          <w:tcW w:w="3120" w:type="dxa"/>
          <w:tcMar/>
        </w:tcPr>
        <w:p w:rsidR="0DC0BAFD" w:rsidP="0DC0BAFD" w:rsidRDefault="0DC0BAFD" w14:paraId="1ABCED91" w14:textId="4C4C9BDA">
          <w:pPr>
            <w:pStyle w:val="Header"/>
            <w:bidi w:val="0"/>
            <w:jc w:val="center"/>
          </w:pPr>
        </w:p>
      </w:tc>
      <w:tc>
        <w:tcPr>
          <w:tcW w:w="3120" w:type="dxa"/>
          <w:tcMar/>
        </w:tcPr>
        <w:p w:rsidR="0DC0BAFD" w:rsidP="0DC0BAFD" w:rsidRDefault="0DC0BAFD" w14:paraId="274C43BA" w14:textId="428C98C7">
          <w:pPr>
            <w:pStyle w:val="Header"/>
            <w:bidi w:val="0"/>
            <w:ind w:right="-115"/>
            <w:jc w:val="right"/>
          </w:pPr>
          <w:r>
            <w:fldChar w:fldCharType="begin"/>
          </w:r>
          <w:r>
            <w:instrText xml:space="preserve">PAGE</w:instrText>
          </w:r>
          <w:r>
            <w:fldChar w:fldCharType="separate"/>
          </w:r>
          <w:r>
            <w:fldChar w:fldCharType="end"/>
          </w:r>
        </w:p>
      </w:tc>
    </w:tr>
  </w:tbl>
  <w:p w:rsidR="0DC0BAFD" w:rsidP="0DC0BAFD" w:rsidRDefault="0DC0BAFD" w14:paraId="636E8CEE" w14:textId="7A6763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C0BAFD" w:rsidTr="0DC0BAFD" w14:paraId="4120EA8B">
      <w:trPr>
        <w:trHeight w:val="300"/>
      </w:trPr>
      <w:tc>
        <w:tcPr>
          <w:tcW w:w="3120" w:type="dxa"/>
          <w:tcMar/>
        </w:tcPr>
        <w:p w:rsidR="0DC0BAFD" w:rsidP="0DC0BAFD" w:rsidRDefault="0DC0BAFD" w14:paraId="5B7821BA" w14:textId="199C5108">
          <w:pPr>
            <w:pStyle w:val="Header"/>
            <w:bidi w:val="0"/>
            <w:ind w:left="-115"/>
            <w:jc w:val="left"/>
          </w:pPr>
        </w:p>
      </w:tc>
      <w:tc>
        <w:tcPr>
          <w:tcW w:w="3120" w:type="dxa"/>
          <w:tcMar/>
        </w:tcPr>
        <w:p w:rsidR="0DC0BAFD" w:rsidP="0DC0BAFD" w:rsidRDefault="0DC0BAFD" w14:paraId="1986570F" w14:textId="73A687DA">
          <w:pPr>
            <w:pStyle w:val="Header"/>
            <w:bidi w:val="0"/>
            <w:jc w:val="center"/>
          </w:pPr>
        </w:p>
      </w:tc>
      <w:tc>
        <w:tcPr>
          <w:tcW w:w="3120" w:type="dxa"/>
          <w:tcMar/>
        </w:tcPr>
        <w:p w:rsidR="0DC0BAFD" w:rsidP="0DC0BAFD" w:rsidRDefault="0DC0BAFD" w14:paraId="05C697F8" w14:textId="5A8B7FA6">
          <w:pPr>
            <w:pStyle w:val="Header"/>
            <w:bidi w:val="0"/>
            <w:ind w:right="-115"/>
            <w:jc w:val="right"/>
          </w:pPr>
        </w:p>
      </w:tc>
    </w:tr>
  </w:tbl>
  <w:p w:rsidR="0DC0BAFD" w:rsidP="0DC0BAFD" w:rsidRDefault="0DC0BAFD" w14:paraId="4E00FD4A" w14:textId="5F88E840">
    <w:pPr>
      <w:pStyle w:val="Header"/>
      <w:bidi w:val="0"/>
    </w:pPr>
  </w:p>
</w:hdr>
</file>

<file path=word/intelligence2.xml><?xml version="1.0" encoding="utf-8"?>
<int2:intelligence xmlns:int2="http://schemas.microsoft.com/office/intelligence/2020/intelligence">
  <int2:observations>
    <int2:textHash int2:hashCode="GXGNanWGizQYHC" int2:id="ieJcmPh4">
      <int2:state int2:type="spell" int2:value="Rejected"/>
    </int2:textHash>
    <int2:textHash int2:hashCode="OrtZNwJC/JiGrS" int2:id="Fnhkckh3">
      <int2:state int2:type="spell" int2:value="Rejected"/>
    </int2:textHash>
    <int2:textHash int2:hashCode="f4T7+ij+hx7y5S" int2:id="Goej6v3c">
      <int2:state int2:type="spell" int2:value="Rejected"/>
    </int2:textHash>
    <int2:textHash int2:hashCode="X5jjQ2Y8cRp8eO" int2:id="zX0kKxS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fc13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59d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08b4c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decimal"/>
      <w:lvlText w:val="%1.%2"/>
      <w:lvlJc w:val="left"/>
      <w:pPr>
        <w:ind w:left="760" w:hanging="40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A1D0F8"/>
    <w:rsid w:val="014620DE"/>
    <w:rsid w:val="03E728E0"/>
    <w:rsid w:val="056B04FE"/>
    <w:rsid w:val="05B0186E"/>
    <w:rsid w:val="06426042"/>
    <w:rsid w:val="0657ADEB"/>
    <w:rsid w:val="0781F172"/>
    <w:rsid w:val="07D855BE"/>
    <w:rsid w:val="08025779"/>
    <w:rsid w:val="08A5E236"/>
    <w:rsid w:val="08B3B31E"/>
    <w:rsid w:val="08C9E6E4"/>
    <w:rsid w:val="08F71C8F"/>
    <w:rsid w:val="0949600F"/>
    <w:rsid w:val="09713AB8"/>
    <w:rsid w:val="0994952E"/>
    <w:rsid w:val="0A8AACFA"/>
    <w:rsid w:val="0AFCC9C2"/>
    <w:rsid w:val="0B547F8F"/>
    <w:rsid w:val="0BAB74B1"/>
    <w:rsid w:val="0BADB60E"/>
    <w:rsid w:val="0BDC7E06"/>
    <w:rsid w:val="0C3B5F7E"/>
    <w:rsid w:val="0C7213D3"/>
    <w:rsid w:val="0C98C9DD"/>
    <w:rsid w:val="0DC0BAFD"/>
    <w:rsid w:val="0DEC95DE"/>
    <w:rsid w:val="0E79CD24"/>
    <w:rsid w:val="0FA04BCE"/>
    <w:rsid w:val="10589F41"/>
    <w:rsid w:val="10B73B9D"/>
    <w:rsid w:val="10BE8954"/>
    <w:rsid w:val="11CE5447"/>
    <w:rsid w:val="125075EF"/>
    <w:rsid w:val="135A26AB"/>
    <w:rsid w:val="13C67564"/>
    <w:rsid w:val="1433AFA5"/>
    <w:rsid w:val="147E086C"/>
    <w:rsid w:val="162C67FB"/>
    <w:rsid w:val="1643B4BD"/>
    <w:rsid w:val="1674065A"/>
    <w:rsid w:val="1916BA19"/>
    <w:rsid w:val="1950EC82"/>
    <w:rsid w:val="19828A61"/>
    <w:rsid w:val="1A7CACF3"/>
    <w:rsid w:val="1C2300B0"/>
    <w:rsid w:val="1EB9E8D1"/>
    <w:rsid w:val="1EDFD25A"/>
    <w:rsid w:val="1EE7F03C"/>
    <w:rsid w:val="1F43014C"/>
    <w:rsid w:val="1FC0CE57"/>
    <w:rsid w:val="208547B8"/>
    <w:rsid w:val="209DDC07"/>
    <w:rsid w:val="20C57288"/>
    <w:rsid w:val="2127B152"/>
    <w:rsid w:val="21F3536B"/>
    <w:rsid w:val="21F3536B"/>
    <w:rsid w:val="228BE691"/>
    <w:rsid w:val="22ECF5BB"/>
    <w:rsid w:val="2364674F"/>
    <w:rsid w:val="23678200"/>
    <w:rsid w:val="23DF8FFD"/>
    <w:rsid w:val="24A845B6"/>
    <w:rsid w:val="25474DE6"/>
    <w:rsid w:val="255B3FAE"/>
    <w:rsid w:val="25D76E8D"/>
    <w:rsid w:val="25D76E8D"/>
    <w:rsid w:val="261E7F8D"/>
    <w:rsid w:val="265FD4D9"/>
    <w:rsid w:val="26E5A177"/>
    <w:rsid w:val="28DD5A2F"/>
    <w:rsid w:val="296C17B9"/>
    <w:rsid w:val="2A9699BA"/>
    <w:rsid w:val="2ACB0FF0"/>
    <w:rsid w:val="2ACB0FF0"/>
    <w:rsid w:val="2C7A09C8"/>
    <w:rsid w:val="2C9697A3"/>
    <w:rsid w:val="2D66B361"/>
    <w:rsid w:val="2E1A34E5"/>
    <w:rsid w:val="2F638542"/>
    <w:rsid w:val="3050810C"/>
    <w:rsid w:val="30C3B433"/>
    <w:rsid w:val="32EB0CAE"/>
    <w:rsid w:val="33F23CB2"/>
    <w:rsid w:val="342DB692"/>
    <w:rsid w:val="3481CBF3"/>
    <w:rsid w:val="35760165"/>
    <w:rsid w:val="35B4B481"/>
    <w:rsid w:val="3630255C"/>
    <w:rsid w:val="363BF75A"/>
    <w:rsid w:val="3864E32B"/>
    <w:rsid w:val="3879D671"/>
    <w:rsid w:val="38B5F403"/>
    <w:rsid w:val="396ED567"/>
    <w:rsid w:val="3982075E"/>
    <w:rsid w:val="3A341891"/>
    <w:rsid w:val="3A7FF350"/>
    <w:rsid w:val="3A912468"/>
    <w:rsid w:val="3A912468"/>
    <w:rsid w:val="3AC50FA4"/>
    <w:rsid w:val="3AC50FA4"/>
    <w:rsid w:val="3C2D2A50"/>
    <w:rsid w:val="3C9E3432"/>
    <w:rsid w:val="3E32925D"/>
    <w:rsid w:val="3E47BF53"/>
    <w:rsid w:val="3F1DB9EF"/>
    <w:rsid w:val="3F2F6FD6"/>
    <w:rsid w:val="3F866C34"/>
    <w:rsid w:val="40A777A1"/>
    <w:rsid w:val="40B7BD03"/>
    <w:rsid w:val="40E0D9D2"/>
    <w:rsid w:val="412E9AB1"/>
    <w:rsid w:val="413D07D7"/>
    <w:rsid w:val="414958ED"/>
    <w:rsid w:val="414958ED"/>
    <w:rsid w:val="41C0A37B"/>
    <w:rsid w:val="424B05C1"/>
    <w:rsid w:val="42794F1B"/>
    <w:rsid w:val="42F9C481"/>
    <w:rsid w:val="43FF4932"/>
    <w:rsid w:val="44ADBA0B"/>
    <w:rsid w:val="450EA5C9"/>
    <w:rsid w:val="451348A0"/>
    <w:rsid w:val="453BB91B"/>
    <w:rsid w:val="45551CD7"/>
    <w:rsid w:val="45F10D35"/>
    <w:rsid w:val="45FC4954"/>
    <w:rsid w:val="47C72410"/>
    <w:rsid w:val="48955E6E"/>
    <w:rsid w:val="48A1D0F8"/>
    <w:rsid w:val="48AA36B9"/>
    <w:rsid w:val="4AF10670"/>
    <w:rsid w:val="4AF3B69F"/>
    <w:rsid w:val="4AF79A21"/>
    <w:rsid w:val="4BB52590"/>
    <w:rsid w:val="4D53FEF6"/>
    <w:rsid w:val="4D62D45B"/>
    <w:rsid w:val="4D62D45B"/>
    <w:rsid w:val="4DB2CAFB"/>
    <w:rsid w:val="4E1BA3D2"/>
    <w:rsid w:val="4EA98192"/>
    <w:rsid w:val="4EAFF284"/>
    <w:rsid w:val="4FE57C50"/>
    <w:rsid w:val="5071969F"/>
    <w:rsid w:val="51AD6160"/>
    <w:rsid w:val="5227BBE0"/>
    <w:rsid w:val="52BFEB45"/>
    <w:rsid w:val="52DC4E10"/>
    <w:rsid w:val="53F08D33"/>
    <w:rsid w:val="550E6463"/>
    <w:rsid w:val="5529278D"/>
    <w:rsid w:val="556BA78B"/>
    <w:rsid w:val="55DA9B75"/>
    <w:rsid w:val="5660CE23"/>
    <w:rsid w:val="56A4A9F0"/>
    <w:rsid w:val="5702B697"/>
    <w:rsid w:val="5745A7DE"/>
    <w:rsid w:val="5746480F"/>
    <w:rsid w:val="57496593"/>
    <w:rsid w:val="5788D9E7"/>
    <w:rsid w:val="5788D9E7"/>
    <w:rsid w:val="586661B9"/>
    <w:rsid w:val="58CDE982"/>
    <w:rsid w:val="58DA42FB"/>
    <w:rsid w:val="59911DE2"/>
    <w:rsid w:val="5AEA6CEC"/>
    <w:rsid w:val="5BD936E9"/>
    <w:rsid w:val="5D27536B"/>
    <w:rsid w:val="5D86C2EA"/>
    <w:rsid w:val="5D952012"/>
    <w:rsid w:val="5DEB4CC7"/>
    <w:rsid w:val="5DEB4CC7"/>
    <w:rsid w:val="5E535B70"/>
    <w:rsid w:val="5E87B29B"/>
    <w:rsid w:val="5F2E17C6"/>
    <w:rsid w:val="6061F1D7"/>
    <w:rsid w:val="60771C91"/>
    <w:rsid w:val="60EE2F41"/>
    <w:rsid w:val="6195B73A"/>
    <w:rsid w:val="62A4A1EB"/>
    <w:rsid w:val="62C7CD40"/>
    <w:rsid w:val="632B7EC1"/>
    <w:rsid w:val="636DE675"/>
    <w:rsid w:val="6395816D"/>
    <w:rsid w:val="64015621"/>
    <w:rsid w:val="65370E0A"/>
    <w:rsid w:val="65461F3B"/>
    <w:rsid w:val="66A61CCF"/>
    <w:rsid w:val="66A61CCF"/>
    <w:rsid w:val="68D8ADC1"/>
    <w:rsid w:val="695618AF"/>
    <w:rsid w:val="69A7567B"/>
    <w:rsid w:val="6AA542A2"/>
    <w:rsid w:val="6B41C518"/>
    <w:rsid w:val="6BE394AE"/>
    <w:rsid w:val="6D58DB0D"/>
    <w:rsid w:val="6E48B22C"/>
    <w:rsid w:val="6F22251A"/>
    <w:rsid w:val="71237606"/>
    <w:rsid w:val="721EB97A"/>
    <w:rsid w:val="722BE95B"/>
    <w:rsid w:val="730B5B94"/>
    <w:rsid w:val="745756D8"/>
    <w:rsid w:val="7566626C"/>
    <w:rsid w:val="7567D7B1"/>
    <w:rsid w:val="772D00A9"/>
    <w:rsid w:val="77D36854"/>
    <w:rsid w:val="7938C323"/>
    <w:rsid w:val="7939DC9A"/>
    <w:rsid w:val="7A3AF3DE"/>
    <w:rsid w:val="7A8B24AD"/>
    <w:rsid w:val="7B2B376F"/>
    <w:rsid w:val="7B63D4E1"/>
    <w:rsid w:val="7B8950F0"/>
    <w:rsid w:val="7B8E1001"/>
    <w:rsid w:val="7BDB545E"/>
    <w:rsid w:val="7BEC7A46"/>
    <w:rsid w:val="7C7F0EA5"/>
    <w:rsid w:val="7C7F0EA5"/>
    <w:rsid w:val="7D0F2794"/>
    <w:rsid w:val="7D3A36C3"/>
    <w:rsid w:val="7D60244D"/>
    <w:rsid w:val="7EA48EB0"/>
    <w:rsid w:val="7EC9D161"/>
    <w:rsid w:val="7F20EEB9"/>
    <w:rsid w:val="7FEF8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D0F8"/>
  <w15:chartTrackingRefBased/>
  <w15:docId w15:val="{78176654-6EC2-4F25-A709-0995E6C983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DC0BAFD"/>
    <w:pPr>
      <w:spacing/>
      <w:ind w:left="720"/>
      <w:contextualSpacing/>
    </w:pPr>
  </w:style>
  <w:style w:type="paragraph" w:styleId="Heading3">
    <w:uiPriority w:val="9"/>
    <w:name w:val="heading 3"/>
    <w:basedOn w:val="Normal"/>
    <w:next w:val="Normal"/>
    <w:unhideWhenUsed/>
    <w:qFormat/>
    <w:rsid w:val="0DC0BAF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DC0BAFD"/>
    <w:rPr>
      <w:color w:val="467886"/>
      <w:u w:val="single"/>
    </w:rPr>
  </w:style>
  <w:style w:type="paragraph" w:styleId="TOC3">
    <w:uiPriority w:val="39"/>
    <w:name w:val="toc 3"/>
    <w:basedOn w:val="Normal"/>
    <w:next w:val="Normal"/>
    <w:unhideWhenUsed/>
    <w:rsid w:val="0DC0BAFD"/>
    <w:pPr>
      <w:spacing w:after="100"/>
      <w:ind w:left="440"/>
    </w:pPr>
  </w:style>
  <w:style w:type="paragraph" w:styleId="Heading1">
    <w:uiPriority w:val="9"/>
    <w:name w:val="heading 1"/>
    <w:basedOn w:val="Normal"/>
    <w:next w:val="Normal"/>
    <w:qFormat/>
    <w:rsid w:val="0DC0BAF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DC0BAF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0DC0BAFD"/>
    <w:pPr>
      <w:spacing w:after="100"/>
    </w:pPr>
  </w:style>
  <w:style w:type="paragraph" w:styleId="TOC2">
    <w:uiPriority w:val="39"/>
    <w:name w:val="toc 2"/>
    <w:basedOn w:val="Normal"/>
    <w:next w:val="Normal"/>
    <w:unhideWhenUsed/>
    <w:rsid w:val="0DC0BAFD"/>
    <w:pPr>
      <w:spacing w:after="100"/>
      <w:ind w:left="220"/>
    </w:pPr>
  </w:style>
  <w:style w:type="paragraph" w:styleId="Header">
    <w:uiPriority w:val="99"/>
    <w:name w:val="header"/>
    <w:basedOn w:val="Normal"/>
    <w:unhideWhenUsed/>
    <w:rsid w:val="0DC0BAFD"/>
    <w:pPr>
      <w:tabs>
        <w:tab w:val="center" w:leader="none" w:pos="4680"/>
        <w:tab w:val="right" w:leader="none" w:pos="9360"/>
      </w:tabs>
      <w:spacing w:after="0" w:line="240" w:lineRule="auto"/>
    </w:pPr>
  </w:style>
  <w:style w:type="paragraph" w:styleId="Footer">
    <w:uiPriority w:val="99"/>
    <w:name w:val="footer"/>
    <w:basedOn w:val="Normal"/>
    <w:unhideWhenUsed/>
    <w:rsid w:val="0DC0BAF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35091085" /><Relationship Type="http://schemas.openxmlformats.org/officeDocument/2006/relationships/header" Target="header.xml" Id="R40f0eab14eb94084" /><Relationship Type="http://schemas.openxmlformats.org/officeDocument/2006/relationships/footer" Target="footer.xml" Id="Rcb46e38bf4424bef" /><Relationship Type="http://schemas.openxmlformats.org/officeDocument/2006/relationships/numbering" Target="numbering.xml" Id="R9387f6ac966d4fa5" /><Relationship Type="http://schemas.microsoft.com/office/2020/10/relationships/intelligence" Target="intelligence2.xml" Id="R231391afe626454f" /><Relationship Type="http://schemas.openxmlformats.org/officeDocument/2006/relationships/hyperlink" Target="https://journals.sagepub.com/doi/10.1177/002224299405800105" TargetMode="External" Id="R1ea4f56af00a477f" /><Relationship Type="http://schemas.openxmlformats.org/officeDocument/2006/relationships/hyperlink" Target="https://www.uk.coop/resources/co-operative-economy" TargetMode="External" Id="R779def4d58dc489f" /><Relationship Type="http://schemas.openxmlformats.org/officeDocument/2006/relationships/hyperlink" Target="https://www.gov.uk/government/publications/loyalty-pricing-in-the-groceries-sector" TargetMode="External" Id="Rfaa9ddd6604c4d84" /><Relationship Type="http://schemas.openxmlformats.org/officeDocument/2006/relationships/hyperlink" Target="https://journals.sagepub.com/doi/10.1177/002224299402200205" TargetMode="External" Id="R127a2966cc4a41a7" /><Relationship Type="http://schemas.openxmlformats.org/officeDocument/2006/relationships/hyperlink" Target="https://www.euromonitor.com/" TargetMode="External" Id="Ra24d3cbd9be04099" /><Relationship Type="http://schemas.openxmlformats.org/officeDocument/2006/relationships/hyperlink" Target="https://onlinelibrary.wiley.com/doi/10.1111/jsbm.12409" TargetMode="External" Id="R01cd983c95eb4175" /><Relationship Type="http://schemas.openxmlformats.org/officeDocument/2006/relationships/hyperlink" Target="https://www.emerald.com/insight/publication/doi/10.1108/9781787432706" TargetMode="External" Id="R9434d251127647fc" /><Relationship Type="http://schemas.openxmlformats.org/officeDocument/2006/relationships/hyperlink" Target="https://www.pearson.com/en-gb/subject-catalog/p/multivariate-data-analysis/P200000006305" TargetMode="External" Id="R7f0ec45b90474c54" /><Relationship Type="http://schemas.openxmlformats.org/officeDocument/2006/relationships/hyperlink" Target="https://hbr.org/1994/03/putting-the-service-profit-chain-to-work" TargetMode="External" Id="Rccd536a144844c3e" /><Relationship Type="http://schemas.openxmlformats.org/officeDocument/2006/relationships/hyperlink" Target="https://www.pearson.com/" TargetMode="External" Id="Rcbb1b00bdeac41bc" /><Relationship Type="http://schemas.openxmlformats.org/officeDocument/2006/relationships/hyperlink" Target="https://www.emerald.com/insight/content/doi/10.1108/IJRDM-07-2020-0295" TargetMode="External" Id="R43b797ce8a344566" /><Relationship Type="http://schemas.openxmlformats.org/officeDocument/2006/relationships/hyperlink" Target="https://www.google.com/search?q=https://www.emerald.com/insight/content/doi/10.1108/03090561311307455" TargetMode="External" Id="R45de9d30ba6c48c6" /><Relationship Type="http://schemas.openxmlformats.org/officeDocument/2006/relationships/hyperlink" Target="https://www.sciencedirect.com/science/article/pii/S096969892100321X" TargetMode="External" Id="R680250fc4f374c7b" /><Relationship Type="http://schemas.openxmlformats.org/officeDocument/2006/relationships/hyperlink" Target="https://www.mintel.com/" TargetMode="External" Id="R1409c984e38d4d26" /><Relationship Type="http://schemas.openxmlformats.org/officeDocument/2006/relationships/hyperlink" Target="https://journals.sagepub.com/doi/10.1177/002224299906300302" TargetMode="External" Id="Ra93ace76d7e64bc4" /><Relationship Type="http://schemas.openxmlformats.org/officeDocument/2006/relationships/hyperlink" Target="https://www.sciencedirect.com/science/article/pii/S0022435988701090" TargetMode="External" Id="Rc75a995fead14c7a" /><Relationship Type="http://schemas.openxmlformats.org/officeDocument/2006/relationships/hyperlink" Target="https://www.routledge.com/Research-Philosophy-for-Business" TargetMode="External" Id="Rcb6fde716d5442ec" /><Relationship Type="http://schemas.openxmlformats.org/officeDocument/2006/relationships/image" Target="/media/image2.png" Id="rId9983815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2025-12-25T20:32:47.3903479Z</dcterms:created>
  <dcterms:modified xsi:type="dcterms:W3CDTF">2026-01-03T22:11:54.5107480Z</dcterms:modified>
  <dc:creator>Ravikumar Pankajkumar Valand (2421255)</dc:creator>
  <lastModifiedBy>Neel Mevalkumar Patel (2428324)</lastModifiedBy>
</coreProperties>
</file>