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with Others in Health and Social Care: My Experiences and Development</w:t>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Jamila Mohammed</w:t>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28/04/23</w:t>
      </w:r>
    </w:p>
    <w:p w:rsidR="00000000" w:rsidDel="00000000" w:rsidP="00000000" w:rsidRDefault="00000000" w:rsidRPr="00000000" w14:paraId="00000006">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line="48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spacing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13">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provide patients and clients with high-quality care, effective teamwork, and collaboration are crucial in the healthcare industry's health and social care sectors. Thanks to this research, I will be able to evaluate my strengths, weaknesses, opportunities, and threats in connection to leadership, teamwork, communication, and other crucial aspects of working with others in the healthcare industry. </w:t>
      </w:r>
    </w:p>
    <w:p w:rsidR="00000000" w:rsidDel="00000000" w:rsidP="00000000" w:rsidRDefault="00000000" w:rsidRPr="00000000" w14:paraId="00000014">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Strengths</w:t>
      </w:r>
    </w:p>
    <w:p w:rsidR="00000000" w:rsidDel="00000000" w:rsidP="00000000" w:rsidRDefault="00000000" w:rsidRPr="00000000" w14:paraId="00000015">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working with others in health and social care settings, it is extremely important to be able to communicate effectively and solve problems. In the complicated healthcare setting, these abilities are crucial for developing constructive connections, boosting teamwork, and overcoming possible difficulties and roadblocks. I have acquired and honed a range of communication skills via my experiences, which have helped me to create good relationships and improve my teamwork skills. I've learned the importance of active listening via my work in the social and healthcare sectors. In addition to hearing what is being said, active listening requires noticing nonverbal cues, clarifying information, and exhibiting empathy. The importance of communication skills in the healthcare profession is confirmed by Mullan and Kothe (2010). Effective communication is critical to understanding and addressing each patient's unusual needs, preferences, and goals, according to the patient-centered care theory. The therapeutic communication paradigm places a warm emphasis on the value of direct communication and active listening. Mullan and Kothe (2010) also highlight the relationship between good patient outcomes and operational communication. Also, because of my experiences, I have great problem-solving abilities that allow me to see problems, prove them, and provide viable solutions. This helps to create a productive workplace (Sisodia and Agarwal, 2017).</w:t>
      </w:r>
    </w:p>
    <w:p w:rsidR="00000000" w:rsidDel="00000000" w:rsidP="00000000" w:rsidRDefault="00000000" w:rsidRPr="00000000" w14:paraId="00000016">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Weaknesses</w:t>
      </w:r>
    </w:p>
    <w:p w:rsidR="00000000" w:rsidDel="00000000" w:rsidP="00000000" w:rsidRDefault="00000000" w:rsidRPr="00000000" w14:paraId="00000017">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management and delegation are crucial skills in healthcare settings, as they impact the efficiency and effectiveness of teamwork. Through my experiences, I have realized the importance of managing my time effectively and delegating tasks to others in order to ensure smooth teamwork and timely completion of tasks. Yoder-Wise and Sportsman (2022) suggest that time management is essential in healthcare, where multiple tasks and responsibilities must often be accomplished within strict deadlines. Efficient time management helps prioritize tasks, allocate resources effectively, and avoid delays or missed deadlines. I have recognized that managing my time effectively can be challenging at times, especially when working with others, as coordination and communication among team members are critical. Hill et al. (2014) support the importance of time management in healthcare settings. I've come to recognize that time management can be challenging at times, especially when working on a project with others where coordination and communication are crucial. The Time Management Theory emphasizes prioritizing tasks based on urgency and importance, setting realistic goals, and effectively managing time to achieve desired outcomes. Hill et al. (2014) highlight the relationship between effective time management and improved job satisfaction, reduced stress, and increased productivity, which can ultimately contribute to better teamwork and patient care outcomes. Besides, Delegation is another crucial skill in healthcare teamwork, as it involves assigning tasks and responsibilities to team members based on their skills and capabilities (Hasson et al., 2013). Delegation helps distribute workload evenly, utilize team members' strengths, and promote team efficiency. I need to improve my ability to delegate tasks effectively while ensuring clear communication, adequate training, and appropriate supervision. Hasson et al. (2013) support the importance of delegation in healthcare teamwork. </w:t>
      </w:r>
    </w:p>
    <w:p w:rsidR="00000000" w:rsidDel="00000000" w:rsidP="00000000" w:rsidRDefault="00000000" w:rsidRPr="00000000" w14:paraId="00000018">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Opportunities</w:t>
      </w:r>
    </w:p>
    <w:p w:rsidR="00000000" w:rsidDel="00000000" w:rsidP="00000000" w:rsidRDefault="00000000" w:rsidRPr="00000000" w14:paraId="0000001A">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Learning from others and engaging in training and professional development are essential aspects of continuous learning and improvement in the health and social care field. Through my experiences, I have recognized the significance of these opportunities in enhancing my teamwork abilities and staying updated with best practices. Bastable (2021) suggests that according to Social Learning Theory, individuals learn from observing others and imitating their behaviors, attitudes, and skills. In health and social care, interacting with diverse people presents an opportunity to observe and absorb their viewpoints, experiences, and expertise. I may improve my collaborative abilities by actively studying people in the field, picking fresh insights, and developing new talents and techniques. In health and social welfare, Bastable (2021) emphasizes the value of learning from others. Interprofessional collaboration, which comprises working with experts from other disciplines, is acknowledged as a key tactic for improving patient care results. Armstrong-Stassen and Stassen (2013) state that cooperation skills can only be improved through training and professional development opportunities. Various changes, such workshops, seminars, and courses, give skill development and learning a disciplined and methodical approach. For instance, the National Health Service (NHS) in the United Kingdom emphasizes the significance of continuing education for healthcare professionals to maintain competence and deliver high-quality care (Armstrong-Stassen and Stassen, 2013). </w:t>
      </w:r>
    </w:p>
    <w:p w:rsidR="00000000" w:rsidDel="00000000" w:rsidP="00000000" w:rsidRDefault="00000000" w:rsidRPr="00000000" w14:paraId="0000001B">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Threats</w:t>
      </w:r>
    </w:p>
    <w:p w:rsidR="00000000" w:rsidDel="00000000" w:rsidP="00000000" w:rsidRDefault="00000000" w:rsidRPr="00000000" w14:paraId="0000001C">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workload and stress, as well as resistance to change, are common challenges in the health and social care field that can significantly impact teamwork dynamics. Labrague (2013) suggests that the Job Demands-Resources (JD-R) model suggests that high job demands, such as heavy workload and stress, can result in negative outcomes, such as burnout and decreased job satisfaction. These negative outcomes can, in turn, affect teamwork dynamics by creating additional stressors, reducing motivation, and impairing communication and collaboration among team members. On the other hand, Ford and Ford (2010) suggest that the Theory of Planned Behavior suggests that individuals' attitudes, subjective norms, and perceived behavioral control influence their intention to engage in a particular behavior, such as accepting the change or new ways of working. Resistance to change among team members may stem from negative attitudes towards change, perceived lack of control, or social norms that resist change. This resistance can hinder effective teamwork by creating barriers to adopting new ideas, perspectives, or approaches and may require additional efforts to overcome. Healthcare professionals may resist change due to concerns about workload, unfamiliarity with new practices, or fear of disrupting established routines (Ford and Ford, 2010). This resistance can affect teamwork by impeding the adoption of new ideas, perspectives, or practices and may require strategies such as effective change management, communication, and leadership to overcome.</w:t>
      </w:r>
    </w:p>
    <w:p w:rsidR="00000000" w:rsidDel="00000000" w:rsidP="00000000" w:rsidRDefault="00000000" w:rsidRPr="00000000" w14:paraId="0000001D">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01E">
      <w:p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my experiences, I have improved my ability to communicate and solve problems. However, I have also identified challenges such as time management, delegation, high workload and stress, and resistance to change that can impact teamwork dynamics. Reflecting on my experiences and analyzing them through the lens of relevant theories and literature has provided me with valuable insights and areas for further development. I am committed to continuing my professional growth by leveraging my strengths and addressing areas for improvement to become a more effective team member in the health and social care field.</w:t>
      </w:r>
    </w:p>
    <w:p w:rsidR="00000000" w:rsidDel="00000000" w:rsidP="00000000" w:rsidRDefault="00000000" w:rsidRPr="00000000" w14:paraId="0000001F">
      <w:pPr>
        <w:spacing w:line="48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References</w:t>
      </w:r>
      <w:r w:rsidDel="00000000" w:rsidR="00000000" w:rsidRPr="00000000">
        <w:rPr>
          <w:rtl w:val="0"/>
        </w:rPr>
      </w:r>
    </w:p>
    <w:p w:rsidR="00000000" w:rsidDel="00000000" w:rsidP="00000000" w:rsidRDefault="00000000" w:rsidRPr="00000000" w14:paraId="00000020">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Armstrong-Stassen, M. and Stassen, K., 2013. Professional development, target-specific satisfaction, and older nurse retention. </w:t>
      </w:r>
      <w:r w:rsidDel="00000000" w:rsidR="00000000" w:rsidRPr="00000000">
        <w:rPr>
          <w:rFonts w:ascii="Times New Roman" w:cs="Times New Roman" w:eastAsia="Times New Roman" w:hAnsi="Times New Roman"/>
          <w:i w:val="1"/>
          <w:color w:val="222222"/>
          <w:sz w:val="24"/>
          <w:szCs w:val="24"/>
          <w:highlight w:val="white"/>
          <w:rtl w:val="0"/>
        </w:rPr>
        <w:t xml:space="preserve">Career Development International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18</w:t>
      </w:r>
      <w:r w:rsidDel="00000000" w:rsidR="00000000" w:rsidRPr="00000000">
        <w:rPr>
          <w:rFonts w:ascii="Times New Roman" w:cs="Times New Roman" w:eastAsia="Times New Roman" w:hAnsi="Times New Roman"/>
          <w:color w:val="222222"/>
          <w:sz w:val="24"/>
          <w:szCs w:val="24"/>
          <w:highlight w:val="white"/>
          <w:rtl w:val="0"/>
        </w:rPr>
        <w:t xml:space="preserve">(7), pp.673-693.</w:t>
      </w:r>
    </w:p>
    <w:p w:rsidR="00000000" w:rsidDel="00000000" w:rsidP="00000000" w:rsidRDefault="00000000" w:rsidRPr="00000000" w14:paraId="00000021">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Bastable, S.B., 2021. </w:t>
      </w:r>
      <w:r w:rsidDel="00000000" w:rsidR="00000000" w:rsidRPr="00000000">
        <w:rPr>
          <w:rFonts w:ascii="Times New Roman" w:cs="Times New Roman" w:eastAsia="Times New Roman" w:hAnsi="Times New Roman"/>
          <w:i w:val="1"/>
          <w:color w:val="222222"/>
          <w:sz w:val="24"/>
          <w:szCs w:val="24"/>
          <w:highlight w:val="white"/>
          <w:rtl w:val="0"/>
        </w:rPr>
        <w:t xml:space="preserve">Nurse as educator: Principles of teaching and learning for nursing practice</w:t>
      </w:r>
      <w:r w:rsidDel="00000000" w:rsidR="00000000" w:rsidRPr="00000000">
        <w:rPr>
          <w:rFonts w:ascii="Times New Roman" w:cs="Times New Roman" w:eastAsia="Times New Roman" w:hAnsi="Times New Roman"/>
          <w:color w:val="222222"/>
          <w:sz w:val="24"/>
          <w:szCs w:val="24"/>
          <w:highlight w:val="white"/>
          <w:rtl w:val="0"/>
        </w:rPr>
        <w:t xml:space="preserve">. Jones &amp; Bartlett Learning.</w:t>
      </w:r>
    </w:p>
    <w:p w:rsidR="00000000" w:rsidDel="00000000" w:rsidP="00000000" w:rsidRDefault="00000000" w:rsidRPr="00000000" w14:paraId="00000022">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Ford, J.D. and Ford, L.W., 2010. Stop blaming resistance to change and start using it. </w:t>
      </w:r>
      <w:r w:rsidDel="00000000" w:rsidR="00000000" w:rsidRPr="00000000">
        <w:rPr>
          <w:rFonts w:ascii="Times New Roman" w:cs="Times New Roman" w:eastAsia="Times New Roman" w:hAnsi="Times New Roman"/>
          <w:i w:val="1"/>
          <w:color w:val="222222"/>
          <w:sz w:val="24"/>
          <w:szCs w:val="24"/>
          <w:highlight w:val="white"/>
          <w:rtl w:val="0"/>
        </w:rPr>
        <w:t xml:space="preserve">Organizational dynamics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39</w:t>
      </w:r>
      <w:r w:rsidDel="00000000" w:rsidR="00000000" w:rsidRPr="00000000">
        <w:rPr>
          <w:rFonts w:ascii="Times New Roman" w:cs="Times New Roman" w:eastAsia="Times New Roman" w:hAnsi="Times New Roman"/>
          <w:color w:val="222222"/>
          <w:sz w:val="24"/>
          <w:szCs w:val="24"/>
          <w:highlight w:val="white"/>
          <w:rtl w:val="0"/>
        </w:rPr>
        <w:t xml:space="preserve">(1), pp.24-36.</w:t>
      </w:r>
    </w:p>
    <w:p w:rsidR="00000000" w:rsidDel="00000000" w:rsidP="00000000" w:rsidRDefault="00000000" w:rsidRPr="00000000" w14:paraId="00000023">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Hasson, F., McKenna, H.P. and Keeney, S., 2013. Delegating and supervising unregistered professionals: The student nurse experience. </w:t>
      </w:r>
      <w:r w:rsidDel="00000000" w:rsidR="00000000" w:rsidRPr="00000000">
        <w:rPr>
          <w:rFonts w:ascii="Times New Roman" w:cs="Times New Roman" w:eastAsia="Times New Roman" w:hAnsi="Times New Roman"/>
          <w:i w:val="1"/>
          <w:color w:val="222222"/>
          <w:sz w:val="24"/>
          <w:szCs w:val="24"/>
          <w:highlight w:val="white"/>
          <w:rtl w:val="0"/>
        </w:rPr>
        <w:t xml:space="preserve">Nurse Education Today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33</w:t>
      </w:r>
      <w:r w:rsidDel="00000000" w:rsidR="00000000" w:rsidRPr="00000000">
        <w:rPr>
          <w:rFonts w:ascii="Times New Roman" w:cs="Times New Roman" w:eastAsia="Times New Roman" w:hAnsi="Times New Roman"/>
          <w:color w:val="222222"/>
          <w:sz w:val="24"/>
          <w:szCs w:val="24"/>
          <w:highlight w:val="white"/>
          <w:rtl w:val="0"/>
        </w:rPr>
        <w:t xml:space="preserve">(3), pp.229-235.</w:t>
      </w:r>
    </w:p>
    <w:p w:rsidR="00000000" w:rsidDel="00000000" w:rsidP="00000000" w:rsidRDefault="00000000" w:rsidRPr="00000000" w14:paraId="0000002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Hill, C.W., Jones, G.R. and Schilling, M.A., 2014. </w:t>
      </w:r>
      <w:r w:rsidDel="00000000" w:rsidR="00000000" w:rsidRPr="00000000">
        <w:rPr>
          <w:rFonts w:ascii="Times New Roman" w:cs="Times New Roman" w:eastAsia="Times New Roman" w:hAnsi="Times New Roman"/>
          <w:i w:val="1"/>
          <w:color w:val="222222"/>
          <w:sz w:val="24"/>
          <w:szCs w:val="24"/>
          <w:highlight w:val="white"/>
          <w:rtl w:val="0"/>
        </w:rPr>
        <w:t xml:space="preserve">Strategic management: Theory &amp; cases: An integrated approach</w:t>
      </w:r>
      <w:r w:rsidDel="00000000" w:rsidR="00000000" w:rsidRPr="00000000">
        <w:rPr>
          <w:rFonts w:ascii="Times New Roman" w:cs="Times New Roman" w:eastAsia="Times New Roman" w:hAnsi="Times New Roman"/>
          <w:color w:val="222222"/>
          <w:sz w:val="24"/>
          <w:szCs w:val="24"/>
          <w:highlight w:val="white"/>
          <w:rtl w:val="0"/>
        </w:rPr>
        <w:t xml:space="preserve">. Cengage Learning.</w:t>
      </w:r>
      <w:r w:rsidDel="00000000" w:rsidR="00000000" w:rsidRPr="00000000">
        <w:rPr>
          <w:rtl w:val="0"/>
        </w:rPr>
      </w:r>
    </w:p>
    <w:p w:rsidR="00000000" w:rsidDel="00000000" w:rsidP="00000000" w:rsidRDefault="00000000" w:rsidRPr="00000000" w14:paraId="00000025">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Labrague, L.J., 2013. Stress, stressors, and stress responses of student nurses in a government nursing school. </w:t>
      </w:r>
      <w:r w:rsidDel="00000000" w:rsidR="00000000" w:rsidRPr="00000000">
        <w:rPr>
          <w:rFonts w:ascii="Times New Roman" w:cs="Times New Roman" w:eastAsia="Times New Roman" w:hAnsi="Times New Roman"/>
          <w:i w:val="1"/>
          <w:color w:val="222222"/>
          <w:sz w:val="24"/>
          <w:szCs w:val="24"/>
          <w:highlight w:val="white"/>
          <w:rtl w:val="0"/>
        </w:rPr>
        <w:t xml:space="preserve">Health science journal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(4), p.424.</w:t>
      </w:r>
    </w:p>
    <w:p w:rsidR="00000000" w:rsidDel="00000000" w:rsidP="00000000" w:rsidRDefault="00000000" w:rsidRPr="00000000" w14:paraId="00000026">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Mullan, B.A. and Kothe, E.J., 2010. Evaluating a nursing communication skills training course: The relationships between self-rated ability, satisfaction, and actual performance. </w:t>
      </w:r>
      <w:r w:rsidDel="00000000" w:rsidR="00000000" w:rsidRPr="00000000">
        <w:rPr>
          <w:rFonts w:ascii="Times New Roman" w:cs="Times New Roman" w:eastAsia="Times New Roman" w:hAnsi="Times New Roman"/>
          <w:i w:val="1"/>
          <w:color w:val="222222"/>
          <w:sz w:val="24"/>
          <w:szCs w:val="24"/>
          <w:highlight w:val="white"/>
          <w:rtl w:val="0"/>
        </w:rPr>
        <w:t xml:space="preserve">Nurse education in practice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w:t>
      </w:r>
      <w:r w:rsidDel="00000000" w:rsidR="00000000" w:rsidRPr="00000000">
        <w:rPr>
          <w:rFonts w:ascii="Times New Roman" w:cs="Times New Roman" w:eastAsia="Times New Roman" w:hAnsi="Times New Roman"/>
          <w:color w:val="222222"/>
          <w:sz w:val="24"/>
          <w:szCs w:val="24"/>
          <w:highlight w:val="white"/>
          <w:rtl w:val="0"/>
        </w:rPr>
        <w:t xml:space="preserve">(6), pp.374-378.</w:t>
      </w:r>
      <w:r w:rsidDel="00000000" w:rsidR="00000000" w:rsidRPr="00000000">
        <w:rPr>
          <w:rtl w:val="0"/>
        </w:rPr>
      </w:r>
    </w:p>
    <w:p w:rsidR="00000000" w:rsidDel="00000000" w:rsidP="00000000" w:rsidRDefault="00000000" w:rsidRPr="00000000" w14:paraId="0000002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Sisodia, S. and Agarwal, N., 2017. Employability skills essential for the healthcare industry. </w:t>
      </w:r>
      <w:r w:rsidDel="00000000" w:rsidR="00000000" w:rsidRPr="00000000">
        <w:rPr>
          <w:rFonts w:ascii="Times New Roman" w:cs="Times New Roman" w:eastAsia="Times New Roman" w:hAnsi="Times New Roman"/>
          <w:i w:val="1"/>
          <w:color w:val="222222"/>
          <w:sz w:val="24"/>
          <w:szCs w:val="24"/>
          <w:highlight w:val="white"/>
          <w:rtl w:val="0"/>
        </w:rPr>
        <w:t xml:space="preserve">Procedia computer science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122</w:t>
      </w:r>
      <w:r w:rsidDel="00000000" w:rsidR="00000000" w:rsidRPr="00000000">
        <w:rPr>
          <w:rFonts w:ascii="Times New Roman" w:cs="Times New Roman" w:eastAsia="Times New Roman" w:hAnsi="Times New Roman"/>
          <w:color w:val="222222"/>
          <w:sz w:val="24"/>
          <w:szCs w:val="24"/>
          <w:highlight w:val="white"/>
          <w:rtl w:val="0"/>
        </w:rPr>
        <w:t xml:space="preserve">, pp.431-438.</w:t>
      </w:r>
      <w:r w:rsidDel="00000000" w:rsidR="00000000" w:rsidRPr="00000000">
        <w:rPr>
          <w:rtl w:val="0"/>
        </w:rPr>
      </w:r>
    </w:p>
    <w:p w:rsidR="00000000" w:rsidDel="00000000" w:rsidP="00000000" w:rsidRDefault="00000000" w:rsidRPr="00000000" w14:paraId="00000028">
      <w:pPr>
        <w:spacing w:line="480" w:lineRule="auto"/>
        <w:jc w:val="both"/>
        <w:rPr>
          <w:rFonts w:ascii="Times New Roman" w:cs="Times New Roman" w:eastAsia="Times New Roman" w:hAnsi="Times New Roman"/>
          <w:color w:val="222222"/>
          <w:sz w:val="24"/>
          <w:szCs w:val="24"/>
          <w:highlight w:val="white"/>
        </w:rPr>
      </w:pPr>
      <w:bookmarkStart w:colFirst="0" w:colLast="0" w:name="_heading=h.gjdgxs" w:id="0"/>
      <w:bookmarkEnd w:id="0"/>
      <w:r w:rsidDel="00000000" w:rsidR="00000000" w:rsidRPr="00000000">
        <w:rPr>
          <w:rFonts w:ascii="Times New Roman" w:cs="Times New Roman" w:eastAsia="Times New Roman" w:hAnsi="Times New Roman"/>
          <w:color w:val="222222"/>
          <w:sz w:val="24"/>
          <w:szCs w:val="24"/>
          <w:highlight w:val="white"/>
          <w:rtl w:val="0"/>
        </w:rPr>
        <w:t xml:space="preserve">Yoder-Wise, P.S. and Sportsman, S., 2022. </w:t>
      </w:r>
      <w:r w:rsidDel="00000000" w:rsidR="00000000" w:rsidRPr="00000000">
        <w:rPr>
          <w:rFonts w:ascii="Times New Roman" w:cs="Times New Roman" w:eastAsia="Times New Roman" w:hAnsi="Times New Roman"/>
          <w:i w:val="1"/>
          <w:color w:val="222222"/>
          <w:sz w:val="24"/>
          <w:szCs w:val="24"/>
          <w:highlight w:val="white"/>
          <w:rtl w:val="0"/>
        </w:rPr>
        <w:t xml:space="preserve">Leading and Managing in Nursing E-Book</w:t>
      </w:r>
      <w:r w:rsidDel="00000000" w:rsidR="00000000" w:rsidRPr="00000000">
        <w:rPr>
          <w:rFonts w:ascii="Times New Roman" w:cs="Times New Roman" w:eastAsia="Times New Roman" w:hAnsi="Times New Roman"/>
          <w:color w:val="222222"/>
          <w:sz w:val="24"/>
          <w:szCs w:val="24"/>
          <w:highlight w:val="white"/>
          <w:rtl w:val="0"/>
        </w:rPr>
        <w:t xml:space="preserve">. Elsevier Health Sciences.</w:t>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5035E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035E5"/>
  </w:style>
  <w:style w:type="paragraph" w:styleId="Footer">
    <w:name w:val="footer"/>
    <w:basedOn w:val="Normal"/>
    <w:link w:val="FooterChar"/>
    <w:uiPriority w:val="99"/>
    <w:unhideWhenUsed w:val="1"/>
    <w:rsid w:val="005035E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035E5"/>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KjKvY0GtLBKHr8eOMPAlx6LCF9w==">AMUW2mX5yg+toP4O5+5j3h1RjwNlemjmuemCZaWNlIbif0kXQwSZtC/XJiPXEjxZYnAZOBViYK72GkowyBj8NKk8mSIxWR0LNgIoc0W5vUxlCPznQnDDDGTcN/RBjY4TEyekHn0u4hx0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2023-04-14T11:02:00Z</dcterms:created>
  <dc:creator>admin</dc:creator>
</cp:coreProperties>
</file>