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33AED" w14:textId="7C32597F" w:rsidR="000C33F9" w:rsidRPr="009A6DB5" w:rsidRDefault="00D44078" w:rsidP="00185049">
      <w:pPr>
        <w:spacing w:after="0" w:line="0" w:lineRule="atLeast"/>
        <w:rPr>
          <w:rFonts w:ascii="微软雅黑" w:eastAsia="微软雅黑" w:hAnsi="微软雅黑" w:cs="Times New Roman" w:hint="eastAsia"/>
          <w:color w:val="EE0000"/>
          <w:sz w:val="11"/>
          <w:szCs w:val="11"/>
        </w:rPr>
      </w:pPr>
      <w:r w:rsidRPr="009A6DB5">
        <w:rPr>
          <w:rFonts w:ascii="微软雅黑" w:eastAsia="微软雅黑" w:hAnsi="微软雅黑" w:cs="Times New Roman"/>
          <w:b/>
          <w:bCs/>
          <w:color w:val="EE0000"/>
          <w:sz w:val="11"/>
          <w:szCs w:val="11"/>
        </w:rPr>
        <w:t>Q</w:t>
      </w:r>
      <w:r w:rsidRPr="009A6DB5">
        <w:rPr>
          <w:rFonts w:ascii="微软雅黑" w:eastAsia="微软雅黑" w:hAnsi="微软雅黑" w:cs="Times New Roman"/>
          <w:b/>
          <w:bCs/>
          <w:color w:val="EE0000"/>
          <w:sz w:val="10"/>
          <w:szCs w:val="10"/>
        </w:rPr>
        <w:t>1</w:t>
      </w:r>
      <w:r w:rsidR="009A6DB5" w:rsidRPr="009A6DB5">
        <w:rPr>
          <w:rFonts w:ascii="微软雅黑" w:eastAsia="微软雅黑" w:hAnsi="微软雅黑" w:cs="Times New Roman"/>
          <w:b/>
          <w:bCs/>
          <w:color w:val="EE0000"/>
          <w:sz w:val="11"/>
          <w:szCs w:val="11"/>
        </w:rPr>
        <w:t xml:space="preserve"> </w:t>
      </w:r>
      <w:r w:rsidR="009A6DB5" w:rsidRPr="00333C3B">
        <w:rPr>
          <w:rFonts w:ascii="微软雅黑" w:eastAsia="微软雅黑" w:hAnsi="微软雅黑" w:cs="Times New Roman"/>
          <w:b/>
          <w:bCs/>
          <w:color w:val="EE0000"/>
          <w:sz w:val="11"/>
          <w:szCs w:val="11"/>
        </w:rPr>
        <w:t>Advantages of External Environmental Strategic Decision-Making</w:t>
      </w:r>
    </w:p>
    <w:p w14:paraId="6E3A61EA"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Industry Analysis (Porter's Five Forces Model) The competitive landscape of the electric vehicle (EV) industry is determined by multiple forces as outlined in Porter's Five Forces Model. These forces are critical for analyzing Tesla's market position.</w:t>
      </w:r>
    </w:p>
    <w:p w14:paraId="50CB40B9"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Threat of Potential Entrants The threat of potential entrants in the EV industry is moderate. The growing popularity of electric mobility and clean energy solutions is attracting numerous new participants. Entry by traditional internal combustion engine manufacturers has intensified competition. However, Tesla's brand recognition, proprietary technology, and economies of scale provide it with significant competitive advantages, making it difficult for new competitors to replicate its achievements.</w:t>
      </w:r>
    </w:p>
    <w:p w14:paraId="207ED6A5"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Supplier Bargaining Power Due to Tesla's implementation of a vertical integration strategy (Harryson &amp; Lorange, 2024), supplier bargaining power is low. Limited integration with suppliers reduces Tesla's reliance on external suppliers for key components. This enables Tesla to negotiate favorable terms and reduce costs.</w:t>
      </w:r>
    </w:p>
    <w:p w14:paraId="3CFD3ED3"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Buyer Bargaining Power Buyer bargaining power is moderate. While Tesla has a loyal customer base, consumers in the EV market are highly price-sensitive and can access cheaper alternatives. Tesla's brand loyalty, innovative technology, and strong market position mitigate buyer bargaining power.</w:t>
      </w:r>
    </w:p>
    <w:p w14:paraId="5A5FF80C"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Threat of Substitutes The automotive industry is characterized by a high threat of substitutes. Consumers can also obtain traditional internal combustion engine vehicles and new EVs from other manufacturers. Tesla's technological advantages in areas such as autonomous driving, range, and charging stations help differentiate its products from competitors. High brand loyalty further reduces the threat of substitutes.</w:t>
      </w:r>
    </w:p>
    <w:p w14:paraId="2EBBC492"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Rivalry Among Existing Competitors Rivalry within the EV industry is intense. Competition with automakers such as Ford, BMW, and Volkswagen further exacerbates this. Nevertheless, Tesla maintains a competitive advantage in a saturated market through its innovation edge and first-mover advantage in battery technology.</w:t>
      </w:r>
    </w:p>
    <w:p w14:paraId="7470D134"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Political Factors: Government policies and incentives for electric vehicles (EVs) and renewable energy significantly impact Tesla's international performance. In markets such as Europe and China, EV subsidies are key drivers of consumer adoption, thereby increasing Tesla's market share. Additionally, promotion of renewable energy in countries like Norway and Germany is driving demand for Tesla's energy storage products (including Powerwall and Solar Roof). These favorable political conditions enable Tesla to capitalize on the growing demand for sustainable solutions, thus promoting its global growth.</w:t>
      </w:r>
    </w:p>
    <w:p w14:paraId="2716B2A0"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Economic Factors: Demand for premium electric vehicles is strongly influenced by economic factors such as gross domestic product (GDP) growth, consumer purchasing power, and interest rates (Rapson &amp; Muehlegger, 2023). Expanding middle-income groups in countries like China contribute to Tesla's success as more people seek environmentally friendly vehicles (Shamsuddoha &amp; Nasir, 2025). Emerging markets also offer diversification opportunities due to economic growth. Tesla mitigates these factors through innovation and vertical integration to reduce costs.</w:t>
      </w:r>
    </w:p>
    <w:p w14:paraId="2CCF6BFC"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 xml:space="preserve">Social Factors: Social trends, particularly sustainability-oriented Millennials and Generation Z, contribute to Tesla's growth. As demand for eco-friendly products increases, Tesla positions itself as a leader in green technology, aligning well with environmentally conscious consumers. Emphasis on autonomous driving and new EVs appeals to tech-savvy younger generations. In regions where </w:t>
      </w:r>
      <w:r w:rsidRPr="009A6DB5">
        <w:rPr>
          <w:rFonts w:ascii="微软雅黑" w:eastAsia="微软雅黑" w:hAnsi="微软雅黑" w:cs="Times New Roman" w:hint="eastAsia"/>
          <w:sz w:val="10"/>
          <w:szCs w:val="10"/>
        </w:rPr>
        <w:t>sustainability has become a major social trend, Tesla has the opportunity to expand its market presence and attract these conscious consumers (Maradin et al., 2022).</w:t>
      </w:r>
    </w:p>
    <w:p w14:paraId="2C6E5D71"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Technological Factors: Tesla's innovation strategy requires advancements in autonomous driving, battery technology, and EV manufacturing. Autopilot (FSD) technology differentiates Tesla from competitors and provides an enhanced driving experience through advanced driver-assistance features, offering significant value to consumers and a competitive advantage in the automotive market. Tesla's battery technology and energy storage solutions are shaping the future of renewable energy, establishing the company as a market leader in clean energy. Tesla's Gigafactories innovate battery production to lower costs and improve performance, meeting the growing global demand for EVs and renewable energy products.</w:t>
      </w:r>
    </w:p>
    <w:p w14:paraId="2103890D"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Legal Factors: Tesla's operations are subject to numerous legal considerations, including vehicle safety, emissions, and data privacy regulations (Jatavallabha, 2024). Tesla must overcome regulatory hurdles in its operating markets. Patent and intellectual property laws help protect its technological developments. Tesla must address potential litigation risks and regulatory barriers, and compliance with regulations across different countries may also increase operational costs.</w:t>
      </w:r>
    </w:p>
    <w:p w14:paraId="162273D1" w14:textId="1FAD78C3"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Environmental Factors: Environmental regulations and global climate change initiatives are crucial for Tesla, as the company is committed to sustainable energy. Tesla's business model thrives on the momentum of transitioning to eco-friendly technologies, with corporate goals to achieve carbon neutrality by 2030. Environmental regulations also strengthen Tesla's market position as government support for green technologies opens up growth opportunities.</w:t>
      </w:r>
    </w:p>
    <w:p w14:paraId="4FF60B58" w14:textId="72731F48" w:rsidR="009A6DB5" w:rsidRPr="00B30EFA" w:rsidRDefault="00217348" w:rsidP="009A6DB5">
      <w:pPr>
        <w:spacing w:after="0" w:line="0" w:lineRule="atLeast"/>
        <w:rPr>
          <w:rFonts w:ascii="微软雅黑" w:eastAsia="微软雅黑" w:hAnsi="微软雅黑" w:cs="Times New Roman" w:hint="eastAsia"/>
          <w:sz w:val="11"/>
          <w:szCs w:val="11"/>
        </w:rPr>
      </w:pPr>
      <w:r w:rsidRPr="009A6DB5">
        <w:rPr>
          <w:rFonts w:ascii="微软雅黑" w:eastAsia="微软雅黑" w:hAnsi="微软雅黑" w:cs="Times New Roman"/>
          <w:b/>
          <w:bCs/>
          <w:color w:val="4472C4" w:themeColor="accent1"/>
          <w:sz w:val="10"/>
          <w:szCs w:val="10"/>
        </w:rPr>
        <w:t>Q2</w:t>
      </w:r>
      <w:r w:rsidR="009A6DB5" w:rsidRPr="009A6DB5">
        <w:rPr>
          <w:rFonts w:ascii="微软雅黑" w:eastAsia="微软雅黑" w:hAnsi="微软雅黑" w:cs="Times New Roman"/>
          <w:b/>
          <w:bCs/>
          <w:color w:val="4472C4" w:themeColor="accent1"/>
          <w:sz w:val="11"/>
          <w:szCs w:val="11"/>
        </w:rPr>
        <w:t xml:space="preserve"> </w:t>
      </w:r>
      <w:r w:rsidR="009A6DB5" w:rsidRPr="00F62DA7">
        <w:rPr>
          <w:rFonts w:ascii="微软雅黑" w:eastAsia="微软雅黑" w:hAnsi="微软雅黑" w:cs="Times New Roman"/>
          <w:b/>
          <w:bCs/>
          <w:color w:val="4472C4" w:themeColor="accent1"/>
          <w:sz w:val="11"/>
          <w:szCs w:val="11"/>
        </w:rPr>
        <w:t>Internal Strategic Competitive Advantage</w:t>
      </w:r>
    </w:p>
    <w:p w14:paraId="7993C7E9" w14:textId="77777777" w:rsidR="00891E24" w:rsidRPr="009A6DB5" w:rsidRDefault="00891E24"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The Resource-Based View (RBV) of strategy is grounded in the perspective that competitive advantage and superior performance emanate from the internal management of strategic resources (Witcher, 2020). Strategic resources are unique internal strategic assets and core competencies of specific organizations that are difficult for competitors to understand or imitate (Witcher, 2020). Competitive advantage is defined as everything an enterprise is particularly good at compared to its competitors (David &amp; David, 2017).</w:t>
      </w:r>
    </w:p>
    <w:p w14:paraId="4EB1C451" w14:textId="53A8A92B" w:rsidR="009A6DB5" w:rsidRPr="009A6DB5" w:rsidRDefault="00891E24"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 xml:space="preserve">The VRIO framework is employed to evaluate Tesla's resources to determine if they can provide a sustainable competitive advantage (Witcher, 2020). Value (V): A resource has value if it enables an organization to implement strategies that enhance its efficiency and effectiveness (Witcher, 2020). Tesla's global Superfactory network holds significant value as the company can scale production to meet growing global demand (The Strategy Institute, 2024; Visual Paradigm, 2025). Rarity (R): A resource is rare if only a few competing organizations possess it (Witcher, 2020). In the premium electric vehicle market, Tesla combines environmental performance with design (Management Consulted, 2025). The unique and comprehensive (comprising over 45,000 charging stations) provided by Tesla for its global Supercharging Network constitutes a rare resource. Furthermore, Tesla's vertically integrated software platform and proprietary Autopilot and FSD (Full Self-Driving) capabilities, supported by vast real-world driving mileage data, remain a rare technological resource compared to traditional automakers (The Strategy Institute, 2024; Harrison McIntire, 2025). Imimitability (I): Attributes are considered imitable if they are difficult for competitors to replicate due to unique historical circumstances, social complexity, or causal ambiguity (Witcher, 2020). Tesla's culture of rapid innovation is hard to replicate, along with the </w:t>
      </w:r>
      <w:r w:rsidRPr="009A6DB5">
        <w:rPr>
          <w:rFonts w:ascii="微软雅黑" w:eastAsia="微软雅黑" w:hAnsi="微软雅黑" w:cs="Times New Roman" w:hint="eastAsia"/>
          <w:sz w:val="10"/>
          <w:szCs w:val="10"/>
        </w:rPr>
        <w:t>company's unique history and mission-driven leadership style (UCP Thesis, 2022; Management Consulted, 2025). Tesla's organizational culture attracts top talent and fosters high employee engagement through creative freedom, which is difficult for traditional conservative competitors to emulate (Management Consulted, 2025). Organization (O): The 'O' in VRIO refers to an organization's ability to manage and leverage the competitive potential of its valuable, rare, and imitable attributes (Witcher, 2020). Tesla is highly organized to leverage its resources; its willingness to embrace risk allows it to seize emerging opportunities and resist the trend toward strategic conservatism (Management Consulted, 2025). Regarding substitutability, Tesla's 'ecosystem,' formed by the combination of vehicle hardware, proprietary FSD software, and integrated energy storage solution networks, currently has no direct substitutes (DCF Modeling, 2023; Harrison McIntire, 2025), which solidifies Tesla's market position (Moomoo, 2025).</w:t>
      </w:r>
      <w:r w:rsidR="009A6DB5" w:rsidRPr="009A6DB5">
        <w:rPr>
          <w:rFonts w:ascii="微软雅黑" w:eastAsia="微软雅黑" w:hAnsi="微软雅黑" w:cs="Times New Roman" w:hint="eastAsia"/>
          <w:sz w:val="10"/>
          <w:szCs w:val="10"/>
        </w:rPr>
        <w:t xml:space="preserve"> </w:t>
      </w:r>
      <w:r w:rsidR="009A6DB5" w:rsidRPr="009A6DB5">
        <w:rPr>
          <w:rFonts w:ascii="微软雅黑" w:eastAsia="微软雅黑" w:hAnsi="微软雅黑" w:cs="Times New Roman" w:hint="eastAsia"/>
          <w:sz w:val="10"/>
          <w:szCs w:val="10"/>
        </w:rPr>
        <w:t>Advantages</w:t>
      </w:r>
    </w:p>
    <w:p w14:paraId="14C5401B"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Tesla maintains competitiveness in the electric vehicle (EV) industry through sustained technological innovation and a unique business model. Progress in its battery technology is poised to achieve higher energy density, improved efficiency, and lower production costs, thereby enhancing vehicle performance and affordability. Tesla boasts high customer satisfaction, strong brand loyalty, and fervent followers driven by its fashionable, tech-oriented image. Its proprietary charging infrastructure constitutes an additional strength.</w:t>
      </w:r>
    </w:p>
    <w:p w14:paraId="6E38F5C4"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Disadvantages</w:t>
      </w:r>
    </w:p>
    <w:p w14:paraId="1A39559E"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Tesla still faces several significant challenges that may impact its long-term growth and competitiveness. A persistent issue is production bottlenecks, which are often accompanied by inconsistent quality control. Its premium pricing strategy positions its vehicles beyond the purchasing power of many budget-conscious consumers.</w:t>
      </w:r>
    </w:p>
    <w:p w14:paraId="24965A27"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Opportunities</w:t>
      </w:r>
    </w:p>
    <w:p w14:paraId="370D5625"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Government policies, by accelerating the global transition to electric vehicles, significantly expand Tesla's growth prospects. Many countries are implementing aggressive EV mandates—for example, the European Union's plan to ban internal combustion engine vehicles by 2035—creating substantial market opportunities for EV manufacturers. Tesla is well-positioned to benefit from these transitions.</w:t>
      </w:r>
    </w:p>
    <w:p w14:paraId="15AEAA54"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Threats</w:t>
      </w:r>
    </w:p>
    <w:p w14:paraId="68C906AB" w14:textId="77777777" w:rsidR="009A6DB5" w:rsidRPr="009A6DB5" w:rsidRDefault="009A6DB5" w:rsidP="009A6DB5">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In addition to significant opportunities, Tesla faces various risks that could hinder its growth. Traditional automakers such as Ford and General Motors, along with Chinese competitors like BYD and NIO, are rapidly advancing in EV technology and offering more competitively priced models. Geopolitical and regulatory uncertainties may disrupt Tesla's supply chain and international operations. Economic recessions or downturns could further reduce consumer spending on premium electric vehicles.</w:t>
      </w:r>
    </w:p>
    <w:p w14:paraId="1156EB9E" w14:textId="5ADC4AC4" w:rsidR="00592E63" w:rsidRPr="00B30EFA" w:rsidRDefault="00637DC3" w:rsidP="00592E63">
      <w:pPr>
        <w:spacing w:after="0" w:line="0" w:lineRule="atLeast"/>
        <w:rPr>
          <w:rFonts w:ascii="微软雅黑" w:eastAsia="微软雅黑" w:hAnsi="微软雅黑" w:cs="Times New Roman" w:hint="eastAsia"/>
          <w:sz w:val="11"/>
          <w:szCs w:val="11"/>
        </w:rPr>
      </w:pPr>
      <w:r w:rsidRPr="009A6DB5">
        <w:rPr>
          <w:rFonts w:ascii="微软雅黑" w:eastAsia="微软雅黑" w:hAnsi="微软雅黑" w:cs="Times New Roman"/>
          <w:b/>
          <w:bCs/>
          <w:color w:val="005E00"/>
          <w:sz w:val="10"/>
          <w:szCs w:val="10"/>
        </w:rPr>
        <w:t xml:space="preserve">Q3 </w:t>
      </w:r>
      <w:r w:rsidR="00592E63" w:rsidRPr="00F62DA7">
        <w:rPr>
          <w:rFonts w:ascii="微软雅黑" w:eastAsia="微软雅黑" w:hAnsi="微软雅黑" w:cs="Times New Roman"/>
          <w:b/>
          <w:bCs/>
          <w:color w:val="005E00"/>
          <w:sz w:val="11"/>
          <w:szCs w:val="11"/>
        </w:rPr>
        <w:t>Customer Value Market Positioning</w:t>
      </w:r>
    </w:p>
    <w:p w14:paraId="1CF26F05" w14:textId="21AB0EE3" w:rsidR="00A312CD" w:rsidRPr="009A6DB5" w:rsidRDefault="00A312CD"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The Ansoff Matrix is a corporate growth framework comprising four strategies: • Market Penetration Strategy, typically adopted by companies aiming to increase sales in existing markets without altering their core products. • Market Development Strategy, employed when a business seeks to extend its primary product to new regions. • Product Development Strategy, utilized when a business develops new products for its existing market. • Diversification Strategy, which involves entering new markets or offering new products. Diversification is the riskiest strategy. It compels businesses to develop new products in unfamiliar markets beyond their comfort zone, requiring new capabilities and resources (Ansoff, 1957; Loredana, </w:t>
      </w:r>
      <w:r w:rsidRPr="009A6DB5">
        <w:rPr>
          <w:rFonts w:ascii="微软雅黑" w:eastAsia="微软雅黑" w:hAnsi="微软雅黑" w:cs="Times New Roman"/>
          <w:sz w:val="10"/>
          <w:szCs w:val="10"/>
        </w:rPr>
        <w:lastRenderedPageBreak/>
        <w:t>2017). Increased investment in new product development. These factors may increase the likelihood of strategic missteps, prompting businesses to hire experts and invest substantial resources in new product development (Loredana, 2017; Meme, 2012). Ansoff (1957) posits that diversification drives Tesla's growth. As Drucker (1985) argues, innovation and strategy help enterprises in such industries mitigate inherent risks and seize emerging opportunities. Continuous innovation and adaptation are crucial in the automotive technology sector. Yenidogan Aksoy (2017) links Ansoff's strategies to long-term growth, noting that innovation and diversification contribute to the formation of sustainable competitive advantages. Disruptive innovation resulting from diversification enables businesses to seize new opportunities and reshape markets. For new energy vehicle brands, radical innovation can help them reach new customers. Tesla's entry into the smart new energy vehicle domain has enabled it to expand its customer base, experiment with different products, and maintain competitiveness both within and outside the market. Centering on positioning is critical for developing strategic marketing plans to serve customers. Successful market positioning plays a key role in establishing long-term competitive advantages (Iyer et al., 2019; G. Hooley et al., 2001). Tesla positions its cars as status symbols. Tesla focuses on its premium lineup to create market demand. As customer satisfaction and revenue increase, positioning premium models based on price and functionality has proven to be a successful strategy. High pricing has achieved revenue comparable to that of premium vehicles, allowing it to stand out.</w:t>
      </w:r>
    </w:p>
    <w:p w14:paraId="71923734" w14:textId="123A7E26" w:rsidR="00592E63" w:rsidRDefault="004E72ED" w:rsidP="00185049">
      <w:pPr>
        <w:spacing w:after="0" w:line="0" w:lineRule="atLeast"/>
        <w:rPr>
          <w:rFonts w:ascii="微软雅黑" w:eastAsia="微软雅黑" w:hAnsi="微软雅黑" w:cs="Times New Roman"/>
          <w:b/>
          <w:bCs/>
          <w:color w:val="005E00"/>
          <w:sz w:val="10"/>
          <w:szCs w:val="10"/>
        </w:rPr>
      </w:pPr>
      <w:r w:rsidRPr="009A6DB5">
        <w:rPr>
          <w:rFonts w:ascii="微软雅黑" w:eastAsia="微软雅黑" w:hAnsi="微软雅黑" w:cs="Times New Roman"/>
          <w:b/>
          <w:bCs/>
          <w:color w:val="005E00"/>
          <w:sz w:val="10"/>
          <w:szCs w:val="10"/>
        </w:rPr>
        <w:t>Q4</w:t>
      </w:r>
      <w:r w:rsidR="00592E63" w:rsidRPr="00592E63">
        <w:rPr>
          <w:rFonts w:ascii="微软雅黑" w:eastAsia="微软雅黑" w:hAnsi="微软雅黑" w:cs="Times New Roman"/>
          <w:b/>
          <w:bCs/>
          <w:color w:val="005E00"/>
          <w:sz w:val="11"/>
          <w:szCs w:val="11"/>
        </w:rPr>
        <w:t xml:space="preserve"> </w:t>
      </w:r>
      <w:r w:rsidR="00592E63" w:rsidRPr="00F62DA7">
        <w:rPr>
          <w:rFonts w:ascii="微软雅黑" w:eastAsia="微软雅黑" w:hAnsi="微软雅黑" w:cs="Times New Roman"/>
          <w:b/>
          <w:bCs/>
          <w:color w:val="005E00"/>
          <w:sz w:val="11"/>
          <w:szCs w:val="11"/>
        </w:rPr>
        <w:t>areholder Stakeholder Corporate Social Responsibility Organizational Culture</w:t>
      </w:r>
    </w:p>
    <w:p w14:paraId="64844125" w14:textId="14325529" w:rsidR="00185049" w:rsidRPr="009A6DB5" w:rsidRDefault="00185049"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Stakeholder Theory (Edward Freeman, 1984) emphasizes that businesses should align profit creation with ethics and social responsibility, considering the interests of various stakeholders such as employees, customers, regulators, and the broader society. In the context of adopting new energy vehicles like Tesla, the theory posits that businesses should adopt economically viable and socially and environmentally responsible solutions (Floridi, 2021). Sustainability efforts driven by new energy vehicles, including energy-efficient manufacturing, reduced carbon emissions, and enhanced supply chain transparency, help businesses meet stakeholder needs and advance Corporate Social Responsibility (CSR) (Jobin et al., 2019</w:t>
      </w:r>
      <w:proofErr w:type="gramStart"/>
      <w:r w:rsidRPr="009A6DB5">
        <w:rPr>
          <w:rFonts w:ascii="微软雅黑" w:eastAsia="微软雅黑" w:hAnsi="微软雅黑" w:cs="Times New Roman" w:hint="eastAsia"/>
          <w:sz w:val="10"/>
          <w:szCs w:val="10"/>
        </w:rPr>
        <w:t>).Tesla's</w:t>
      </w:r>
      <w:proofErr w:type="gramEnd"/>
      <w:r w:rsidRPr="009A6DB5">
        <w:rPr>
          <w:rFonts w:ascii="微软雅黑" w:eastAsia="微软雅黑" w:hAnsi="微软雅黑" w:cs="Times New Roman" w:hint="eastAsia"/>
          <w:sz w:val="10"/>
          <w:szCs w:val="10"/>
        </w:rPr>
        <w:t xml:space="preserve"> Corporate Social Responsibility (CSR) strategy is rooted in promoting environmental sustainability through the promotion of electric vehicles and clean energy solutions. As a core component of its mission to accelerate the world's transition to sustainable energy, Tesla plays a key role in reducing carbon emissions while fostering economic development. By establishing</w:t>
      </w:r>
      <w:r w:rsidR="00592E63">
        <w:rPr>
          <w:rFonts w:ascii="微软雅黑" w:eastAsia="微软雅黑" w:hAnsi="微软雅黑" w:cs="Times New Roman" w:hint="eastAsia"/>
          <w:sz w:val="10"/>
          <w:szCs w:val="10"/>
        </w:rPr>
        <w:t xml:space="preserve"> </w:t>
      </w:r>
      <w:r w:rsidRPr="009A6DB5">
        <w:rPr>
          <w:rFonts w:ascii="微软雅黑" w:eastAsia="微软雅黑" w:hAnsi="微软雅黑" w:cs="Times New Roman" w:hint="eastAsia"/>
          <w:sz w:val="10"/>
          <w:szCs w:val="10"/>
        </w:rPr>
        <w:t>Gigafactories, the company not only promotes innovation but also stimulates local economies through job creation and regional growth. Tesla also conducts educational campaigns to promote Science, Technology, Engineering, and Mathematics (STEM) among youth, further contributing to the development of future workforce capabilities. Through its robust digital marketing strategies and transparent investor communications, Tesla effectively engages with stakeholders and enhances the visibility of its CSR initiatives (Tesla, 2022).</w:t>
      </w:r>
    </w:p>
    <w:p w14:paraId="40C4110B" w14:textId="77777777" w:rsidR="00185049" w:rsidRPr="009A6DB5" w:rsidRDefault="00185049"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Ethical Sourcing Policy: Efforts to ensure the responsible procurement of battery materials, avoiding child labor and environmentally destructive practices.</w:t>
      </w:r>
    </w:p>
    <w:p w14:paraId="5F08C814" w14:textId="2BD9283B" w:rsidR="00185049" w:rsidRPr="009A6DB5" w:rsidRDefault="00185049"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 xml:space="preserve">Tesla has successfully integrated environmental ethics into its core business strategy, setting new benchmarks for sustainability in the automotive </w:t>
      </w:r>
      <w:proofErr w:type="gramStart"/>
      <w:r w:rsidRPr="009A6DB5">
        <w:rPr>
          <w:rFonts w:ascii="微软雅黑" w:eastAsia="微软雅黑" w:hAnsi="微软雅黑" w:cs="Times New Roman" w:hint="eastAsia"/>
          <w:sz w:val="10"/>
          <w:szCs w:val="10"/>
        </w:rPr>
        <w:t>industry.Sustainable</w:t>
      </w:r>
      <w:proofErr w:type="gramEnd"/>
      <w:r w:rsidRPr="009A6DB5">
        <w:rPr>
          <w:rFonts w:ascii="微软雅黑" w:eastAsia="微软雅黑" w:hAnsi="微软雅黑" w:cs="Times New Roman" w:hint="eastAsia"/>
          <w:sz w:val="10"/>
          <w:szCs w:val="10"/>
        </w:rPr>
        <w:t xml:space="preserve"> innovations such as electric vehicles and battery recycling significantly reduce </w:t>
      </w:r>
      <w:r w:rsidRPr="009A6DB5">
        <w:rPr>
          <w:rFonts w:ascii="微软雅黑" w:eastAsia="微软雅黑" w:hAnsi="微软雅黑" w:cs="Times New Roman" w:hint="eastAsia"/>
          <w:sz w:val="10"/>
          <w:szCs w:val="10"/>
        </w:rPr>
        <w:t>carbon emissions and promote the use of clean energy.</w:t>
      </w:r>
    </w:p>
    <w:p w14:paraId="6EF08838" w14:textId="77777777" w:rsidR="00185049" w:rsidRPr="009A6DB5" w:rsidRDefault="00185049"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Tesla's business model demonstrates that profitability and environmental ethics can coexist, inspiring other companies to adopt sustainable practices.</w:t>
      </w:r>
    </w:p>
    <w:p w14:paraId="1CA6CE32" w14:textId="77777777" w:rsidR="00185049" w:rsidRPr="009A6DB5" w:rsidRDefault="00185049"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Sustainability is central to Tesla's brand identity, positioning it as an advocate for clean energy and driving the adoption of electric vehicles and renewable energy solutions. Tesla's growth is driven by consumer demand for electric vehicles and clean energy solutions.</w:t>
      </w:r>
    </w:p>
    <w:p w14:paraId="5A9E6C13" w14:textId="05B4DEFA" w:rsidR="00217348" w:rsidRPr="009A6DB5" w:rsidRDefault="00185049"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hint="eastAsia"/>
          <w:sz w:val="10"/>
          <w:szCs w:val="10"/>
        </w:rPr>
        <w:t xml:space="preserve">Tesla's cross-cultural marketing strategies and collaboration with local stakeholders ensure its products and services align with regional actual needs and </w:t>
      </w:r>
      <w:proofErr w:type="gramStart"/>
      <w:r w:rsidRPr="009A6DB5">
        <w:rPr>
          <w:rFonts w:ascii="微软雅黑" w:eastAsia="微软雅黑" w:hAnsi="微软雅黑" w:cs="Times New Roman" w:hint="eastAsia"/>
          <w:sz w:val="10"/>
          <w:szCs w:val="10"/>
        </w:rPr>
        <w:t>expectations.</w:t>
      </w:r>
      <w:r w:rsidR="00A767D5" w:rsidRPr="009A6DB5">
        <w:rPr>
          <w:rFonts w:ascii="微软雅黑" w:eastAsia="微软雅黑" w:hAnsi="微软雅黑" w:cs="Times New Roman"/>
          <w:sz w:val="10"/>
          <w:szCs w:val="10"/>
        </w:rPr>
        <w:t>sustainability</w:t>
      </w:r>
      <w:proofErr w:type="gramEnd"/>
      <w:r w:rsidR="00A767D5" w:rsidRPr="009A6DB5">
        <w:rPr>
          <w:rFonts w:ascii="微软雅黑" w:eastAsia="微软雅黑" w:hAnsi="微软雅黑" w:cs="Times New Roman"/>
          <w:sz w:val="10"/>
          <w:szCs w:val="10"/>
        </w:rPr>
        <w:t xml:space="preserve"> into Tesla's research and development requires a transformation of organizational culture. Enterprises must foster a long-term mindset and innovative ethos that values not only economic outcomes but also environmental and social considerations.</w:t>
      </w:r>
    </w:p>
    <w:p w14:paraId="2D268EB3" w14:textId="1B0B0A92" w:rsidR="00217348" w:rsidRPr="009A6DB5" w:rsidRDefault="00D846BB"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Market demand may fluctuate due to the continuous changes in consumer awareness and acceptance of electric vehicles. The increasingly intense competitive market environment is also a risk factor. Risks within the supply chain; any disruptions or price fluctuations in the supply chain will directly impact production costs and product quality. Government subsidies for electric vehicles are one of the key drivers promoting industry development. However, these policy subsidies may gradually phase out, which will affect the profitability and market competitiveness of electric vehicle companies. Tesla may lack sufficient funds; the company also faces challenges in securing adequate funding.</w:t>
      </w:r>
    </w:p>
    <w:p w14:paraId="283A0659" w14:textId="77777777" w:rsidR="004B0E88" w:rsidRPr="009A6DB5" w:rsidRDefault="004B0E88" w:rsidP="004B0E88">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Based on Tesla's continuous innovation and expansion in the service sector, as well as the growing owner base, service demand will continue to grow.</w:t>
      </w:r>
    </w:p>
    <w:p w14:paraId="55123A6E" w14:textId="52F75DA3" w:rsidR="004B0E88" w:rsidRPr="009A6DB5" w:rsidRDefault="004B0E88" w:rsidP="004B0E88">
      <w:pPr>
        <w:spacing w:after="0" w:line="0" w:lineRule="atLeast"/>
        <w:rPr>
          <w:rFonts w:ascii="微软雅黑" w:eastAsia="微软雅黑" w:hAnsi="微软雅黑" w:cs="Arial" w:hint="eastAsia"/>
          <w:sz w:val="10"/>
          <w:szCs w:val="10"/>
        </w:rPr>
      </w:pPr>
      <w:r w:rsidRPr="009A6DB5">
        <w:rPr>
          <w:rFonts w:ascii="微软雅黑" w:eastAsia="微软雅黑" w:hAnsi="微软雅黑" w:cs="Arial"/>
          <w:sz w:val="10"/>
          <w:szCs w:val="10"/>
        </w:rPr>
        <w:t>challenges such as capacity expansion, quality issues, and competitive market pressures still require effective management. (Davis, 2020)</w:t>
      </w:r>
    </w:p>
    <w:p w14:paraId="20211F3D" w14:textId="7E69F651" w:rsidR="004B0E88" w:rsidRDefault="004B0E88" w:rsidP="004B0E88">
      <w:pPr>
        <w:spacing w:after="0" w:line="0" w:lineRule="atLeast"/>
        <w:rPr>
          <w:rFonts w:ascii="微软雅黑" w:eastAsia="微软雅黑" w:hAnsi="微软雅黑" w:cs="Arial"/>
          <w:sz w:val="10"/>
          <w:szCs w:val="10"/>
        </w:rPr>
      </w:pPr>
      <w:r w:rsidRPr="009A6DB5">
        <w:rPr>
          <w:rFonts w:ascii="微软雅黑" w:eastAsia="微软雅黑" w:hAnsi="微软雅黑" w:cs="Arial"/>
          <w:sz w:val="10"/>
          <w:szCs w:val="10"/>
        </w:rPr>
        <w:t>Tesla's brand narrative and marketing approach may be experiencing innovation fatigue, making it difficult to sustain consumer engagement. Particularly as competitors begin to adopt sustainable marketing strategies, Tesla's brand distinctiveness could be challenged. The limited number of Tesla stores has resulted in inadequate sales and service coverage in certain regions, influencing potential customers' purchasing decisions (Ji, 2024).</w:t>
      </w:r>
    </w:p>
    <w:p w14:paraId="6EC1661C" w14:textId="624D527B" w:rsidR="00592E63" w:rsidRPr="00592E63" w:rsidRDefault="00592E63" w:rsidP="004B0E88">
      <w:pPr>
        <w:spacing w:after="0" w:line="0" w:lineRule="atLeast"/>
        <w:rPr>
          <w:rFonts w:ascii="微软雅黑" w:eastAsia="微软雅黑" w:hAnsi="微软雅黑" w:cs="Arial" w:hint="eastAsia"/>
          <w:b/>
          <w:bCs/>
          <w:sz w:val="10"/>
          <w:szCs w:val="10"/>
        </w:rPr>
      </w:pPr>
      <w:r w:rsidRPr="00592E63">
        <w:rPr>
          <w:rFonts w:ascii="微软雅黑" w:eastAsia="微软雅黑" w:hAnsi="微软雅黑" w:cs="Arial"/>
          <w:b/>
          <w:bCs/>
          <w:sz w:val="10"/>
          <w:szCs w:val="10"/>
        </w:rPr>
        <w:t>References</w:t>
      </w:r>
    </w:p>
    <w:p w14:paraId="7500387F" w14:textId="48FA127E"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Shao, X., Wang, Q., &amp; Yang, H. (2021). Business analysis and future development of an electric vehicle company—</w:t>
      </w:r>
    </w:p>
    <w:p w14:paraId="01C1E5C6" w14:textId="77777777"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 xml:space="preserve">Tesla. 2. Zhou, Z. (2023). Tesla marketing analysis. Academic Journal of Business &amp; Management, 5(2), 171–177. 3. </w:t>
      </w:r>
    </w:p>
    <w:p w14:paraId="4DE99057" w14:textId="77777777"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Gao, L. (2017). Analysis of Tesla's business model. Finance &amp; Accounting, (9), 92. 4.</w:t>
      </w:r>
    </w:p>
    <w:p w14:paraId="7F019DA3" w14:textId="77777777"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 xml:space="preserve"> Stringham, E. P., Miller, J. K., &amp; Clark, J. R. (2015). Overcoming barriers to entry in an established industry: Tesla Motors. California Management Review, 57(4), 85–103. </w:t>
      </w:r>
    </w:p>
    <w:p w14:paraId="14190123" w14:textId="77777777"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 Petro, S. (2019). Business and financial analysis of Tesla Inc. Tallinn University of Technology. 6.</w:t>
      </w:r>
    </w:p>
    <w:p w14:paraId="1A08B844" w14:textId="77777777"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 xml:space="preserve"> Zeng, X., Huang, Y., Zeng, Y., et al. (2024). Strategic optimization of Tesla Inc. based on the financial strategy matrix. Hebei Enterprise, (4), 98–101. 7. Qian, J. (2023). Research on Tesla Inc.'s profit model. (Master's thesis). Hebei Normal University, Hebei,</w:t>
      </w:r>
    </w:p>
    <w:p w14:paraId="0068C856" w14:textId="69F9B672"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China. 8. Ren, Z., Weng, X., Xu, Y., et al. (2023). Financial analysis and valuation of Tesla Inc. Advances in Economics, Management and Political Sciences, 42, 69–76. 9.</w:t>
      </w:r>
    </w:p>
    <w:p w14:paraId="253D6F2D" w14:textId="77777777" w:rsidR="006C57B3" w:rsidRPr="009A6DB5" w:rsidRDefault="006C57B3" w:rsidP="00185049">
      <w:pPr>
        <w:spacing w:after="0" w:line="0" w:lineRule="atLeast"/>
        <w:rPr>
          <w:rFonts w:ascii="微软雅黑" w:eastAsia="微软雅黑" w:hAnsi="微软雅黑" w:hint="eastAsia"/>
          <w:sz w:val="10"/>
          <w:szCs w:val="10"/>
        </w:rPr>
      </w:pPr>
      <w:r w:rsidRPr="009A6DB5">
        <w:rPr>
          <w:rFonts w:ascii="微软雅黑" w:eastAsia="微软雅黑" w:hAnsi="微软雅黑"/>
          <w:sz w:val="10"/>
          <w:szCs w:val="10"/>
        </w:rPr>
        <w:t xml:space="preserve"> Li, J. (2017). Research and discussion on Tesla Inc.'s business model. Management Observer, </w:t>
      </w:r>
      <w:r w:rsidRPr="009A6DB5">
        <w:rPr>
          <w:rFonts w:ascii="微软雅黑" w:eastAsia="微软雅黑" w:hAnsi="微软雅黑"/>
          <w:sz w:val="10"/>
          <w:szCs w:val="10"/>
        </w:rPr>
        <w:t xml:space="preserve">2017(15), 76–79. 10. </w:t>
      </w:r>
    </w:p>
    <w:p w14:paraId="2B8A9330" w14:textId="6C5A56C9" w:rsidR="00F14726" w:rsidRPr="009A6DB5" w:rsidRDefault="006C57B3"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sz w:val="10"/>
          <w:szCs w:val="10"/>
        </w:rPr>
        <w:t>Maradin, D., Malnar, A., &amp; Kaštelan, A. (2022). Sustainable and clean energy: The case of Tesla company. Journal of Economics, Finance and Management Studies, 5(12), 3531 3542</w:t>
      </w:r>
    </w:p>
    <w:p w14:paraId="0E7292E4" w14:textId="3DACDC42" w:rsidR="00217348" w:rsidRPr="009A6DB5" w:rsidRDefault="00217348"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Almansour, M. (2022). Electric vehicles (EV) and sustainability: Consumer response to twin transition, the role of e-businesses and digital marketing. Technology in Society, 71, 102135. </w:t>
      </w:r>
      <w:hyperlink r:id="rId7" w:history="1">
        <w:r w:rsidRPr="009A6DB5">
          <w:rPr>
            <w:rStyle w:val="ae"/>
            <w:rFonts w:ascii="微软雅黑" w:eastAsia="微软雅黑" w:hAnsi="微软雅黑" w:cs="Times New Roman"/>
            <w:sz w:val="10"/>
            <w:szCs w:val="10"/>
          </w:rPr>
          <w:t>https://doi.org/10.1016/j. techsoc.2022.102135</w:t>
        </w:r>
      </w:hyperlink>
    </w:p>
    <w:p w14:paraId="4F330315" w14:textId="257D2D64" w:rsidR="00217348" w:rsidRPr="009A6DB5" w:rsidRDefault="00217348"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Biney, J., Jones, E. C., &amp; Jones, E. C. (2024). Understanding the EV Semiconductor Chip Sustainable Supply Chain Chip Shortage. </w:t>
      </w:r>
      <w:r w:rsidRPr="009A6DB5">
        <w:rPr>
          <w:rFonts w:ascii="微软雅黑" w:eastAsia="微软雅黑" w:hAnsi="微软雅黑" w:cs="Times New Roman"/>
          <w:i/>
          <w:iCs/>
          <w:sz w:val="10"/>
          <w:szCs w:val="10"/>
        </w:rPr>
        <w:t>International Supply Chain Technology Journal,</w:t>
      </w:r>
      <w:r w:rsidRPr="009A6DB5">
        <w:rPr>
          <w:rFonts w:ascii="微软雅黑" w:eastAsia="微软雅黑" w:hAnsi="微软雅黑" w:cs="Times New Roman"/>
          <w:sz w:val="10"/>
          <w:szCs w:val="10"/>
        </w:rPr>
        <w:t xml:space="preserve"> 10(2)</w:t>
      </w:r>
    </w:p>
    <w:p w14:paraId="6944515C" w14:textId="4310FE4E" w:rsidR="00217348" w:rsidRPr="009A6DB5" w:rsidRDefault="00217348"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Enkhtuvshin, E. (2024) Tesla-Addressing Eco Challenges Globally. CCT College Dublin. https://doi. org/10.63227/389.944.76</w:t>
      </w:r>
    </w:p>
    <w:p w14:paraId="1BCA426E" w14:textId="77777777"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Jatavallabha, A. (2024). Tesla's autopilot: Ethics and tragedy. arXiv preprint arXiv:2409.17380. https://doi. org/10.48550/arXiv.2409.17380 </w:t>
      </w:r>
    </w:p>
    <w:p w14:paraId="2EAC232B" w14:textId="66A9809F"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Khaleel, M., Nassar, Y., El-Khozondar, H. J., Elmnifi, M., Rajab, Z., Yaghoubi, E., &amp; Yaghoubi, E. (2024). Electric vehicles in China, Europe, and the United States: Current trend and market comparison. International Journal of Electrical Engineering and Sustainability, 1-20. </w:t>
      </w:r>
      <w:hyperlink r:id="rId8" w:history="1">
        <w:r w:rsidRPr="009A6DB5">
          <w:rPr>
            <w:rStyle w:val="ae"/>
            <w:rFonts w:ascii="微软雅黑" w:eastAsia="微软雅黑" w:hAnsi="微软雅黑" w:cs="Times New Roman"/>
            <w:sz w:val="10"/>
            <w:szCs w:val="10"/>
          </w:rPr>
          <w:t>https://doi.org/10.65998/ijees.v2i1.70</w:t>
        </w:r>
      </w:hyperlink>
    </w:p>
    <w:p w14:paraId="28C2B2B9" w14:textId="11E54FBB"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 Lei, C. (2025). Analysis of Tesla International Strategies. In Sustainable Data Management: Navigating Big Data, Communication Technology, and Business Digital Leadership. Volume 1 (pp. 237-246). Cham: Springer Nature Switzerland. </w:t>
      </w:r>
      <w:hyperlink r:id="rId9" w:history="1">
        <w:r w:rsidRPr="009A6DB5">
          <w:rPr>
            <w:rStyle w:val="ae"/>
            <w:rFonts w:ascii="微软雅黑" w:eastAsia="微软雅黑" w:hAnsi="微软雅黑" w:cs="Times New Roman"/>
            <w:sz w:val="10"/>
            <w:szCs w:val="10"/>
          </w:rPr>
          <w:t>https://doi.org/10.1007/978-3-031-83911-5_21</w:t>
        </w:r>
      </w:hyperlink>
    </w:p>
    <w:p w14:paraId="2563F928" w14:textId="075A3014"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 Maradin, D., Malnar, A., &amp; Kaštelan, A. (2022). Sustainable and clean energy: the case of tesla company. Journal of Economics, Finance and Management Studies, 5(12), 3531-3542. https://doi. org/10.47191/jefms/v5-i12-10 </w:t>
      </w:r>
    </w:p>
    <w:p w14:paraId="6E2FB436" w14:textId="3E20D360"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Nezhadkian, M., Zho, W. (2025). Leveraging AI and IoT for Industry Transformation: A Case Study of Tesla's Technological Integration and Strategic Innovation. Information Sciences and Technological Innovations, 2(1), 24-34. https://doi.org/10.48314/isti.v2i1.29 </w:t>
      </w:r>
    </w:p>
    <w:p w14:paraId="19E5C10F" w14:textId="0C59E717"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Rapson, D. S.</w:t>
      </w:r>
      <w:proofErr w:type="gramStart"/>
      <w:r w:rsidRPr="009A6DB5">
        <w:rPr>
          <w:rFonts w:ascii="微软雅黑" w:eastAsia="微软雅黑" w:hAnsi="微软雅黑" w:cs="Times New Roman"/>
          <w:sz w:val="10"/>
          <w:szCs w:val="10"/>
        </w:rPr>
        <w:t>,  Muehlegger</w:t>
      </w:r>
      <w:proofErr w:type="gramEnd"/>
      <w:r w:rsidRPr="009A6DB5">
        <w:rPr>
          <w:rFonts w:ascii="微软雅黑" w:eastAsia="微软雅黑" w:hAnsi="微软雅黑" w:cs="Times New Roman"/>
          <w:sz w:val="10"/>
          <w:szCs w:val="10"/>
        </w:rPr>
        <w:t xml:space="preserve">, E. (2023). The economics of electric vehicles. Review of Environmental Economics and Policy, 17(2), 274-294. </w:t>
      </w:r>
    </w:p>
    <w:p w14:paraId="1A71B406" w14:textId="77777777"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Shamsuddoha, M., &amp; Nasir, T. (2025). The road ahead for hybrid or electric vehicles in developing countries: market growth, infrastructure, and policy needs. World Electric Vehicle Journal, 16(3), 180. https://doi. org/10.3390/wevj16030180</w:t>
      </w:r>
    </w:p>
    <w:p w14:paraId="2819A045" w14:textId="1E2C0969" w:rsidR="00A169C1"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 Sushil, &amp; Dhir, S. (2024). Learning about the external situation. In Strategic Management: Reflecting Strategic Flexibility, Innovation and Entrepreneurship (pp. 131-151). Singapore: Springer Nature Singapore. </w:t>
      </w:r>
      <w:hyperlink r:id="rId10" w:history="1">
        <w:r w:rsidRPr="009A6DB5">
          <w:rPr>
            <w:rStyle w:val="ae"/>
            <w:rFonts w:ascii="微软雅黑" w:eastAsia="微软雅黑" w:hAnsi="微软雅黑" w:cs="Times New Roman"/>
            <w:sz w:val="10"/>
            <w:szCs w:val="10"/>
          </w:rPr>
          <w:t>https://doi.org/10.1007/978-981-97-4788-7_8</w:t>
        </w:r>
      </w:hyperlink>
      <w:r w:rsidRPr="009A6DB5">
        <w:rPr>
          <w:rFonts w:ascii="微软雅黑" w:eastAsia="微软雅黑" w:hAnsi="微软雅黑" w:cs="Times New Roman"/>
          <w:sz w:val="10"/>
          <w:szCs w:val="10"/>
        </w:rPr>
        <w:t xml:space="preserve"> </w:t>
      </w:r>
    </w:p>
    <w:p w14:paraId="75E3EFDB" w14:textId="78030D14" w:rsidR="00217348" w:rsidRPr="009A6DB5" w:rsidRDefault="00A169C1"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Trovão, J. P. (2023). Exploring current automotive industry trends [automotive electronics]. IEEE Vehicular Technology Magazine, 18(4), 127-137. https://doi.org/10.1109/MVT.2023.3317525</w:t>
      </w:r>
    </w:p>
    <w:p w14:paraId="692307F3" w14:textId="77777777" w:rsidR="00637DC3" w:rsidRPr="009A6DB5" w:rsidRDefault="00637DC3"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Alphabet Inc. (2024) UNITED STATES SECURITIES AND EXCHANGE COMMISSION. Available at: https://abc.xyz/assets/77/51/9841ad5c4fbe85b4440c47a4df8d/goog-10-k-2024.pdf </w:t>
      </w:r>
    </w:p>
    <w:p w14:paraId="63100228" w14:textId="7FF4DB53" w:rsidR="00217348" w:rsidRPr="009A6DB5" w:rsidRDefault="00637DC3"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Amit, R. Livnat, J., 1988. A concept of conglomerate diversification. Journal of Management, 14(4), pp.593-604.</w:t>
      </w:r>
    </w:p>
    <w:p w14:paraId="3D42C0D8" w14:textId="12E058D8" w:rsidR="00217348" w:rsidRPr="009A6DB5" w:rsidRDefault="00637DC3"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Ansoff, H.I., 1957. Strategies for diversification. Harvard business review, 35(5), pp.113-124.</w:t>
      </w:r>
    </w:p>
    <w:p w14:paraId="4EE843EF" w14:textId="5841C8B0" w:rsidR="00217348" w:rsidRPr="009A6DB5" w:rsidRDefault="00E262BE"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 Zaytsev, A. (2023) Case study: Tesla’s integration of AI in Automotive Innovation - Aix: Ai Expert Network, AIX | AI Expert Network. Available at: aiexpert. networ</w:t>
      </w:r>
    </w:p>
    <w:p w14:paraId="272DB30D" w14:textId="6D5B9978" w:rsidR="004B0E88" w:rsidRPr="00592E63" w:rsidRDefault="009E0333" w:rsidP="00185049">
      <w:pPr>
        <w:spacing w:after="0" w:line="0" w:lineRule="atLeast"/>
        <w:rPr>
          <w:rFonts w:ascii="微软雅黑" w:eastAsia="微软雅黑" w:hAnsi="微软雅黑" w:cs="Times New Roman" w:hint="eastAsia"/>
          <w:sz w:val="10"/>
          <w:szCs w:val="10"/>
        </w:rPr>
      </w:pPr>
      <w:r w:rsidRPr="009A6DB5">
        <w:rPr>
          <w:rFonts w:ascii="微软雅黑" w:eastAsia="微软雅黑" w:hAnsi="微软雅黑" w:cs="Times New Roman"/>
          <w:sz w:val="10"/>
          <w:szCs w:val="10"/>
        </w:rPr>
        <w:t xml:space="preserve">Bai, </w:t>
      </w:r>
      <w:proofErr w:type="gramStart"/>
      <w:r w:rsidRPr="009A6DB5">
        <w:rPr>
          <w:rFonts w:ascii="微软雅黑" w:eastAsia="微软雅黑" w:hAnsi="微软雅黑" w:cs="Times New Roman"/>
          <w:sz w:val="10"/>
          <w:szCs w:val="10"/>
        </w:rPr>
        <w:t>C..</w:t>
      </w:r>
      <w:proofErr w:type="gramEnd"/>
      <w:r w:rsidRPr="009A6DB5">
        <w:rPr>
          <w:rFonts w:ascii="微软雅黑" w:eastAsia="微软雅黑" w:hAnsi="微软雅黑" w:cs="Times New Roman"/>
          <w:sz w:val="10"/>
          <w:szCs w:val="10"/>
        </w:rPr>
        <w:t xml:space="preserve"> (2020) ‘Industry 4.0 technologies assessment: A sustainability perspective’, International Journal of Production Economics, 229, p. 107776.</w:t>
      </w:r>
    </w:p>
    <w:sectPr w:rsidR="004B0E88" w:rsidRPr="00592E63" w:rsidSect="00185049">
      <w:pgSz w:w="11906" w:h="16838"/>
      <w:pgMar w:top="1440" w:right="1800" w:bottom="1440" w:left="1800" w:header="851" w:footer="992" w:gutter="0"/>
      <w:cols w:num="3"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7BE52" w14:textId="77777777" w:rsidR="00F73A74" w:rsidRDefault="00F73A74" w:rsidP="000C33F9">
      <w:pPr>
        <w:spacing w:after="0" w:line="240" w:lineRule="auto"/>
        <w:rPr>
          <w:rFonts w:hint="eastAsia"/>
        </w:rPr>
      </w:pPr>
      <w:r>
        <w:separator/>
      </w:r>
    </w:p>
  </w:endnote>
  <w:endnote w:type="continuationSeparator" w:id="0">
    <w:p w14:paraId="1E7F4AA8" w14:textId="77777777" w:rsidR="00F73A74" w:rsidRDefault="00F73A74" w:rsidP="000C33F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C5022" w14:textId="77777777" w:rsidR="00F73A74" w:rsidRDefault="00F73A74" w:rsidP="000C33F9">
      <w:pPr>
        <w:spacing w:after="0" w:line="240" w:lineRule="auto"/>
        <w:rPr>
          <w:rFonts w:hint="eastAsia"/>
        </w:rPr>
      </w:pPr>
      <w:r>
        <w:separator/>
      </w:r>
    </w:p>
  </w:footnote>
  <w:footnote w:type="continuationSeparator" w:id="0">
    <w:p w14:paraId="0016D80A" w14:textId="77777777" w:rsidR="00F73A74" w:rsidRDefault="00F73A74" w:rsidP="000C33F9">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078"/>
    <w:rsid w:val="000A3A8C"/>
    <w:rsid w:val="000B05F7"/>
    <w:rsid w:val="000C33F9"/>
    <w:rsid w:val="000D0E56"/>
    <w:rsid w:val="0011404E"/>
    <w:rsid w:val="00130534"/>
    <w:rsid w:val="00183774"/>
    <w:rsid w:val="00185049"/>
    <w:rsid w:val="00217348"/>
    <w:rsid w:val="00303EB1"/>
    <w:rsid w:val="00353720"/>
    <w:rsid w:val="003C58A9"/>
    <w:rsid w:val="003F4937"/>
    <w:rsid w:val="004037C0"/>
    <w:rsid w:val="004374D2"/>
    <w:rsid w:val="00496FB2"/>
    <w:rsid w:val="004B0E88"/>
    <w:rsid w:val="004C49D6"/>
    <w:rsid w:val="004E6C1D"/>
    <w:rsid w:val="004E72ED"/>
    <w:rsid w:val="00592E63"/>
    <w:rsid w:val="005C7972"/>
    <w:rsid w:val="00637DC3"/>
    <w:rsid w:val="00641D01"/>
    <w:rsid w:val="006A5553"/>
    <w:rsid w:val="006C57B3"/>
    <w:rsid w:val="00725D0C"/>
    <w:rsid w:val="00740D38"/>
    <w:rsid w:val="007E3B02"/>
    <w:rsid w:val="00866AA4"/>
    <w:rsid w:val="00885C64"/>
    <w:rsid w:val="00891E24"/>
    <w:rsid w:val="008A058B"/>
    <w:rsid w:val="009A6DB5"/>
    <w:rsid w:val="009B3838"/>
    <w:rsid w:val="009B710C"/>
    <w:rsid w:val="009E0333"/>
    <w:rsid w:val="009F26AD"/>
    <w:rsid w:val="00A06545"/>
    <w:rsid w:val="00A169C1"/>
    <w:rsid w:val="00A312CD"/>
    <w:rsid w:val="00A76318"/>
    <w:rsid w:val="00A767D5"/>
    <w:rsid w:val="00AE6412"/>
    <w:rsid w:val="00B87B36"/>
    <w:rsid w:val="00CB5D5C"/>
    <w:rsid w:val="00CC3C13"/>
    <w:rsid w:val="00D32E76"/>
    <w:rsid w:val="00D44078"/>
    <w:rsid w:val="00D846BB"/>
    <w:rsid w:val="00DF0A30"/>
    <w:rsid w:val="00DF4ECB"/>
    <w:rsid w:val="00E262BE"/>
    <w:rsid w:val="00E751BF"/>
    <w:rsid w:val="00EB5D9B"/>
    <w:rsid w:val="00EF3ACD"/>
    <w:rsid w:val="00EF4C11"/>
    <w:rsid w:val="00F14726"/>
    <w:rsid w:val="00F26526"/>
    <w:rsid w:val="00F32588"/>
    <w:rsid w:val="00F73A74"/>
    <w:rsid w:val="00F860B9"/>
    <w:rsid w:val="00FB364A"/>
    <w:rsid w:val="00FB621D"/>
    <w:rsid w:val="00FF78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0649F"/>
  <w15:chartTrackingRefBased/>
  <w15:docId w15:val="{E00FA59E-0FC6-4975-83AE-DD3B65EA7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D44078"/>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D44078"/>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D44078"/>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D44078"/>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D44078"/>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D44078"/>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D4407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4407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D4407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44078"/>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D44078"/>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D44078"/>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D44078"/>
    <w:rPr>
      <w:rFonts w:cstheme="majorBidi"/>
      <w:color w:val="2F5496" w:themeColor="accent1" w:themeShade="BF"/>
      <w:sz w:val="28"/>
      <w:szCs w:val="28"/>
    </w:rPr>
  </w:style>
  <w:style w:type="character" w:customStyle="1" w:styleId="50">
    <w:name w:val="标题 5 字符"/>
    <w:basedOn w:val="a0"/>
    <w:link w:val="5"/>
    <w:uiPriority w:val="9"/>
    <w:semiHidden/>
    <w:rsid w:val="00D44078"/>
    <w:rPr>
      <w:rFonts w:cstheme="majorBidi"/>
      <w:color w:val="2F5496" w:themeColor="accent1" w:themeShade="BF"/>
      <w:sz w:val="24"/>
    </w:rPr>
  </w:style>
  <w:style w:type="character" w:customStyle="1" w:styleId="60">
    <w:name w:val="标题 6 字符"/>
    <w:basedOn w:val="a0"/>
    <w:link w:val="6"/>
    <w:uiPriority w:val="9"/>
    <w:semiHidden/>
    <w:rsid w:val="00D44078"/>
    <w:rPr>
      <w:rFonts w:cstheme="majorBidi"/>
      <w:b/>
      <w:bCs/>
      <w:color w:val="2F5496" w:themeColor="accent1" w:themeShade="BF"/>
    </w:rPr>
  </w:style>
  <w:style w:type="character" w:customStyle="1" w:styleId="70">
    <w:name w:val="标题 7 字符"/>
    <w:basedOn w:val="a0"/>
    <w:link w:val="7"/>
    <w:uiPriority w:val="9"/>
    <w:semiHidden/>
    <w:rsid w:val="00D44078"/>
    <w:rPr>
      <w:rFonts w:cstheme="majorBidi"/>
      <w:b/>
      <w:bCs/>
      <w:color w:val="595959" w:themeColor="text1" w:themeTint="A6"/>
    </w:rPr>
  </w:style>
  <w:style w:type="character" w:customStyle="1" w:styleId="80">
    <w:name w:val="标题 8 字符"/>
    <w:basedOn w:val="a0"/>
    <w:link w:val="8"/>
    <w:uiPriority w:val="9"/>
    <w:semiHidden/>
    <w:rsid w:val="00D44078"/>
    <w:rPr>
      <w:rFonts w:cstheme="majorBidi"/>
      <w:color w:val="595959" w:themeColor="text1" w:themeTint="A6"/>
    </w:rPr>
  </w:style>
  <w:style w:type="character" w:customStyle="1" w:styleId="90">
    <w:name w:val="标题 9 字符"/>
    <w:basedOn w:val="a0"/>
    <w:link w:val="9"/>
    <w:uiPriority w:val="9"/>
    <w:semiHidden/>
    <w:rsid w:val="00D44078"/>
    <w:rPr>
      <w:rFonts w:eastAsiaTheme="majorEastAsia" w:cstheme="majorBidi"/>
      <w:color w:val="595959" w:themeColor="text1" w:themeTint="A6"/>
    </w:rPr>
  </w:style>
  <w:style w:type="paragraph" w:styleId="a3">
    <w:name w:val="Title"/>
    <w:basedOn w:val="a"/>
    <w:next w:val="a"/>
    <w:link w:val="a4"/>
    <w:uiPriority w:val="10"/>
    <w:qFormat/>
    <w:rsid w:val="00D4407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4407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4407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4407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44078"/>
    <w:pPr>
      <w:spacing w:before="160"/>
      <w:jc w:val="center"/>
    </w:pPr>
    <w:rPr>
      <w:i/>
      <w:iCs/>
      <w:color w:val="404040" w:themeColor="text1" w:themeTint="BF"/>
    </w:rPr>
  </w:style>
  <w:style w:type="character" w:customStyle="1" w:styleId="a8">
    <w:name w:val="引用 字符"/>
    <w:basedOn w:val="a0"/>
    <w:link w:val="a7"/>
    <w:uiPriority w:val="29"/>
    <w:rsid w:val="00D44078"/>
    <w:rPr>
      <w:i/>
      <w:iCs/>
      <w:color w:val="404040" w:themeColor="text1" w:themeTint="BF"/>
    </w:rPr>
  </w:style>
  <w:style w:type="paragraph" w:styleId="a9">
    <w:name w:val="List Paragraph"/>
    <w:basedOn w:val="a"/>
    <w:uiPriority w:val="34"/>
    <w:qFormat/>
    <w:rsid w:val="00D44078"/>
    <w:pPr>
      <w:ind w:left="720"/>
      <w:contextualSpacing/>
    </w:pPr>
  </w:style>
  <w:style w:type="character" w:styleId="aa">
    <w:name w:val="Intense Emphasis"/>
    <w:basedOn w:val="a0"/>
    <w:uiPriority w:val="21"/>
    <w:qFormat/>
    <w:rsid w:val="00D44078"/>
    <w:rPr>
      <w:i/>
      <w:iCs/>
      <w:color w:val="2F5496" w:themeColor="accent1" w:themeShade="BF"/>
    </w:rPr>
  </w:style>
  <w:style w:type="paragraph" w:styleId="ab">
    <w:name w:val="Intense Quote"/>
    <w:basedOn w:val="a"/>
    <w:next w:val="a"/>
    <w:link w:val="ac"/>
    <w:uiPriority w:val="30"/>
    <w:qFormat/>
    <w:rsid w:val="00D440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D44078"/>
    <w:rPr>
      <w:i/>
      <w:iCs/>
      <w:color w:val="2F5496" w:themeColor="accent1" w:themeShade="BF"/>
    </w:rPr>
  </w:style>
  <w:style w:type="character" w:styleId="ad">
    <w:name w:val="Intense Reference"/>
    <w:basedOn w:val="a0"/>
    <w:uiPriority w:val="32"/>
    <w:qFormat/>
    <w:rsid w:val="00D44078"/>
    <w:rPr>
      <w:b/>
      <w:bCs/>
      <w:smallCaps/>
      <w:color w:val="2F5496" w:themeColor="accent1" w:themeShade="BF"/>
      <w:spacing w:val="5"/>
    </w:rPr>
  </w:style>
  <w:style w:type="character" w:styleId="ae">
    <w:name w:val="Hyperlink"/>
    <w:basedOn w:val="a0"/>
    <w:uiPriority w:val="99"/>
    <w:unhideWhenUsed/>
    <w:rsid w:val="00217348"/>
    <w:rPr>
      <w:color w:val="0563C1" w:themeColor="hyperlink"/>
      <w:u w:val="single"/>
    </w:rPr>
  </w:style>
  <w:style w:type="character" w:styleId="af">
    <w:name w:val="Unresolved Mention"/>
    <w:basedOn w:val="a0"/>
    <w:uiPriority w:val="99"/>
    <w:semiHidden/>
    <w:unhideWhenUsed/>
    <w:rsid w:val="00217348"/>
    <w:rPr>
      <w:color w:val="605E5C"/>
      <w:shd w:val="clear" w:color="auto" w:fill="E1DFDD"/>
    </w:rPr>
  </w:style>
  <w:style w:type="paragraph" w:styleId="af0">
    <w:name w:val="header"/>
    <w:basedOn w:val="a"/>
    <w:link w:val="af1"/>
    <w:uiPriority w:val="99"/>
    <w:unhideWhenUsed/>
    <w:rsid w:val="000C33F9"/>
    <w:pPr>
      <w:tabs>
        <w:tab w:val="center" w:pos="4153"/>
        <w:tab w:val="right" w:pos="8306"/>
      </w:tabs>
      <w:snapToGrid w:val="0"/>
      <w:spacing w:line="240" w:lineRule="auto"/>
      <w:jc w:val="center"/>
    </w:pPr>
    <w:rPr>
      <w:sz w:val="18"/>
      <w:szCs w:val="18"/>
    </w:rPr>
  </w:style>
  <w:style w:type="character" w:customStyle="1" w:styleId="af1">
    <w:name w:val="页眉 字符"/>
    <w:basedOn w:val="a0"/>
    <w:link w:val="af0"/>
    <w:uiPriority w:val="99"/>
    <w:rsid w:val="000C33F9"/>
    <w:rPr>
      <w:sz w:val="18"/>
      <w:szCs w:val="18"/>
    </w:rPr>
  </w:style>
  <w:style w:type="paragraph" w:styleId="af2">
    <w:name w:val="footer"/>
    <w:basedOn w:val="a"/>
    <w:link w:val="af3"/>
    <w:uiPriority w:val="99"/>
    <w:unhideWhenUsed/>
    <w:rsid w:val="000C33F9"/>
    <w:pPr>
      <w:tabs>
        <w:tab w:val="center" w:pos="4153"/>
        <w:tab w:val="right" w:pos="8306"/>
      </w:tabs>
      <w:snapToGrid w:val="0"/>
      <w:spacing w:line="240" w:lineRule="auto"/>
    </w:pPr>
    <w:rPr>
      <w:sz w:val="18"/>
      <w:szCs w:val="18"/>
    </w:rPr>
  </w:style>
  <w:style w:type="character" w:customStyle="1" w:styleId="af3">
    <w:name w:val="页脚 字符"/>
    <w:basedOn w:val="a0"/>
    <w:link w:val="af2"/>
    <w:uiPriority w:val="99"/>
    <w:rsid w:val="000C33F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5998/ijees.v2i1.70" TargetMode="External"/><Relationship Id="rId3" Type="http://schemas.openxmlformats.org/officeDocument/2006/relationships/settings" Target="settings.xml"/><Relationship Id="rId7" Type="http://schemas.openxmlformats.org/officeDocument/2006/relationships/hyperlink" Target="https://doi.org/10.1016/j.%20techsoc.2022.10213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07/978-981-97-4788-7_8" TargetMode="External"/><Relationship Id="rId4" Type="http://schemas.openxmlformats.org/officeDocument/2006/relationships/webSettings" Target="webSettings.xml"/><Relationship Id="rId9" Type="http://schemas.openxmlformats.org/officeDocument/2006/relationships/hyperlink" Target="https://doi.org/10.1007/978-3-031-83911-5_2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5A344-CC8E-45B2-A53F-3ECF021D3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Pages>
  <Words>3303</Words>
  <Characters>18833</Characters>
  <Application>Microsoft Office Word</Application>
  <DocSecurity>0</DocSecurity>
  <Lines>156</Lines>
  <Paragraphs>44</Paragraphs>
  <ScaleCrop>false</ScaleCrop>
  <Company/>
  <LinksUpToDate>false</LinksUpToDate>
  <CharactersWithSpaces>22092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15</cp:revision>
  <dcterms:created xsi:type="dcterms:W3CDTF">2026-05-19T20:37:00Z</dcterms:created>
  <dcterms:modified xsi:type="dcterms:W3CDTF">2026-05-19T22:52:00Z</dcterms:modified>
</cp:coreProperties>
</file>