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55550" w14:textId="77777777" w:rsidR="00EF764E" w:rsidRPr="00EF764E" w:rsidRDefault="00EF764E" w:rsidP="00EF764E"/>
    <w:p w14:paraId="5A4392AE" w14:textId="77777777" w:rsidR="00EF764E" w:rsidRDefault="00EF764E" w:rsidP="00EF764E">
      <w:pPr>
        <w:jc w:val="center"/>
        <w:rPr>
          <w:b/>
          <w:bCs/>
        </w:rPr>
      </w:pPr>
    </w:p>
    <w:p w14:paraId="704C72FA" w14:textId="77777777" w:rsidR="00EF764E" w:rsidRDefault="00EF764E" w:rsidP="00EF764E">
      <w:pPr>
        <w:jc w:val="center"/>
        <w:rPr>
          <w:b/>
          <w:bCs/>
        </w:rPr>
      </w:pPr>
    </w:p>
    <w:p w14:paraId="22650A23" w14:textId="77777777" w:rsidR="00EF764E" w:rsidRDefault="00EF764E" w:rsidP="00EF764E">
      <w:pPr>
        <w:jc w:val="center"/>
        <w:rPr>
          <w:b/>
          <w:bCs/>
        </w:rPr>
      </w:pPr>
    </w:p>
    <w:p w14:paraId="2EC2595B" w14:textId="77777777" w:rsidR="00EF764E" w:rsidRDefault="00EF764E" w:rsidP="00EF764E">
      <w:pPr>
        <w:jc w:val="center"/>
        <w:rPr>
          <w:b/>
          <w:bCs/>
        </w:rPr>
      </w:pPr>
    </w:p>
    <w:p w14:paraId="79C5AA45" w14:textId="77777777" w:rsidR="00EF764E" w:rsidRDefault="00EF764E" w:rsidP="00EF764E">
      <w:pPr>
        <w:jc w:val="center"/>
        <w:rPr>
          <w:b/>
          <w:bCs/>
        </w:rPr>
      </w:pPr>
    </w:p>
    <w:p w14:paraId="481F559C" w14:textId="77777777" w:rsidR="00EF764E" w:rsidRDefault="00EF764E" w:rsidP="00EF764E">
      <w:pPr>
        <w:jc w:val="center"/>
        <w:rPr>
          <w:b/>
          <w:bCs/>
        </w:rPr>
      </w:pPr>
    </w:p>
    <w:p w14:paraId="04E16689" w14:textId="77777777" w:rsidR="00EF764E" w:rsidRDefault="00EF764E" w:rsidP="00EF764E">
      <w:pPr>
        <w:jc w:val="center"/>
        <w:rPr>
          <w:b/>
          <w:bCs/>
        </w:rPr>
      </w:pPr>
    </w:p>
    <w:p w14:paraId="3985A657" w14:textId="77777777" w:rsidR="00EF764E" w:rsidRDefault="00EF764E" w:rsidP="00EF764E">
      <w:pPr>
        <w:jc w:val="center"/>
        <w:rPr>
          <w:b/>
          <w:bCs/>
        </w:rPr>
      </w:pPr>
    </w:p>
    <w:p w14:paraId="2676974F" w14:textId="56273769" w:rsidR="00EF764E" w:rsidRPr="00EF764E" w:rsidRDefault="00EF764E" w:rsidP="00EF764E">
      <w:pPr>
        <w:jc w:val="center"/>
        <w:rPr>
          <w:rFonts w:ascii="Times New Roman" w:hAnsi="Times New Roman" w:cs="Times New Roman"/>
          <w:sz w:val="44"/>
          <w:szCs w:val="44"/>
        </w:rPr>
      </w:pPr>
      <w:r w:rsidRPr="00EF764E">
        <w:rPr>
          <w:rFonts w:ascii="Times New Roman" w:hAnsi="Times New Roman" w:cs="Times New Roman"/>
          <w:b/>
          <w:bCs/>
          <w:sz w:val="44"/>
          <w:szCs w:val="44"/>
        </w:rPr>
        <w:t>Simona Elisabeta Brendea</w:t>
      </w:r>
    </w:p>
    <w:p w14:paraId="2E9782D9" w14:textId="04C19B3D" w:rsidR="00EF764E" w:rsidRPr="00EF764E" w:rsidRDefault="00EF764E" w:rsidP="00EF764E">
      <w:pPr>
        <w:jc w:val="center"/>
        <w:rPr>
          <w:rFonts w:ascii="Times New Roman" w:hAnsi="Times New Roman" w:cs="Times New Roman"/>
          <w:sz w:val="44"/>
          <w:szCs w:val="44"/>
        </w:rPr>
      </w:pPr>
      <w:r w:rsidRPr="00EF764E">
        <w:rPr>
          <w:rFonts w:ascii="Times New Roman" w:hAnsi="Times New Roman" w:cs="Times New Roman"/>
          <w:sz w:val="44"/>
          <w:szCs w:val="44"/>
        </w:rPr>
        <w:t>Student Number: 2322799</w:t>
      </w:r>
    </w:p>
    <w:p w14:paraId="05838DCF" w14:textId="145B594C" w:rsidR="00EF764E" w:rsidRPr="00EF764E" w:rsidRDefault="00EF764E" w:rsidP="00EF764E">
      <w:pPr>
        <w:jc w:val="center"/>
        <w:rPr>
          <w:rFonts w:ascii="Times New Roman" w:hAnsi="Times New Roman" w:cs="Times New Roman"/>
          <w:sz w:val="44"/>
          <w:szCs w:val="44"/>
        </w:rPr>
      </w:pPr>
      <w:r w:rsidRPr="00EF764E">
        <w:rPr>
          <w:rFonts w:ascii="Times New Roman" w:hAnsi="Times New Roman" w:cs="Times New Roman"/>
          <w:sz w:val="44"/>
          <w:szCs w:val="44"/>
        </w:rPr>
        <w:t>Module Code: BMPH6026</w:t>
      </w:r>
    </w:p>
    <w:p w14:paraId="22E402E9" w14:textId="77777777" w:rsidR="00EF764E" w:rsidRPr="00EF764E" w:rsidRDefault="00EF764E" w:rsidP="00EF764E">
      <w:pPr>
        <w:jc w:val="center"/>
        <w:rPr>
          <w:rFonts w:ascii="Times New Roman" w:hAnsi="Times New Roman" w:cs="Times New Roman"/>
          <w:sz w:val="44"/>
          <w:szCs w:val="44"/>
        </w:rPr>
      </w:pPr>
      <w:r w:rsidRPr="00EF764E">
        <w:rPr>
          <w:rFonts w:ascii="Times New Roman" w:hAnsi="Times New Roman" w:cs="Times New Roman"/>
          <w:sz w:val="44"/>
          <w:szCs w:val="44"/>
        </w:rPr>
        <w:t>Component 1: Written Assignment</w:t>
      </w:r>
    </w:p>
    <w:p w14:paraId="20506DC7" w14:textId="77777777" w:rsidR="00EF764E" w:rsidRPr="00EF764E" w:rsidRDefault="00EF764E" w:rsidP="00EF764E">
      <w:pPr>
        <w:jc w:val="center"/>
        <w:rPr>
          <w:rFonts w:ascii="Times New Roman" w:hAnsi="Times New Roman" w:cs="Times New Roman"/>
          <w:b/>
          <w:bCs/>
          <w:sz w:val="44"/>
          <w:szCs w:val="44"/>
        </w:rPr>
      </w:pPr>
      <w:r w:rsidRPr="00EF764E">
        <w:rPr>
          <w:rFonts w:ascii="Times New Roman" w:hAnsi="Times New Roman" w:cs="Times New Roman"/>
          <w:b/>
          <w:bCs/>
          <w:sz w:val="44"/>
          <w:szCs w:val="44"/>
        </w:rPr>
        <w:t>A Critical Evaluation of the NHS App as a Digital Innovation in UK Health and Social Care</w:t>
      </w:r>
    </w:p>
    <w:p w14:paraId="2F38C84A" w14:textId="77777777" w:rsidR="00EF764E" w:rsidRDefault="00EF764E" w:rsidP="00EF764E">
      <w:pPr>
        <w:jc w:val="center"/>
        <w:rPr>
          <w:b/>
          <w:bCs/>
        </w:rPr>
      </w:pPr>
    </w:p>
    <w:p w14:paraId="35FA36ED" w14:textId="77777777" w:rsidR="00EF764E" w:rsidRDefault="00EF764E" w:rsidP="00EF764E">
      <w:pPr>
        <w:jc w:val="center"/>
        <w:rPr>
          <w:b/>
          <w:bCs/>
        </w:rPr>
      </w:pPr>
    </w:p>
    <w:p w14:paraId="0CCF2FCA" w14:textId="77777777" w:rsidR="00EF764E" w:rsidRDefault="00EF764E" w:rsidP="00EF764E">
      <w:pPr>
        <w:jc w:val="center"/>
        <w:rPr>
          <w:b/>
          <w:bCs/>
        </w:rPr>
      </w:pPr>
    </w:p>
    <w:p w14:paraId="6F2CB1C6" w14:textId="77777777" w:rsidR="00EF764E" w:rsidRDefault="00EF764E" w:rsidP="00EF764E">
      <w:pPr>
        <w:jc w:val="center"/>
        <w:rPr>
          <w:b/>
          <w:bCs/>
        </w:rPr>
      </w:pPr>
    </w:p>
    <w:p w14:paraId="24A818A7" w14:textId="77777777" w:rsidR="00EF764E" w:rsidRDefault="00EF764E" w:rsidP="00EF764E">
      <w:pPr>
        <w:jc w:val="center"/>
        <w:rPr>
          <w:b/>
          <w:bCs/>
        </w:rPr>
      </w:pPr>
    </w:p>
    <w:p w14:paraId="5E09C519" w14:textId="77777777" w:rsidR="00EF764E" w:rsidRDefault="00EF764E" w:rsidP="00EF764E">
      <w:pPr>
        <w:jc w:val="center"/>
        <w:rPr>
          <w:b/>
          <w:bCs/>
        </w:rPr>
      </w:pPr>
    </w:p>
    <w:p w14:paraId="721FC3A6" w14:textId="77777777" w:rsidR="00EF764E" w:rsidRDefault="00EF764E" w:rsidP="00EF764E">
      <w:pPr>
        <w:jc w:val="center"/>
        <w:rPr>
          <w:b/>
          <w:bCs/>
        </w:rPr>
      </w:pPr>
    </w:p>
    <w:p w14:paraId="1F1B89CE" w14:textId="77777777" w:rsidR="00EF764E" w:rsidRDefault="00EF764E" w:rsidP="00EF764E">
      <w:pPr>
        <w:jc w:val="center"/>
        <w:rPr>
          <w:b/>
          <w:bCs/>
        </w:rPr>
      </w:pPr>
    </w:p>
    <w:p w14:paraId="4A8491C6" w14:textId="77777777" w:rsidR="00EF764E" w:rsidRDefault="00EF764E" w:rsidP="00EF764E">
      <w:pPr>
        <w:rPr>
          <w:b/>
          <w:bCs/>
        </w:rPr>
      </w:pPr>
    </w:p>
    <w:p w14:paraId="5ABC92E2" w14:textId="7CB9EA90" w:rsidR="00EF764E" w:rsidRDefault="00EF764E" w:rsidP="00EF764E">
      <w:pPr>
        <w:jc w:val="center"/>
        <w:rPr>
          <w:b/>
          <w:bCs/>
        </w:rPr>
      </w:pPr>
      <w:r>
        <w:rPr>
          <w:b/>
          <w:bCs/>
        </w:rPr>
        <w:lastRenderedPageBreak/>
        <w:t>Table of Contents</w:t>
      </w:r>
    </w:p>
    <w:sdt>
      <w:sdtPr>
        <w:rPr>
          <w:rFonts w:asciiTheme="minorHAnsi" w:eastAsiaTheme="minorHAnsi" w:hAnsiTheme="minorHAnsi" w:cstheme="minorBidi"/>
          <w:color w:val="auto"/>
          <w:kern w:val="2"/>
          <w:sz w:val="24"/>
          <w:szCs w:val="24"/>
          <w:lang w:eastAsia="en-US"/>
          <w14:ligatures w14:val="standardContextual"/>
        </w:rPr>
        <w:id w:val="-1912763984"/>
        <w:docPartObj>
          <w:docPartGallery w:val="Table of Contents"/>
          <w:docPartUnique/>
        </w:docPartObj>
      </w:sdtPr>
      <w:sdtEndPr>
        <w:rPr>
          <w:b/>
          <w:bCs/>
        </w:rPr>
      </w:sdtEndPr>
      <w:sdtContent>
        <w:p w14:paraId="0419F15A" w14:textId="1FF6EB79" w:rsidR="00EF764E" w:rsidRDefault="00EF764E">
          <w:pPr>
            <w:pStyle w:val="TOCHeading"/>
          </w:pPr>
          <w:r>
            <w:t>Contents</w:t>
          </w:r>
        </w:p>
        <w:p w14:paraId="614B31D4" w14:textId="0C4B13EC" w:rsidR="00EF764E" w:rsidRDefault="00EF764E">
          <w:pPr>
            <w:pStyle w:val="TOC1"/>
            <w:tabs>
              <w:tab w:val="right" w:leader="dot" w:pos="9016"/>
            </w:tabs>
            <w:rPr>
              <w:noProof/>
            </w:rPr>
          </w:pPr>
          <w:r>
            <w:fldChar w:fldCharType="begin"/>
          </w:r>
          <w:r>
            <w:instrText xml:space="preserve"> TOC \o "1-3" \h \z \u </w:instrText>
          </w:r>
          <w:r>
            <w:fldChar w:fldCharType="separate"/>
          </w:r>
          <w:hyperlink w:anchor="_Toc231927916" w:history="1">
            <w:r w:rsidRPr="00A20822">
              <w:rPr>
                <w:rStyle w:val="Hyperlink"/>
                <w:noProof/>
              </w:rPr>
              <w:t>Introduction</w:t>
            </w:r>
            <w:r>
              <w:rPr>
                <w:noProof/>
                <w:webHidden/>
              </w:rPr>
              <w:tab/>
            </w:r>
            <w:r>
              <w:rPr>
                <w:noProof/>
                <w:webHidden/>
              </w:rPr>
              <w:fldChar w:fldCharType="begin"/>
            </w:r>
            <w:r>
              <w:rPr>
                <w:noProof/>
                <w:webHidden/>
              </w:rPr>
              <w:instrText xml:space="preserve"> PAGEREF _Toc231927916 \h </w:instrText>
            </w:r>
            <w:r>
              <w:rPr>
                <w:noProof/>
                <w:webHidden/>
              </w:rPr>
            </w:r>
            <w:r>
              <w:rPr>
                <w:noProof/>
                <w:webHidden/>
              </w:rPr>
              <w:fldChar w:fldCharType="separate"/>
            </w:r>
            <w:r>
              <w:rPr>
                <w:noProof/>
                <w:webHidden/>
              </w:rPr>
              <w:t>3</w:t>
            </w:r>
            <w:r>
              <w:rPr>
                <w:noProof/>
                <w:webHidden/>
              </w:rPr>
              <w:fldChar w:fldCharType="end"/>
            </w:r>
          </w:hyperlink>
        </w:p>
        <w:p w14:paraId="1CC3887B" w14:textId="61A2036A" w:rsidR="00EF764E" w:rsidRDefault="00EF764E">
          <w:pPr>
            <w:pStyle w:val="TOC1"/>
            <w:tabs>
              <w:tab w:val="right" w:leader="dot" w:pos="9016"/>
            </w:tabs>
            <w:rPr>
              <w:noProof/>
            </w:rPr>
          </w:pPr>
          <w:hyperlink w:anchor="_Toc231927917" w:history="1">
            <w:r w:rsidRPr="00A20822">
              <w:rPr>
                <w:rStyle w:val="Hyperlink"/>
                <w:noProof/>
              </w:rPr>
              <w:t>The NHS App: Context and Implementation</w:t>
            </w:r>
            <w:r>
              <w:rPr>
                <w:noProof/>
                <w:webHidden/>
              </w:rPr>
              <w:tab/>
            </w:r>
            <w:r>
              <w:rPr>
                <w:noProof/>
                <w:webHidden/>
              </w:rPr>
              <w:fldChar w:fldCharType="begin"/>
            </w:r>
            <w:r>
              <w:rPr>
                <w:noProof/>
                <w:webHidden/>
              </w:rPr>
              <w:instrText xml:space="preserve"> PAGEREF _Toc231927917 \h </w:instrText>
            </w:r>
            <w:r>
              <w:rPr>
                <w:noProof/>
                <w:webHidden/>
              </w:rPr>
            </w:r>
            <w:r>
              <w:rPr>
                <w:noProof/>
                <w:webHidden/>
              </w:rPr>
              <w:fldChar w:fldCharType="separate"/>
            </w:r>
            <w:r>
              <w:rPr>
                <w:noProof/>
                <w:webHidden/>
              </w:rPr>
              <w:t>3</w:t>
            </w:r>
            <w:r>
              <w:rPr>
                <w:noProof/>
                <w:webHidden/>
              </w:rPr>
              <w:fldChar w:fldCharType="end"/>
            </w:r>
          </w:hyperlink>
        </w:p>
        <w:p w14:paraId="145790D5" w14:textId="3ADDA37F" w:rsidR="00EF764E" w:rsidRDefault="00EF764E">
          <w:pPr>
            <w:pStyle w:val="TOC1"/>
            <w:tabs>
              <w:tab w:val="right" w:leader="dot" w:pos="9016"/>
            </w:tabs>
            <w:rPr>
              <w:noProof/>
            </w:rPr>
          </w:pPr>
          <w:hyperlink w:anchor="_Toc231927918" w:history="1">
            <w:r w:rsidRPr="00A20822">
              <w:rPr>
                <w:rStyle w:val="Hyperlink"/>
                <w:noProof/>
              </w:rPr>
              <w:t>Workforce</w:t>
            </w:r>
            <w:r>
              <w:rPr>
                <w:noProof/>
                <w:webHidden/>
              </w:rPr>
              <w:tab/>
            </w:r>
            <w:r>
              <w:rPr>
                <w:noProof/>
                <w:webHidden/>
              </w:rPr>
              <w:fldChar w:fldCharType="begin"/>
            </w:r>
            <w:r>
              <w:rPr>
                <w:noProof/>
                <w:webHidden/>
              </w:rPr>
              <w:instrText xml:space="preserve"> PAGEREF _Toc231927918 \h </w:instrText>
            </w:r>
            <w:r>
              <w:rPr>
                <w:noProof/>
                <w:webHidden/>
              </w:rPr>
            </w:r>
            <w:r>
              <w:rPr>
                <w:noProof/>
                <w:webHidden/>
              </w:rPr>
              <w:fldChar w:fldCharType="separate"/>
            </w:r>
            <w:r>
              <w:rPr>
                <w:noProof/>
                <w:webHidden/>
              </w:rPr>
              <w:t>4</w:t>
            </w:r>
            <w:r>
              <w:rPr>
                <w:noProof/>
                <w:webHidden/>
              </w:rPr>
              <w:fldChar w:fldCharType="end"/>
            </w:r>
          </w:hyperlink>
        </w:p>
        <w:p w14:paraId="7E5BED0E" w14:textId="243EC663" w:rsidR="00EF764E" w:rsidRDefault="00EF764E">
          <w:pPr>
            <w:pStyle w:val="TOC1"/>
            <w:tabs>
              <w:tab w:val="right" w:leader="dot" w:pos="9016"/>
            </w:tabs>
            <w:rPr>
              <w:noProof/>
            </w:rPr>
          </w:pPr>
          <w:hyperlink w:anchor="_Toc231927919" w:history="1">
            <w:r w:rsidRPr="00A20822">
              <w:rPr>
                <w:rStyle w:val="Hyperlink"/>
                <w:noProof/>
              </w:rPr>
              <w:t>Service Delivery</w:t>
            </w:r>
            <w:r>
              <w:rPr>
                <w:noProof/>
                <w:webHidden/>
              </w:rPr>
              <w:tab/>
            </w:r>
            <w:r>
              <w:rPr>
                <w:noProof/>
                <w:webHidden/>
              </w:rPr>
              <w:fldChar w:fldCharType="begin"/>
            </w:r>
            <w:r>
              <w:rPr>
                <w:noProof/>
                <w:webHidden/>
              </w:rPr>
              <w:instrText xml:space="preserve"> PAGEREF _Toc231927919 \h </w:instrText>
            </w:r>
            <w:r>
              <w:rPr>
                <w:noProof/>
                <w:webHidden/>
              </w:rPr>
            </w:r>
            <w:r>
              <w:rPr>
                <w:noProof/>
                <w:webHidden/>
              </w:rPr>
              <w:fldChar w:fldCharType="separate"/>
            </w:r>
            <w:r>
              <w:rPr>
                <w:noProof/>
                <w:webHidden/>
              </w:rPr>
              <w:t>4</w:t>
            </w:r>
            <w:r>
              <w:rPr>
                <w:noProof/>
                <w:webHidden/>
              </w:rPr>
              <w:fldChar w:fldCharType="end"/>
            </w:r>
          </w:hyperlink>
        </w:p>
        <w:p w14:paraId="27A21C56" w14:textId="14953D13" w:rsidR="00EF764E" w:rsidRDefault="00EF764E">
          <w:pPr>
            <w:pStyle w:val="TOC1"/>
            <w:tabs>
              <w:tab w:val="right" w:leader="dot" w:pos="9016"/>
            </w:tabs>
            <w:rPr>
              <w:noProof/>
            </w:rPr>
          </w:pPr>
          <w:hyperlink w:anchor="_Toc231927920" w:history="1">
            <w:r w:rsidRPr="00A20822">
              <w:rPr>
                <w:rStyle w:val="Hyperlink"/>
                <w:noProof/>
              </w:rPr>
              <w:t>Patient and Service User</w:t>
            </w:r>
            <w:r>
              <w:rPr>
                <w:noProof/>
                <w:webHidden/>
              </w:rPr>
              <w:tab/>
            </w:r>
            <w:r>
              <w:rPr>
                <w:noProof/>
                <w:webHidden/>
              </w:rPr>
              <w:fldChar w:fldCharType="begin"/>
            </w:r>
            <w:r>
              <w:rPr>
                <w:noProof/>
                <w:webHidden/>
              </w:rPr>
              <w:instrText xml:space="preserve"> PAGEREF _Toc231927920 \h </w:instrText>
            </w:r>
            <w:r>
              <w:rPr>
                <w:noProof/>
                <w:webHidden/>
              </w:rPr>
            </w:r>
            <w:r>
              <w:rPr>
                <w:noProof/>
                <w:webHidden/>
              </w:rPr>
              <w:fldChar w:fldCharType="separate"/>
            </w:r>
            <w:r>
              <w:rPr>
                <w:noProof/>
                <w:webHidden/>
              </w:rPr>
              <w:t>5</w:t>
            </w:r>
            <w:r>
              <w:rPr>
                <w:noProof/>
                <w:webHidden/>
              </w:rPr>
              <w:fldChar w:fldCharType="end"/>
            </w:r>
          </w:hyperlink>
        </w:p>
        <w:p w14:paraId="1125D89A" w14:textId="1BCA18DE" w:rsidR="00EF764E" w:rsidRDefault="00EF764E">
          <w:pPr>
            <w:pStyle w:val="TOC1"/>
            <w:tabs>
              <w:tab w:val="right" w:leader="dot" w:pos="9016"/>
            </w:tabs>
            <w:rPr>
              <w:noProof/>
            </w:rPr>
          </w:pPr>
          <w:hyperlink w:anchor="_Toc231927921" w:history="1">
            <w:r w:rsidRPr="00A20822">
              <w:rPr>
                <w:rStyle w:val="Hyperlink"/>
                <w:noProof/>
              </w:rPr>
              <w:t>Community</w:t>
            </w:r>
            <w:r>
              <w:rPr>
                <w:noProof/>
                <w:webHidden/>
              </w:rPr>
              <w:tab/>
            </w:r>
            <w:r>
              <w:rPr>
                <w:noProof/>
                <w:webHidden/>
              </w:rPr>
              <w:fldChar w:fldCharType="begin"/>
            </w:r>
            <w:r>
              <w:rPr>
                <w:noProof/>
                <w:webHidden/>
              </w:rPr>
              <w:instrText xml:space="preserve"> PAGEREF _Toc231927921 \h </w:instrText>
            </w:r>
            <w:r>
              <w:rPr>
                <w:noProof/>
                <w:webHidden/>
              </w:rPr>
            </w:r>
            <w:r>
              <w:rPr>
                <w:noProof/>
                <w:webHidden/>
              </w:rPr>
              <w:fldChar w:fldCharType="separate"/>
            </w:r>
            <w:r>
              <w:rPr>
                <w:noProof/>
                <w:webHidden/>
              </w:rPr>
              <w:t>6</w:t>
            </w:r>
            <w:r>
              <w:rPr>
                <w:noProof/>
                <w:webHidden/>
              </w:rPr>
              <w:fldChar w:fldCharType="end"/>
            </w:r>
          </w:hyperlink>
        </w:p>
        <w:p w14:paraId="73F338C0" w14:textId="3A447572" w:rsidR="00EF764E" w:rsidRDefault="00EF764E">
          <w:pPr>
            <w:pStyle w:val="TOC1"/>
            <w:tabs>
              <w:tab w:val="right" w:leader="dot" w:pos="9016"/>
            </w:tabs>
            <w:rPr>
              <w:noProof/>
            </w:rPr>
          </w:pPr>
          <w:hyperlink w:anchor="_Toc231927922" w:history="1">
            <w:r w:rsidRPr="00A20822">
              <w:rPr>
                <w:rStyle w:val="Hyperlink"/>
                <w:noProof/>
              </w:rPr>
              <w:t>Conclusion</w:t>
            </w:r>
            <w:r>
              <w:rPr>
                <w:noProof/>
                <w:webHidden/>
              </w:rPr>
              <w:tab/>
            </w:r>
            <w:r>
              <w:rPr>
                <w:noProof/>
                <w:webHidden/>
              </w:rPr>
              <w:fldChar w:fldCharType="begin"/>
            </w:r>
            <w:r>
              <w:rPr>
                <w:noProof/>
                <w:webHidden/>
              </w:rPr>
              <w:instrText xml:space="preserve"> PAGEREF _Toc231927922 \h </w:instrText>
            </w:r>
            <w:r>
              <w:rPr>
                <w:noProof/>
                <w:webHidden/>
              </w:rPr>
            </w:r>
            <w:r>
              <w:rPr>
                <w:noProof/>
                <w:webHidden/>
              </w:rPr>
              <w:fldChar w:fldCharType="separate"/>
            </w:r>
            <w:r>
              <w:rPr>
                <w:noProof/>
                <w:webHidden/>
              </w:rPr>
              <w:t>6</w:t>
            </w:r>
            <w:r>
              <w:rPr>
                <w:noProof/>
                <w:webHidden/>
              </w:rPr>
              <w:fldChar w:fldCharType="end"/>
            </w:r>
          </w:hyperlink>
        </w:p>
        <w:p w14:paraId="54D50F6A" w14:textId="7A29EF73" w:rsidR="00EF764E" w:rsidRDefault="00EF764E">
          <w:pPr>
            <w:pStyle w:val="TOC1"/>
            <w:tabs>
              <w:tab w:val="right" w:leader="dot" w:pos="9016"/>
            </w:tabs>
            <w:rPr>
              <w:noProof/>
            </w:rPr>
          </w:pPr>
          <w:hyperlink w:anchor="_Toc231927923" w:history="1">
            <w:r w:rsidRPr="00A20822">
              <w:rPr>
                <w:rStyle w:val="Hyperlink"/>
                <w:noProof/>
              </w:rPr>
              <w:t>References</w:t>
            </w:r>
            <w:r>
              <w:rPr>
                <w:noProof/>
                <w:webHidden/>
              </w:rPr>
              <w:tab/>
            </w:r>
            <w:r>
              <w:rPr>
                <w:noProof/>
                <w:webHidden/>
              </w:rPr>
              <w:fldChar w:fldCharType="begin"/>
            </w:r>
            <w:r>
              <w:rPr>
                <w:noProof/>
                <w:webHidden/>
              </w:rPr>
              <w:instrText xml:space="preserve"> PAGEREF _Toc231927923 \h </w:instrText>
            </w:r>
            <w:r>
              <w:rPr>
                <w:noProof/>
                <w:webHidden/>
              </w:rPr>
            </w:r>
            <w:r>
              <w:rPr>
                <w:noProof/>
                <w:webHidden/>
              </w:rPr>
              <w:fldChar w:fldCharType="separate"/>
            </w:r>
            <w:r>
              <w:rPr>
                <w:noProof/>
                <w:webHidden/>
              </w:rPr>
              <w:t>7</w:t>
            </w:r>
            <w:r>
              <w:rPr>
                <w:noProof/>
                <w:webHidden/>
              </w:rPr>
              <w:fldChar w:fldCharType="end"/>
            </w:r>
          </w:hyperlink>
        </w:p>
        <w:p w14:paraId="724CB90C" w14:textId="35D3F8A7" w:rsidR="00EF764E" w:rsidRDefault="00EF764E">
          <w:r>
            <w:rPr>
              <w:b/>
              <w:bCs/>
            </w:rPr>
            <w:fldChar w:fldCharType="end"/>
          </w:r>
        </w:p>
      </w:sdtContent>
    </w:sdt>
    <w:p w14:paraId="5E51D879" w14:textId="77777777" w:rsidR="00EF764E" w:rsidRPr="00EF764E" w:rsidRDefault="00EF764E" w:rsidP="00EF764E">
      <w:pPr>
        <w:jc w:val="center"/>
      </w:pPr>
    </w:p>
    <w:p w14:paraId="5D972A9D" w14:textId="77777777" w:rsidR="00EF764E" w:rsidRPr="00EF764E" w:rsidRDefault="00EF764E" w:rsidP="00EF764E">
      <w:r w:rsidRPr="00EF764E">
        <w:br w:type="page"/>
      </w:r>
    </w:p>
    <w:p w14:paraId="0B4AB6CF" w14:textId="77777777" w:rsidR="00EF764E" w:rsidRPr="00EF764E" w:rsidRDefault="00EF764E" w:rsidP="00EF764E">
      <w:pPr>
        <w:pStyle w:val="Heading1"/>
      </w:pPr>
      <w:bookmarkStart w:id="0" w:name="_Toc231927916"/>
      <w:r w:rsidRPr="00EF764E">
        <w:lastRenderedPageBreak/>
        <w:t>Introduction</w:t>
      </w:r>
      <w:bookmarkEnd w:id="0"/>
    </w:p>
    <w:p w14:paraId="4C53DAA5" w14:textId="2F866D3F"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The National Health Service has spent the past decade trying to move routine contact with patients onto digital channels. The NHS Long Term Plan made that ambition explicit when it promised every patient a right to 'digital-first' access to primary care (NHS, 2019). This report evaluates the innovation that now sits at the centre of the policy: the NHS App, released in England in 2019 and described from the start as the 'digital front door' to the health service (Reidy et al., 2025). The App suits a critical evaluation well. It is one of very few digital health products implemented at genuinely national scale within the last ten years, and enough independent UK evidence has accumulated to support judgements about what has happened, rather than what was promised. Its importance is still growing, because the government's Fit for the Future: 10 Year Health Plan intends the App to become the main route through which the public deals with the NHS (Department of Health and Social Care (DHSC), 2025).</w:t>
      </w:r>
    </w:p>
    <w:p w14:paraId="47F7D5AA" w14:textId="2BF7B397"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The evaluation below considers the workforce first, followed by service delivery, the patient or service user</w:t>
      </w:r>
      <w:r w:rsidR="00343428">
        <w:rPr>
          <w:rFonts w:ascii="Times New Roman" w:hAnsi="Times New Roman" w:cs="Times New Roman"/>
        </w:rPr>
        <w:t xml:space="preserve"> </w:t>
      </w:r>
      <w:r w:rsidRPr="00EF764E">
        <w:rPr>
          <w:rFonts w:ascii="Times New Roman" w:hAnsi="Times New Roman" w:cs="Times New Roman"/>
        </w:rPr>
        <w:t>and finally the community, weighing positive against negative outcomes in each section. Where a theoretical anchor helps, the analysis draws on the NASSS framework, which explains the fate of health technologies through the interaction between a technology and the organisations and people expected to adopt it (Greenhalgh et al., 2017).</w:t>
      </w:r>
    </w:p>
    <w:p w14:paraId="09CCBFEA" w14:textId="77777777" w:rsidR="00EF764E" w:rsidRPr="00EF764E" w:rsidRDefault="00EF764E" w:rsidP="00EF764E">
      <w:pPr>
        <w:pStyle w:val="Heading1"/>
      </w:pPr>
      <w:bookmarkStart w:id="1" w:name="_Toc231927917"/>
      <w:r w:rsidRPr="00EF764E">
        <w:t>The NHS App: Context and Implementation</w:t>
      </w:r>
      <w:bookmarkEnd w:id="1"/>
    </w:p>
    <w:p w14:paraId="0EEB2FBB" w14:textId="58B180A5"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The App was launched in July 2019 as a free application for anyone aged 13 or over who is registered with a general practice in England (Kc et al., 2024). At launch it allowed patients to book GP appointments, order repeat prescriptions, check symptoms through NHS 111 online and record an organ donation decision. The decisive moment in its adoption was none of these functions. When the NHS COVID Pass was placed inside the App during the pandemic, millions of people downloaded it for travel and venue entry and the national evaluation found that for many of them the Pass was, at least initially, the only feature they touched (Reidy et al., 2025).</w:t>
      </w:r>
    </w:p>
    <w:p w14:paraId="6F92C37E" w14:textId="77777777"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 xml:space="preserve">Growth continued once the pandemic ended. NHS England (2025) reported more than 39 million registered users by December 2025, while the official statistics record 25.7 million distinct users logging in over that year and 67.8 million repeat prescriptions ordered through the App in twelve months (NHS England Digital, 2026). The 10 Year Health Plan now </w:t>
      </w:r>
      <w:r w:rsidRPr="00EF764E">
        <w:rPr>
          <w:rFonts w:ascii="Times New Roman" w:hAnsi="Times New Roman" w:cs="Times New Roman"/>
        </w:rPr>
        <w:lastRenderedPageBreak/>
        <w:t>proposes to turn the App into what ministers describe as a 'doctor in your pocket', with an artificial intelligence adviser, self-referral into services such as talking therapies and access to a Single Patient Record (DHSC, 2025). Judged on adoption figures alone, the implementation looks like a clear success. The sections that follow test that impression.</w:t>
      </w:r>
    </w:p>
    <w:p w14:paraId="6C629934" w14:textId="77777777" w:rsidR="00EF764E" w:rsidRPr="00EF764E" w:rsidRDefault="00EF764E" w:rsidP="00EF764E">
      <w:pPr>
        <w:pStyle w:val="Heading1"/>
      </w:pPr>
      <w:bookmarkStart w:id="2" w:name="_Toc231927918"/>
      <w:r w:rsidRPr="00EF764E">
        <w:t>Workforce</w:t>
      </w:r>
      <w:bookmarkEnd w:id="2"/>
    </w:p>
    <w:p w14:paraId="1D9C5767" w14:textId="77777777"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 xml:space="preserve">General practice has carried most of the implementation work, so this is where change to the workforce is most visible, and the gains are real. Practices that switched on online record access report fewer telephone calls from patients chasing test results and a fall in formal subject access requests. Printing and postage costs drop as well, since letters and results now reach patients digitally (NHS England, no date). Repeat prescriptions arrive through the electronic prescribing workflow instead of being read out over the phone, which lets administrative staff deal with them at quieter points in the day. Reception roles have begun to change </w:t>
      </w:r>
      <w:proofErr w:type="gramStart"/>
      <w:r w:rsidRPr="00EF764E">
        <w:rPr>
          <w:rFonts w:ascii="Times New Roman" w:hAnsi="Times New Roman" w:cs="Times New Roman"/>
        </w:rPr>
        <w:t>as a consequence</w:t>
      </w:r>
      <w:proofErr w:type="gramEnd"/>
      <w:r w:rsidRPr="00EF764E">
        <w:rPr>
          <w:rFonts w:ascii="Times New Roman" w:hAnsi="Times New Roman" w:cs="Times New Roman"/>
        </w:rPr>
        <w:t>. Less time goes on routine transactions and more on directing patients to the right service; helping people register for the App and verifying their identity documents are competencies that simply did not exist in the role a decade ago.</w:t>
      </w:r>
    </w:p>
    <w:p w14:paraId="11D1D978" w14:textId="3854161B"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The costs to staff are easier to miss but well documented. The national qualitative evaluation found that organisational capacity to implement the App varied enormously between practices and that the everyday work of promoting it and supporting confused patients usually landed on staff who were already stretched, with no dedicated funding attached (Reidy et al., 2025). The clinical workforce has been affected in a quieter way. Because patients can read new entries in their record through the App, clinicians know they are writing for two audiences at once. Some respond by making their notes clearer. Others admit that they now leave out speculative concerns or a 'gut feeling' about a patient and researchers warn that this defensive style of documentation erodes the clinical usefulness of the record and may place patients at risk (Turner et al., 2023). The same study contradicted the assumption that digital access saves clinical time: record access created new tasks, among them checking entries before release and redacting material that could cause harm in safeguarding situations. Read through the NASSS framework, the lesson is that the technology was never the hard part. Whether the App lightens the load or simply moves it around is decided inside the organisation and by the people adopting it (Greenhalgh et al., 2017)</w:t>
      </w:r>
      <w:r w:rsidR="00343428">
        <w:rPr>
          <w:rFonts w:ascii="Times New Roman" w:hAnsi="Times New Roman" w:cs="Times New Roman"/>
        </w:rPr>
        <w:t xml:space="preserve"> </w:t>
      </w:r>
      <w:r w:rsidRPr="00EF764E">
        <w:rPr>
          <w:rFonts w:ascii="Times New Roman" w:hAnsi="Times New Roman" w:cs="Times New Roman"/>
        </w:rPr>
        <w:t>and in many practices the evidence points to redistribution rather than relief.</w:t>
      </w:r>
    </w:p>
    <w:p w14:paraId="3A909C46" w14:textId="77777777" w:rsidR="00EF764E" w:rsidRPr="00EF764E" w:rsidRDefault="00EF764E" w:rsidP="00EF764E">
      <w:pPr>
        <w:pStyle w:val="Heading1"/>
      </w:pPr>
      <w:bookmarkStart w:id="3" w:name="_Toc231927919"/>
      <w:r w:rsidRPr="00EF764E">
        <w:lastRenderedPageBreak/>
        <w:t>Service Delivery</w:t>
      </w:r>
      <w:bookmarkEnd w:id="3"/>
    </w:p>
    <w:p w14:paraId="58C7EE70" w14:textId="0CE0D078"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The clearest change to day-to-day delivery is the movement of routine business away from the telephone. During November 2025 the App recorded 62.3 million logins. In that single month patients viewed their GP record 20.8 million times and ordered 6.3 million repeat prescriptions, while a further 6.6 million hospital and other secondary care appointments were managed through it (NHS England, 2025). Tasks that once required a place in the 8.30am phone queue can now be completed at any hour; NHS England's own analysis found over 313,000 people opening the App on Christmas Day 2024. For practices and hospital clinics this carries practical value, since reminders and rescheduling inside the App reduce the chance of a missed appointment and every transaction that moves online releases telephone capacity for the patients who still depend on it.</w:t>
      </w:r>
    </w:p>
    <w:p w14:paraId="091323B2" w14:textId="4AE8F433"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The national picture hides considerable local inconsistency and this is where criticism starts. What a patient can actually do in the App depends on the clinical IT system their practice uses and on configuration choices made locally, so two patients living a street apart may have quite different experiences of what is nominally one national product; the evaluation team described the rollout as fragmented for exactly this reason (Reidy et al., 2025). A second weakness is structural. The App grew out of primary care and remains strongest there, while patients whose care happens mainly in hospital or in community mental health services have historically been able to do far less with it, so the people with the heaviest service use often gain the least (Reidy et al., 2025). Even the assumption that digital access lowers demand is insecure. Studies of online record access report falls in contact rates in some settings and rises or no change in others and convenience can generate work of its own, because a test result released without explanation frequently produces a phone call that would never otherwise have happened (Turner et al., 2023). A final risk concerns the patients left on the telephone: where practices push attention towards digital channels, those unable to use them may face a slower and more congested service than before.</w:t>
      </w:r>
    </w:p>
    <w:p w14:paraId="3E4D1172" w14:textId="77777777" w:rsidR="00EF764E" w:rsidRPr="00EF764E" w:rsidRDefault="00EF764E" w:rsidP="00EF764E">
      <w:pPr>
        <w:pStyle w:val="Heading1"/>
      </w:pPr>
      <w:bookmarkStart w:id="4" w:name="_Toc231927920"/>
      <w:r w:rsidRPr="00EF764E">
        <w:t>Patient and Service User</w:t>
      </w:r>
      <w:bookmarkEnd w:id="4"/>
    </w:p>
    <w:p w14:paraId="2DA31B95" w14:textId="63F43C0C"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 xml:space="preserve">Patients who use the App regularly tend to value it for the independence it gives them. Medication can be ordered without speaking to anyone and results appear as soon as they are ready. The record itself can be read at home before an appointment, which helps people arrive prepared and follow what is happening in their own care (Reidy et al., 2025; NHS England, </w:t>
      </w:r>
      <w:r w:rsidRPr="00EF764E">
        <w:rPr>
          <w:rFonts w:ascii="Times New Roman" w:hAnsi="Times New Roman" w:cs="Times New Roman"/>
        </w:rPr>
        <w:lastRenderedPageBreak/>
        <w:t xml:space="preserve">no date). The strongest evidence that this matter is behavioural rather than survey-based: more than 25 million separate users chose to log in during 2025 (NHS England Digital, 2026), a level of voluntary repeat </w:t>
      </w:r>
      <w:proofErr w:type="gramStart"/>
      <w:r w:rsidRPr="00EF764E">
        <w:rPr>
          <w:rFonts w:ascii="Times New Roman" w:hAnsi="Times New Roman" w:cs="Times New Roman"/>
        </w:rPr>
        <w:t>use</w:t>
      </w:r>
      <w:proofErr w:type="gramEnd"/>
      <w:r w:rsidRPr="00EF764E">
        <w:rPr>
          <w:rFonts w:ascii="Times New Roman" w:hAnsi="Times New Roman" w:cs="Times New Roman"/>
        </w:rPr>
        <w:t xml:space="preserve"> that very few NHS digital projects have ever reached.</w:t>
      </w:r>
    </w:p>
    <w:p w14:paraId="6565DC72" w14:textId="27F627C9"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 xml:space="preserve">Experience is not positive for </w:t>
      </w:r>
      <w:r w:rsidR="00343428" w:rsidRPr="00EF764E">
        <w:rPr>
          <w:rFonts w:ascii="Times New Roman" w:hAnsi="Times New Roman" w:cs="Times New Roman"/>
        </w:rPr>
        <w:t>everyone,</w:t>
      </w:r>
      <w:r w:rsidRPr="00EF764E">
        <w:rPr>
          <w:rFonts w:ascii="Times New Roman" w:hAnsi="Times New Roman" w:cs="Times New Roman"/>
        </w:rPr>
        <w:t xml:space="preserve"> and the difficulties begin inside the record. Turner et al. (2023) documented patients finding information they were never meant to interpret alone, such as abnormal results released ahead of any clinical explanation, or terminology that read more alarmingly than it should; the anxiety this produced sometimes ended in extra contact with the practice. Registration is another recurring obstacle, since the identity checks needed to open a full account defeat some users entirely and push others towards the reception desk for help (Reidy et al., 2025). Trust adds a further layer of doubt. The plan to build the expanded App around a Single Patient Record has drawn public concern about consent and about who will see the data (Digital Health, 2025). The most serious qualification, though, concerns who the benefits reach. Analysis of national usage data shows that practices serving deprived populations record systematically lower App use and that engagement varies with age and with health need, so the patients carrying the heaviest illness burden are the least likely to enjoy any of the advantages described above (Kc et al., 2024). A confident user experiences the App as care brought closer. A patient outside the digital world may experience the same policy as a door slowly closing.</w:t>
      </w:r>
    </w:p>
    <w:p w14:paraId="0FC6FFE5" w14:textId="77777777" w:rsidR="00EF764E" w:rsidRPr="00EF764E" w:rsidRDefault="00EF764E" w:rsidP="00EF764E">
      <w:pPr>
        <w:pStyle w:val="Heading1"/>
      </w:pPr>
      <w:bookmarkStart w:id="5" w:name="_Toc231927921"/>
      <w:r w:rsidRPr="00EF764E">
        <w:t>Community</w:t>
      </w:r>
      <w:bookmarkEnd w:id="5"/>
    </w:p>
    <w:p w14:paraId="6053BF0B" w14:textId="29611373"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Seen from the level of a community rather than an individual, the App's main contribution is to weaken the link between access and geography. A resident of a rural area can complete routine business without making a journey. Proxy access lets a daughter order her father's medication or manage his appointments from another town, which quietly supports the family carers on whom much social care rests. The App has also become an instrument of public health: vaccination booking and records sit inside it, organ donation decisions are registered through it and during the pandemic the COVID Pass tied it directly into the national response (Reidy et al., 2025). The 10 Year Health Plan extends this direction with self-referral and research participation built into the App, which points towards a relationship in which communities contribute to the service as well as drawing on it (DHSC, 2025).</w:t>
      </w:r>
    </w:p>
    <w:p w14:paraId="07D4F472" w14:textId="77777777"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 xml:space="preserve">The danger at community level is inequality. Uptake runs highest among younger and wealthier populations with fewer health needs and lowest in deprived areas, a pattern that </w:t>
      </w:r>
      <w:r w:rsidRPr="00EF764E">
        <w:rPr>
          <w:rFonts w:ascii="Times New Roman" w:hAnsi="Times New Roman" w:cs="Times New Roman"/>
        </w:rPr>
        <w:lastRenderedPageBreak/>
        <w:t>researchers studying the App describe as a possible digital version of the inverse care law, in which the benefit of reform flows away from the communities that need it most (Kc et al., 2024; Reidy et al., 2025). Digital exclusion is not randomly distributed either; it gathers around poverty and old age, the same conditions that already predict poor health (Honeyman et al., 2020). Nicodemo (2025) has warned in this context that treating the App as the front door of the NHS risks shutting out older adults while loading extra pressure onto whatever offline routes survive. Government has answered with a Digital Inclusion Action Plan and a promise to keep non-digital options open (Digital Health, 2025), although no published evaluation yet shows these measures working. The technology will not settle the question on its own.</w:t>
      </w:r>
    </w:p>
    <w:p w14:paraId="0FB27F07" w14:textId="77777777" w:rsidR="00EF764E" w:rsidRPr="00EF764E" w:rsidRDefault="00EF764E" w:rsidP="00EF764E">
      <w:pPr>
        <w:pStyle w:val="Heading1"/>
      </w:pPr>
      <w:bookmarkStart w:id="6" w:name="_Toc231927922"/>
      <w:r w:rsidRPr="00EF764E">
        <w:t>Conclusion</w:t>
      </w:r>
      <w:bookmarkEnd w:id="6"/>
    </w:p>
    <w:p w14:paraId="4DBFD934" w14:textId="417A8A8E"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 xml:space="preserve">Measured by the number of people who use it, the NHS App is probably the most successful digital product the NHS has ever released: six years after launch it is a routine channel for tens of millions and the organising idea of national health policy. Measured by its effects, the verdict </w:t>
      </w:r>
      <w:proofErr w:type="gramStart"/>
      <w:r w:rsidRPr="00EF764E">
        <w:rPr>
          <w:rFonts w:ascii="Times New Roman" w:hAnsi="Times New Roman" w:cs="Times New Roman"/>
        </w:rPr>
        <w:t>has to</w:t>
      </w:r>
      <w:proofErr w:type="gramEnd"/>
      <w:r w:rsidRPr="00EF764E">
        <w:rPr>
          <w:rFonts w:ascii="Times New Roman" w:hAnsi="Times New Roman" w:cs="Times New Roman"/>
        </w:rPr>
        <w:t xml:space="preserve"> be more careful. Practice staff have lost some administrative work and gained other work that nobody funded, while clinicians write their notes differently, not always for the better. Service delivery has genuinely shifted towards convenient digital channels, yet what each patient can do remains uneven, the App still serves primary care far better than hospital care and there is no settled evidence that it reduces demand. Patients describe real empowerment alongside real anxiety and the line between those two experiences follows the existing social gradient. For communities, the same product that frees access from geography threatens to harden a digital inverse care law.</w:t>
      </w:r>
    </w:p>
    <w:p w14:paraId="53FC796E" w14:textId="1522327E"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The NASSS framework predicted this pattern, since outcomes depend less on software than on the organisations and people expected to adopt it (Greenhalgh et al., 2017). If the 10 Year Health Plan is to widen access rather than ration it by digital skill, investment must follow the technology: into digital inclusion for the communities currently left out and into the practices and hospital services expected to make the App work on the ground (DHSC, 2025).</w:t>
      </w:r>
    </w:p>
    <w:p w14:paraId="17CB4D20" w14:textId="77777777" w:rsidR="00EF764E" w:rsidRPr="00EF764E" w:rsidRDefault="00EF764E" w:rsidP="00EF764E">
      <w:pPr>
        <w:pStyle w:val="Heading1"/>
      </w:pPr>
      <w:bookmarkStart w:id="7" w:name="_Toc231927923"/>
      <w:r w:rsidRPr="00EF764E">
        <w:lastRenderedPageBreak/>
        <w:t>References</w:t>
      </w:r>
      <w:bookmarkEnd w:id="7"/>
    </w:p>
    <w:p w14:paraId="6D5A8822" w14:textId="78255192"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Department of Health and Social Care (2025) Fit for the Future: 10 Year Health Plan for England. London: DHSC. Available at: https://www.gov.uk/government/publications/10-year-health-plan-for-england-fit-for-the-future (Accessed: 6 June 2026).</w:t>
      </w:r>
    </w:p>
    <w:p w14:paraId="45257371" w14:textId="7244D4AB"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Digital Health (2025) 'Fears that NHS App overhaul risks worsening health inequalities', Digital Health News, July 2025. Available at: https://www.digitalhealth.net/2025/07/fears-that-nhs-app-overhaul-risks-worsening-health-inequalities/ (Accessed: 6 June 2026).</w:t>
      </w:r>
    </w:p>
    <w:p w14:paraId="48CA8FE4" w14:textId="77777777"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Greenhalgh, T., Wherton, J., Papoutsi, C., Lynch, J., Hughes, G., A'Court, C., Hinder, S., Fahy, N., Procter, R. and Shaw, S. (2017) 'Beyond adoption: a new framework for theorizing and evaluating nonadoption, abandonment, and challenges to the scale-up, spread, and sustainability of health and care technologies', Journal of Medical Internet Research, 19(11), e367.</w:t>
      </w:r>
    </w:p>
    <w:p w14:paraId="1DFEEF81" w14:textId="77777777"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Honeyman, M., Maguire, D., Evans, H. and Davies, A. (2020) Digital technology and health inequalities: a scoping review. Cardiff: Public Health Wales NHS Trust.</w:t>
      </w:r>
    </w:p>
    <w:p w14:paraId="5836DAE3" w14:textId="77777777"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Kc, S., Papoutsi, C., Reidy, C., Gudgin, B., Powell, J., Majeed, A., Greaves, F. and Laverty, A.A. (2024) 'Differences in use of a patient portal across sociodemographic groups: observational study of the NHS App in England', Journal of Medical Internet Research, 26, e56320.</w:t>
      </w:r>
    </w:p>
    <w:p w14:paraId="4B782B0E" w14:textId="66F746C4"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NHS (2019) The NHS Long Term Plan. London: NHS England. Available at: https://www.longtermplan.nhs.uk (Accessed: 8 June 2026).</w:t>
      </w:r>
    </w:p>
    <w:p w14:paraId="5C1883D6" w14:textId="5F083EA8"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NHS England (2025) Record numbers using NHS App to manage health. Available at: https://www.england.nhs.uk/2025/12/record-numbers-using-nhs-app-to-manage-health/ (Accessed: 8 June 2026).</w:t>
      </w:r>
    </w:p>
    <w:p w14:paraId="33869B15" w14:textId="15E9CD1B"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NHS England (no date) Benefits for general practice staff. Available at: https://digital.nhs.uk/services/nhs-app/nhs-app-guidance-for-gp-practices/guidance-on-nhs-app-features/accelerating-patient-access-to-their-record/benefits-for-general-practice-staff (Accessed: 8 June 2026).</w:t>
      </w:r>
    </w:p>
    <w:p w14:paraId="4DF85583" w14:textId="77777777"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NHS England Digital (2026) NHS App Management Information – December 2025. Available at: https://digital.nhs.uk/data-and-information/publications/statistical/nhs-app-statistics/december-2025 (Accessed: 9 June 2026).</w:t>
      </w:r>
    </w:p>
    <w:p w14:paraId="4AF5571C" w14:textId="77777777"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lastRenderedPageBreak/>
        <w:t>Nicodemo, C. (2025) 'Overhauling the NHS app is at the heart of UK healthcare plans, but it could leave some people behind', The Conversation, July 2025. Available at: https://theconversation.com/overhauling-the-nhs-app-is-at-the-heart-of-uk-healthcare-plans-but-it-could-leave-some-people-behind-260540 (Accessed: 9 June 2026).</w:t>
      </w:r>
    </w:p>
    <w:p w14:paraId="411BA2D1" w14:textId="77777777"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Reidy, C., Papoutsi, C., Kc, S., Gudgin, B., Laverty, A.A., Greaves, F. and Powell, J. (2025) 'Qualitative evaluation of the implementation and national roll-out of the NHS App in England', BMC Medicine, 23(1).</w:t>
      </w:r>
    </w:p>
    <w:p w14:paraId="5C41F701" w14:textId="77777777" w:rsidR="00EF764E" w:rsidRPr="00EF764E" w:rsidRDefault="00EF764E" w:rsidP="00EF764E">
      <w:pPr>
        <w:spacing w:line="360" w:lineRule="auto"/>
        <w:rPr>
          <w:rFonts w:ascii="Times New Roman" w:hAnsi="Times New Roman" w:cs="Times New Roman"/>
        </w:rPr>
      </w:pPr>
      <w:r w:rsidRPr="00EF764E">
        <w:rPr>
          <w:rFonts w:ascii="Times New Roman" w:hAnsi="Times New Roman" w:cs="Times New Roman"/>
        </w:rPr>
        <w:t>Turner, A. et al. (2023) 'Unintended consequences of patient online access to health records: a qualitative study in UK primary care', British Journal of General Practice, 73(726), pp. e67–e74.</w:t>
      </w:r>
    </w:p>
    <w:p w14:paraId="6B6CA85F" w14:textId="77777777" w:rsidR="00B66F09" w:rsidRPr="00EF764E" w:rsidRDefault="00B66F09" w:rsidP="00EF764E">
      <w:pPr>
        <w:spacing w:line="360" w:lineRule="auto"/>
        <w:rPr>
          <w:rFonts w:ascii="Times New Roman" w:hAnsi="Times New Roman" w:cs="Times New Roman"/>
        </w:rPr>
      </w:pPr>
    </w:p>
    <w:sectPr w:rsidR="00B66F09" w:rsidRPr="00EF764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A4AAC" w14:textId="77777777" w:rsidR="00E50CB5" w:rsidRDefault="00E50CB5" w:rsidP="00EF764E">
      <w:pPr>
        <w:spacing w:after="0" w:line="240" w:lineRule="auto"/>
      </w:pPr>
      <w:r>
        <w:separator/>
      </w:r>
    </w:p>
  </w:endnote>
  <w:endnote w:type="continuationSeparator" w:id="0">
    <w:p w14:paraId="748724CD" w14:textId="77777777" w:rsidR="00E50CB5" w:rsidRDefault="00E50CB5" w:rsidP="00EF7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4065137"/>
      <w:docPartObj>
        <w:docPartGallery w:val="Page Numbers (Bottom of Page)"/>
        <w:docPartUnique/>
      </w:docPartObj>
    </w:sdtPr>
    <w:sdtContent>
      <w:p w14:paraId="4D1EFA7B" w14:textId="0E1AA0F2" w:rsidR="00EF764E" w:rsidRDefault="00EF764E">
        <w:pPr>
          <w:pStyle w:val="Footer"/>
          <w:jc w:val="center"/>
        </w:pPr>
        <w:r>
          <w:fldChar w:fldCharType="begin"/>
        </w:r>
        <w:r>
          <w:instrText>PAGE   \* MERGEFORMAT</w:instrText>
        </w:r>
        <w:r>
          <w:fldChar w:fldCharType="separate"/>
        </w:r>
        <w:r>
          <w:t>2</w:t>
        </w:r>
        <w:r>
          <w:fldChar w:fldCharType="end"/>
        </w:r>
      </w:p>
    </w:sdtContent>
  </w:sdt>
  <w:p w14:paraId="3D69D620" w14:textId="77777777" w:rsidR="00EF764E" w:rsidRDefault="00EF76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15C11" w14:textId="77777777" w:rsidR="00E50CB5" w:rsidRDefault="00E50CB5" w:rsidP="00EF764E">
      <w:pPr>
        <w:spacing w:after="0" w:line="240" w:lineRule="auto"/>
      </w:pPr>
      <w:r>
        <w:separator/>
      </w:r>
    </w:p>
  </w:footnote>
  <w:footnote w:type="continuationSeparator" w:id="0">
    <w:p w14:paraId="4F223AC2" w14:textId="77777777" w:rsidR="00E50CB5" w:rsidRDefault="00E50CB5" w:rsidP="00EF76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2CE"/>
    <w:rsid w:val="00343428"/>
    <w:rsid w:val="00383A89"/>
    <w:rsid w:val="00603673"/>
    <w:rsid w:val="008362CE"/>
    <w:rsid w:val="00A8297D"/>
    <w:rsid w:val="00B66F09"/>
    <w:rsid w:val="00D46057"/>
    <w:rsid w:val="00E50CB5"/>
    <w:rsid w:val="00EF764E"/>
    <w:rsid w:val="00F03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21D6F"/>
  <w15:chartTrackingRefBased/>
  <w15:docId w15:val="{F8DDE088-B288-4ACA-A544-C16E49B0F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62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62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62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62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62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62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2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2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2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2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62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62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62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62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62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2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2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2CE"/>
    <w:rPr>
      <w:rFonts w:eastAsiaTheme="majorEastAsia" w:cstheme="majorBidi"/>
      <w:color w:val="272727" w:themeColor="text1" w:themeTint="D8"/>
    </w:rPr>
  </w:style>
  <w:style w:type="paragraph" w:styleId="Title">
    <w:name w:val="Title"/>
    <w:basedOn w:val="Normal"/>
    <w:next w:val="Normal"/>
    <w:link w:val="TitleChar"/>
    <w:uiPriority w:val="10"/>
    <w:qFormat/>
    <w:rsid w:val="008362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2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62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2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2CE"/>
    <w:pPr>
      <w:spacing w:before="160"/>
      <w:jc w:val="center"/>
    </w:pPr>
    <w:rPr>
      <w:i/>
      <w:iCs/>
      <w:color w:val="404040" w:themeColor="text1" w:themeTint="BF"/>
    </w:rPr>
  </w:style>
  <w:style w:type="character" w:customStyle="1" w:styleId="QuoteChar">
    <w:name w:val="Quote Char"/>
    <w:basedOn w:val="DefaultParagraphFont"/>
    <w:link w:val="Quote"/>
    <w:uiPriority w:val="29"/>
    <w:rsid w:val="008362CE"/>
    <w:rPr>
      <w:i/>
      <w:iCs/>
      <w:color w:val="404040" w:themeColor="text1" w:themeTint="BF"/>
    </w:rPr>
  </w:style>
  <w:style w:type="paragraph" w:styleId="ListParagraph">
    <w:name w:val="List Paragraph"/>
    <w:basedOn w:val="Normal"/>
    <w:uiPriority w:val="34"/>
    <w:qFormat/>
    <w:rsid w:val="008362CE"/>
    <w:pPr>
      <w:ind w:left="720"/>
      <w:contextualSpacing/>
    </w:pPr>
  </w:style>
  <w:style w:type="character" w:styleId="IntenseEmphasis">
    <w:name w:val="Intense Emphasis"/>
    <w:basedOn w:val="DefaultParagraphFont"/>
    <w:uiPriority w:val="21"/>
    <w:qFormat/>
    <w:rsid w:val="008362CE"/>
    <w:rPr>
      <w:i/>
      <w:iCs/>
      <w:color w:val="0F4761" w:themeColor="accent1" w:themeShade="BF"/>
    </w:rPr>
  </w:style>
  <w:style w:type="paragraph" w:styleId="IntenseQuote">
    <w:name w:val="Intense Quote"/>
    <w:basedOn w:val="Normal"/>
    <w:next w:val="Normal"/>
    <w:link w:val="IntenseQuoteChar"/>
    <w:uiPriority w:val="30"/>
    <w:qFormat/>
    <w:rsid w:val="008362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62CE"/>
    <w:rPr>
      <w:i/>
      <w:iCs/>
      <w:color w:val="0F4761" w:themeColor="accent1" w:themeShade="BF"/>
    </w:rPr>
  </w:style>
  <w:style w:type="character" w:styleId="IntenseReference">
    <w:name w:val="Intense Reference"/>
    <w:basedOn w:val="DefaultParagraphFont"/>
    <w:uiPriority w:val="32"/>
    <w:qFormat/>
    <w:rsid w:val="008362CE"/>
    <w:rPr>
      <w:b/>
      <w:bCs/>
      <w:smallCaps/>
      <w:color w:val="0F4761" w:themeColor="accent1" w:themeShade="BF"/>
      <w:spacing w:val="5"/>
    </w:rPr>
  </w:style>
  <w:style w:type="paragraph" w:styleId="TOCHeading">
    <w:name w:val="TOC Heading"/>
    <w:basedOn w:val="Heading1"/>
    <w:next w:val="Normal"/>
    <w:uiPriority w:val="39"/>
    <w:unhideWhenUsed/>
    <w:qFormat/>
    <w:rsid w:val="00EF764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F764E"/>
    <w:pPr>
      <w:spacing w:after="100"/>
    </w:pPr>
  </w:style>
  <w:style w:type="character" w:styleId="Hyperlink">
    <w:name w:val="Hyperlink"/>
    <w:basedOn w:val="DefaultParagraphFont"/>
    <w:uiPriority w:val="99"/>
    <w:unhideWhenUsed/>
    <w:rsid w:val="00EF764E"/>
    <w:rPr>
      <w:color w:val="467886" w:themeColor="hyperlink"/>
      <w:u w:val="single"/>
    </w:rPr>
  </w:style>
  <w:style w:type="paragraph" w:styleId="Header">
    <w:name w:val="header"/>
    <w:basedOn w:val="Normal"/>
    <w:link w:val="HeaderChar"/>
    <w:uiPriority w:val="99"/>
    <w:unhideWhenUsed/>
    <w:rsid w:val="00EF7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64E"/>
  </w:style>
  <w:style w:type="paragraph" w:styleId="Footer">
    <w:name w:val="footer"/>
    <w:basedOn w:val="Normal"/>
    <w:link w:val="FooterChar"/>
    <w:uiPriority w:val="99"/>
    <w:unhideWhenUsed/>
    <w:rsid w:val="00EF7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C6F0A-1767-4747-97B6-3F3FDD871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2387</Words>
  <Characters>14180</Characters>
  <Application>Microsoft Office Word</Application>
  <DocSecurity>0</DocSecurity>
  <Lines>746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Elisabeta Brendea</dc:creator>
  <cp:keywords/>
  <dc:description/>
  <cp:revision>4</cp:revision>
  <dcterms:created xsi:type="dcterms:W3CDTF">2026-06-09T19:01:00Z</dcterms:created>
  <dcterms:modified xsi:type="dcterms:W3CDTF">2026-06-09T20:09:00Z</dcterms:modified>
</cp:coreProperties>
</file>