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9D035" w14:textId="08741E62" w:rsidR="003F6FEE" w:rsidRDefault="0000089A">
      <w:pPr>
        <w:spacing w:line="360" w:lineRule="auto"/>
        <w:jc w:val="center"/>
        <w:rPr>
          <w:rFonts w:ascii="Times New Roman" w:eastAsia="Times New Roman" w:hAnsi="Times New Roman" w:cs="Times New Roman"/>
          <w:b/>
          <w:sz w:val="32"/>
          <w:szCs w:val="32"/>
        </w:rPr>
      </w:pPr>
      <w:r>
        <w:rPr>
          <w:noProof/>
          <w:lang w:eastAsia="en-GB"/>
        </w:rPr>
        <w:drawing>
          <wp:anchor distT="0" distB="0" distL="114300" distR="114300" simplePos="0" relativeHeight="251659264" behindDoc="1" locked="0" layoutInCell="1" allowOverlap="1" wp14:anchorId="69BE3DFC" wp14:editId="425CE914">
            <wp:simplePos x="0" y="0"/>
            <wp:positionH relativeFrom="column">
              <wp:posOffset>0</wp:posOffset>
            </wp:positionH>
            <wp:positionV relativeFrom="paragraph">
              <wp:posOffset>0</wp:posOffset>
            </wp:positionV>
            <wp:extent cx="2141220" cy="2141220"/>
            <wp:effectExtent l="0" t="0" r="0" b="0"/>
            <wp:wrapNone/>
            <wp:docPr id="4" name="Picture 4" descr="C:\Users\znagy\AppData\Local\Microsoft\Windows\INetCache\Content.MSO\7FB4D5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7FB4D5E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anchor>
        </w:drawing>
      </w:r>
    </w:p>
    <w:p w14:paraId="54954344" w14:textId="77777777" w:rsidR="003F6FEE" w:rsidRDefault="003F6FEE">
      <w:pPr>
        <w:spacing w:line="360" w:lineRule="auto"/>
        <w:jc w:val="center"/>
        <w:rPr>
          <w:rFonts w:ascii="Times New Roman" w:eastAsia="Times New Roman" w:hAnsi="Times New Roman" w:cs="Times New Roman"/>
          <w:b/>
          <w:sz w:val="32"/>
          <w:szCs w:val="32"/>
        </w:rPr>
      </w:pPr>
    </w:p>
    <w:p w14:paraId="76CA417C" w14:textId="54056E60" w:rsidR="003F6FEE" w:rsidRDefault="0000089A" w:rsidP="0000089A">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6F683303" w14:textId="77777777" w:rsidR="0000089A" w:rsidRDefault="0000089A" w:rsidP="0000089A">
      <w:pPr>
        <w:spacing w:line="360" w:lineRule="auto"/>
        <w:rPr>
          <w:rFonts w:ascii="Times New Roman" w:eastAsia="Times New Roman" w:hAnsi="Times New Roman" w:cs="Times New Roman"/>
          <w:b/>
          <w:sz w:val="32"/>
          <w:szCs w:val="32"/>
        </w:rPr>
      </w:pPr>
    </w:p>
    <w:p w14:paraId="483F22AA" w14:textId="77777777" w:rsidR="003F6FEE" w:rsidRDefault="003F6FEE">
      <w:pPr>
        <w:spacing w:line="360" w:lineRule="auto"/>
        <w:jc w:val="center"/>
        <w:rPr>
          <w:rFonts w:ascii="Times New Roman" w:eastAsia="Times New Roman" w:hAnsi="Times New Roman" w:cs="Times New Roman"/>
          <w:b/>
          <w:sz w:val="32"/>
          <w:szCs w:val="32"/>
        </w:rPr>
      </w:pPr>
    </w:p>
    <w:p w14:paraId="3921ADE6" w14:textId="77777777" w:rsidR="003F6FEE" w:rsidRDefault="003F6FEE">
      <w:pPr>
        <w:spacing w:line="360" w:lineRule="auto"/>
        <w:jc w:val="center"/>
        <w:rPr>
          <w:rFonts w:ascii="Times New Roman" w:eastAsia="Times New Roman" w:hAnsi="Times New Roman" w:cs="Times New Roman"/>
          <w:b/>
          <w:sz w:val="32"/>
          <w:szCs w:val="32"/>
        </w:rPr>
      </w:pPr>
    </w:p>
    <w:p w14:paraId="5C1917BC" w14:textId="77777777" w:rsidR="003F6FEE" w:rsidRDefault="003F6FEE">
      <w:pPr>
        <w:spacing w:line="360" w:lineRule="auto"/>
        <w:jc w:val="center"/>
        <w:rPr>
          <w:rFonts w:ascii="Times New Roman" w:eastAsia="Times New Roman" w:hAnsi="Times New Roman" w:cs="Times New Roman"/>
          <w:b/>
          <w:sz w:val="32"/>
          <w:szCs w:val="32"/>
        </w:rPr>
      </w:pPr>
    </w:p>
    <w:p w14:paraId="49B07691" w14:textId="77777777" w:rsidR="003F6FEE" w:rsidRDefault="003F6FEE">
      <w:pPr>
        <w:spacing w:line="360" w:lineRule="auto"/>
        <w:jc w:val="center"/>
        <w:rPr>
          <w:rFonts w:ascii="Times New Roman" w:eastAsia="Times New Roman" w:hAnsi="Times New Roman" w:cs="Times New Roman"/>
          <w:b/>
          <w:sz w:val="32"/>
          <w:szCs w:val="32"/>
        </w:rPr>
      </w:pPr>
    </w:p>
    <w:p w14:paraId="11C16867" w14:textId="77777777" w:rsidR="00F2157A" w:rsidRDefault="004E620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PROGRAMME: BA BUSINESS MANAGEMENT (BABM)</w:t>
      </w:r>
    </w:p>
    <w:p w14:paraId="43CEF516" w14:textId="77777777" w:rsidR="00F2157A" w:rsidRDefault="004E620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ACCOUNTING FUNDAMENTALS</w:t>
      </w:r>
    </w:p>
    <w:p w14:paraId="471D30C8" w14:textId="3BC78C61" w:rsidR="00035474" w:rsidRDefault="004E620D" w:rsidP="0003547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LCBB4001</w:t>
      </w:r>
    </w:p>
    <w:p w14:paraId="71612BF8" w14:textId="3AD777B7" w:rsidR="00035474" w:rsidRDefault="00035474" w:rsidP="00035474">
      <w:pPr>
        <w:spacing w:line="360" w:lineRule="auto"/>
        <w:jc w:val="center"/>
        <w:rPr>
          <w:rFonts w:ascii="Times New Roman" w:eastAsia="Times New Roman" w:hAnsi="Times New Roman" w:cs="Times New Roman"/>
          <w:b/>
          <w:sz w:val="32"/>
          <w:szCs w:val="32"/>
        </w:rPr>
      </w:pPr>
    </w:p>
    <w:p w14:paraId="77186EE2" w14:textId="7F62D846" w:rsidR="00035474" w:rsidRDefault="00035474" w:rsidP="00035474">
      <w:pPr>
        <w:spacing w:line="360" w:lineRule="auto"/>
        <w:jc w:val="center"/>
        <w:rPr>
          <w:rFonts w:ascii="Times New Roman" w:eastAsia="Times New Roman" w:hAnsi="Times New Roman" w:cs="Times New Roman"/>
          <w:b/>
          <w:sz w:val="32"/>
          <w:szCs w:val="32"/>
        </w:rPr>
      </w:pPr>
    </w:p>
    <w:p w14:paraId="0E0FDF28" w14:textId="77777777" w:rsidR="00035474" w:rsidRPr="00035474" w:rsidRDefault="00035474" w:rsidP="00035474">
      <w:pPr>
        <w:spacing w:line="360" w:lineRule="auto"/>
        <w:jc w:val="center"/>
        <w:rPr>
          <w:rFonts w:ascii="Times New Roman" w:eastAsia="Times New Roman" w:hAnsi="Times New Roman" w:cs="Times New Roman"/>
          <w:b/>
          <w:sz w:val="32"/>
          <w:szCs w:val="32"/>
        </w:rPr>
      </w:pPr>
    </w:p>
    <w:p w14:paraId="45E53635" w14:textId="77777777" w:rsidR="00035474" w:rsidRPr="00594AB3" w:rsidRDefault="00035474" w:rsidP="00035474">
      <w:pPr>
        <w:pBdr>
          <w:bottom w:val="single" w:sz="12" w:space="1" w:color="auto"/>
        </w:pBdr>
      </w:pPr>
    </w:p>
    <w:p w14:paraId="055D6906" w14:textId="77777777" w:rsidR="00035474" w:rsidRPr="00035474" w:rsidRDefault="00035474" w:rsidP="00035474">
      <w:pPr>
        <w:rPr>
          <w:rFonts w:ascii="Times New Roman" w:hAnsi="Times New Roman" w:cs="Times New Roman"/>
          <w:sz w:val="24"/>
          <w:szCs w:val="24"/>
        </w:rPr>
      </w:pPr>
    </w:p>
    <w:p w14:paraId="75645ED3" w14:textId="67A1877B" w:rsidR="00035474" w:rsidRPr="00035474" w:rsidRDefault="00035474" w:rsidP="00035474">
      <w:pPr>
        <w:rPr>
          <w:rFonts w:ascii="Times New Roman" w:hAnsi="Times New Roman" w:cs="Times New Roman"/>
          <w:b/>
          <w:sz w:val="24"/>
          <w:szCs w:val="24"/>
        </w:rPr>
      </w:pPr>
    </w:p>
    <w:p w14:paraId="2696B8DE" w14:textId="77777777" w:rsidR="00035474" w:rsidRPr="00035474" w:rsidRDefault="00035474" w:rsidP="00035474">
      <w:pPr>
        <w:jc w:val="center"/>
        <w:rPr>
          <w:rFonts w:ascii="Times New Roman" w:hAnsi="Times New Roman" w:cs="Times New Roman"/>
          <w:b/>
          <w:sz w:val="24"/>
          <w:szCs w:val="24"/>
        </w:rPr>
      </w:pPr>
      <w:r w:rsidRPr="00035474">
        <w:rPr>
          <w:rFonts w:ascii="Times New Roman" w:hAnsi="Times New Roman" w:cs="Times New Roman"/>
          <w:b/>
          <w:sz w:val="24"/>
          <w:szCs w:val="24"/>
        </w:rPr>
        <w:t>Student Name: Boscanean Maria</w:t>
      </w:r>
    </w:p>
    <w:p w14:paraId="7F3EEBFE" w14:textId="77777777" w:rsidR="00035474" w:rsidRPr="00035474" w:rsidRDefault="00035474" w:rsidP="00035474">
      <w:pPr>
        <w:jc w:val="center"/>
        <w:rPr>
          <w:rFonts w:ascii="Times New Roman" w:hAnsi="Times New Roman" w:cs="Times New Roman"/>
          <w:b/>
          <w:sz w:val="24"/>
          <w:szCs w:val="24"/>
        </w:rPr>
      </w:pPr>
      <w:r w:rsidRPr="00035474">
        <w:rPr>
          <w:rFonts w:ascii="Times New Roman" w:hAnsi="Times New Roman" w:cs="Times New Roman"/>
          <w:b/>
          <w:sz w:val="24"/>
          <w:szCs w:val="24"/>
        </w:rPr>
        <w:t>Student ID: 2021937</w:t>
      </w:r>
    </w:p>
    <w:p w14:paraId="759D1346" w14:textId="247F5F80" w:rsidR="00F2157A" w:rsidRDefault="004E620D">
      <w:pPr>
        <w:spacing w:line="360" w:lineRule="auto"/>
        <w:jc w:val="center"/>
        <w:rPr>
          <w:rFonts w:ascii="Times New Roman" w:eastAsia="Times New Roman" w:hAnsi="Times New Roman" w:cs="Times New Roman"/>
          <w:b/>
          <w:sz w:val="32"/>
          <w:szCs w:val="32"/>
        </w:rPr>
      </w:pPr>
      <w:r>
        <w:br w:type="page"/>
      </w:r>
    </w:p>
    <w:sdt>
      <w:sdtPr>
        <w:rPr>
          <w:rFonts w:ascii="Times New Roman" w:eastAsia="Arial" w:hAnsi="Times New Roman" w:cs="Times New Roman"/>
          <w:color w:val="auto"/>
          <w:sz w:val="24"/>
          <w:szCs w:val="24"/>
          <w:lang w:val="en" w:eastAsia="en-IN"/>
        </w:rPr>
        <w:id w:val="-2074110711"/>
        <w:docPartObj>
          <w:docPartGallery w:val="Table of Contents"/>
          <w:docPartUnique/>
        </w:docPartObj>
      </w:sdtPr>
      <w:sdtEndPr>
        <w:rPr>
          <w:b/>
          <w:bCs/>
          <w:noProof/>
        </w:rPr>
      </w:sdtEndPr>
      <w:sdtContent>
        <w:p w14:paraId="25F94CCF" w14:textId="77777777" w:rsidR="005453D7" w:rsidRPr="005453D7" w:rsidRDefault="004E620D" w:rsidP="005453D7">
          <w:pPr>
            <w:pStyle w:val="TOCHeading"/>
            <w:spacing w:line="360" w:lineRule="auto"/>
            <w:jc w:val="center"/>
            <w:rPr>
              <w:rFonts w:ascii="Times New Roman" w:hAnsi="Times New Roman" w:cs="Times New Roman"/>
              <w:b/>
              <w:color w:val="000000" w:themeColor="text1"/>
              <w:sz w:val="28"/>
              <w:szCs w:val="24"/>
            </w:rPr>
          </w:pPr>
          <w:r w:rsidRPr="005453D7">
            <w:rPr>
              <w:rFonts w:ascii="Times New Roman" w:hAnsi="Times New Roman" w:cs="Times New Roman"/>
              <w:b/>
              <w:color w:val="000000" w:themeColor="text1"/>
              <w:sz w:val="28"/>
              <w:szCs w:val="24"/>
            </w:rPr>
            <w:t>Table of Contents</w:t>
          </w:r>
        </w:p>
        <w:p w14:paraId="680455B9" w14:textId="77777777" w:rsidR="005453D7" w:rsidRPr="005453D7" w:rsidRDefault="004E620D" w:rsidP="005453D7">
          <w:pPr>
            <w:pStyle w:val="TOC1"/>
            <w:tabs>
              <w:tab w:val="right" w:leader="dot" w:pos="9350"/>
            </w:tabs>
            <w:spacing w:line="360" w:lineRule="auto"/>
            <w:jc w:val="both"/>
            <w:rPr>
              <w:rFonts w:ascii="Times New Roman" w:hAnsi="Times New Roman" w:cs="Times New Roman"/>
              <w:noProof/>
              <w:sz w:val="24"/>
              <w:szCs w:val="24"/>
            </w:rPr>
          </w:pPr>
          <w:r w:rsidRPr="005453D7">
            <w:rPr>
              <w:rFonts w:ascii="Times New Roman" w:hAnsi="Times New Roman" w:cs="Times New Roman"/>
              <w:b/>
              <w:bCs/>
              <w:noProof/>
              <w:sz w:val="24"/>
              <w:szCs w:val="24"/>
            </w:rPr>
            <w:fldChar w:fldCharType="begin"/>
          </w:r>
          <w:r w:rsidRPr="005453D7">
            <w:rPr>
              <w:rFonts w:ascii="Times New Roman" w:hAnsi="Times New Roman" w:cs="Times New Roman"/>
              <w:b/>
              <w:bCs/>
              <w:noProof/>
              <w:sz w:val="24"/>
              <w:szCs w:val="24"/>
            </w:rPr>
            <w:instrText xml:space="preserve"> TOC \o "1-3" \h \z \u </w:instrText>
          </w:r>
          <w:r w:rsidRPr="005453D7">
            <w:rPr>
              <w:rFonts w:ascii="Times New Roman" w:hAnsi="Times New Roman" w:cs="Times New Roman"/>
              <w:b/>
              <w:bCs/>
              <w:noProof/>
              <w:sz w:val="24"/>
              <w:szCs w:val="24"/>
            </w:rPr>
            <w:fldChar w:fldCharType="separate"/>
          </w:r>
          <w:hyperlink w:anchor="_Toc77672024" w:history="1">
            <w:r w:rsidRPr="005453D7">
              <w:rPr>
                <w:rStyle w:val="Hyperlink"/>
                <w:rFonts w:ascii="Times New Roman" w:hAnsi="Times New Roman" w:cs="Times New Roman"/>
                <w:noProof/>
                <w:sz w:val="24"/>
                <w:szCs w:val="24"/>
              </w:rPr>
              <w:t>Question 1:</w:t>
            </w:r>
            <w:r w:rsidRPr="005453D7">
              <w:rPr>
                <w:rFonts w:ascii="Times New Roman" w:hAnsi="Times New Roman" w:cs="Times New Roman"/>
                <w:noProof/>
                <w:webHidden/>
                <w:sz w:val="24"/>
                <w:szCs w:val="24"/>
              </w:rPr>
              <w:tab/>
            </w:r>
            <w:r w:rsidRPr="005453D7">
              <w:rPr>
                <w:rFonts w:ascii="Times New Roman" w:hAnsi="Times New Roman" w:cs="Times New Roman"/>
                <w:noProof/>
                <w:webHidden/>
                <w:sz w:val="24"/>
                <w:szCs w:val="24"/>
              </w:rPr>
              <w:fldChar w:fldCharType="begin"/>
            </w:r>
            <w:r w:rsidRPr="005453D7">
              <w:rPr>
                <w:rFonts w:ascii="Times New Roman" w:hAnsi="Times New Roman" w:cs="Times New Roman"/>
                <w:noProof/>
                <w:webHidden/>
                <w:sz w:val="24"/>
                <w:szCs w:val="24"/>
              </w:rPr>
              <w:instrText xml:space="preserve"> PAGEREF _Toc77672024 \h </w:instrText>
            </w:r>
            <w:r w:rsidRPr="005453D7">
              <w:rPr>
                <w:rFonts w:ascii="Times New Roman" w:hAnsi="Times New Roman" w:cs="Times New Roman"/>
                <w:noProof/>
                <w:webHidden/>
                <w:sz w:val="24"/>
                <w:szCs w:val="24"/>
              </w:rPr>
            </w:r>
            <w:r w:rsidRPr="005453D7">
              <w:rPr>
                <w:rFonts w:ascii="Times New Roman" w:hAnsi="Times New Roman" w:cs="Times New Roman"/>
                <w:noProof/>
                <w:webHidden/>
                <w:sz w:val="24"/>
                <w:szCs w:val="24"/>
              </w:rPr>
              <w:fldChar w:fldCharType="separate"/>
            </w:r>
            <w:r w:rsidRPr="005453D7">
              <w:rPr>
                <w:rFonts w:ascii="Times New Roman" w:hAnsi="Times New Roman" w:cs="Times New Roman"/>
                <w:noProof/>
                <w:webHidden/>
                <w:sz w:val="24"/>
                <w:szCs w:val="24"/>
              </w:rPr>
              <w:t>3</w:t>
            </w:r>
            <w:r w:rsidRPr="005453D7">
              <w:rPr>
                <w:rFonts w:ascii="Times New Roman" w:hAnsi="Times New Roman" w:cs="Times New Roman"/>
                <w:noProof/>
                <w:webHidden/>
                <w:sz w:val="24"/>
                <w:szCs w:val="24"/>
              </w:rPr>
              <w:fldChar w:fldCharType="end"/>
            </w:r>
          </w:hyperlink>
        </w:p>
        <w:p w14:paraId="095980B6" w14:textId="77777777" w:rsidR="005453D7" w:rsidRPr="005453D7" w:rsidRDefault="00144531" w:rsidP="005453D7">
          <w:pPr>
            <w:pStyle w:val="TOC1"/>
            <w:tabs>
              <w:tab w:val="right" w:leader="dot" w:pos="9350"/>
            </w:tabs>
            <w:spacing w:line="360" w:lineRule="auto"/>
            <w:jc w:val="both"/>
            <w:rPr>
              <w:rFonts w:ascii="Times New Roman" w:hAnsi="Times New Roman" w:cs="Times New Roman"/>
              <w:noProof/>
              <w:sz w:val="24"/>
              <w:szCs w:val="24"/>
            </w:rPr>
          </w:pPr>
          <w:hyperlink w:anchor="_Toc77672025" w:history="1">
            <w:r w:rsidR="004E620D" w:rsidRPr="005453D7">
              <w:rPr>
                <w:rStyle w:val="Hyperlink"/>
                <w:rFonts w:ascii="Times New Roman" w:hAnsi="Times New Roman" w:cs="Times New Roman"/>
                <w:noProof/>
                <w:sz w:val="24"/>
                <w:szCs w:val="24"/>
              </w:rPr>
              <w:t>Question 2:</w:t>
            </w:r>
            <w:r w:rsidR="004E620D" w:rsidRPr="005453D7">
              <w:rPr>
                <w:rFonts w:ascii="Times New Roman" w:hAnsi="Times New Roman" w:cs="Times New Roman"/>
                <w:noProof/>
                <w:webHidden/>
                <w:sz w:val="24"/>
                <w:szCs w:val="24"/>
              </w:rPr>
              <w:tab/>
            </w:r>
            <w:r w:rsidR="004E620D" w:rsidRPr="005453D7">
              <w:rPr>
                <w:rFonts w:ascii="Times New Roman" w:hAnsi="Times New Roman" w:cs="Times New Roman"/>
                <w:noProof/>
                <w:webHidden/>
                <w:sz w:val="24"/>
                <w:szCs w:val="24"/>
              </w:rPr>
              <w:fldChar w:fldCharType="begin"/>
            </w:r>
            <w:r w:rsidR="004E620D" w:rsidRPr="005453D7">
              <w:rPr>
                <w:rFonts w:ascii="Times New Roman" w:hAnsi="Times New Roman" w:cs="Times New Roman"/>
                <w:noProof/>
                <w:webHidden/>
                <w:sz w:val="24"/>
                <w:szCs w:val="24"/>
              </w:rPr>
              <w:instrText xml:space="preserve"> PAGEREF _Toc77672025 \h </w:instrText>
            </w:r>
            <w:r w:rsidR="004E620D" w:rsidRPr="005453D7">
              <w:rPr>
                <w:rFonts w:ascii="Times New Roman" w:hAnsi="Times New Roman" w:cs="Times New Roman"/>
                <w:noProof/>
                <w:webHidden/>
                <w:sz w:val="24"/>
                <w:szCs w:val="24"/>
              </w:rPr>
            </w:r>
            <w:r w:rsidR="004E620D" w:rsidRPr="005453D7">
              <w:rPr>
                <w:rFonts w:ascii="Times New Roman" w:hAnsi="Times New Roman" w:cs="Times New Roman"/>
                <w:noProof/>
                <w:webHidden/>
                <w:sz w:val="24"/>
                <w:szCs w:val="24"/>
              </w:rPr>
              <w:fldChar w:fldCharType="separate"/>
            </w:r>
            <w:r w:rsidR="004E620D" w:rsidRPr="005453D7">
              <w:rPr>
                <w:rFonts w:ascii="Times New Roman" w:hAnsi="Times New Roman" w:cs="Times New Roman"/>
                <w:noProof/>
                <w:webHidden/>
                <w:sz w:val="24"/>
                <w:szCs w:val="24"/>
              </w:rPr>
              <w:t>6</w:t>
            </w:r>
            <w:r w:rsidR="004E620D" w:rsidRPr="005453D7">
              <w:rPr>
                <w:rFonts w:ascii="Times New Roman" w:hAnsi="Times New Roman" w:cs="Times New Roman"/>
                <w:noProof/>
                <w:webHidden/>
                <w:sz w:val="24"/>
                <w:szCs w:val="24"/>
              </w:rPr>
              <w:fldChar w:fldCharType="end"/>
            </w:r>
          </w:hyperlink>
        </w:p>
        <w:p w14:paraId="49AB8C2D" w14:textId="77777777" w:rsidR="005453D7" w:rsidRPr="005453D7" w:rsidRDefault="00144531" w:rsidP="005453D7">
          <w:pPr>
            <w:pStyle w:val="TOC1"/>
            <w:tabs>
              <w:tab w:val="right" w:leader="dot" w:pos="9350"/>
            </w:tabs>
            <w:spacing w:line="360" w:lineRule="auto"/>
            <w:jc w:val="both"/>
            <w:rPr>
              <w:rFonts w:ascii="Times New Roman" w:hAnsi="Times New Roman" w:cs="Times New Roman"/>
              <w:noProof/>
              <w:sz w:val="24"/>
              <w:szCs w:val="24"/>
            </w:rPr>
          </w:pPr>
          <w:hyperlink w:anchor="_Toc77672026" w:history="1">
            <w:r w:rsidR="004E620D" w:rsidRPr="005453D7">
              <w:rPr>
                <w:rStyle w:val="Hyperlink"/>
                <w:rFonts w:ascii="Times New Roman" w:hAnsi="Times New Roman" w:cs="Times New Roman"/>
                <w:noProof/>
                <w:sz w:val="24"/>
                <w:szCs w:val="24"/>
              </w:rPr>
              <w:t>References</w:t>
            </w:r>
            <w:r w:rsidR="004E620D" w:rsidRPr="005453D7">
              <w:rPr>
                <w:rFonts w:ascii="Times New Roman" w:hAnsi="Times New Roman" w:cs="Times New Roman"/>
                <w:noProof/>
                <w:webHidden/>
                <w:sz w:val="24"/>
                <w:szCs w:val="24"/>
              </w:rPr>
              <w:tab/>
            </w:r>
            <w:r w:rsidR="004E620D" w:rsidRPr="005453D7">
              <w:rPr>
                <w:rFonts w:ascii="Times New Roman" w:hAnsi="Times New Roman" w:cs="Times New Roman"/>
                <w:noProof/>
                <w:webHidden/>
                <w:sz w:val="24"/>
                <w:szCs w:val="24"/>
              </w:rPr>
              <w:fldChar w:fldCharType="begin"/>
            </w:r>
            <w:r w:rsidR="004E620D" w:rsidRPr="005453D7">
              <w:rPr>
                <w:rFonts w:ascii="Times New Roman" w:hAnsi="Times New Roman" w:cs="Times New Roman"/>
                <w:noProof/>
                <w:webHidden/>
                <w:sz w:val="24"/>
                <w:szCs w:val="24"/>
              </w:rPr>
              <w:instrText xml:space="preserve"> PAGEREF _Toc77672026 \h </w:instrText>
            </w:r>
            <w:r w:rsidR="004E620D" w:rsidRPr="005453D7">
              <w:rPr>
                <w:rFonts w:ascii="Times New Roman" w:hAnsi="Times New Roman" w:cs="Times New Roman"/>
                <w:noProof/>
                <w:webHidden/>
                <w:sz w:val="24"/>
                <w:szCs w:val="24"/>
              </w:rPr>
            </w:r>
            <w:r w:rsidR="004E620D" w:rsidRPr="005453D7">
              <w:rPr>
                <w:rFonts w:ascii="Times New Roman" w:hAnsi="Times New Roman" w:cs="Times New Roman"/>
                <w:noProof/>
                <w:webHidden/>
                <w:sz w:val="24"/>
                <w:szCs w:val="24"/>
              </w:rPr>
              <w:fldChar w:fldCharType="separate"/>
            </w:r>
            <w:r w:rsidR="004E620D" w:rsidRPr="005453D7">
              <w:rPr>
                <w:rFonts w:ascii="Times New Roman" w:hAnsi="Times New Roman" w:cs="Times New Roman"/>
                <w:noProof/>
                <w:webHidden/>
                <w:sz w:val="24"/>
                <w:szCs w:val="24"/>
              </w:rPr>
              <w:t>10</w:t>
            </w:r>
            <w:r w:rsidR="004E620D" w:rsidRPr="005453D7">
              <w:rPr>
                <w:rFonts w:ascii="Times New Roman" w:hAnsi="Times New Roman" w:cs="Times New Roman"/>
                <w:noProof/>
                <w:webHidden/>
                <w:sz w:val="24"/>
                <w:szCs w:val="24"/>
              </w:rPr>
              <w:fldChar w:fldCharType="end"/>
            </w:r>
          </w:hyperlink>
        </w:p>
        <w:p w14:paraId="552D6DD1" w14:textId="77777777" w:rsidR="005453D7" w:rsidRPr="005453D7" w:rsidRDefault="004E620D" w:rsidP="005453D7">
          <w:pPr>
            <w:spacing w:line="360" w:lineRule="auto"/>
            <w:jc w:val="both"/>
            <w:rPr>
              <w:rFonts w:ascii="Times New Roman" w:hAnsi="Times New Roman" w:cs="Times New Roman"/>
              <w:sz w:val="24"/>
              <w:szCs w:val="24"/>
            </w:rPr>
          </w:pPr>
          <w:r w:rsidRPr="005453D7">
            <w:rPr>
              <w:rFonts w:ascii="Times New Roman" w:hAnsi="Times New Roman" w:cs="Times New Roman"/>
              <w:b/>
              <w:bCs/>
              <w:noProof/>
              <w:sz w:val="24"/>
              <w:szCs w:val="24"/>
            </w:rPr>
            <w:fldChar w:fldCharType="end"/>
          </w:r>
        </w:p>
      </w:sdtContent>
    </w:sdt>
    <w:p w14:paraId="4ADAD21A" w14:textId="77777777" w:rsidR="00F2157A" w:rsidRPr="005453D7" w:rsidRDefault="00F2157A" w:rsidP="005453D7">
      <w:pPr>
        <w:spacing w:line="360" w:lineRule="auto"/>
        <w:jc w:val="both"/>
        <w:rPr>
          <w:rFonts w:ascii="Times New Roman" w:eastAsia="Times New Roman" w:hAnsi="Times New Roman" w:cs="Times New Roman"/>
          <w:b/>
          <w:sz w:val="24"/>
          <w:szCs w:val="24"/>
        </w:rPr>
      </w:pPr>
    </w:p>
    <w:p w14:paraId="47BB0DDB" w14:textId="77777777" w:rsidR="005453D7" w:rsidRDefault="004E620D">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6E0F5F4D" w14:textId="77777777" w:rsidR="00F2157A" w:rsidRDefault="004E620D" w:rsidP="005453D7">
      <w:pPr>
        <w:pStyle w:val="Heading1"/>
      </w:pPr>
      <w:bookmarkStart w:id="0" w:name="_Toc77672024"/>
      <w:r>
        <w:lastRenderedPageBreak/>
        <w:t>Question 1:</w:t>
      </w:r>
      <w:bookmarkEnd w:id="0"/>
    </w:p>
    <w:p w14:paraId="5EC7F785" w14:textId="1F8ED444" w:rsidR="00F2157A" w:rsidRDefault="00F2157A">
      <w:pPr>
        <w:spacing w:line="360" w:lineRule="auto"/>
        <w:rPr>
          <w:rFonts w:ascii="Times New Roman" w:eastAsia="Times New Roman" w:hAnsi="Times New Roman" w:cs="Times New Roman"/>
          <w:b/>
          <w:sz w:val="28"/>
          <w:szCs w:val="28"/>
        </w:rPr>
      </w:pPr>
    </w:p>
    <w:p w14:paraId="45720241" w14:textId="77777777" w:rsidR="005A48E0" w:rsidRDefault="005A48E0">
      <w:pPr>
        <w:spacing w:line="360" w:lineRule="auto"/>
        <w:rPr>
          <w:rFonts w:ascii="Times New Roman" w:eastAsia="Times New Roman" w:hAnsi="Times New Roman" w:cs="Times New Roman"/>
          <w:b/>
          <w:sz w:val="28"/>
          <w:szCs w:val="28"/>
        </w:rPr>
      </w:pPr>
    </w:p>
    <w:p w14:paraId="386F8E8C" w14:textId="77777777" w:rsidR="00F2157A" w:rsidRDefault="004E620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 Profit and Loss Statement for the year ended 31st December 2020</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568"/>
        <w:gridCol w:w="2186"/>
        <w:gridCol w:w="1586"/>
      </w:tblGrid>
      <w:tr w:rsidR="00256F85" w14:paraId="39A35A71" w14:textId="77777777" w:rsidTr="005453D7">
        <w:tc>
          <w:tcPr>
            <w:tcW w:w="2981" w:type="pct"/>
            <w:shd w:val="clear" w:color="auto" w:fill="auto"/>
            <w:tcMar>
              <w:top w:w="100" w:type="dxa"/>
              <w:left w:w="100" w:type="dxa"/>
              <w:bottom w:w="100" w:type="dxa"/>
              <w:right w:w="100" w:type="dxa"/>
            </w:tcMar>
          </w:tcPr>
          <w:p w14:paraId="2ABC538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Particulars </w:t>
            </w:r>
          </w:p>
        </w:tc>
        <w:tc>
          <w:tcPr>
            <w:tcW w:w="1170" w:type="pct"/>
            <w:shd w:val="clear" w:color="auto" w:fill="auto"/>
            <w:tcMar>
              <w:top w:w="100" w:type="dxa"/>
              <w:left w:w="100" w:type="dxa"/>
              <w:bottom w:w="100" w:type="dxa"/>
              <w:right w:w="100" w:type="dxa"/>
            </w:tcMar>
          </w:tcPr>
          <w:p w14:paraId="15DDEEAA"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Amount (£) </w:t>
            </w:r>
          </w:p>
        </w:tc>
        <w:tc>
          <w:tcPr>
            <w:tcW w:w="849" w:type="pct"/>
            <w:shd w:val="clear" w:color="auto" w:fill="auto"/>
            <w:tcMar>
              <w:top w:w="100" w:type="dxa"/>
              <w:left w:w="100" w:type="dxa"/>
              <w:bottom w:w="100" w:type="dxa"/>
              <w:right w:w="100" w:type="dxa"/>
            </w:tcMar>
          </w:tcPr>
          <w:p w14:paraId="7E19AA33"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Amount (£) </w:t>
            </w:r>
          </w:p>
        </w:tc>
      </w:tr>
      <w:tr w:rsidR="00256F85" w14:paraId="6E32C20D" w14:textId="77777777" w:rsidTr="005453D7">
        <w:tc>
          <w:tcPr>
            <w:tcW w:w="2981" w:type="pct"/>
            <w:shd w:val="clear" w:color="auto" w:fill="auto"/>
            <w:tcMar>
              <w:top w:w="100" w:type="dxa"/>
              <w:left w:w="100" w:type="dxa"/>
              <w:bottom w:w="100" w:type="dxa"/>
              <w:right w:w="100" w:type="dxa"/>
            </w:tcMar>
          </w:tcPr>
          <w:p w14:paraId="4AD17AE4"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Sales </w:t>
            </w:r>
          </w:p>
        </w:tc>
        <w:tc>
          <w:tcPr>
            <w:tcW w:w="1170" w:type="pct"/>
            <w:shd w:val="clear" w:color="auto" w:fill="auto"/>
            <w:tcMar>
              <w:top w:w="100" w:type="dxa"/>
              <w:left w:w="100" w:type="dxa"/>
              <w:bottom w:w="100" w:type="dxa"/>
              <w:right w:w="100" w:type="dxa"/>
            </w:tcMar>
          </w:tcPr>
          <w:p w14:paraId="61644E80"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826,650</w:t>
            </w:r>
          </w:p>
        </w:tc>
        <w:tc>
          <w:tcPr>
            <w:tcW w:w="849" w:type="pct"/>
            <w:shd w:val="clear" w:color="auto" w:fill="auto"/>
            <w:tcMar>
              <w:top w:w="100" w:type="dxa"/>
              <w:left w:w="100" w:type="dxa"/>
              <w:bottom w:w="100" w:type="dxa"/>
              <w:right w:w="100" w:type="dxa"/>
            </w:tcMar>
          </w:tcPr>
          <w:p w14:paraId="60245DE3"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06520801" w14:textId="77777777" w:rsidTr="005453D7">
        <w:tc>
          <w:tcPr>
            <w:tcW w:w="2981" w:type="pct"/>
            <w:shd w:val="clear" w:color="auto" w:fill="auto"/>
            <w:tcMar>
              <w:top w:w="100" w:type="dxa"/>
              <w:left w:w="100" w:type="dxa"/>
              <w:bottom w:w="100" w:type="dxa"/>
              <w:right w:w="100" w:type="dxa"/>
            </w:tcMar>
          </w:tcPr>
          <w:p w14:paraId="2C4B5ED7"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Less: Cost of Sales </w:t>
            </w:r>
          </w:p>
        </w:tc>
        <w:tc>
          <w:tcPr>
            <w:tcW w:w="1170" w:type="pct"/>
            <w:shd w:val="clear" w:color="auto" w:fill="auto"/>
            <w:tcMar>
              <w:top w:w="100" w:type="dxa"/>
              <w:left w:w="100" w:type="dxa"/>
              <w:bottom w:w="100" w:type="dxa"/>
              <w:right w:w="100" w:type="dxa"/>
            </w:tcMar>
          </w:tcPr>
          <w:p w14:paraId="62822A28"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578,650</w:t>
            </w:r>
          </w:p>
        </w:tc>
        <w:tc>
          <w:tcPr>
            <w:tcW w:w="849" w:type="pct"/>
            <w:shd w:val="clear" w:color="auto" w:fill="auto"/>
            <w:tcMar>
              <w:top w:w="100" w:type="dxa"/>
              <w:left w:w="100" w:type="dxa"/>
              <w:bottom w:w="100" w:type="dxa"/>
              <w:right w:w="100" w:type="dxa"/>
            </w:tcMar>
          </w:tcPr>
          <w:p w14:paraId="36982862"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256F85" w14:paraId="09CF0276" w14:textId="77777777" w:rsidTr="005453D7">
        <w:tc>
          <w:tcPr>
            <w:tcW w:w="2981" w:type="pct"/>
            <w:shd w:val="clear" w:color="auto" w:fill="auto"/>
            <w:tcMar>
              <w:top w:w="100" w:type="dxa"/>
              <w:left w:w="100" w:type="dxa"/>
              <w:bottom w:w="100" w:type="dxa"/>
              <w:right w:w="100" w:type="dxa"/>
            </w:tcMar>
          </w:tcPr>
          <w:p w14:paraId="1409BE05"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Gross Profit</w:t>
            </w:r>
          </w:p>
        </w:tc>
        <w:tc>
          <w:tcPr>
            <w:tcW w:w="1170" w:type="pct"/>
            <w:shd w:val="clear" w:color="auto" w:fill="auto"/>
            <w:tcMar>
              <w:top w:w="100" w:type="dxa"/>
              <w:left w:w="100" w:type="dxa"/>
              <w:bottom w:w="100" w:type="dxa"/>
              <w:right w:w="100" w:type="dxa"/>
            </w:tcMar>
          </w:tcPr>
          <w:p w14:paraId="54CB8D5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849" w:type="pct"/>
            <w:shd w:val="clear" w:color="auto" w:fill="auto"/>
            <w:tcMar>
              <w:top w:w="100" w:type="dxa"/>
              <w:left w:w="100" w:type="dxa"/>
              <w:bottom w:w="100" w:type="dxa"/>
              <w:right w:w="100" w:type="dxa"/>
            </w:tcMar>
          </w:tcPr>
          <w:p w14:paraId="1FFB6143"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248,000</w:t>
            </w:r>
          </w:p>
        </w:tc>
      </w:tr>
      <w:tr w:rsidR="00256F85" w14:paraId="67EEFA1D" w14:textId="77777777" w:rsidTr="005453D7">
        <w:tc>
          <w:tcPr>
            <w:tcW w:w="2981" w:type="pct"/>
            <w:shd w:val="clear" w:color="auto" w:fill="auto"/>
            <w:tcMar>
              <w:top w:w="100" w:type="dxa"/>
              <w:left w:w="100" w:type="dxa"/>
              <w:bottom w:w="100" w:type="dxa"/>
              <w:right w:w="100" w:type="dxa"/>
            </w:tcMar>
          </w:tcPr>
          <w:p w14:paraId="659E2868"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Distribution Costs</w:t>
            </w:r>
          </w:p>
        </w:tc>
        <w:tc>
          <w:tcPr>
            <w:tcW w:w="1170" w:type="pct"/>
            <w:shd w:val="clear" w:color="auto" w:fill="auto"/>
            <w:tcMar>
              <w:top w:w="100" w:type="dxa"/>
              <w:left w:w="100" w:type="dxa"/>
              <w:bottom w:w="100" w:type="dxa"/>
              <w:right w:w="100" w:type="dxa"/>
            </w:tcMar>
          </w:tcPr>
          <w:p w14:paraId="7F80F8D1"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28000</w:t>
            </w:r>
          </w:p>
        </w:tc>
        <w:tc>
          <w:tcPr>
            <w:tcW w:w="849" w:type="pct"/>
            <w:shd w:val="clear" w:color="auto" w:fill="auto"/>
            <w:tcMar>
              <w:top w:w="100" w:type="dxa"/>
              <w:left w:w="100" w:type="dxa"/>
              <w:bottom w:w="100" w:type="dxa"/>
              <w:right w:w="100" w:type="dxa"/>
            </w:tcMar>
          </w:tcPr>
          <w:p w14:paraId="11D65E5E"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256F85" w14:paraId="00C517FD" w14:textId="77777777" w:rsidTr="005453D7">
        <w:tc>
          <w:tcPr>
            <w:tcW w:w="2981" w:type="pct"/>
            <w:shd w:val="clear" w:color="auto" w:fill="auto"/>
            <w:tcMar>
              <w:top w:w="100" w:type="dxa"/>
              <w:left w:w="100" w:type="dxa"/>
              <w:bottom w:w="100" w:type="dxa"/>
              <w:right w:w="100" w:type="dxa"/>
            </w:tcMar>
          </w:tcPr>
          <w:p w14:paraId="55FE0CB1"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Administrative Expenses </w:t>
            </w:r>
          </w:p>
        </w:tc>
        <w:tc>
          <w:tcPr>
            <w:tcW w:w="1170" w:type="pct"/>
            <w:shd w:val="clear" w:color="auto" w:fill="auto"/>
            <w:tcMar>
              <w:top w:w="100" w:type="dxa"/>
              <w:left w:w="100" w:type="dxa"/>
              <w:bottom w:w="100" w:type="dxa"/>
              <w:right w:w="100" w:type="dxa"/>
            </w:tcMar>
          </w:tcPr>
          <w:p w14:paraId="0E39BA32"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849" w:type="pct"/>
            <w:shd w:val="clear" w:color="auto" w:fill="auto"/>
            <w:tcMar>
              <w:top w:w="100" w:type="dxa"/>
              <w:left w:w="100" w:type="dxa"/>
              <w:bottom w:w="100" w:type="dxa"/>
              <w:right w:w="100" w:type="dxa"/>
            </w:tcMar>
          </w:tcPr>
          <w:p w14:paraId="57A8C61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256F85" w14:paraId="68A55FDB" w14:textId="77777777" w:rsidTr="005453D7">
        <w:tc>
          <w:tcPr>
            <w:tcW w:w="2981" w:type="pct"/>
            <w:shd w:val="clear" w:color="auto" w:fill="auto"/>
            <w:tcMar>
              <w:top w:w="100" w:type="dxa"/>
              <w:left w:w="100" w:type="dxa"/>
              <w:bottom w:w="100" w:type="dxa"/>
              <w:right w:w="100" w:type="dxa"/>
            </w:tcMar>
          </w:tcPr>
          <w:p w14:paraId="2435E309"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Outstanding Expenses </w:t>
            </w:r>
          </w:p>
        </w:tc>
        <w:tc>
          <w:tcPr>
            <w:tcW w:w="1170" w:type="pct"/>
            <w:shd w:val="clear" w:color="auto" w:fill="auto"/>
            <w:tcMar>
              <w:top w:w="100" w:type="dxa"/>
              <w:left w:w="100" w:type="dxa"/>
              <w:bottom w:w="100" w:type="dxa"/>
              <w:right w:w="100" w:type="dxa"/>
            </w:tcMar>
          </w:tcPr>
          <w:p w14:paraId="4253847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c>
          <w:tcPr>
            <w:tcW w:w="849" w:type="pct"/>
            <w:shd w:val="clear" w:color="auto" w:fill="auto"/>
            <w:tcMar>
              <w:top w:w="100" w:type="dxa"/>
              <w:left w:w="100" w:type="dxa"/>
              <w:bottom w:w="100" w:type="dxa"/>
              <w:right w:w="100" w:type="dxa"/>
            </w:tcMar>
          </w:tcPr>
          <w:p w14:paraId="190ED245"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5C1149E5" w14:textId="77777777" w:rsidTr="005453D7">
        <w:tc>
          <w:tcPr>
            <w:tcW w:w="2981" w:type="pct"/>
            <w:shd w:val="clear" w:color="auto" w:fill="auto"/>
            <w:tcMar>
              <w:top w:w="100" w:type="dxa"/>
              <w:left w:w="100" w:type="dxa"/>
              <w:bottom w:w="100" w:type="dxa"/>
              <w:right w:w="100" w:type="dxa"/>
            </w:tcMar>
          </w:tcPr>
          <w:p w14:paraId="2B5B36A4"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Interest Paid</w:t>
            </w:r>
          </w:p>
        </w:tc>
        <w:tc>
          <w:tcPr>
            <w:tcW w:w="1170" w:type="pct"/>
            <w:shd w:val="clear" w:color="auto" w:fill="auto"/>
            <w:tcMar>
              <w:top w:w="100" w:type="dxa"/>
              <w:left w:w="100" w:type="dxa"/>
              <w:bottom w:w="100" w:type="dxa"/>
              <w:right w:w="100" w:type="dxa"/>
            </w:tcMar>
          </w:tcPr>
          <w:p w14:paraId="654C0280"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c>
          <w:tcPr>
            <w:tcW w:w="849" w:type="pct"/>
            <w:shd w:val="clear" w:color="auto" w:fill="auto"/>
            <w:tcMar>
              <w:top w:w="100" w:type="dxa"/>
              <w:left w:w="100" w:type="dxa"/>
              <w:bottom w:w="100" w:type="dxa"/>
              <w:right w:w="100" w:type="dxa"/>
            </w:tcMar>
          </w:tcPr>
          <w:p w14:paraId="3008C8EF"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5578C351" w14:textId="77777777" w:rsidTr="005453D7">
        <w:tc>
          <w:tcPr>
            <w:tcW w:w="2981" w:type="pct"/>
            <w:shd w:val="clear" w:color="auto" w:fill="auto"/>
            <w:tcMar>
              <w:top w:w="100" w:type="dxa"/>
              <w:left w:w="100" w:type="dxa"/>
              <w:bottom w:w="100" w:type="dxa"/>
              <w:right w:w="100" w:type="dxa"/>
            </w:tcMar>
          </w:tcPr>
          <w:p w14:paraId="1E4CC490"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Director’s Remuneration</w:t>
            </w:r>
          </w:p>
        </w:tc>
        <w:tc>
          <w:tcPr>
            <w:tcW w:w="1170" w:type="pct"/>
            <w:shd w:val="clear" w:color="auto" w:fill="auto"/>
            <w:tcMar>
              <w:top w:w="100" w:type="dxa"/>
              <w:left w:w="100" w:type="dxa"/>
              <w:bottom w:w="100" w:type="dxa"/>
              <w:right w:w="100" w:type="dxa"/>
            </w:tcMar>
          </w:tcPr>
          <w:p w14:paraId="021D9126"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849" w:type="pct"/>
            <w:shd w:val="clear" w:color="auto" w:fill="auto"/>
            <w:tcMar>
              <w:top w:w="100" w:type="dxa"/>
              <w:left w:w="100" w:type="dxa"/>
              <w:bottom w:w="100" w:type="dxa"/>
              <w:right w:w="100" w:type="dxa"/>
            </w:tcMar>
          </w:tcPr>
          <w:p w14:paraId="43560132"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17D8593F" w14:textId="77777777" w:rsidTr="005453D7">
        <w:tc>
          <w:tcPr>
            <w:tcW w:w="2981" w:type="pct"/>
            <w:shd w:val="clear" w:color="auto" w:fill="auto"/>
            <w:tcMar>
              <w:top w:w="100" w:type="dxa"/>
              <w:left w:w="100" w:type="dxa"/>
              <w:bottom w:w="100" w:type="dxa"/>
              <w:right w:w="100" w:type="dxa"/>
            </w:tcMar>
          </w:tcPr>
          <w:p w14:paraId="14E9D757"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Profit</w:t>
            </w:r>
          </w:p>
        </w:tc>
        <w:tc>
          <w:tcPr>
            <w:tcW w:w="1170" w:type="pct"/>
            <w:shd w:val="clear" w:color="auto" w:fill="auto"/>
            <w:tcMar>
              <w:top w:w="100" w:type="dxa"/>
              <w:left w:w="100" w:type="dxa"/>
              <w:bottom w:w="100" w:type="dxa"/>
              <w:right w:w="100" w:type="dxa"/>
            </w:tcMar>
          </w:tcPr>
          <w:p w14:paraId="69F6E112"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49" w:type="pct"/>
            <w:shd w:val="clear" w:color="auto" w:fill="auto"/>
            <w:tcMar>
              <w:top w:w="100" w:type="dxa"/>
              <w:left w:w="100" w:type="dxa"/>
              <w:bottom w:w="100" w:type="dxa"/>
              <w:right w:w="100" w:type="dxa"/>
            </w:tcMar>
          </w:tcPr>
          <w:p w14:paraId="3F255FC8" w14:textId="77777777" w:rsidR="00F2157A" w:rsidRDefault="00F2157A">
            <w:pPr>
              <w:widowControl w:val="0"/>
              <w:spacing w:line="360" w:lineRule="auto"/>
              <w:jc w:val="both"/>
              <w:rPr>
                <w:rFonts w:ascii="Times New Roman" w:eastAsia="Times New Roman" w:hAnsi="Times New Roman" w:cs="Times New Roman"/>
                <w:sz w:val="24"/>
                <w:szCs w:val="24"/>
              </w:rPr>
            </w:pPr>
          </w:p>
        </w:tc>
      </w:tr>
      <w:tr w:rsidR="00256F85" w14:paraId="452244D5" w14:textId="77777777" w:rsidTr="005453D7">
        <w:tc>
          <w:tcPr>
            <w:tcW w:w="2981" w:type="pct"/>
            <w:shd w:val="clear" w:color="auto" w:fill="auto"/>
            <w:tcMar>
              <w:top w:w="100" w:type="dxa"/>
              <w:left w:w="100" w:type="dxa"/>
              <w:bottom w:w="100" w:type="dxa"/>
              <w:right w:w="100" w:type="dxa"/>
            </w:tcMar>
          </w:tcPr>
          <w:p w14:paraId="61E47457"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Outstanding Income</w:t>
            </w:r>
          </w:p>
        </w:tc>
        <w:tc>
          <w:tcPr>
            <w:tcW w:w="1170" w:type="pct"/>
            <w:shd w:val="clear" w:color="auto" w:fill="auto"/>
            <w:tcMar>
              <w:top w:w="100" w:type="dxa"/>
              <w:left w:w="100" w:type="dxa"/>
              <w:bottom w:w="100" w:type="dxa"/>
              <w:right w:w="100" w:type="dxa"/>
            </w:tcMar>
          </w:tcPr>
          <w:p w14:paraId="14501F20"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980</w:t>
            </w:r>
          </w:p>
        </w:tc>
        <w:tc>
          <w:tcPr>
            <w:tcW w:w="849" w:type="pct"/>
            <w:shd w:val="clear" w:color="auto" w:fill="auto"/>
            <w:tcMar>
              <w:top w:w="100" w:type="dxa"/>
              <w:left w:w="100" w:type="dxa"/>
              <w:bottom w:w="100" w:type="dxa"/>
              <w:right w:w="100" w:type="dxa"/>
            </w:tcMar>
          </w:tcPr>
          <w:p w14:paraId="60C6C938"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51879356" w14:textId="77777777" w:rsidTr="005453D7">
        <w:tc>
          <w:tcPr>
            <w:tcW w:w="2981" w:type="pct"/>
            <w:shd w:val="clear" w:color="auto" w:fill="auto"/>
            <w:tcMar>
              <w:top w:w="100" w:type="dxa"/>
              <w:left w:w="100" w:type="dxa"/>
              <w:bottom w:w="100" w:type="dxa"/>
              <w:right w:w="100" w:type="dxa"/>
            </w:tcMar>
          </w:tcPr>
          <w:p w14:paraId="4EB770E6"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Before Taxation</w:t>
            </w:r>
          </w:p>
        </w:tc>
        <w:tc>
          <w:tcPr>
            <w:tcW w:w="1170" w:type="pct"/>
            <w:shd w:val="clear" w:color="auto" w:fill="auto"/>
            <w:tcMar>
              <w:top w:w="100" w:type="dxa"/>
              <w:left w:w="100" w:type="dxa"/>
              <w:bottom w:w="100" w:type="dxa"/>
              <w:right w:w="100" w:type="dxa"/>
            </w:tcMar>
          </w:tcPr>
          <w:p w14:paraId="6E73195E"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49" w:type="pct"/>
            <w:shd w:val="clear" w:color="auto" w:fill="auto"/>
            <w:tcMar>
              <w:top w:w="100" w:type="dxa"/>
              <w:left w:w="100" w:type="dxa"/>
              <w:bottom w:w="100" w:type="dxa"/>
              <w:right w:w="100" w:type="dxa"/>
            </w:tcMar>
          </w:tcPr>
          <w:p w14:paraId="50A127FA"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180,980</w:t>
            </w:r>
          </w:p>
        </w:tc>
      </w:tr>
      <w:tr w:rsidR="00256F85" w14:paraId="02DB1B47" w14:textId="77777777" w:rsidTr="005453D7">
        <w:tc>
          <w:tcPr>
            <w:tcW w:w="2981" w:type="pct"/>
            <w:shd w:val="clear" w:color="auto" w:fill="auto"/>
            <w:tcMar>
              <w:top w:w="100" w:type="dxa"/>
              <w:left w:w="100" w:type="dxa"/>
              <w:bottom w:w="100" w:type="dxa"/>
              <w:right w:w="100" w:type="dxa"/>
            </w:tcMar>
          </w:tcPr>
          <w:p w14:paraId="592C2B33"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Corporation Tax</w:t>
            </w:r>
          </w:p>
        </w:tc>
        <w:tc>
          <w:tcPr>
            <w:tcW w:w="1170" w:type="pct"/>
            <w:shd w:val="clear" w:color="auto" w:fill="auto"/>
            <w:tcMar>
              <w:top w:w="100" w:type="dxa"/>
              <w:left w:w="100" w:type="dxa"/>
              <w:bottom w:w="100" w:type="dxa"/>
              <w:right w:w="100" w:type="dxa"/>
            </w:tcMar>
          </w:tcPr>
          <w:p w14:paraId="0E821F05"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68000</w:t>
            </w:r>
          </w:p>
        </w:tc>
        <w:tc>
          <w:tcPr>
            <w:tcW w:w="849" w:type="pct"/>
            <w:shd w:val="clear" w:color="auto" w:fill="auto"/>
            <w:tcMar>
              <w:top w:w="100" w:type="dxa"/>
              <w:left w:w="100" w:type="dxa"/>
              <w:bottom w:w="100" w:type="dxa"/>
              <w:right w:w="100" w:type="dxa"/>
            </w:tcMar>
          </w:tcPr>
          <w:p w14:paraId="30ECADFA"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0F754220" w14:textId="77777777" w:rsidTr="005453D7">
        <w:tc>
          <w:tcPr>
            <w:tcW w:w="2981" w:type="pct"/>
            <w:shd w:val="clear" w:color="auto" w:fill="auto"/>
            <w:tcMar>
              <w:top w:w="100" w:type="dxa"/>
              <w:left w:w="100" w:type="dxa"/>
              <w:bottom w:w="100" w:type="dxa"/>
              <w:right w:w="100" w:type="dxa"/>
            </w:tcMar>
          </w:tcPr>
          <w:p w14:paraId="2AB222E6"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After Taxation</w:t>
            </w:r>
          </w:p>
        </w:tc>
        <w:tc>
          <w:tcPr>
            <w:tcW w:w="1170" w:type="pct"/>
            <w:shd w:val="clear" w:color="auto" w:fill="auto"/>
            <w:tcMar>
              <w:top w:w="100" w:type="dxa"/>
              <w:left w:w="100" w:type="dxa"/>
              <w:bottom w:w="100" w:type="dxa"/>
              <w:right w:w="100" w:type="dxa"/>
            </w:tcMar>
          </w:tcPr>
          <w:p w14:paraId="0EF19C90"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49" w:type="pct"/>
            <w:shd w:val="clear" w:color="auto" w:fill="auto"/>
            <w:tcMar>
              <w:top w:w="100" w:type="dxa"/>
              <w:left w:w="100" w:type="dxa"/>
              <w:bottom w:w="100" w:type="dxa"/>
              <w:right w:w="100" w:type="dxa"/>
            </w:tcMar>
          </w:tcPr>
          <w:p w14:paraId="661003F9"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112,980</w:t>
            </w:r>
          </w:p>
        </w:tc>
      </w:tr>
    </w:tbl>
    <w:p w14:paraId="207670DC" w14:textId="77777777" w:rsidR="00F2157A" w:rsidRDefault="004E620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Profit and Loss Statement </w:t>
      </w:r>
    </w:p>
    <w:p w14:paraId="7AD47A57" w14:textId="4586A557" w:rsidR="00F2157A" w:rsidRDefault="004E620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981E17B" w14:textId="66B41495" w:rsidR="005A48E0" w:rsidRDefault="005A48E0">
      <w:pPr>
        <w:spacing w:line="360" w:lineRule="auto"/>
        <w:jc w:val="center"/>
        <w:rPr>
          <w:rFonts w:ascii="Times New Roman" w:eastAsia="Times New Roman" w:hAnsi="Times New Roman" w:cs="Times New Roman"/>
          <w:sz w:val="24"/>
          <w:szCs w:val="24"/>
        </w:rPr>
      </w:pPr>
    </w:p>
    <w:p w14:paraId="25867D5C" w14:textId="3383F51C" w:rsidR="005A48E0" w:rsidRDefault="005A48E0">
      <w:pPr>
        <w:spacing w:line="360" w:lineRule="auto"/>
        <w:jc w:val="center"/>
        <w:rPr>
          <w:rFonts w:ascii="Times New Roman" w:eastAsia="Times New Roman" w:hAnsi="Times New Roman" w:cs="Times New Roman"/>
          <w:sz w:val="24"/>
          <w:szCs w:val="24"/>
        </w:rPr>
      </w:pPr>
    </w:p>
    <w:p w14:paraId="685EFFF9" w14:textId="77777777" w:rsidR="005A48E0" w:rsidRDefault="005A48E0">
      <w:pPr>
        <w:spacing w:line="360" w:lineRule="auto"/>
        <w:jc w:val="center"/>
        <w:rPr>
          <w:rFonts w:ascii="Times New Roman" w:eastAsia="Times New Roman" w:hAnsi="Times New Roman" w:cs="Times New Roman"/>
          <w:sz w:val="24"/>
          <w:szCs w:val="24"/>
        </w:rPr>
      </w:pPr>
    </w:p>
    <w:p w14:paraId="44665451" w14:textId="77777777" w:rsidR="00F2157A" w:rsidRDefault="00F2157A">
      <w:pPr>
        <w:spacing w:line="360" w:lineRule="auto"/>
        <w:rPr>
          <w:rFonts w:ascii="Times New Roman" w:eastAsia="Times New Roman" w:hAnsi="Times New Roman" w:cs="Times New Roman"/>
          <w:sz w:val="24"/>
          <w:szCs w:val="24"/>
        </w:rPr>
      </w:pPr>
    </w:p>
    <w:p w14:paraId="24BD72E1" w14:textId="77777777" w:rsidR="00F2157A" w:rsidRDefault="004E620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Statement of financial position as of 31st December 2020</w:t>
      </w:r>
    </w:p>
    <w:p w14:paraId="12ECF835" w14:textId="77777777" w:rsidR="00F2157A" w:rsidRDefault="00F2157A">
      <w:pPr>
        <w:spacing w:line="360" w:lineRule="auto"/>
        <w:rPr>
          <w:rFonts w:ascii="Times New Roman" w:eastAsia="Times New Roman" w:hAnsi="Times New Roman" w:cs="Times New Roman"/>
          <w:b/>
          <w:sz w:val="24"/>
          <w:szCs w:val="24"/>
        </w:rPr>
      </w:pP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059"/>
        <w:gridCol w:w="2275"/>
        <w:gridCol w:w="2006"/>
      </w:tblGrid>
      <w:tr w:rsidR="00256F85" w14:paraId="5F4062EB" w14:textId="77777777" w:rsidTr="005453D7">
        <w:tc>
          <w:tcPr>
            <w:tcW w:w="2708" w:type="pct"/>
            <w:shd w:val="clear" w:color="auto" w:fill="auto"/>
            <w:tcMar>
              <w:top w:w="100" w:type="dxa"/>
              <w:left w:w="100" w:type="dxa"/>
              <w:bottom w:w="100" w:type="dxa"/>
              <w:right w:w="100" w:type="dxa"/>
            </w:tcMar>
          </w:tcPr>
          <w:p w14:paraId="27FAD442"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Assets</w:t>
            </w:r>
          </w:p>
        </w:tc>
        <w:tc>
          <w:tcPr>
            <w:tcW w:w="1218" w:type="pct"/>
            <w:shd w:val="clear" w:color="auto" w:fill="auto"/>
            <w:tcMar>
              <w:top w:w="100" w:type="dxa"/>
              <w:left w:w="100" w:type="dxa"/>
              <w:bottom w:w="100" w:type="dxa"/>
              <w:right w:w="100" w:type="dxa"/>
            </w:tcMar>
          </w:tcPr>
          <w:p w14:paraId="5CADBAFF"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Amount (£) </w:t>
            </w:r>
          </w:p>
        </w:tc>
        <w:tc>
          <w:tcPr>
            <w:tcW w:w="1074" w:type="pct"/>
            <w:shd w:val="clear" w:color="auto" w:fill="auto"/>
            <w:tcMar>
              <w:top w:w="100" w:type="dxa"/>
              <w:left w:w="100" w:type="dxa"/>
              <w:bottom w:w="100" w:type="dxa"/>
              <w:right w:w="100" w:type="dxa"/>
            </w:tcMar>
          </w:tcPr>
          <w:p w14:paraId="0FEBAC5F"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Amount (£) </w:t>
            </w:r>
          </w:p>
        </w:tc>
      </w:tr>
      <w:tr w:rsidR="00256F85" w14:paraId="63797799" w14:textId="77777777" w:rsidTr="005453D7">
        <w:tc>
          <w:tcPr>
            <w:tcW w:w="2708" w:type="pct"/>
            <w:shd w:val="clear" w:color="auto" w:fill="auto"/>
            <w:tcMar>
              <w:top w:w="100" w:type="dxa"/>
              <w:left w:w="100" w:type="dxa"/>
              <w:bottom w:w="100" w:type="dxa"/>
              <w:right w:w="100" w:type="dxa"/>
            </w:tcMar>
          </w:tcPr>
          <w:p w14:paraId="441FCA3B"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Non-Current Assets</w:t>
            </w:r>
          </w:p>
        </w:tc>
        <w:tc>
          <w:tcPr>
            <w:tcW w:w="1218" w:type="pct"/>
            <w:shd w:val="clear" w:color="auto" w:fill="auto"/>
            <w:tcMar>
              <w:top w:w="100" w:type="dxa"/>
              <w:left w:w="100" w:type="dxa"/>
              <w:bottom w:w="100" w:type="dxa"/>
              <w:right w:w="100" w:type="dxa"/>
            </w:tcMar>
          </w:tcPr>
          <w:p w14:paraId="129E12C0"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074" w:type="pct"/>
            <w:shd w:val="clear" w:color="auto" w:fill="auto"/>
            <w:tcMar>
              <w:top w:w="100" w:type="dxa"/>
              <w:left w:w="100" w:type="dxa"/>
              <w:bottom w:w="100" w:type="dxa"/>
              <w:right w:w="100" w:type="dxa"/>
            </w:tcMar>
          </w:tcPr>
          <w:p w14:paraId="55421701"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256F85" w14:paraId="5AB88900" w14:textId="77777777" w:rsidTr="005453D7">
        <w:tc>
          <w:tcPr>
            <w:tcW w:w="2708" w:type="pct"/>
            <w:shd w:val="clear" w:color="auto" w:fill="auto"/>
            <w:tcMar>
              <w:top w:w="100" w:type="dxa"/>
              <w:left w:w="100" w:type="dxa"/>
              <w:bottom w:w="100" w:type="dxa"/>
              <w:right w:w="100" w:type="dxa"/>
            </w:tcMar>
          </w:tcPr>
          <w:p w14:paraId="45EE1A8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Plant and Equipment</w:t>
            </w:r>
          </w:p>
        </w:tc>
        <w:tc>
          <w:tcPr>
            <w:tcW w:w="1218" w:type="pct"/>
            <w:shd w:val="clear" w:color="auto" w:fill="auto"/>
            <w:tcMar>
              <w:top w:w="100" w:type="dxa"/>
              <w:left w:w="100" w:type="dxa"/>
              <w:bottom w:w="100" w:type="dxa"/>
              <w:right w:w="100" w:type="dxa"/>
            </w:tcMar>
          </w:tcPr>
          <w:p w14:paraId="5A7D5143"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p>
        </w:tc>
        <w:tc>
          <w:tcPr>
            <w:tcW w:w="1074" w:type="pct"/>
            <w:shd w:val="clear" w:color="auto" w:fill="auto"/>
            <w:tcMar>
              <w:top w:w="100" w:type="dxa"/>
              <w:left w:w="100" w:type="dxa"/>
              <w:bottom w:w="100" w:type="dxa"/>
              <w:right w:w="100" w:type="dxa"/>
            </w:tcMar>
          </w:tcPr>
          <w:p w14:paraId="14A36078"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632,730</w:t>
            </w:r>
          </w:p>
        </w:tc>
      </w:tr>
      <w:tr w:rsidR="00256F85" w14:paraId="74ED3580" w14:textId="77777777" w:rsidTr="005453D7">
        <w:tc>
          <w:tcPr>
            <w:tcW w:w="2708" w:type="pct"/>
            <w:shd w:val="clear" w:color="auto" w:fill="auto"/>
            <w:tcMar>
              <w:top w:w="100" w:type="dxa"/>
              <w:left w:w="100" w:type="dxa"/>
              <w:bottom w:w="100" w:type="dxa"/>
              <w:right w:w="100" w:type="dxa"/>
            </w:tcMar>
          </w:tcPr>
          <w:p w14:paraId="746CA1A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Assets</w:t>
            </w:r>
          </w:p>
        </w:tc>
        <w:tc>
          <w:tcPr>
            <w:tcW w:w="1218" w:type="pct"/>
            <w:shd w:val="clear" w:color="auto" w:fill="auto"/>
            <w:tcMar>
              <w:top w:w="100" w:type="dxa"/>
              <w:left w:w="100" w:type="dxa"/>
              <w:bottom w:w="100" w:type="dxa"/>
              <w:right w:w="100" w:type="dxa"/>
            </w:tcMar>
          </w:tcPr>
          <w:p w14:paraId="0683AADE"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074" w:type="pct"/>
            <w:shd w:val="clear" w:color="auto" w:fill="auto"/>
            <w:tcMar>
              <w:top w:w="100" w:type="dxa"/>
              <w:left w:w="100" w:type="dxa"/>
              <w:bottom w:w="100" w:type="dxa"/>
              <w:right w:w="100" w:type="dxa"/>
            </w:tcMar>
          </w:tcPr>
          <w:p w14:paraId="043EB688"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256F85" w14:paraId="58F7A303" w14:textId="77777777" w:rsidTr="005453D7">
        <w:tc>
          <w:tcPr>
            <w:tcW w:w="2708" w:type="pct"/>
            <w:shd w:val="clear" w:color="auto" w:fill="auto"/>
            <w:tcMar>
              <w:top w:w="100" w:type="dxa"/>
              <w:left w:w="100" w:type="dxa"/>
              <w:bottom w:w="100" w:type="dxa"/>
              <w:right w:w="100" w:type="dxa"/>
            </w:tcMar>
          </w:tcPr>
          <w:p w14:paraId="4B2A753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Closing stock </w:t>
            </w:r>
          </w:p>
        </w:tc>
        <w:tc>
          <w:tcPr>
            <w:tcW w:w="1218" w:type="pct"/>
            <w:shd w:val="clear" w:color="auto" w:fill="auto"/>
            <w:tcMar>
              <w:top w:w="100" w:type="dxa"/>
              <w:left w:w="100" w:type="dxa"/>
              <w:bottom w:w="100" w:type="dxa"/>
              <w:right w:w="100" w:type="dxa"/>
            </w:tcMar>
          </w:tcPr>
          <w:p w14:paraId="36E0D491"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74" w:type="pct"/>
            <w:shd w:val="clear" w:color="auto" w:fill="auto"/>
            <w:tcMar>
              <w:top w:w="100" w:type="dxa"/>
              <w:left w:w="100" w:type="dxa"/>
              <w:bottom w:w="100" w:type="dxa"/>
              <w:right w:w="100" w:type="dxa"/>
            </w:tcMar>
          </w:tcPr>
          <w:p w14:paraId="6A47A0FB"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330,600</w:t>
            </w:r>
          </w:p>
        </w:tc>
      </w:tr>
      <w:tr w:rsidR="00256F85" w14:paraId="78809FA2" w14:textId="77777777" w:rsidTr="005453D7">
        <w:tc>
          <w:tcPr>
            <w:tcW w:w="2708" w:type="pct"/>
            <w:shd w:val="clear" w:color="auto" w:fill="auto"/>
            <w:tcMar>
              <w:top w:w="100" w:type="dxa"/>
              <w:left w:w="100" w:type="dxa"/>
              <w:bottom w:w="100" w:type="dxa"/>
              <w:right w:w="100" w:type="dxa"/>
            </w:tcMar>
          </w:tcPr>
          <w:p w14:paraId="2F357E29"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Debtors</w:t>
            </w:r>
          </w:p>
        </w:tc>
        <w:tc>
          <w:tcPr>
            <w:tcW w:w="1218" w:type="pct"/>
            <w:shd w:val="clear" w:color="auto" w:fill="auto"/>
            <w:tcMar>
              <w:top w:w="100" w:type="dxa"/>
              <w:left w:w="100" w:type="dxa"/>
              <w:bottom w:w="100" w:type="dxa"/>
              <w:right w:w="100" w:type="dxa"/>
            </w:tcMar>
          </w:tcPr>
          <w:p w14:paraId="3235BD18"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170,125</w:t>
            </w:r>
          </w:p>
        </w:tc>
        <w:tc>
          <w:tcPr>
            <w:tcW w:w="1074" w:type="pct"/>
            <w:shd w:val="clear" w:color="auto" w:fill="auto"/>
            <w:tcMar>
              <w:top w:w="100" w:type="dxa"/>
              <w:left w:w="100" w:type="dxa"/>
              <w:bottom w:w="100" w:type="dxa"/>
              <w:right w:w="100" w:type="dxa"/>
            </w:tcMar>
          </w:tcPr>
          <w:p w14:paraId="52A3FF29"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256F85" w14:paraId="1AE32281" w14:textId="77777777" w:rsidTr="005453D7">
        <w:tc>
          <w:tcPr>
            <w:tcW w:w="2708" w:type="pct"/>
            <w:shd w:val="clear" w:color="auto" w:fill="auto"/>
            <w:tcMar>
              <w:top w:w="100" w:type="dxa"/>
              <w:left w:w="100" w:type="dxa"/>
              <w:bottom w:w="100" w:type="dxa"/>
              <w:right w:w="100" w:type="dxa"/>
            </w:tcMar>
          </w:tcPr>
          <w:p w14:paraId="7978FE96"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Outstanding Income</w:t>
            </w:r>
          </w:p>
        </w:tc>
        <w:tc>
          <w:tcPr>
            <w:tcW w:w="1218" w:type="pct"/>
            <w:shd w:val="clear" w:color="auto" w:fill="auto"/>
            <w:tcMar>
              <w:top w:w="100" w:type="dxa"/>
              <w:left w:w="100" w:type="dxa"/>
              <w:bottom w:w="100" w:type="dxa"/>
              <w:right w:w="100" w:type="dxa"/>
            </w:tcMar>
          </w:tcPr>
          <w:p w14:paraId="31CBC0B2"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980</w:t>
            </w:r>
          </w:p>
        </w:tc>
        <w:tc>
          <w:tcPr>
            <w:tcW w:w="1074" w:type="pct"/>
            <w:shd w:val="clear" w:color="auto" w:fill="auto"/>
            <w:tcMar>
              <w:top w:w="100" w:type="dxa"/>
              <w:left w:w="100" w:type="dxa"/>
              <w:bottom w:w="100" w:type="dxa"/>
              <w:right w:w="100" w:type="dxa"/>
            </w:tcMar>
          </w:tcPr>
          <w:p w14:paraId="70AC3E68"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171,105</w:t>
            </w:r>
          </w:p>
        </w:tc>
      </w:tr>
      <w:tr w:rsidR="00256F85" w14:paraId="58C25CF0" w14:textId="77777777" w:rsidTr="005453D7">
        <w:tc>
          <w:tcPr>
            <w:tcW w:w="2708" w:type="pct"/>
            <w:shd w:val="clear" w:color="auto" w:fill="auto"/>
            <w:tcMar>
              <w:top w:w="100" w:type="dxa"/>
              <w:left w:w="100" w:type="dxa"/>
              <w:bottom w:w="100" w:type="dxa"/>
              <w:right w:w="100" w:type="dxa"/>
            </w:tcMar>
          </w:tcPr>
          <w:p w14:paraId="16AF791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and Bank</w:t>
            </w:r>
          </w:p>
        </w:tc>
        <w:tc>
          <w:tcPr>
            <w:tcW w:w="1218" w:type="pct"/>
            <w:shd w:val="clear" w:color="auto" w:fill="auto"/>
            <w:tcMar>
              <w:top w:w="100" w:type="dxa"/>
              <w:left w:w="100" w:type="dxa"/>
              <w:bottom w:w="100" w:type="dxa"/>
              <w:right w:w="100" w:type="dxa"/>
            </w:tcMar>
          </w:tcPr>
          <w:p w14:paraId="64C64DF6"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p>
        </w:tc>
        <w:tc>
          <w:tcPr>
            <w:tcW w:w="1074" w:type="pct"/>
            <w:shd w:val="clear" w:color="auto" w:fill="auto"/>
            <w:tcMar>
              <w:top w:w="100" w:type="dxa"/>
              <w:left w:w="100" w:type="dxa"/>
              <w:bottom w:w="100" w:type="dxa"/>
              <w:right w:w="100" w:type="dxa"/>
            </w:tcMar>
          </w:tcPr>
          <w:p w14:paraId="26A9BCF2"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12,900</w:t>
            </w:r>
          </w:p>
        </w:tc>
      </w:tr>
      <w:tr w:rsidR="00256F85" w14:paraId="12C9702B" w14:textId="77777777" w:rsidTr="005453D7">
        <w:tc>
          <w:tcPr>
            <w:tcW w:w="2708" w:type="pct"/>
            <w:shd w:val="clear" w:color="auto" w:fill="auto"/>
            <w:tcMar>
              <w:top w:w="100" w:type="dxa"/>
              <w:left w:w="100" w:type="dxa"/>
              <w:bottom w:w="100" w:type="dxa"/>
              <w:right w:w="100" w:type="dxa"/>
            </w:tcMar>
          </w:tcPr>
          <w:p w14:paraId="337458E7"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Assets</w:t>
            </w:r>
          </w:p>
        </w:tc>
        <w:tc>
          <w:tcPr>
            <w:tcW w:w="1218" w:type="pct"/>
            <w:shd w:val="clear" w:color="auto" w:fill="auto"/>
            <w:tcMar>
              <w:top w:w="100" w:type="dxa"/>
              <w:left w:w="100" w:type="dxa"/>
              <w:bottom w:w="100" w:type="dxa"/>
              <w:right w:w="100" w:type="dxa"/>
            </w:tcMar>
          </w:tcPr>
          <w:p w14:paraId="1183571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1074" w:type="pct"/>
            <w:shd w:val="clear" w:color="auto" w:fill="auto"/>
            <w:tcMar>
              <w:top w:w="100" w:type="dxa"/>
              <w:left w:w="100" w:type="dxa"/>
              <w:bottom w:w="100" w:type="dxa"/>
              <w:right w:w="100" w:type="dxa"/>
            </w:tcMar>
          </w:tcPr>
          <w:p w14:paraId="76B181B2"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1147,335</w:t>
            </w:r>
          </w:p>
        </w:tc>
      </w:tr>
      <w:tr w:rsidR="00256F85" w14:paraId="26959F60" w14:textId="77777777" w:rsidTr="005453D7">
        <w:tc>
          <w:tcPr>
            <w:tcW w:w="2708" w:type="pct"/>
            <w:shd w:val="clear" w:color="auto" w:fill="auto"/>
            <w:tcMar>
              <w:top w:w="100" w:type="dxa"/>
              <w:left w:w="100" w:type="dxa"/>
              <w:bottom w:w="100" w:type="dxa"/>
              <w:right w:w="100" w:type="dxa"/>
            </w:tcMar>
          </w:tcPr>
          <w:p w14:paraId="54E0E7AE"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Liabilities</w:t>
            </w:r>
          </w:p>
        </w:tc>
        <w:tc>
          <w:tcPr>
            <w:tcW w:w="1218" w:type="pct"/>
            <w:shd w:val="clear" w:color="auto" w:fill="auto"/>
            <w:tcMar>
              <w:top w:w="100" w:type="dxa"/>
              <w:left w:w="100" w:type="dxa"/>
              <w:bottom w:w="100" w:type="dxa"/>
              <w:right w:w="100" w:type="dxa"/>
            </w:tcMar>
          </w:tcPr>
          <w:p w14:paraId="5324D1AE"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074" w:type="pct"/>
            <w:shd w:val="clear" w:color="auto" w:fill="auto"/>
            <w:tcMar>
              <w:top w:w="100" w:type="dxa"/>
              <w:left w:w="100" w:type="dxa"/>
              <w:bottom w:w="100" w:type="dxa"/>
              <w:right w:w="100" w:type="dxa"/>
            </w:tcMar>
          </w:tcPr>
          <w:p w14:paraId="468CE763"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256F85" w14:paraId="76D3E462" w14:textId="77777777" w:rsidTr="005453D7">
        <w:tc>
          <w:tcPr>
            <w:tcW w:w="2708" w:type="pct"/>
            <w:shd w:val="clear" w:color="auto" w:fill="auto"/>
            <w:tcMar>
              <w:top w:w="100" w:type="dxa"/>
              <w:left w:w="100" w:type="dxa"/>
              <w:bottom w:w="100" w:type="dxa"/>
              <w:right w:w="100" w:type="dxa"/>
            </w:tcMar>
          </w:tcPr>
          <w:p w14:paraId="550FFA9E"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Trade Creditors</w:t>
            </w:r>
          </w:p>
        </w:tc>
        <w:tc>
          <w:tcPr>
            <w:tcW w:w="1218" w:type="pct"/>
            <w:shd w:val="clear" w:color="auto" w:fill="auto"/>
            <w:tcMar>
              <w:top w:w="100" w:type="dxa"/>
              <w:left w:w="100" w:type="dxa"/>
              <w:bottom w:w="100" w:type="dxa"/>
              <w:right w:w="100" w:type="dxa"/>
            </w:tcMar>
          </w:tcPr>
          <w:p w14:paraId="610E69F2"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171,355</w:t>
            </w:r>
          </w:p>
        </w:tc>
        <w:tc>
          <w:tcPr>
            <w:tcW w:w="1074" w:type="pct"/>
            <w:shd w:val="clear" w:color="auto" w:fill="auto"/>
            <w:tcMar>
              <w:top w:w="100" w:type="dxa"/>
              <w:left w:w="100" w:type="dxa"/>
              <w:bottom w:w="100" w:type="dxa"/>
              <w:right w:w="100" w:type="dxa"/>
            </w:tcMar>
          </w:tcPr>
          <w:p w14:paraId="01034DF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4321CEB3" w14:textId="77777777" w:rsidTr="005453D7">
        <w:tc>
          <w:tcPr>
            <w:tcW w:w="2708" w:type="pct"/>
            <w:shd w:val="clear" w:color="auto" w:fill="auto"/>
            <w:tcMar>
              <w:top w:w="100" w:type="dxa"/>
              <w:left w:w="100" w:type="dxa"/>
              <w:bottom w:w="100" w:type="dxa"/>
              <w:right w:w="100" w:type="dxa"/>
            </w:tcMar>
          </w:tcPr>
          <w:p w14:paraId="39ED7F03"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 Outstanding Expenses </w:t>
            </w:r>
          </w:p>
        </w:tc>
        <w:tc>
          <w:tcPr>
            <w:tcW w:w="1218" w:type="pct"/>
            <w:shd w:val="clear" w:color="auto" w:fill="auto"/>
            <w:tcMar>
              <w:top w:w="100" w:type="dxa"/>
              <w:left w:w="100" w:type="dxa"/>
              <w:bottom w:w="100" w:type="dxa"/>
              <w:right w:w="100" w:type="dxa"/>
            </w:tcMar>
          </w:tcPr>
          <w:p w14:paraId="672E5B65"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c>
          <w:tcPr>
            <w:tcW w:w="1074" w:type="pct"/>
            <w:shd w:val="clear" w:color="auto" w:fill="auto"/>
            <w:tcMar>
              <w:top w:w="100" w:type="dxa"/>
              <w:left w:w="100" w:type="dxa"/>
              <w:bottom w:w="100" w:type="dxa"/>
              <w:right w:w="100" w:type="dxa"/>
            </w:tcMar>
          </w:tcPr>
          <w:p w14:paraId="78753291"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174,355</w:t>
            </w:r>
          </w:p>
        </w:tc>
      </w:tr>
      <w:tr w:rsidR="00256F85" w14:paraId="100A1360" w14:textId="77777777" w:rsidTr="005453D7">
        <w:tc>
          <w:tcPr>
            <w:tcW w:w="2708" w:type="pct"/>
            <w:shd w:val="clear" w:color="auto" w:fill="auto"/>
            <w:tcMar>
              <w:top w:w="100" w:type="dxa"/>
              <w:left w:w="100" w:type="dxa"/>
              <w:bottom w:w="100" w:type="dxa"/>
              <w:right w:w="100" w:type="dxa"/>
            </w:tcMar>
          </w:tcPr>
          <w:p w14:paraId="030383C5"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Non-current liabilities</w:t>
            </w:r>
          </w:p>
        </w:tc>
        <w:tc>
          <w:tcPr>
            <w:tcW w:w="1218" w:type="pct"/>
            <w:shd w:val="clear" w:color="auto" w:fill="auto"/>
            <w:tcMar>
              <w:top w:w="100" w:type="dxa"/>
              <w:left w:w="100" w:type="dxa"/>
              <w:bottom w:w="100" w:type="dxa"/>
              <w:right w:w="100" w:type="dxa"/>
            </w:tcMar>
          </w:tcPr>
          <w:p w14:paraId="38E2CEC5"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74" w:type="pct"/>
            <w:shd w:val="clear" w:color="auto" w:fill="auto"/>
            <w:tcMar>
              <w:top w:w="100" w:type="dxa"/>
              <w:left w:w="100" w:type="dxa"/>
              <w:bottom w:w="100" w:type="dxa"/>
              <w:right w:w="100" w:type="dxa"/>
            </w:tcMar>
          </w:tcPr>
          <w:p w14:paraId="702329DE"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268CDCEC" w14:textId="77777777" w:rsidTr="005453D7">
        <w:tc>
          <w:tcPr>
            <w:tcW w:w="2708" w:type="pct"/>
            <w:shd w:val="clear" w:color="auto" w:fill="auto"/>
            <w:tcMar>
              <w:top w:w="100" w:type="dxa"/>
              <w:left w:w="100" w:type="dxa"/>
              <w:bottom w:w="100" w:type="dxa"/>
              <w:right w:w="100" w:type="dxa"/>
            </w:tcMar>
          </w:tcPr>
          <w:p w14:paraId="6D9608BD"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Long-term Liabilities</w:t>
            </w:r>
          </w:p>
        </w:tc>
        <w:tc>
          <w:tcPr>
            <w:tcW w:w="1218" w:type="pct"/>
            <w:shd w:val="clear" w:color="auto" w:fill="auto"/>
            <w:tcMar>
              <w:top w:w="100" w:type="dxa"/>
              <w:left w:w="100" w:type="dxa"/>
              <w:bottom w:w="100" w:type="dxa"/>
              <w:right w:w="100" w:type="dxa"/>
            </w:tcMar>
          </w:tcPr>
          <w:p w14:paraId="2FDA23B6" w14:textId="77777777" w:rsidR="00F2157A" w:rsidRDefault="00F2157A">
            <w:pPr>
              <w:widowControl w:val="0"/>
              <w:spacing w:line="360" w:lineRule="auto"/>
              <w:jc w:val="both"/>
              <w:rPr>
                <w:rFonts w:ascii="Times New Roman" w:eastAsia="Times New Roman" w:hAnsi="Times New Roman" w:cs="Times New Roman"/>
                <w:sz w:val="24"/>
                <w:szCs w:val="24"/>
              </w:rPr>
            </w:pPr>
          </w:p>
        </w:tc>
        <w:tc>
          <w:tcPr>
            <w:tcW w:w="1074" w:type="pct"/>
            <w:shd w:val="clear" w:color="auto" w:fill="auto"/>
            <w:tcMar>
              <w:top w:w="100" w:type="dxa"/>
              <w:left w:w="100" w:type="dxa"/>
              <w:bottom w:w="100" w:type="dxa"/>
              <w:right w:w="100" w:type="dxa"/>
            </w:tcMar>
          </w:tcPr>
          <w:p w14:paraId="5E98CA11" w14:textId="77777777" w:rsidR="00F2157A" w:rsidRDefault="00F2157A">
            <w:pPr>
              <w:widowControl w:val="0"/>
              <w:spacing w:line="360" w:lineRule="auto"/>
              <w:jc w:val="both"/>
              <w:rPr>
                <w:rFonts w:ascii="Times New Roman" w:eastAsia="Times New Roman" w:hAnsi="Times New Roman" w:cs="Times New Roman"/>
                <w:sz w:val="24"/>
                <w:szCs w:val="24"/>
              </w:rPr>
            </w:pPr>
          </w:p>
        </w:tc>
      </w:tr>
      <w:tr w:rsidR="00256F85" w14:paraId="5987EDE9" w14:textId="77777777" w:rsidTr="005453D7">
        <w:tc>
          <w:tcPr>
            <w:tcW w:w="2708" w:type="pct"/>
            <w:shd w:val="clear" w:color="auto" w:fill="auto"/>
            <w:tcMar>
              <w:top w:w="100" w:type="dxa"/>
              <w:left w:w="100" w:type="dxa"/>
              <w:bottom w:w="100" w:type="dxa"/>
              <w:right w:w="100" w:type="dxa"/>
            </w:tcMar>
          </w:tcPr>
          <w:p w14:paraId="05040F0C"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Debentures</w:t>
            </w:r>
          </w:p>
        </w:tc>
        <w:tc>
          <w:tcPr>
            <w:tcW w:w="1218" w:type="pct"/>
            <w:shd w:val="clear" w:color="auto" w:fill="auto"/>
            <w:tcMar>
              <w:top w:w="100" w:type="dxa"/>
              <w:left w:w="100" w:type="dxa"/>
              <w:bottom w:w="100" w:type="dxa"/>
              <w:right w:w="100" w:type="dxa"/>
            </w:tcMar>
          </w:tcPr>
          <w:p w14:paraId="07C1F383"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74" w:type="pct"/>
            <w:shd w:val="clear" w:color="auto" w:fill="auto"/>
            <w:tcMar>
              <w:top w:w="100" w:type="dxa"/>
              <w:left w:w="100" w:type="dxa"/>
              <w:bottom w:w="100" w:type="dxa"/>
              <w:right w:w="100" w:type="dxa"/>
            </w:tcMar>
          </w:tcPr>
          <w:p w14:paraId="36A7AC40"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256F85" w14:paraId="07FA608A" w14:textId="77777777" w:rsidTr="005453D7">
        <w:tc>
          <w:tcPr>
            <w:tcW w:w="2708" w:type="pct"/>
            <w:shd w:val="clear" w:color="auto" w:fill="auto"/>
            <w:tcMar>
              <w:top w:w="100" w:type="dxa"/>
              <w:left w:w="100" w:type="dxa"/>
              <w:bottom w:w="100" w:type="dxa"/>
              <w:right w:w="100" w:type="dxa"/>
            </w:tcMar>
          </w:tcPr>
          <w:p w14:paraId="4EBEFB9B"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Liabilities</w:t>
            </w:r>
          </w:p>
        </w:tc>
        <w:tc>
          <w:tcPr>
            <w:tcW w:w="1218" w:type="pct"/>
            <w:shd w:val="clear" w:color="auto" w:fill="auto"/>
            <w:tcMar>
              <w:top w:w="100" w:type="dxa"/>
              <w:left w:w="100" w:type="dxa"/>
              <w:bottom w:w="100" w:type="dxa"/>
              <w:right w:w="100" w:type="dxa"/>
            </w:tcMar>
          </w:tcPr>
          <w:p w14:paraId="0FC73BBC"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74" w:type="pct"/>
            <w:shd w:val="clear" w:color="auto" w:fill="auto"/>
            <w:tcMar>
              <w:top w:w="100" w:type="dxa"/>
              <w:left w:w="100" w:type="dxa"/>
              <w:bottom w:w="100" w:type="dxa"/>
              <w:right w:w="100" w:type="dxa"/>
            </w:tcMar>
          </w:tcPr>
          <w:p w14:paraId="694B4747"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274,355</w:t>
            </w:r>
          </w:p>
        </w:tc>
      </w:tr>
      <w:tr w:rsidR="00256F85" w14:paraId="2E8F27AB" w14:textId="77777777" w:rsidTr="005453D7">
        <w:tc>
          <w:tcPr>
            <w:tcW w:w="2708" w:type="pct"/>
            <w:shd w:val="clear" w:color="auto" w:fill="auto"/>
            <w:tcMar>
              <w:top w:w="100" w:type="dxa"/>
              <w:left w:w="100" w:type="dxa"/>
              <w:bottom w:w="100" w:type="dxa"/>
              <w:right w:w="100" w:type="dxa"/>
            </w:tcMar>
          </w:tcPr>
          <w:p w14:paraId="2B563745"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Equity</w:t>
            </w:r>
          </w:p>
        </w:tc>
        <w:tc>
          <w:tcPr>
            <w:tcW w:w="1218" w:type="pct"/>
            <w:shd w:val="clear" w:color="auto" w:fill="auto"/>
            <w:tcMar>
              <w:top w:w="100" w:type="dxa"/>
              <w:left w:w="100" w:type="dxa"/>
              <w:bottom w:w="100" w:type="dxa"/>
              <w:right w:w="100" w:type="dxa"/>
            </w:tcMar>
          </w:tcPr>
          <w:p w14:paraId="25932131" w14:textId="77777777" w:rsidR="00F2157A" w:rsidRDefault="00F2157A">
            <w:pPr>
              <w:widowControl w:val="0"/>
              <w:spacing w:line="360" w:lineRule="auto"/>
              <w:jc w:val="both"/>
              <w:rPr>
                <w:rFonts w:ascii="Times New Roman" w:eastAsia="Times New Roman" w:hAnsi="Times New Roman" w:cs="Times New Roman"/>
                <w:sz w:val="24"/>
                <w:szCs w:val="24"/>
              </w:rPr>
            </w:pPr>
          </w:p>
        </w:tc>
        <w:tc>
          <w:tcPr>
            <w:tcW w:w="1074" w:type="pct"/>
            <w:shd w:val="clear" w:color="auto" w:fill="auto"/>
            <w:tcMar>
              <w:top w:w="100" w:type="dxa"/>
              <w:left w:w="100" w:type="dxa"/>
              <w:bottom w:w="100" w:type="dxa"/>
              <w:right w:w="100" w:type="dxa"/>
            </w:tcMar>
          </w:tcPr>
          <w:p w14:paraId="186D2773" w14:textId="77777777" w:rsidR="00F2157A" w:rsidRDefault="00F2157A">
            <w:pPr>
              <w:widowControl w:val="0"/>
              <w:spacing w:line="360" w:lineRule="auto"/>
              <w:jc w:val="both"/>
              <w:rPr>
                <w:rFonts w:ascii="Times New Roman" w:eastAsia="Times New Roman" w:hAnsi="Times New Roman" w:cs="Times New Roman"/>
                <w:sz w:val="24"/>
                <w:szCs w:val="24"/>
              </w:rPr>
            </w:pPr>
          </w:p>
        </w:tc>
      </w:tr>
      <w:tr w:rsidR="00256F85" w14:paraId="59CF7BD0" w14:textId="77777777" w:rsidTr="005453D7">
        <w:tc>
          <w:tcPr>
            <w:tcW w:w="2708" w:type="pct"/>
            <w:shd w:val="clear" w:color="auto" w:fill="auto"/>
            <w:tcMar>
              <w:top w:w="100" w:type="dxa"/>
              <w:left w:w="100" w:type="dxa"/>
              <w:bottom w:w="100" w:type="dxa"/>
              <w:right w:w="100" w:type="dxa"/>
            </w:tcMar>
          </w:tcPr>
          <w:p w14:paraId="44F18A23"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Share Capital (Ordinary Shares+10% Preference </w:t>
            </w:r>
            <w:proofErr w:type="spellStart"/>
            <w:r>
              <w:rPr>
                <w:rFonts w:ascii="Times New Roman" w:eastAsia="Times New Roman" w:hAnsi="Times New Roman" w:cs="Times New Roman"/>
                <w:sz w:val="24"/>
                <w:szCs w:val="24"/>
              </w:rPr>
              <w:lastRenderedPageBreak/>
              <w:t>Shares+Net</w:t>
            </w:r>
            <w:proofErr w:type="spellEnd"/>
            <w:r>
              <w:rPr>
                <w:rFonts w:ascii="Times New Roman" w:eastAsia="Times New Roman" w:hAnsi="Times New Roman" w:cs="Times New Roman"/>
                <w:sz w:val="24"/>
                <w:szCs w:val="24"/>
              </w:rPr>
              <w:t xml:space="preserve"> profit before taxation)</w:t>
            </w:r>
          </w:p>
        </w:tc>
        <w:tc>
          <w:tcPr>
            <w:tcW w:w="1218" w:type="pct"/>
            <w:shd w:val="clear" w:color="auto" w:fill="auto"/>
            <w:tcMar>
              <w:top w:w="100" w:type="dxa"/>
              <w:left w:w="100" w:type="dxa"/>
              <w:bottom w:w="100" w:type="dxa"/>
              <w:right w:w="100" w:type="dxa"/>
            </w:tcMar>
          </w:tcPr>
          <w:p w14:paraId="014D3158"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p>
        </w:tc>
        <w:tc>
          <w:tcPr>
            <w:tcW w:w="1074" w:type="pct"/>
            <w:shd w:val="clear" w:color="auto" w:fill="auto"/>
            <w:tcMar>
              <w:top w:w="100" w:type="dxa"/>
              <w:left w:w="100" w:type="dxa"/>
              <w:bottom w:w="100" w:type="dxa"/>
              <w:right w:w="100" w:type="dxa"/>
            </w:tcMar>
          </w:tcPr>
          <w:p w14:paraId="096A9B2B"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790,980</w:t>
            </w:r>
          </w:p>
        </w:tc>
      </w:tr>
      <w:tr w:rsidR="00256F85" w14:paraId="6E241942" w14:textId="77777777" w:rsidTr="005453D7">
        <w:trPr>
          <w:trHeight w:val="410"/>
        </w:trPr>
        <w:tc>
          <w:tcPr>
            <w:tcW w:w="2708" w:type="pct"/>
            <w:shd w:val="clear" w:color="auto" w:fill="auto"/>
            <w:tcMar>
              <w:top w:w="100" w:type="dxa"/>
              <w:left w:w="100" w:type="dxa"/>
              <w:bottom w:w="100" w:type="dxa"/>
              <w:right w:w="100" w:type="dxa"/>
            </w:tcMar>
          </w:tcPr>
          <w:p w14:paraId="07CDD2F0"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 Premium</w:t>
            </w:r>
          </w:p>
        </w:tc>
        <w:tc>
          <w:tcPr>
            <w:tcW w:w="1218" w:type="pct"/>
            <w:shd w:val="clear" w:color="auto" w:fill="auto"/>
            <w:tcMar>
              <w:top w:w="100" w:type="dxa"/>
              <w:left w:w="100" w:type="dxa"/>
              <w:bottom w:w="100" w:type="dxa"/>
              <w:right w:w="100" w:type="dxa"/>
            </w:tcMar>
          </w:tcPr>
          <w:p w14:paraId="7E22006C"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74" w:type="pct"/>
            <w:shd w:val="clear" w:color="auto" w:fill="auto"/>
            <w:tcMar>
              <w:top w:w="100" w:type="dxa"/>
              <w:left w:w="100" w:type="dxa"/>
              <w:bottom w:w="100" w:type="dxa"/>
              <w:right w:w="100" w:type="dxa"/>
            </w:tcMar>
          </w:tcPr>
          <w:p w14:paraId="79773B1F"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1C30566F" w14:textId="77777777" w:rsidTr="005453D7">
        <w:trPr>
          <w:trHeight w:val="410"/>
        </w:trPr>
        <w:tc>
          <w:tcPr>
            <w:tcW w:w="2708" w:type="pct"/>
            <w:shd w:val="clear" w:color="auto" w:fill="auto"/>
            <w:tcMar>
              <w:top w:w="100" w:type="dxa"/>
              <w:left w:w="100" w:type="dxa"/>
              <w:bottom w:w="100" w:type="dxa"/>
              <w:right w:w="100" w:type="dxa"/>
            </w:tcMar>
          </w:tcPr>
          <w:p w14:paraId="79E9E2B2"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Reserves</w:t>
            </w:r>
          </w:p>
        </w:tc>
        <w:tc>
          <w:tcPr>
            <w:tcW w:w="1218" w:type="pct"/>
            <w:shd w:val="clear" w:color="auto" w:fill="auto"/>
            <w:tcMar>
              <w:top w:w="100" w:type="dxa"/>
              <w:left w:w="100" w:type="dxa"/>
              <w:bottom w:w="100" w:type="dxa"/>
              <w:right w:w="100" w:type="dxa"/>
            </w:tcMar>
          </w:tcPr>
          <w:p w14:paraId="1CAAD242"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74" w:type="pct"/>
            <w:shd w:val="clear" w:color="auto" w:fill="auto"/>
            <w:tcMar>
              <w:top w:w="100" w:type="dxa"/>
              <w:left w:w="100" w:type="dxa"/>
              <w:bottom w:w="100" w:type="dxa"/>
              <w:right w:w="100" w:type="dxa"/>
            </w:tcMar>
          </w:tcPr>
          <w:p w14:paraId="6050F0BC"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50232E4F" w14:textId="77777777" w:rsidTr="005453D7">
        <w:trPr>
          <w:trHeight w:val="410"/>
        </w:trPr>
        <w:tc>
          <w:tcPr>
            <w:tcW w:w="2708" w:type="pct"/>
            <w:shd w:val="clear" w:color="auto" w:fill="auto"/>
            <w:tcMar>
              <w:top w:w="100" w:type="dxa"/>
              <w:left w:w="100" w:type="dxa"/>
              <w:bottom w:w="100" w:type="dxa"/>
              <w:right w:w="100" w:type="dxa"/>
            </w:tcMar>
          </w:tcPr>
          <w:p w14:paraId="057096A7"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Retained Earnings</w:t>
            </w:r>
          </w:p>
        </w:tc>
        <w:tc>
          <w:tcPr>
            <w:tcW w:w="1218" w:type="pct"/>
            <w:shd w:val="clear" w:color="auto" w:fill="auto"/>
            <w:tcMar>
              <w:top w:w="100" w:type="dxa"/>
              <w:left w:w="100" w:type="dxa"/>
              <w:bottom w:w="100" w:type="dxa"/>
              <w:right w:w="100" w:type="dxa"/>
            </w:tcMar>
          </w:tcPr>
          <w:p w14:paraId="4B502C3B"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132,000</w:t>
            </w:r>
          </w:p>
        </w:tc>
        <w:tc>
          <w:tcPr>
            <w:tcW w:w="1074" w:type="pct"/>
            <w:shd w:val="clear" w:color="auto" w:fill="auto"/>
            <w:tcMar>
              <w:top w:w="100" w:type="dxa"/>
              <w:left w:w="100" w:type="dxa"/>
              <w:bottom w:w="100" w:type="dxa"/>
              <w:right w:w="100" w:type="dxa"/>
            </w:tcMar>
          </w:tcPr>
          <w:p w14:paraId="5DBDA9AD"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256F85" w14:paraId="699C3B4C" w14:textId="77777777" w:rsidTr="005453D7">
        <w:trPr>
          <w:trHeight w:val="410"/>
        </w:trPr>
        <w:tc>
          <w:tcPr>
            <w:tcW w:w="2708" w:type="pct"/>
            <w:shd w:val="clear" w:color="auto" w:fill="auto"/>
            <w:tcMar>
              <w:top w:w="100" w:type="dxa"/>
              <w:left w:w="100" w:type="dxa"/>
              <w:bottom w:w="100" w:type="dxa"/>
              <w:right w:w="100" w:type="dxa"/>
            </w:tcMar>
          </w:tcPr>
          <w:p w14:paraId="70B46C15"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Dividend Paid (Ordinary Dividend+</w:t>
            </w:r>
            <w:r w:rsidR="008F7B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Preference Dividend paid)</w:t>
            </w:r>
          </w:p>
        </w:tc>
        <w:tc>
          <w:tcPr>
            <w:tcW w:w="1218" w:type="pct"/>
            <w:shd w:val="clear" w:color="auto" w:fill="auto"/>
            <w:tcMar>
              <w:top w:w="100" w:type="dxa"/>
              <w:left w:w="100" w:type="dxa"/>
              <w:bottom w:w="100" w:type="dxa"/>
              <w:right w:w="100" w:type="dxa"/>
            </w:tcMar>
          </w:tcPr>
          <w:p w14:paraId="54A3443C"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074" w:type="pct"/>
            <w:shd w:val="clear" w:color="auto" w:fill="auto"/>
            <w:tcMar>
              <w:top w:w="100" w:type="dxa"/>
              <w:left w:w="100" w:type="dxa"/>
              <w:bottom w:w="100" w:type="dxa"/>
              <w:right w:w="100" w:type="dxa"/>
            </w:tcMar>
          </w:tcPr>
          <w:p w14:paraId="167D8D23" w14:textId="77777777" w:rsidR="00F2157A" w:rsidRDefault="004E620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82,000</w:t>
            </w:r>
          </w:p>
        </w:tc>
      </w:tr>
      <w:tr w:rsidR="00256F85" w14:paraId="55E92909" w14:textId="77777777" w:rsidTr="005453D7">
        <w:trPr>
          <w:trHeight w:val="410"/>
        </w:trPr>
        <w:tc>
          <w:tcPr>
            <w:tcW w:w="2708" w:type="pct"/>
            <w:shd w:val="clear" w:color="auto" w:fill="auto"/>
            <w:tcMar>
              <w:top w:w="100" w:type="dxa"/>
              <w:left w:w="100" w:type="dxa"/>
              <w:bottom w:w="100" w:type="dxa"/>
              <w:right w:w="100" w:type="dxa"/>
            </w:tcMar>
          </w:tcPr>
          <w:p w14:paraId="299BCCAB"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Equity </w:t>
            </w:r>
          </w:p>
        </w:tc>
        <w:tc>
          <w:tcPr>
            <w:tcW w:w="1218" w:type="pct"/>
            <w:shd w:val="clear" w:color="auto" w:fill="auto"/>
            <w:tcMar>
              <w:top w:w="100" w:type="dxa"/>
              <w:left w:w="100" w:type="dxa"/>
              <w:bottom w:w="100" w:type="dxa"/>
              <w:right w:w="100" w:type="dxa"/>
            </w:tcMar>
          </w:tcPr>
          <w:p w14:paraId="590791D6" w14:textId="77777777" w:rsidR="00F2157A" w:rsidRDefault="00F2157A">
            <w:pPr>
              <w:widowControl w:val="0"/>
              <w:spacing w:line="360" w:lineRule="auto"/>
              <w:jc w:val="both"/>
              <w:rPr>
                <w:rFonts w:ascii="Times New Roman" w:eastAsia="Times New Roman" w:hAnsi="Times New Roman" w:cs="Times New Roman"/>
                <w:sz w:val="24"/>
                <w:szCs w:val="24"/>
              </w:rPr>
            </w:pPr>
          </w:p>
        </w:tc>
        <w:tc>
          <w:tcPr>
            <w:tcW w:w="1074" w:type="pct"/>
            <w:shd w:val="clear" w:color="auto" w:fill="auto"/>
            <w:tcMar>
              <w:top w:w="100" w:type="dxa"/>
              <w:left w:w="100" w:type="dxa"/>
              <w:bottom w:w="100" w:type="dxa"/>
              <w:right w:w="100" w:type="dxa"/>
            </w:tcMar>
          </w:tcPr>
          <w:p w14:paraId="1272B728" w14:textId="77777777" w:rsidR="00F2157A" w:rsidRDefault="004E620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1147,335</w:t>
            </w:r>
          </w:p>
        </w:tc>
      </w:tr>
    </w:tbl>
    <w:p w14:paraId="6CD81E40" w14:textId="77777777" w:rsidR="00F2157A" w:rsidRDefault="004E620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Statement of Financial Position</w:t>
      </w:r>
    </w:p>
    <w:p w14:paraId="3A0D713D" w14:textId="77777777" w:rsidR="00F2157A" w:rsidRDefault="004E620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0BE11E5"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 </w:t>
      </w:r>
      <w:r>
        <w:rPr>
          <w:rFonts w:ascii="Times New Roman" w:eastAsia="Times New Roman" w:hAnsi="Times New Roman" w:cs="Times New Roman"/>
          <w:sz w:val="24"/>
          <w:szCs w:val="24"/>
        </w:rPr>
        <w:t xml:space="preserve">In the case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Kedinson</w:t>
      </w:r>
      <w:proofErr w:type="spellEnd"/>
      <w:r>
        <w:rPr>
          <w:rFonts w:ascii="Times New Roman" w:eastAsia="Times New Roman" w:hAnsi="Times New Roman" w:cs="Times New Roman"/>
          <w:sz w:val="24"/>
          <w:szCs w:val="24"/>
        </w:rPr>
        <w:t xml:space="preserve"> Plc, the financial position is balanced. This is primarily because the total assets are equal to the total liabilities and the total equity. That further explains the double-entry recording system, which helps the transactions to be recorded in two specific accounts (Schroeder et al., 2019). This itself acts as a checking system ensuring the balancing nature of the financial statement. For instance, as the company decides to sell its asset in the form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car for £10,000 in cash, not only will the asset side decrease by £10,000. The cash account or receivable side will also increase by £10,000. </w:t>
      </w:r>
      <w:r>
        <w:br w:type="page"/>
      </w:r>
    </w:p>
    <w:p w14:paraId="06C144C7" w14:textId="77777777" w:rsidR="00F2157A" w:rsidRDefault="004E620D" w:rsidP="005453D7">
      <w:pPr>
        <w:pStyle w:val="Heading1"/>
      </w:pPr>
      <w:bookmarkStart w:id="1" w:name="_Toc77672025"/>
      <w:r>
        <w:lastRenderedPageBreak/>
        <w:t>Question 2:</w:t>
      </w:r>
      <w:bookmarkEnd w:id="1"/>
    </w:p>
    <w:p w14:paraId="3F783DD1" w14:textId="77777777" w:rsidR="00F2157A" w:rsidRDefault="00F2157A">
      <w:pPr>
        <w:spacing w:line="360" w:lineRule="auto"/>
        <w:rPr>
          <w:rFonts w:ascii="Times New Roman" w:eastAsia="Times New Roman" w:hAnsi="Times New Roman" w:cs="Times New Roman"/>
          <w:sz w:val="24"/>
          <w:szCs w:val="24"/>
        </w:rPr>
      </w:pPr>
    </w:p>
    <w:p w14:paraId="02E84542" w14:textId="77777777" w:rsidR="00F2157A" w:rsidRDefault="004E620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 Ratio Analysis</w:t>
      </w:r>
    </w:p>
    <w:p w14:paraId="23B5AFA6" w14:textId="77777777" w:rsidR="00F2157A" w:rsidRDefault="00F2157A">
      <w:pPr>
        <w:spacing w:line="360" w:lineRule="auto"/>
        <w:rPr>
          <w:rFonts w:ascii="Times New Roman" w:eastAsia="Times New Roman" w:hAnsi="Times New Roman" w:cs="Times New Roman"/>
          <w:b/>
          <w:sz w:val="24"/>
          <w:szCs w:val="24"/>
        </w:rPr>
      </w:pP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35"/>
        <w:gridCol w:w="2858"/>
        <w:gridCol w:w="1812"/>
        <w:gridCol w:w="2335"/>
      </w:tblGrid>
      <w:tr w:rsidR="00256F85" w14:paraId="61F35DD0" w14:textId="77777777" w:rsidTr="005453D7">
        <w:tc>
          <w:tcPr>
            <w:tcW w:w="1250" w:type="pct"/>
            <w:shd w:val="clear" w:color="auto" w:fill="auto"/>
            <w:tcMar>
              <w:top w:w="100" w:type="dxa"/>
              <w:left w:w="100" w:type="dxa"/>
              <w:bottom w:w="100" w:type="dxa"/>
              <w:right w:w="100" w:type="dxa"/>
            </w:tcMar>
          </w:tcPr>
          <w:p w14:paraId="0C202F67"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Particulars </w:t>
            </w:r>
          </w:p>
        </w:tc>
        <w:tc>
          <w:tcPr>
            <w:tcW w:w="1530" w:type="pct"/>
            <w:shd w:val="clear" w:color="auto" w:fill="auto"/>
            <w:tcMar>
              <w:top w:w="100" w:type="dxa"/>
              <w:left w:w="100" w:type="dxa"/>
              <w:bottom w:w="100" w:type="dxa"/>
              <w:right w:w="100" w:type="dxa"/>
            </w:tcMar>
          </w:tcPr>
          <w:p w14:paraId="49C74075"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Formula</w:t>
            </w:r>
          </w:p>
        </w:tc>
        <w:tc>
          <w:tcPr>
            <w:tcW w:w="970" w:type="pct"/>
            <w:shd w:val="clear" w:color="auto" w:fill="auto"/>
            <w:tcMar>
              <w:top w:w="100" w:type="dxa"/>
              <w:left w:w="100" w:type="dxa"/>
              <w:bottom w:w="100" w:type="dxa"/>
              <w:right w:w="100" w:type="dxa"/>
            </w:tcMar>
          </w:tcPr>
          <w:p w14:paraId="7C00B1A0"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2019</w:t>
            </w:r>
          </w:p>
        </w:tc>
        <w:tc>
          <w:tcPr>
            <w:tcW w:w="1250" w:type="pct"/>
            <w:shd w:val="clear" w:color="auto" w:fill="auto"/>
            <w:tcMar>
              <w:top w:w="100" w:type="dxa"/>
              <w:left w:w="100" w:type="dxa"/>
              <w:bottom w:w="100" w:type="dxa"/>
              <w:right w:w="100" w:type="dxa"/>
            </w:tcMar>
          </w:tcPr>
          <w:p w14:paraId="41AB4142"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r>
      <w:tr w:rsidR="00256F85" w14:paraId="5D60F8C0" w14:textId="77777777" w:rsidTr="005453D7">
        <w:trPr>
          <w:trHeight w:val="608"/>
        </w:trPr>
        <w:tc>
          <w:tcPr>
            <w:tcW w:w="1250" w:type="pct"/>
            <w:shd w:val="clear" w:color="auto" w:fill="auto"/>
            <w:tcMar>
              <w:top w:w="100" w:type="dxa"/>
              <w:left w:w="100" w:type="dxa"/>
              <w:bottom w:w="100" w:type="dxa"/>
              <w:right w:w="100" w:type="dxa"/>
            </w:tcMar>
          </w:tcPr>
          <w:p w14:paraId="5062D06D"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Investment Ratios</w:t>
            </w:r>
          </w:p>
        </w:tc>
        <w:tc>
          <w:tcPr>
            <w:tcW w:w="1530" w:type="pct"/>
            <w:shd w:val="clear" w:color="auto" w:fill="auto"/>
            <w:tcMar>
              <w:top w:w="100" w:type="dxa"/>
              <w:left w:w="100" w:type="dxa"/>
              <w:bottom w:w="100" w:type="dxa"/>
              <w:right w:w="100" w:type="dxa"/>
            </w:tcMar>
          </w:tcPr>
          <w:p w14:paraId="79E2B398"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970" w:type="pct"/>
            <w:shd w:val="clear" w:color="auto" w:fill="auto"/>
            <w:tcMar>
              <w:top w:w="100" w:type="dxa"/>
              <w:left w:w="100" w:type="dxa"/>
              <w:bottom w:w="100" w:type="dxa"/>
              <w:right w:w="100" w:type="dxa"/>
            </w:tcMar>
          </w:tcPr>
          <w:p w14:paraId="0910D1CC"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250" w:type="pct"/>
            <w:shd w:val="clear" w:color="auto" w:fill="auto"/>
            <w:tcMar>
              <w:top w:w="100" w:type="dxa"/>
              <w:left w:w="100" w:type="dxa"/>
              <w:bottom w:w="100" w:type="dxa"/>
              <w:right w:w="100" w:type="dxa"/>
            </w:tcMar>
          </w:tcPr>
          <w:p w14:paraId="654D3116"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256F85" w14:paraId="7BC5D5CD" w14:textId="77777777" w:rsidTr="005453D7">
        <w:tc>
          <w:tcPr>
            <w:tcW w:w="1250" w:type="pct"/>
            <w:shd w:val="clear" w:color="auto" w:fill="auto"/>
            <w:tcMar>
              <w:top w:w="100" w:type="dxa"/>
              <w:left w:w="100" w:type="dxa"/>
              <w:bottom w:w="100" w:type="dxa"/>
              <w:right w:w="100" w:type="dxa"/>
            </w:tcMar>
          </w:tcPr>
          <w:p w14:paraId="6C33BCD5"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Capital Employed</w:t>
            </w:r>
          </w:p>
        </w:tc>
        <w:tc>
          <w:tcPr>
            <w:tcW w:w="1530" w:type="pct"/>
            <w:shd w:val="clear" w:color="auto" w:fill="auto"/>
            <w:tcMar>
              <w:top w:w="100" w:type="dxa"/>
              <w:left w:w="100" w:type="dxa"/>
              <w:bottom w:w="100" w:type="dxa"/>
              <w:right w:w="100" w:type="dxa"/>
            </w:tcMar>
          </w:tcPr>
          <w:p w14:paraId="17E0247A"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Profit/Total Assets-Current Liabilities</w:t>
            </w:r>
          </w:p>
        </w:tc>
        <w:tc>
          <w:tcPr>
            <w:tcW w:w="970" w:type="pct"/>
            <w:shd w:val="clear" w:color="auto" w:fill="auto"/>
            <w:tcMar>
              <w:top w:w="100" w:type="dxa"/>
              <w:left w:w="100" w:type="dxa"/>
              <w:bottom w:w="100" w:type="dxa"/>
              <w:right w:w="100" w:type="dxa"/>
            </w:tcMar>
          </w:tcPr>
          <w:p w14:paraId="0CE421C8"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0.09%</w:t>
            </w:r>
          </w:p>
        </w:tc>
        <w:tc>
          <w:tcPr>
            <w:tcW w:w="1250" w:type="pct"/>
            <w:shd w:val="clear" w:color="auto" w:fill="auto"/>
            <w:tcMar>
              <w:top w:w="100" w:type="dxa"/>
              <w:left w:w="100" w:type="dxa"/>
              <w:bottom w:w="100" w:type="dxa"/>
              <w:right w:w="100" w:type="dxa"/>
            </w:tcMar>
          </w:tcPr>
          <w:p w14:paraId="26F0B7B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0.11%</w:t>
            </w:r>
          </w:p>
        </w:tc>
      </w:tr>
      <w:tr w:rsidR="00256F85" w14:paraId="287DF494" w14:textId="77777777" w:rsidTr="005453D7">
        <w:tc>
          <w:tcPr>
            <w:tcW w:w="1250" w:type="pct"/>
            <w:shd w:val="clear" w:color="auto" w:fill="auto"/>
            <w:tcMar>
              <w:top w:w="100" w:type="dxa"/>
              <w:left w:w="100" w:type="dxa"/>
              <w:bottom w:w="100" w:type="dxa"/>
              <w:right w:w="100" w:type="dxa"/>
            </w:tcMar>
          </w:tcPr>
          <w:p w14:paraId="6FA81B3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Equity</w:t>
            </w:r>
          </w:p>
        </w:tc>
        <w:tc>
          <w:tcPr>
            <w:tcW w:w="1530" w:type="pct"/>
            <w:shd w:val="clear" w:color="auto" w:fill="auto"/>
            <w:tcMar>
              <w:top w:w="100" w:type="dxa"/>
              <w:left w:w="100" w:type="dxa"/>
              <w:bottom w:w="100" w:type="dxa"/>
              <w:right w:w="100" w:type="dxa"/>
            </w:tcMar>
          </w:tcPr>
          <w:p w14:paraId="1F2A30CE"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 or Total Sales/ Shareholder’s Equity</w:t>
            </w:r>
          </w:p>
        </w:tc>
        <w:tc>
          <w:tcPr>
            <w:tcW w:w="970" w:type="pct"/>
            <w:shd w:val="clear" w:color="auto" w:fill="auto"/>
            <w:tcMar>
              <w:top w:w="100" w:type="dxa"/>
              <w:left w:w="100" w:type="dxa"/>
              <w:bottom w:w="100" w:type="dxa"/>
              <w:right w:w="100" w:type="dxa"/>
            </w:tcMar>
          </w:tcPr>
          <w:p w14:paraId="309F1E7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1.09%</w:t>
            </w:r>
          </w:p>
        </w:tc>
        <w:tc>
          <w:tcPr>
            <w:tcW w:w="1250" w:type="pct"/>
            <w:shd w:val="clear" w:color="auto" w:fill="auto"/>
            <w:tcMar>
              <w:top w:w="100" w:type="dxa"/>
              <w:left w:w="100" w:type="dxa"/>
              <w:bottom w:w="100" w:type="dxa"/>
              <w:right w:w="100" w:type="dxa"/>
            </w:tcMar>
          </w:tcPr>
          <w:p w14:paraId="6361581B"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0.92%</w:t>
            </w:r>
          </w:p>
        </w:tc>
      </w:tr>
      <w:tr w:rsidR="00256F85" w14:paraId="232D613A" w14:textId="77777777" w:rsidTr="005453D7">
        <w:tc>
          <w:tcPr>
            <w:tcW w:w="1250" w:type="pct"/>
            <w:shd w:val="clear" w:color="auto" w:fill="auto"/>
            <w:tcMar>
              <w:top w:w="100" w:type="dxa"/>
              <w:left w:w="100" w:type="dxa"/>
              <w:bottom w:w="100" w:type="dxa"/>
              <w:right w:w="100" w:type="dxa"/>
            </w:tcMar>
          </w:tcPr>
          <w:p w14:paraId="031C9368"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Earnings per Share</w:t>
            </w:r>
          </w:p>
        </w:tc>
        <w:tc>
          <w:tcPr>
            <w:tcW w:w="1530" w:type="pct"/>
            <w:shd w:val="clear" w:color="auto" w:fill="auto"/>
            <w:tcMar>
              <w:top w:w="100" w:type="dxa"/>
              <w:left w:w="100" w:type="dxa"/>
              <w:bottom w:w="100" w:type="dxa"/>
              <w:right w:w="100" w:type="dxa"/>
            </w:tcMar>
          </w:tcPr>
          <w:p w14:paraId="7A4FB4C0"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Income-Preference Dividend paid/ Number of common shares</w:t>
            </w:r>
          </w:p>
        </w:tc>
        <w:tc>
          <w:tcPr>
            <w:tcW w:w="970" w:type="pct"/>
            <w:shd w:val="clear" w:color="auto" w:fill="auto"/>
            <w:tcMar>
              <w:top w:w="100" w:type="dxa"/>
              <w:left w:w="100" w:type="dxa"/>
              <w:bottom w:w="100" w:type="dxa"/>
              <w:right w:w="100" w:type="dxa"/>
            </w:tcMar>
          </w:tcPr>
          <w:p w14:paraId="5ED61DE4"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6037.66</w:t>
            </w:r>
          </w:p>
        </w:tc>
        <w:tc>
          <w:tcPr>
            <w:tcW w:w="1250" w:type="pct"/>
            <w:shd w:val="clear" w:color="auto" w:fill="auto"/>
            <w:tcMar>
              <w:top w:w="100" w:type="dxa"/>
              <w:left w:w="100" w:type="dxa"/>
              <w:bottom w:w="100" w:type="dxa"/>
              <w:right w:w="100" w:type="dxa"/>
            </w:tcMar>
          </w:tcPr>
          <w:p w14:paraId="57459336"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6313</w:t>
            </w:r>
          </w:p>
        </w:tc>
      </w:tr>
      <w:tr w:rsidR="00256F85" w14:paraId="268F5960" w14:textId="77777777" w:rsidTr="005453D7">
        <w:tc>
          <w:tcPr>
            <w:tcW w:w="1250" w:type="pct"/>
            <w:shd w:val="clear" w:color="auto" w:fill="auto"/>
            <w:tcMar>
              <w:top w:w="100" w:type="dxa"/>
              <w:left w:w="100" w:type="dxa"/>
              <w:bottom w:w="100" w:type="dxa"/>
              <w:right w:w="100" w:type="dxa"/>
            </w:tcMar>
          </w:tcPr>
          <w:p w14:paraId="1EF7A30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Profitability Ratios</w:t>
            </w:r>
          </w:p>
        </w:tc>
        <w:tc>
          <w:tcPr>
            <w:tcW w:w="1530" w:type="pct"/>
            <w:shd w:val="clear" w:color="auto" w:fill="auto"/>
            <w:tcMar>
              <w:top w:w="100" w:type="dxa"/>
              <w:left w:w="100" w:type="dxa"/>
              <w:bottom w:w="100" w:type="dxa"/>
              <w:right w:w="100" w:type="dxa"/>
            </w:tcMar>
          </w:tcPr>
          <w:p w14:paraId="1D36C6F2"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0" w:type="pct"/>
            <w:shd w:val="clear" w:color="auto" w:fill="auto"/>
            <w:tcMar>
              <w:top w:w="100" w:type="dxa"/>
              <w:left w:w="100" w:type="dxa"/>
              <w:bottom w:w="100" w:type="dxa"/>
              <w:right w:w="100" w:type="dxa"/>
            </w:tcMar>
          </w:tcPr>
          <w:p w14:paraId="597B059C"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50" w:type="pct"/>
            <w:shd w:val="clear" w:color="auto" w:fill="auto"/>
            <w:tcMar>
              <w:top w:w="100" w:type="dxa"/>
              <w:left w:w="100" w:type="dxa"/>
              <w:bottom w:w="100" w:type="dxa"/>
              <w:right w:w="100" w:type="dxa"/>
            </w:tcMar>
          </w:tcPr>
          <w:p w14:paraId="5F930763"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256F85" w14:paraId="68235B01" w14:textId="77777777" w:rsidTr="005453D7">
        <w:tc>
          <w:tcPr>
            <w:tcW w:w="1250" w:type="pct"/>
            <w:shd w:val="clear" w:color="auto" w:fill="auto"/>
            <w:tcMar>
              <w:top w:w="100" w:type="dxa"/>
              <w:left w:w="100" w:type="dxa"/>
              <w:bottom w:w="100" w:type="dxa"/>
              <w:right w:w="100" w:type="dxa"/>
            </w:tcMar>
          </w:tcPr>
          <w:p w14:paraId="64648DBE"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Margin</w:t>
            </w:r>
          </w:p>
        </w:tc>
        <w:tc>
          <w:tcPr>
            <w:tcW w:w="1530" w:type="pct"/>
            <w:shd w:val="clear" w:color="auto" w:fill="auto"/>
            <w:tcMar>
              <w:top w:w="100" w:type="dxa"/>
              <w:left w:w="100" w:type="dxa"/>
              <w:bottom w:w="100" w:type="dxa"/>
              <w:right w:w="100" w:type="dxa"/>
            </w:tcMar>
          </w:tcPr>
          <w:p w14:paraId="009E9203"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Profit/Sales*100</w:t>
            </w:r>
          </w:p>
        </w:tc>
        <w:tc>
          <w:tcPr>
            <w:tcW w:w="970" w:type="pct"/>
            <w:shd w:val="clear" w:color="auto" w:fill="auto"/>
            <w:tcMar>
              <w:top w:w="100" w:type="dxa"/>
              <w:left w:w="100" w:type="dxa"/>
              <w:bottom w:w="100" w:type="dxa"/>
              <w:right w:w="100" w:type="dxa"/>
            </w:tcMar>
          </w:tcPr>
          <w:p w14:paraId="5E54245A"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5.68%</w:t>
            </w:r>
          </w:p>
        </w:tc>
        <w:tc>
          <w:tcPr>
            <w:tcW w:w="1250" w:type="pct"/>
            <w:shd w:val="clear" w:color="auto" w:fill="auto"/>
            <w:tcMar>
              <w:top w:w="100" w:type="dxa"/>
              <w:left w:w="100" w:type="dxa"/>
              <w:bottom w:w="100" w:type="dxa"/>
              <w:right w:w="100" w:type="dxa"/>
            </w:tcMar>
          </w:tcPr>
          <w:p w14:paraId="5D03716D"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6.39%</w:t>
            </w:r>
          </w:p>
        </w:tc>
      </w:tr>
      <w:tr w:rsidR="00256F85" w14:paraId="0D77CA86" w14:textId="77777777" w:rsidTr="005453D7">
        <w:trPr>
          <w:trHeight w:val="608"/>
        </w:trPr>
        <w:tc>
          <w:tcPr>
            <w:tcW w:w="1250" w:type="pct"/>
            <w:shd w:val="clear" w:color="auto" w:fill="auto"/>
            <w:tcMar>
              <w:top w:w="100" w:type="dxa"/>
              <w:left w:w="100" w:type="dxa"/>
              <w:bottom w:w="100" w:type="dxa"/>
              <w:right w:w="100" w:type="dxa"/>
            </w:tcMar>
          </w:tcPr>
          <w:p w14:paraId="2F673199"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Efficiency Ratio</w:t>
            </w:r>
          </w:p>
        </w:tc>
        <w:tc>
          <w:tcPr>
            <w:tcW w:w="1530" w:type="pct"/>
            <w:shd w:val="clear" w:color="auto" w:fill="auto"/>
            <w:tcMar>
              <w:top w:w="100" w:type="dxa"/>
              <w:left w:w="100" w:type="dxa"/>
              <w:bottom w:w="100" w:type="dxa"/>
              <w:right w:w="100" w:type="dxa"/>
            </w:tcMar>
          </w:tcPr>
          <w:p w14:paraId="24E67434"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0" w:type="pct"/>
            <w:shd w:val="clear" w:color="auto" w:fill="auto"/>
            <w:tcMar>
              <w:top w:w="100" w:type="dxa"/>
              <w:left w:w="100" w:type="dxa"/>
              <w:bottom w:w="100" w:type="dxa"/>
              <w:right w:w="100" w:type="dxa"/>
            </w:tcMar>
          </w:tcPr>
          <w:p w14:paraId="3804BC84"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250" w:type="pct"/>
            <w:shd w:val="clear" w:color="auto" w:fill="auto"/>
            <w:tcMar>
              <w:top w:w="100" w:type="dxa"/>
              <w:left w:w="100" w:type="dxa"/>
              <w:bottom w:w="100" w:type="dxa"/>
              <w:right w:w="100" w:type="dxa"/>
            </w:tcMar>
          </w:tcPr>
          <w:p w14:paraId="28C0F4B0"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256F85" w14:paraId="71CB3F47" w14:textId="77777777" w:rsidTr="005453D7">
        <w:tc>
          <w:tcPr>
            <w:tcW w:w="1250" w:type="pct"/>
            <w:shd w:val="clear" w:color="auto" w:fill="auto"/>
            <w:tcMar>
              <w:top w:w="100" w:type="dxa"/>
              <w:left w:w="100" w:type="dxa"/>
              <w:bottom w:w="100" w:type="dxa"/>
              <w:right w:w="100" w:type="dxa"/>
            </w:tcMar>
          </w:tcPr>
          <w:p w14:paraId="47A12E34"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Asset Turnover Ratio</w:t>
            </w:r>
          </w:p>
        </w:tc>
        <w:tc>
          <w:tcPr>
            <w:tcW w:w="1530" w:type="pct"/>
            <w:shd w:val="clear" w:color="auto" w:fill="auto"/>
            <w:tcMar>
              <w:top w:w="100" w:type="dxa"/>
              <w:left w:w="100" w:type="dxa"/>
              <w:bottom w:w="100" w:type="dxa"/>
              <w:right w:w="100" w:type="dxa"/>
            </w:tcMar>
          </w:tcPr>
          <w:p w14:paraId="0D764B39"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Revenue/ Assets in the beginning+</w:t>
            </w:r>
            <w:r w:rsidR="008F7B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Assets in the end/2</w:t>
            </w:r>
          </w:p>
        </w:tc>
        <w:tc>
          <w:tcPr>
            <w:tcW w:w="970" w:type="pct"/>
            <w:shd w:val="clear" w:color="auto" w:fill="auto"/>
            <w:tcMar>
              <w:top w:w="100" w:type="dxa"/>
              <w:left w:w="100" w:type="dxa"/>
              <w:bottom w:w="100" w:type="dxa"/>
              <w:right w:w="100" w:type="dxa"/>
            </w:tcMar>
          </w:tcPr>
          <w:p w14:paraId="0E308461"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1.27</w:t>
            </w:r>
          </w:p>
        </w:tc>
        <w:tc>
          <w:tcPr>
            <w:tcW w:w="1250" w:type="pct"/>
            <w:shd w:val="clear" w:color="auto" w:fill="auto"/>
            <w:tcMar>
              <w:top w:w="100" w:type="dxa"/>
              <w:left w:w="100" w:type="dxa"/>
              <w:bottom w:w="100" w:type="dxa"/>
              <w:right w:w="100" w:type="dxa"/>
            </w:tcMar>
          </w:tcPr>
          <w:p w14:paraId="76533954"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1.38</w:t>
            </w:r>
          </w:p>
        </w:tc>
      </w:tr>
      <w:tr w:rsidR="00256F85" w14:paraId="48D9F373" w14:textId="77777777" w:rsidTr="005453D7">
        <w:tc>
          <w:tcPr>
            <w:tcW w:w="1250" w:type="pct"/>
            <w:shd w:val="clear" w:color="auto" w:fill="auto"/>
            <w:tcMar>
              <w:top w:w="100" w:type="dxa"/>
              <w:left w:w="100" w:type="dxa"/>
              <w:bottom w:w="100" w:type="dxa"/>
              <w:right w:w="100" w:type="dxa"/>
            </w:tcMar>
          </w:tcPr>
          <w:p w14:paraId="1D477910"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Stock Holding Days</w:t>
            </w:r>
          </w:p>
        </w:tc>
        <w:tc>
          <w:tcPr>
            <w:tcW w:w="1530" w:type="pct"/>
            <w:shd w:val="clear" w:color="auto" w:fill="auto"/>
            <w:tcMar>
              <w:top w:w="100" w:type="dxa"/>
              <w:left w:w="100" w:type="dxa"/>
              <w:bottom w:w="100" w:type="dxa"/>
              <w:right w:w="100" w:type="dxa"/>
            </w:tcMar>
          </w:tcPr>
          <w:p w14:paraId="59FC0E70"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Inventory/Cost of Sales*365</w:t>
            </w:r>
          </w:p>
        </w:tc>
        <w:tc>
          <w:tcPr>
            <w:tcW w:w="970" w:type="pct"/>
            <w:shd w:val="clear" w:color="auto" w:fill="auto"/>
            <w:tcMar>
              <w:top w:w="100" w:type="dxa"/>
              <w:left w:w="100" w:type="dxa"/>
              <w:bottom w:w="100" w:type="dxa"/>
              <w:right w:w="100" w:type="dxa"/>
            </w:tcMar>
          </w:tcPr>
          <w:p w14:paraId="35C2BE4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77.69 days</w:t>
            </w:r>
          </w:p>
        </w:tc>
        <w:tc>
          <w:tcPr>
            <w:tcW w:w="1250" w:type="pct"/>
            <w:shd w:val="clear" w:color="auto" w:fill="auto"/>
            <w:tcMar>
              <w:top w:w="100" w:type="dxa"/>
              <w:left w:w="100" w:type="dxa"/>
              <w:bottom w:w="100" w:type="dxa"/>
              <w:right w:w="100" w:type="dxa"/>
            </w:tcMar>
          </w:tcPr>
          <w:p w14:paraId="0B0B3AC3"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79.88 days</w:t>
            </w:r>
          </w:p>
        </w:tc>
      </w:tr>
      <w:tr w:rsidR="00256F85" w14:paraId="5011FC8F" w14:textId="77777777" w:rsidTr="005453D7">
        <w:tc>
          <w:tcPr>
            <w:tcW w:w="1250" w:type="pct"/>
            <w:shd w:val="clear" w:color="auto" w:fill="auto"/>
            <w:tcMar>
              <w:top w:w="100" w:type="dxa"/>
              <w:left w:w="100" w:type="dxa"/>
              <w:bottom w:w="100" w:type="dxa"/>
              <w:right w:w="100" w:type="dxa"/>
            </w:tcMar>
          </w:tcPr>
          <w:p w14:paraId="6C5D6DD9"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Debtors Collection Period</w:t>
            </w:r>
          </w:p>
        </w:tc>
        <w:tc>
          <w:tcPr>
            <w:tcW w:w="1530" w:type="pct"/>
            <w:shd w:val="clear" w:color="auto" w:fill="auto"/>
            <w:tcMar>
              <w:top w:w="100" w:type="dxa"/>
              <w:left w:w="100" w:type="dxa"/>
              <w:bottom w:w="100" w:type="dxa"/>
              <w:right w:w="100" w:type="dxa"/>
            </w:tcMar>
          </w:tcPr>
          <w:p w14:paraId="574C0D53"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Trade Receivables/Credit Sales*365</w:t>
            </w:r>
          </w:p>
        </w:tc>
        <w:tc>
          <w:tcPr>
            <w:tcW w:w="970" w:type="pct"/>
            <w:shd w:val="clear" w:color="auto" w:fill="auto"/>
            <w:tcMar>
              <w:top w:w="100" w:type="dxa"/>
              <w:left w:w="100" w:type="dxa"/>
              <w:bottom w:w="100" w:type="dxa"/>
              <w:right w:w="100" w:type="dxa"/>
            </w:tcMar>
          </w:tcPr>
          <w:p w14:paraId="1BA80DC9"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73 days</w:t>
            </w:r>
          </w:p>
        </w:tc>
        <w:tc>
          <w:tcPr>
            <w:tcW w:w="1250" w:type="pct"/>
            <w:shd w:val="clear" w:color="auto" w:fill="auto"/>
            <w:tcMar>
              <w:top w:w="100" w:type="dxa"/>
              <w:left w:w="100" w:type="dxa"/>
              <w:bottom w:w="100" w:type="dxa"/>
              <w:right w:w="100" w:type="dxa"/>
            </w:tcMar>
          </w:tcPr>
          <w:p w14:paraId="19258953"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68 days</w:t>
            </w:r>
          </w:p>
        </w:tc>
      </w:tr>
      <w:tr w:rsidR="00256F85" w14:paraId="5D76132B" w14:textId="77777777" w:rsidTr="005453D7">
        <w:tc>
          <w:tcPr>
            <w:tcW w:w="1250" w:type="pct"/>
            <w:shd w:val="clear" w:color="auto" w:fill="auto"/>
            <w:tcMar>
              <w:top w:w="100" w:type="dxa"/>
              <w:left w:w="100" w:type="dxa"/>
              <w:bottom w:w="100" w:type="dxa"/>
              <w:right w:w="100" w:type="dxa"/>
            </w:tcMar>
          </w:tcPr>
          <w:p w14:paraId="5D12D7C2"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Liquidity Ratio</w:t>
            </w:r>
          </w:p>
        </w:tc>
        <w:tc>
          <w:tcPr>
            <w:tcW w:w="1530" w:type="pct"/>
            <w:shd w:val="clear" w:color="auto" w:fill="auto"/>
            <w:tcMar>
              <w:top w:w="100" w:type="dxa"/>
              <w:left w:w="100" w:type="dxa"/>
              <w:bottom w:w="100" w:type="dxa"/>
              <w:right w:w="100" w:type="dxa"/>
            </w:tcMar>
          </w:tcPr>
          <w:p w14:paraId="36EC1734"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970" w:type="pct"/>
            <w:shd w:val="clear" w:color="auto" w:fill="auto"/>
            <w:tcMar>
              <w:top w:w="100" w:type="dxa"/>
              <w:left w:w="100" w:type="dxa"/>
              <w:bottom w:w="100" w:type="dxa"/>
              <w:right w:w="100" w:type="dxa"/>
            </w:tcMar>
          </w:tcPr>
          <w:p w14:paraId="1A42E4AF"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250" w:type="pct"/>
            <w:shd w:val="clear" w:color="auto" w:fill="auto"/>
            <w:tcMar>
              <w:top w:w="100" w:type="dxa"/>
              <w:left w:w="100" w:type="dxa"/>
              <w:bottom w:w="100" w:type="dxa"/>
              <w:right w:w="100" w:type="dxa"/>
            </w:tcMar>
          </w:tcPr>
          <w:p w14:paraId="134BC94C"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256F85" w14:paraId="25BF0382" w14:textId="77777777" w:rsidTr="005453D7">
        <w:tc>
          <w:tcPr>
            <w:tcW w:w="1250" w:type="pct"/>
            <w:shd w:val="clear" w:color="auto" w:fill="auto"/>
            <w:tcMar>
              <w:top w:w="100" w:type="dxa"/>
              <w:left w:w="100" w:type="dxa"/>
              <w:bottom w:w="100" w:type="dxa"/>
              <w:right w:w="100" w:type="dxa"/>
            </w:tcMar>
          </w:tcPr>
          <w:p w14:paraId="15CA390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w:t>
            </w:r>
          </w:p>
        </w:tc>
        <w:tc>
          <w:tcPr>
            <w:tcW w:w="1530" w:type="pct"/>
            <w:shd w:val="clear" w:color="auto" w:fill="auto"/>
            <w:tcMar>
              <w:top w:w="100" w:type="dxa"/>
              <w:left w:w="100" w:type="dxa"/>
              <w:bottom w:w="100" w:type="dxa"/>
              <w:right w:w="100" w:type="dxa"/>
            </w:tcMar>
          </w:tcPr>
          <w:p w14:paraId="09FB9F29"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 Assets/Current Liabilities </w:t>
            </w:r>
          </w:p>
        </w:tc>
        <w:tc>
          <w:tcPr>
            <w:tcW w:w="970" w:type="pct"/>
            <w:shd w:val="clear" w:color="auto" w:fill="auto"/>
            <w:tcMar>
              <w:top w:w="100" w:type="dxa"/>
              <w:left w:w="100" w:type="dxa"/>
              <w:bottom w:w="100" w:type="dxa"/>
              <w:right w:w="100" w:type="dxa"/>
            </w:tcMar>
          </w:tcPr>
          <w:p w14:paraId="1515AFE7"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0.77</w:t>
            </w:r>
          </w:p>
        </w:tc>
        <w:tc>
          <w:tcPr>
            <w:tcW w:w="1250" w:type="pct"/>
            <w:shd w:val="clear" w:color="auto" w:fill="auto"/>
            <w:tcMar>
              <w:top w:w="100" w:type="dxa"/>
              <w:left w:w="100" w:type="dxa"/>
              <w:bottom w:w="100" w:type="dxa"/>
              <w:right w:w="100" w:type="dxa"/>
            </w:tcMar>
          </w:tcPr>
          <w:p w14:paraId="7C09F9BF"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0.91</w:t>
            </w:r>
          </w:p>
        </w:tc>
      </w:tr>
      <w:tr w:rsidR="00256F85" w14:paraId="03902981" w14:textId="77777777" w:rsidTr="005453D7">
        <w:tc>
          <w:tcPr>
            <w:tcW w:w="1250" w:type="pct"/>
            <w:shd w:val="clear" w:color="auto" w:fill="auto"/>
            <w:tcMar>
              <w:top w:w="100" w:type="dxa"/>
              <w:left w:w="100" w:type="dxa"/>
              <w:bottom w:w="100" w:type="dxa"/>
              <w:right w:w="100" w:type="dxa"/>
            </w:tcMar>
          </w:tcPr>
          <w:p w14:paraId="2BF65417"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Ratio</w:t>
            </w:r>
          </w:p>
        </w:tc>
        <w:tc>
          <w:tcPr>
            <w:tcW w:w="1530" w:type="pct"/>
            <w:shd w:val="clear" w:color="auto" w:fill="auto"/>
            <w:tcMar>
              <w:top w:w="100" w:type="dxa"/>
              <w:left w:w="100" w:type="dxa"/>
              <w:bottom w:w="100" w:type="dxa"/>
              <w:right w:w="100" w:type="dxa"/>
            </w:tcMar>
          </w:tcPr>
          <w:p w14:paraId="2404C33C"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0" w:type="pct"/>
            <w:shd w:val="clear" w:color="auto" w:fill="auto"/>
            <w:tcMar>
              <w:top w:w="100" w:type="dxa"/>
              <w:left w:w="100" w:type="dxa"/>
              <w:bottom w:w="100" w:type="dxa"/>
              <w:right w:w="100" w:type="dxa"/>
            </w:tcMar>
          </w:tcPr>
          <w:p w14:paraId="65C29635"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250" w:type="pct"/>
            <w:shd w:val="clear" w:color="auto" w:fill="auto"/>
            <w:tcMar>
              <w:top w:w="100" w:type="dxa"/>
              <w:left w:w="100" w:type="dxa"/>
              <w:bottom w:w="100" w:type="dxa"/>
              <w:right w:w="100" w:type="dxa"/>
            </w:tcMar>
          </w:tcPr>
          <w:p w14:paraId="75095F0B" w14:textId="77777777" w:rsidR="00F2157A" w:rsidRDefault="00F2157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256F85" w14:paraId="23F77037" w14:textId="77777777" w:rsidTr="005453D7">
        <w:tc>
          <w:tcPr>
            <w:tcW w:w="1250" w:type="pct"/>
            <w:shd w:val="clear" w:color="auto" w:fill="auto"/>
            <w:tcMar>
              <w:top w:w="100" w:type="dxa"/>
              <w:left w:w="100" w:type="dxa"/>
              <w:bottom w:w="100" w:type="dxa"/>
              <w:right w:w="100" w:type="dxa"/>
            </w:tcMar>
          </w:tcPr>
          <w:p w14:paraId="4C94DAC2"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Gearing Ratio</w:t>
            </w:r>
          </w:p>
        </w:tc>
        <w:tc>
          <w:tcPr>
            <w:tcW w:w="1530" w:type="pct"/>
            <w:shd w:val="clear" w:color="auto" w:fill="auto"/>
            <w:tcMar>
              <w:top w:w="100" w:type="dxa"/>
              <w:left w:w="100" w:type="dxa"/>
              <w:bottom w:w="100" w:type="dxa"/>
              <w:right w:w="100" w:type="dxa"/>
            </w:tcMar>
          </w:tcPr>
          <w:p w14:paraId="0599145B"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w:t>
            </w:r>
            <w:r w:rsidR="008F7B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Debt+</w:t>
            </w:r>
            <w:r w:rsidR="008F7B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Equity*100</w:t>
            </w:r>
          </w:p>
        </w:tc>
        <w:tc>
          <w:tcPr>
            <w:tcW w:w="970" w:type="pct"/>
            <w:shd w:val="clear" w:color="auto" w:fill="auto"/>
            <w:tcMar>
              <w:top w:w="100" w:type="dxa"/>
              <w:left w:w="100" w:type="dxa"/>
              <w:bottom w:w="100" w:type="dxa"/>
              <w:right w:w="100" w:type="dxa"/>
            </w:tcMar>
          </w:tcPr>
          <w:p w14:paraId="5CAE8C4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54.94</w:t>
            </w:r>
          </w:p>
        </w:tc>
        <w:tc>
          <w:tcPr>
            <w:tcW w:w="1250" w:type="pct"/>
            <w:shd w:val="clear" w:color="auto" w:fill="auto"/>
            <w:tcMar>
              <w:top w:w="100" w:type="dxa"/>
              <w:left w:w="100" w:type="dxa"/>
              <w:bottom w:w="100" w:type="dxa"/>
              <w:right w:w="100" w:type="dxa"/>
            </w:tcMar>
          </w:tcPr>
          <w:p w14:paraId="2F492404"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91.75</w:t>
            </w:r>
          </w:p>
        </w:tc>
      </w:tr>
      <w:tr w:rsidR="00256F85" w14:paraId="55D0CA54" w14:textId="77777777" w:rsidTr="005453D7">
        <w:tc>
          <w:tcPr>
            <w:tcW w:w="1250" w:type="pct"/>
            <w:shd w:val="clear" w:color="auto" w:fill="auto"/>
            <w:tcMar>
              <w:top w:w="100" w:type="dxa"/>
              <w:left w:w="100" w:type="dxa"/>
              <w:bottom w:w="100" w:type="dxa"/>
              <w:right w:w="100" w:type="dxa"/>
            </w:tcMar>
          </w:tcPr>
          <w:p w14:paraId="6698C1C0"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Inventory Coverage Ratio</w:t>
            </w:r>
          </w:p>
        </w:tc>
        <w:tc>
          <w:tcPr>
            <w:tcW w:w="1530" w:type="pct"/>
            <w:shd w:val="clear" w:color="auto" w:fill="auto"/>
            <w:tcMar>
              <w:top w:w="100" w:type="dxa"/>
              <w:left w:w="100" w:type="dxa"/>
              <w:bottom w:w="100" w:type="dxa"/>
              <w:right w:w="100" w:type="dxa"/>
            </w:tcMar>
          </w:tcPr>
          <w:p w14:paraId="0D4DBF71"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before interest/Interest</w:t>
            </w:r>
          </w:p>
        </w:tc>
        <w:tc>
          <w:tcPr>
            <w:tcW w:w="970" w:type="pct"/>
            <w:shd w:val="clear" w:color="auto" w:fill="auto"/>
            <w:tcMar>
              <w:top w:w="100" w:type="dxa"/>
              <w:left w:w="100" w:type="dxa"/>
              <w:bottom w:w="100" w:type="dxa"/>
              <w:right w:w="100" w:type="dxa"/>
            </w:tcMar>
          </w:tcPr>
          <w:p w14:paraId="7AB5F99C"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20.96</w:t>
            </w:r>
          </w:p>
        </w:tc>
        <w:tc>
          <w:tcPr>
            <w:tcW w:w="1250" w:type="pct"/>
            <w:shd w:val="clear" w:color="auto" w:fill="auto"/>
            <w:tcMar>
              <w:top w:w="100" w:type="dxa"/>
              <w:left w:w="100" w:type="dxa"/>
              <w:bottom w:w="100" w:type="dxa"/>
              <w:right w:w="100" w:type="dxa"/>
            </w:tcMar>
          </w:tcPr>
          <w:p w14:paraId="3235D247" w14:textId="77777777" w:rsidR="00F2157A" w:rsidRDefault="004E62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17.87</w:t>
            </w:r>
          </w:p>
        </w:tc>
      </w:tr>
    </w:tbl>
    <w:p w14:paraId="45EEDEDE" w14:textId="77777777" w:rsidR="00F2157A" w:rsidRDefault="004E620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Ratio Analysis</w:t>
      </w:r>
    </w:p>
    <w:p w14:paraId="77E8C921" w14:textId="77777777" w:rsidR="00F2157A" w:rsidRPr="00903403" w:rsidRDefault="004E620D">
      <w:pPr>
        <w:spacing w:line="360" w:lineRule="auto"/>
        <w:jc w:val="center"/>
        <w:rPr>
          <w:rFonts w:ascii="Times New Roman" w:eastAsia="Times New Roman" w:hAnsi="Times New Roman" w:cs="Times New Roman"/>
          <w:sz w:val="24"/>
          <w:szCs w:val="24"/>
        </w:rPr>
      </w:pPr>
      <w:r w:rsidRPr="00903403">
        <w:rPr>
          <w:rFonts w:ascii="Times New Roman" w:eastAsia="Times New Roman" w:hAnsi="Times New Roman" w:cs="Times New Roman"/>
          <w:sz w:val="24"/>
          <w:szCs w:val="24"/>
        </w:rPr>
        <w:t>(Source: Excel)</w:t>
      </w:r>
      <w:r w:rsidRPr="00903403">
        <w:br w:type="page"/>
      </w:r>
    </w:p>
    <w:p w14:paraId="3878F911"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b)</w:t>
      </w:r>
      <w:r>
        <w:rPr>
          <w:rFonts w:ascii="Times New Roman" w:eastAsia="Times New Roman" w:hAnsi="Times New Roman" w:cs="Times New Roman"/>
          <w:sz w:val="24"/>
          <w:szCs w:val="24"/>
        </w:rPr>
        <w:t xml:space="preserve"> In the first ratio, from Table 3 the ‘return on capital employed’ measures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plc's effectiveness to earn profits. That is in respect to the capital invested in the business, and comparing the same with its operating gains (Kimmel et al., 2018). In comparing both ratios of 2019 and 2020, it can be seen that the former generates a better return on capital at 0.11%. </w:t>
      </w:r>
    </w:p>
    <w:p w14:paraId="13F7C13E" w14:textId="77777777" w:rsidR="00F2157A" w:rsidRDefault="00F2157A" w:rsidP="005D6802">
      <w:pPr>
        <w:spacing w:line="360" w:lineRule="auto"/>
        <w:jc w:val="both"/>
        <w:rPr>
          <w:rFonts w:ascii="Times New Roman" w:eastAsia="Times New Roman" w:hAnsi="Times New Roman" w:cs="Times New Roman"/>
          <w:sz w:val="24"/>
          <w:szCs w:val="24"/>
        </w:rPr>
      </w:pPr>
    </w:p>
    <w:p w14:paraId="22BD269D"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ratio, or the ‘return on equity’ measures the capacity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to produce greater income through the shareholder's equity. This is because the equity is equal to the company's assets excluding its debts. The year 2019 has better ROE at 1.09% in comparison to 0.92% in 2020.</w:t>
      </w:r>
    </w:p>
    <w:p w14:paraId="4D7F2CA0" w14:textId="77777777" w:rsidR="00F2157A" w:rsidRDefault="00F2157A" w:rsidP="005D6802">
      <w:pPr>
        <w:spacing w:line="360" w:lineRule="auto"/>
        <w:jc w:val="both"/>
        <w:rPr>
          <w:rFonts w:ascii="Times New Roman" w:eastAsia="Times New Roman" w:hAnsi="Times New Roman" w:cs="Times New Roman"/>
          <w:sz w:val="24"/>
          <w:szCs w:val="24"/>
        </w:rPr>
      </w:pPr>
    </w:p>
    <w:p w14:paraId="22DFDCEE"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third ratio or 'earnings per share,' the value is computed after dividing the profits by the outstanding shares (</w:t>
      </w:r>
      <w:proofErr w:type="spellStart"/>
      <w:r>
        <w:rPr>
          <w:rFonts w:ascii="Times New Roman" w:eastAsia="Times New Roman" w:hAnsi="Times New Roman" w:cs="Times New Roman"/>
          <w:sz w:val="24"/>
          <w:szCs w:val="24"/>
        </w:rPr>
        <w:t>Heriyanto</w:t>
      </w:r>
      <w:proofErr w:type="spellEnd"/>
      <w:r>
        <w:rPr>
          <w:rFonts w:ascii="Times New Roman" w:eastAsia="Times New Roman" w:hAnsi="Times New Roman" w:cs="Times New Roman"/>
          <w:sz w:val="24"/>
          <w:szCs w:val="24"/>
        </w:rPr>
        <w:t xml:space="preserve"> et al., 2021). If the resulting number is higher than that shows the company is earning profits. The company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earns more shares in 2019. </w:t>
      </w:r>
    </w:p>
    <w:p w14:paraId="012B5208" w14:textId="77777777" w:rsidR="00F2157A" w:rsidRDefault="00F2157A" w:rsidP="005D6802">
      <w:pPr>
        <w:spacing w:line="360" w:lineRule="auto"/>
        <w:jc w:val="both"/>
        <w:rPr>
          <w:rFonts w:ascii="Times New Roman" w:eastAsia="Times New Roman" w:hAnsi="Times New Roman" w:cs="Times New Roman"/>
          <w:sz w:val="24"/>
          <w:szCs w:val="24"/>
        </w:rPr>
      </w:pPr>
    </w:p>
    <w:p w14:paraId="75F6BFE4"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profitability ratio, 2020 has borne more revenue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That shows that the profits have increased by 0.71%, compared to 2019.  </w:t>
      </w:r>
    </w:p>
    <w:p w14:paraId="162C7682" w14:textId="77777777" w:rsidR="00F2157A" w:rsidRDefault="00F2157A" w:rsidP="005D6802">
      <w:pPr>
        <w:spacing w:line="360" w:lineRule="auto"/>
        <w:jc w:val="both"/>
        <w:rPr>
          <w:rFonts w:ascii="Times New Roman" w:eastAsia="Times New Roman" w:hAnsi="Times New Roman" w:cs="Times New Roman"/>
          <w:sz w:val="24"/>
          <w:szCs w:val="24"/>
        </w:rPr>
      </w:pPr>
    </w:p>
    <w:p w14:paraId="42CB0ECD"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regards to the efficiency ratios, the asset turnover ratio allows the company to determine if they are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its assets in a good manner to generate sales (</w:t>
      </w:r>
      <w:proofErr w:type="spellStart"/>
      <w:r>
        <w:rPr>
          <w:rFonts w:ascii="Times New Roman" w:eastAsia="Times New Roman" w:hAnsi="Times New Roman" w:cs="Times New Roman"/>
          <w:sz w:val="24"/>
          <w:szCs w:val="24"/>
        </w:rPr>
        <w:t>Heriyanto</w:t>
      </w:r>
      <w:proofErr w:type="spellEnd"/>
      <w:r>
        <w:rPr>
          <w:rFonts w:ascii="Times New Roman" w:eastAsia="Times New Roman" w:hAnsi="Times New Roman" w:cs="Times New Roman"/>
          <w:sz w:val="24"/>
          <w:szCs w:val="24"/>
        </w:rPr>
        <w:t xml:space="preserve"> et al., 2021). The percentage is higher in 2020, with 1.38 which shows that it has started judiciously using its assets, as compared to 2019. With a better stock holding period in 2020,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also making sure that its stock is creating more capital gains within 79 days. While it is lesser in 2019 with 77 days. This is further proved with a lesser number of days in 2020 towards collecting trade debts that is about 68 days and 73 days in 2019. That explains that the business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is up to efficiency in 2020. </w:t>
      </w:r>
    </w:p>
    <w:p w14:paraId="0303A372"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liquidity ratio in the form of the current ratio indicates that both values in the years 2019 and 2020 are below 1. That means that the company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will be unable to meet their short-term obligations with their capital. </w:t>
      </w:r>
    </w:p>
    <w:p w14:paraId="3DA1FF24"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the financial ratios show the financial leverage in terms of debts for the company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The year 2020, has a higher gearing ratio that shows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bound by a risky </w:t>
      </w:r>
      <w:r>
        <w:rPr>
          <w:rFonts w:ascii="Times New Roman" w:eastAsia="Times New Roman" w:hAnsi="Times New Roman" w:cs="Times New Roman"/>
          <w:sz w:val="24"/>
          <w:szCs w:val="24"/>
        </w:rPr>
        <w:lastRenderedPageBreak/>
        <w:t>structure and is susceptible to the eco</w:t>
      </w:r>
      <w:r w:rsidR="005453D7">
        <w:rPr>
          <w:rFonts w:ascii="Times New Roman" w:eastAsia="Times New Roman" w:hAnsi="Times New Roman" w:cs="Times New Roman"/>
          <w:sz w:val="24"/>
          <w:szCs w:val="24"/>
        </w:rPr>
        <w:t>nomy (</w:t>
      </w:r>
      <w:proofErr w:type="spellStart"/>
      <w:r w:rsidR="005453D7">
        <w:rPr>
          <w:rFonts w:ascii="Times New Roman" w:eastAsia="Times New Roman" w:hAnsi="Times New Roman" w:cs="Times New Roman"/>
          <w:sz w:val="24"/>
          <w:szCs w:val="24"/>
        </w:rPr>
        <w:t>Heriyanto</w:t>
      </w:r>
      <w:proofErr w:type="spellEnd"/>
      <w:r w:rsidR="005453D7">
        <w:rPr>
          <w:rFonts w:ascii="Times New Roman" w:eastAsia="Times New Roman" w:hAnsi="Times New Roman" w:cs="Times New Roman"/>
          <w:sz w:val="24"/>
          <w:szCs w:val="24"/>
        </w:rPr>
        <w:t xml:space="preserve"> et al., 2021).</w:t>
      </w:r>
      <w:r>
        <w:rPr>
          <w:rFonts w:ascii="Times New Roman" w:eastAsia="Times New Roman" w:hAnsi="Times New Roman" w:cs="Times New Roman"/>
          <w:sz w:val="24"/>
          <w:szCs w:val="24"/>
        </w:rPr>
        <w:t xml:space="preserve"> While 2019 is less risk-prone due to lower gearing. </w:t>
      </w:r>
    </w:p>
    <w:p w14:paraId="0AC5E0CD" w14:textId="77777777" w:rsidR="00F2157A" w:rsidRDefault="004E620D" w:rsidP="005D68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interest coverage ratio considers how the company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its debts and profitability for paying interests. In 2020, the interest coverage ratio times are higher than in 2019. This shows it is better at covering their interests in the year as compared to 2019. </w:t>
      </w:r>
      <w:r>
        <w:br w:type="page"/>
      </w:r>
    </w:p>
    <w:p w14:paraId="644DBEFC" w14:textId="77777777" w:rsidR="00F2157A" w:rsidRDefault="004E620D" w:rsidP="005453D7">
      <w:pPr>
        <w:pStyle w:val="Heading1"/>
      </w:pPr>
      <w:bookmarkStart w:id="2" w:name="_Toc77672026"/>
      <w:r>
        <w:lastRenderedPageBreak/>
        <w:t>References</w:t>
      </w:r>
      <w:bookmarkEnd w:id="2"/>
    </w:p>
    <w:p w14:paraId="15A4B153" w14:textId="77777777" w:rsidR="005453D7" w:rsidRDefault="004E620D">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Heriyanto</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Purnamasari</w:t>
      </w:r>
      <w:proofErr w:type="spellEnd"/>
      <w:r>
        <w:rPr>
          <w:rFonts w:ascii="Times New Roman" w:eastAsia="Times New Roman" w:hAnsi="Times New Roman" w:cs="Times New Roman"/>
          <w:sz w:val="24"/>
          <w:szCs w:val="24"/>
        </w:rPr>
        <w:t xml:space="preserve">, R., Arum, M., </w:t>
      </w:r>
      <w:proofErr w:type="spellStart"/>
      <w:r>
        <w:rPr>
          <w:rFonts w:ascii="Times New Roman" w:eastAsia="Times New Roman" w:hAnsi="Times New Roman" w:cs="Times New Roman"/>
          <w:sz w:val="24"/>
          <w:szCs w:val="24"/>
        </w:rPr>
        <w:t>Suheny</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Nuryanto</w:t>
      </w:r>
      <w:proofErr w:type="spellEnd"/>
      <w:r>
        <w:rPr>
          <w:rFonts w:ascii="Times New Roman" w:eastAsia="Times New Roman" w:hAnsi="Times New Roman" w:cs="Times New Roman"/>
          <w:sz w:val="24"/>
          <w:szCs w:val="24"/>
        </w:rPr>
        <w:t>, U., 2021. Analysis of Financial Statements as Assessing the Financial Performance (Study at the Cement Sub-Sector Manufacturing Period 2016-2018).</w:t>
      </w:r>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Ilomata</w:t>
      </w:r>
      <w:proofErr w:type="spellEnd"/>
      <w:r>
        <w:rPr>
          <w:rFonts w:ascii="Times New Roman" w:eastAsia="Times New Roman" w:hAnsi="Times New Roman" w:cs="Times New Roman"/>
          <w:i/>
          <w:sz w:val="24"/>
          <w:szCs w:val="24"/>
        </w:rPr>
        <w:t xml:space="preserve"> International Journal of Management</w:t>
      </w:r>
      <w:r>
        <w:rPr>
          <w:rFonts w:ascii="Times New Roman" w:eastAsia="Times New Roman" w:hAnsi="Times New Roman" w:cs="Times New Roman"/>
          <w:sz w:val="24"/>
          <w:szCs w:val="24"/>
        </w:rPr>
        <w:t>, [online] 2(2), pp.51-65. Available at: &lt;https://www.ilomata.org/index.php/ijjm/article/view/213&gt; [Accessed 12 July 2021].</w:t>
      </w:r>
    </w:p>
    <w:p w14:paraId="6A338694" w14:textId="77777777" w:rsidR="005453D7" w:rsidRDefault="004E620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Kimmel, P., Weygandt, J. and </w:t>
      </w:r>
      <w:proofErr w:type="spellStart"/>
      <w:r>
        <w:rPr>
          <w:rFonts w:ascii="Times New Roman" w:eastAsia="Times New Roman" w:hAnsi="Times New Roman" w:cs="Times New Roman"/>
          <w:sz w:val="24"/>
          <w:szCs w:val="24"/>
        </w:rPr>
        <w:t>Kieso</w:t>
      </w:r>
      <w:proofErr w:type="spellEnd"/>
      <w:r>
        <w:rPr>
          <w:rFonts w:ascii="Times New Roman" w:eastAsia="Times New Roman" w:hAnsi="Times New Roman" w:cs="Times New Roman"/>
          <w:sz w:val="24"/>
          <w:szCs w:val="24"/>
        </w:rPr>
        <w:t xml:space="preserve">, D., 2018. </w:t>
      </w:r>
      <w:r>
        <w:rPr>
          <w:rFonts w:ascii="Times New Roman" w:eastAsia="Times New Roman" w:hAnsi="Times New Roman" w:cs="Times New Roman"/>
          <w:i/>
          <w:sz w:val="24"/>
          <w:szCs w:val="24"/>
        </w:rPr>
        <w:t>Financial accounting: Tools for business decision making</w:t>
      </w:r>
      <w:r>
        <w:rPr>
          <w:rFonts w:ascii="Times New Roman" w:eastAsia="Times New Roman" w:hAnsi="Times New Roman" w:cs="Times New Roman"/>
          <w:sz w:val="24"/>
          <w:szCs w:val="24"/>
        </w:rPr>
        <w:t>.4th ed. New York: John Wiley and Sons, pp.1-500.</w:t>
      </w:r>
    </w:p>
    <w:p w14:paraId="55BEDC44" w14:textId="77777777" w:rsidR="005453D7" w:rsidRDefault="004E620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Schroeder, R., Clark, M. and Cathey, J., 2019. </w:t>
      </w:r>
      <w:r>
        <w:rPr>
          <w:rFonts w:ascii="Times New Roman" w:eastAsia="Times New Roman" w:hAnsi="Times New Roman" w:cs="Times New Roman"/>
          <w:i/>
          <w:sz w:val="24"/>
          <w:szCs w:val="24"/>
        </w:rPr>
        <w:t>Financial accounting theory and analysis: text and cases</w:t>
      </w:r>
      <w:r>
        <w:rPr>
          <w:rFonts w:ascii="Times New Roman" w:eastAsia="Times New Roman" w:hAnsi="Times New Roman" w:cs="Times New Roman"/>
          <w:sz w:val="24"/>
          <w:szCs w:val="24"/>
        </w:rPr>
        <w:t>. 3rd ed. John Wiley &amp; Sons: New York, pp.1-450.</w:t>
      </w:r>
    </w:p>
    <w:p w14:paraId="16150A40" w14:textId="77777777" w:rsidR="00F2157A" w:rsidRDefault="00F2157A">
      <w:pPr>
        <w:spacing w:line="360" w:lineRule="auto"/>
        <w:rPr>
          <w:rFonts w:ascii="Times New Roman" w:eastAsia="Times New Roman" w:hAnsi="Times New Roman" w:cs="Times New Roman"/>
          <w:sz w:val="24"/>
          <w:szCs w:val="24"/>
        </w:rPr>
      </w:pPr>
    </w:p>
    <w:p w14:paraId="40370228" w14:textId="77777777" w:rsidR="00F2157A" w:rsidRDefault="00F2157A">
      <w:pPr>
        <w:spacing w:line="360" w:lineRule="auto"/>
        <w:rPr>
          <w:rFonts w:ascii="Times New Roman" w:eastAsia="Times New Roman" w:hAnsi="Times New Roman" w:cs="Times New Roman"/>
          <w:sz w:val="24"/>
          <w:szCs w:val="24"/>
        </w:rPr>
      </w:pPr>
    </w:p>
    <w:p w14:paraId="195A8842" w14:textId="77777777" w:rsidR="00F2157A" w:rsidRDefault="00F2157A">
      <w:pPr>
        <w:spacing w:line="360" w:lineRule="auto"/>
        <w:jc w:val="both"/>
        <w:rPr>
          <w:rFonts w:ascii="Times New Roman" w:eastAsia="Times New Roman" w:hAnsi="Times New Roman" w:cs="Times New Roman"/>
          <w:b/>
          <w:sz w:val="24"/>
          <w:szCs w:val="24"/>
        </w:rPr>
      </w:pPr>
    </w:p>
    <w:sectPr w:rsidR="00F2157A" w:rsidSect="003F6FEE">
      <w:footerReference w:type="default" r:id="rId8"/>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B86C4" w14:textId="77777777" w:rsidR="00144531" w:rsidRDefault="00144531">
      <w:pPr>
        <w:spacing w:line="240" w:lineRule="auto"/>
      </w:pPr>
      <w:r>
        <w:separator/>
      </w:r>
    </w:p>
  </w:endnote>
  <w:endnote w:type="continuationSeparator" w:id="0">
    <w:p w14:paraId="4D989DCF" w14:textId="77777777" w:rsidR="00144531" w:rsidRDefault="001445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747605"/>
      <w:docPartObj>
        <w:docPartGallery w:val="Page Numbers (Bottom of Page)"/>
        <w:docPartUnique/>
      </w:docPartObj>
    </w:sdtPr>
    <w:sdtEndPr>
      <w:rPr>
        <w:noProof/>
      </w:rPr>
    </w:sdtEndPr>
    <w:sdtContent>
      <w:p w14:paraId="25AC60E2" w14:textId="77777777" w:rsidR="003F6FEE" w:rsidRDefault="004E620D">
        <w:pPr>
          <w:pStyle w:val="Footer"/>
          <w:jc w:val="right"/>
        </w:pPr>
        <w:r>
          <w:fldChar w:fldCharType="begin"/>
        </w:r>
        <w:r>
          <w:instrText xml:space="preserve"> PAGE   \* MERGEFORMAT </w:instrText>
        </w:r>
        <w:r>
          <w:fldChar w:fldCharType="separate"/>
        </w:r>
        <w:r w:rsidR="008F7BD8">
          <w:rPr>
            <w:noProof/>
          </w:rPr>
          <w:t>4</w:t>
        </w:r>
        <w:r>
          <w:rPr>
            <w:noProof/>
          </w:rPr>
          <w:fldChar w:fldCharType="end"/>
        </w:r>
      </w:p>
    </w:sdtContent>
  </w:sdt>
  <w:p w14:paraId="610D90F8" w14:textId="77777777" w:rsidR="003F6FEE" w:rsidRDefault="003F6F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027C9" w14:textId="77777777" w:rsidR="00144531" w:rsidRDefault="00144531">
      <w:pPr>
        <w:spacing w:line="240" w:lineRule="auto"/>
      </w:pPr>
      <w:r>
        <w:separator/>
      </w:r>
    </w:p>
  </w:footnote>
  <w:footnote w:type="continuationSeparator" w:id="0">
    <w:p w14:paraId="2D2D6FFC" w14:textId="77777777" w:rsidR="00144531" w:rsidRDefault="0014453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57A"/>
    <w:rsid w:val="0000089A"/>
    <w:rsid w:val="00035474"/>
    <w:rsid w:val="00144531"/>
    <w:rsid w:val="00256F85"/>
    <w:rsid w:val="00301A9C"/>
    <w:rsid w:val="003F6FEE"/>
    <w:rsid w:val="004E620D"/>
    <w:rsid w:val="005453D7"/>
    <w:rsid w:val="005A48E0"/>
    <w:rsid w:val="005D6802"/>
    <w:rsid w:val="006D5074"/>
    <w:rsid w:val="00791707"/>
    <w:rsid w:val="008F7BD8"/>
    <w:rsid w:val="00903403"/>
    <w:rsid w:val="00F215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11422"/>
  <w15:docId w15:val="{6305D46F-A77B-4ACD-A9B5-42F6D1895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453D7"/>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453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453D7"/>
    <w:pPr>
      <w:spacing w:after="100"/>
    </w:pPr>
  </w:style>
  <w:style w:type="character" w:styleId="Hyperlink">
    <w:name w:val="Hyperlink"/>
    <w:basedOn w:val="DefaultParagraphFont"/>
    <w:uiPriority w:val="99"/>
    <w:unhideWhenUsed/>
    <w:rsid w:val="005453D7"/>
    <w:rPr>
      <w:color w:val="0000FF" w:themeColor="hyperlink"/>
      <w:u w:val="single"/>
    </w:rPr>
  </w:style>
  <w:style w:type="paragraph" w:styleId="Header">
    <w:name w:val="header"/>
    <w:basedOn w:val="Normal"/>
    <w:link w:val="HeaderChar"/>
    <w:uiPriority w:val="99"/>
    <w:unhideWhenUsed/>
    <w:rsid w:val="003F6FEE"/>
    <w:pPr>
      <w:tabs>
        <w:tab w:val="center" w:pos="4513"/>
        <w:tab w:val="right" w:pos="9026"/>
      </w:tabs>
      <w:spacing w:line="240" w:lineRule="auto"/>
    </w:pPr>
  </w:style>
  <w:style w:type="character" w:customStyle="1" w:styleId="HeaderChar">
    <w:name w:val="Header Char"/>
    <w:basedOn w:val="DefaultParagraphFont"/>
    <w:link w:val="Header"/>
    <w:uiPriority w:val="99"/>
    <w:rsid w:val="003F6FEE"/>
  </w:style>
  <w:style w:type="paragraph" w:styleId="Footer">
    <w:name w:val="footer"/>
    <w:basedOn w:val="Normal"/>
    <w:link w:val="FooterChar"/>
    <w:uiPriority w:val="99"/>
    <w:unhideWhenUsed/>
    <w:rsid w:val="003F6FEE"/>
    <w:pPr>
      <w:tabs>
        <w:tab w:val="center" w:pos="4513"/>
        <w:tab w:val="right" w:pos="9026"/>
      </w:tabs>
      <w:spacing w:line="240" w:lineRule="auto"/>
    </w:pPr>
  </w:style>
  <w:style w:type="character" w:customStyle="1" w:styleId="FooterChar">
    <w:name w:val="Footer Char"/>
    <w:basedOn w:val="DefaultParagraphFont"/>
    <w:link w:val="Footer"/>
    <w:uiPriority w:val="99"/>
    <w:rsid w:val="003F6FEE"/>
  </w:style>
  <w:style w:type="character" w:customStyle="1" w:styleId="SubtitleChar">
    <w:name w:val="Subtitle Char"/>
    <w:basedOn w:val="DefaultParagraphFont"/>
    <w:link w:val="Subtitle"/>
    <w:uiPriority w:val="11"/>
    <w:rsid w:val="00035474"/>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1C388-7B3B-471D-926E-3EFAE21BA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1028</Words>
  <Characters>5860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boscanean</dc:creator>
  <cp:lastModifiedBy>Maria Boscanean (2021937)</cp:lastModifiedBy>
  <cp:revision>2</cp:revision>
  <dcterms:created xsi:type="dcterms:W3CDTF">2021-07-21T11:48:00Z</dcterms:created>
  <dcterms:modified xsi:type="dcterms:W3CDTF">2021-07-21T11:48:00Z</dcterms:modified>
</cp:coreProperties>
</file>