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0BD24" w14:textId="77777777" w:rsidR="008924FF" w:rsidRDefault="008924FF" w:rsidP="005B1376">
      <w:pPr>
        <w:jc w:val="center"/>
        <w:rPr>
          <w:b/>
          <w:bCs/>
        </w:rPr>
      </w:pPr>
    </w:p>
    <w:p w14:paraId="29FA8501" w14:textId="77777777" w:rsidR="008924FF" w:rsidRDefault="008924FF" w:rsidP="005B1376">
      <w:pPr>
        <w:jc w:val="center"/>
        <w:rPr>
          <w:b/>
          <w:bCs/>
        </w:rPr>
      </w:pPr>
    </w:p>
    <w:p w14:paraId="1F7FCC16" w14:textId="598016F8" w:rsidR="0005542B" w:rsidRPr="00F34C6E" w:rsidRDefault="0005542B" w:rsidP="0005542B">
      <w:pPr>
        <w:rPr>
          <w:rFonts w:asciiTheme="minorHAnsi" w:hAnsiTheme="minorHAnsi" w:cstheme="minorHAnsi"/>
          <w:b/>
          <w:bCs/>
        </w:rPr>
      </w:pPr>
      <w:bookmarkStart w:id="0" w:name="_Hlk219160070"/>
      <w:r w:rsidRPr="00F34C6E">
        <w:rPr>
          <w:rFonts w:asciiTheme="minorHAnsi" w:hAnsiTheme="minorHAnsi" w:cstheme="minorHAnsi"/>
          <w:b/>
          <w:bCs/>
        </w:rPr>
        <w:t xml:space="preserve">Q1 </w:t>
      </w:r>
      <w:r w:rsidR="00F34C6E">
        <w:rPr>
          <w:rFonts w:asciiTheme="minorHAnsi" w:hAnsiTheme="minorHAnsi" w:cstheme="minorHAnsi"/>
          <w:b/>
          <w:bCs/>
        </w:rPr>
        <w:t xml:space="preserve">- </w:t>
      </w:r>
      <w:r w:rsidRPr="00F34C6E">
        <w:rPr>
          <w:rFonts w:asciiTheme="minorHAnsi" w:hAnsiTheme="minorHAnsi" w:cstheme="minorHAnsi"/>
          <w:b/>
          <w:bCs/>
        </w:rPr>
        <w:t>AC 1.1</w:t>
      </w:r>
    </w:p>
    <w:p w14:paraId="307FD252" w14:textId="0F80308F" w:rsidR="00356CAF" w:rsidRPr="00F34C6E" w:rsidRDefault="000869A3" w:rsidP="00356CAF">
      <w:pPr>
        <w:rPr>
          <w:rFonts w:asciiTheme="minorHAnsi" w:hAnsiTheme="minorHAnsi" w:cstheme="minorHAnsi"/>
        </w:rPr>
      </w:pPr>
      <w:r w:rsidRPr="00F34C6E">
        <w:rPr>
          <w:rFonts w:asciiTheme="minorHAnsi" w:hAnsiTheme="minorHAnsi" w:cstheme="minorHAnsi"/>
        </w:rPr>
        <w:t xml:space="preserve">Evidence-based </w:t>
      </w:r>
      <w:r w:rsidR="00093C3D" w:rsidRPr="00F34C6E">
        <w:rPr>
          <w:rFonts w:asciiTheme="minorHAnsi" w:hAnsiTheme="minorHAnsi" w:cstheme="minorHAnsi"/>
        </w:rPr>
        <w:t>practice</w:t>
      </w:r>
      <w:r w:rsidRPr="00F34C6E">
        <w:rPr>
          <w:rFonts w:asciiTheme="minorHAnsi" w:hAnsiTheme="minorHAnsi" w:cstheme="minorHAnsi"/>
        </w:rPr>
        <w:t xml:space="preserve"> (EBP) is a more </w:t>
      </w:r>
      <w:proofErr w:type="spellStart"/>
      <w:r w:rsidRPr="00F34C6E">
        <w:rPr>
          <w:rFonts w:asciiTheme="minorHAnsi" w:hAnsiTheme="minorHAnsi" w:cstheme="minorHAnsi"/>
        </w:rPr>
        <w:t>organised</w:t>
      </w:r>
      <w:proofErr w:type="spellEnd"/>
      <w:r w:rsidRPr="00F34C6E">
        <w:rPr>
          <w:rFonts w:asciiTheme="minorHAnsi" w:hAnsiTheme="minorHAnsi" w:cstheme="minorHAnsi"/>
        </w:rPr>
        <w:t xml:space="preserve"> decision-making mode that incorporates optimal evidence instead of acting based on pure intuition, custom, or individual experience. The CIPD gives four main sources of evidence to consider when it comes to EBP: professional expertise,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data, academic research, and stakeholder views (CIPD, cited in </w:t>
      </w:r>
      <w:proofErr w:type="spellStart"/>
      <w:r w:rsidRPr="00F34C6E">
        <w:rPr>
          <w:rFonts w:asciiTheme="minorHAnsi" w:hAnsiTheme="minorHAnsi" w:cstheme="minorHAnsi"/>
        </w:rPr>
        <w:t>Tzenios</w:t>
      </w:r>
      <w:proofErr w:type="spellEnd"/>
      <w:r w:rsidRPr="00F34C6E">
        <w:rPr>
          <w:rFonts w:asciiTheme="minorHAnsi" w:hAnsiTheme="minorHAnsi" w:cstheme="minorHAnsi"/>
        </w:rPr>
        <w:t xml:space="preserve">, 2022). EBP aims at enhancing quality, credibility and consistency of people-related decisions, and thereby raising the chances of attaining sustainable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outcomes. The current situation among Technivara people </w:t>
      </w:r>
      <w:r w:rsidR="00093C3D" w:rsidRPr="00F34C6E">
        <w:rPr>
          <w:rFonts w:asciiTheme="minorHAnsi" w:hAnsiTheme="minorHAnsi" w:cstheme="minorHAnsi"/>
        </w:rPr>
        <w:t>practices</w:t>
      </w:r>
      <w:r w:rsidRPr="00F34C6E">
        <w:rPr>
          <w:rFonts w:asciiTheme="minorHAnsi" w:hAnsiTheme="minorHAnsi" w:cstheme="minorHAnsi"/>
        </w:rPr>
        <w:t xml:space="preserve"> is that it is regarded as traditional and paper-based, which heightens the chances of subjective and inconsistent decision-making. Although this method has had the potential to facilitate historical growth, it is not likely to sustain over time as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will keep growing (Maddox-Daines, 2023). The shift to EBP would enable Technivara to shift towards a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decision-making process that is more data-driven, transparent, and defensible, thus better aligned with strategic growth goals and less susceptible to operational risk. An example of how Technivara can use EBP is in recruitment and workforce planning. Technivara would be able to determine the most effective recruitment channels and workforce strategies by examining both internal data, including turnover rates, time-to-hire, vacancy rates, and quality-of-hire performance, and external </w:t>
      </w:r>
      <w:proofErr w:type="spellStart"/>
      <w:r w:rsidRPr="00F34C6E">
        <w:rPr>
          <w:rFonts w:asciiTheme="minorHAnsi" w:hAnsiTheme="minorHAnsi" w:cstheme="minorHAnsi"/>
        </w:rPr>
        <w:t>labour</w:t>
      </w:r>
      <w:proofErr w:type="spellEnd"/>
      <w:r w:rsidRPr="00F34C6E">
        <w:rPr>
          <w:rFonts w:asciiTheme="minorHAnsi" w:hAnsiTheme="minorHAnsi" w:cstheme="minorHAnsi"/>
        </w:rPr>
        <w:t xml:space="preserve"> market data. The evidence-based </w:t>
      </w:r>
      <w:r w:rsidR="00093C3D" w:rsidRPr="00F34C6E">
        <w:rPr>
          <w:rFonts w:asciiTheme="minorHAnsi" w:hAnsiTheme="minorHAnsi" w:cstheme="minorHAnsi"/>
        </w:rPr>
        <w:t>practice</w:t>
      </w:r>
      <w:r w:rsidRPr="00F34C6E">
        <w:rPr>
          <w:rFonts w:asciiTheme="minorHAnsi" w:hAnsiTheme="minorHAnsi" w:cstheme="minorHAnsi"/>
        </w:rPr>
        <w:t xml:space="preserve"> would facilitate more effective forecasting, </w:t>
      </w:r>
      <w:proofErr w:type="spellStart"/>
      <w:r w:rsidRPr="00F34C6E">
        <w:rPr>
          <w:rFonts w:asciiTheme="minorHAnsi" w:hAnsiTheme="minorHAnsi" w:cstheme="minorHAnsi"/>
        </w:rPr>
        <w:t>minimise</w:t>
      </w:r>
      <w:proofErr w:type="spellEnd"/>
      <w:r w:rsidRPr="00F34C6E">
        <w:rPr>
          <w:rFonts w:asciiTheme="minorHAnsi" w:hAnsiTheme="minorHAnsi" w:cstheme="minorHAnsi"/>
        </w:rPr>
        <w:t xml:space="preserve"> vacancy expenses, and enhance workforce stability, instead of informal or traditional recruitment procedures (Pearce and Locke, 2023).</w:t>
      </w:r>
      <w:r w:rsidR="00356CAF" w:rsidRPr="00F34C6E">
        <w:rPr>
          <w:rFonts w:asciiTheme="minorHAnsi" w:hAnsiTheme="minorHAnsi" w:cstheme="minorHAnsi"/>
        </w:rPr>
        <w:t xml:space="preserve"> </w:t>
      </w:r>
    </w:p>
    <w:p w14:paraId="5BB19AC1" w14:textId="5ABC198B" w:rsidR="00356CAF" w:rsidRPr="00F34C6E" w:rsidRDefault="008C1553" w:rsidP="00356CAF">
      <w:pPr>
        <w:rPr>
          <w:rFonts w:asciiTheme="minorHAnsi" w:hAnsiTheme="minorHAnsi" w:cstheme="minorHAnsi"/>
        </w:rPr>
      </w:pPr>
      <w:r w:rsidRPr="00F34C6E">
        <w:rPr>
          <w:rFonts w:asciiTheme="minorHAnsi" w:hAnsiTheme="minorHAnsi" w:cstheme="minorHAnsi"/>
        </w:rPr>
        <w:t xml:space="preserve">The second example is in the area of learning and development (L&amp;D). Technivara might apply EBP to define training efficiency by integrating employee feedback and after-training performance statistics and scholarly research on skills acquisition and learning transfer. This would allow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to invest in development activities that significantly enhance performance, productivity and retention, instead of providing training through </w:t>
      </w:r>
      <w:proofErr w:type="gramStart"/>
      <w:r w:rsidRPr="00F34C6E">
        <w:rPr>
          <w:rFonts w:asciiTheme="minorHAnsi" w:hAnsiTheme="minorHAnsi" w:cstheme="minorHAnsi"/>
        </w:rPr>
        <w:t>custom</w:t>
      </w:r>
      <w:proofErr w:type="gramEnd"/>
      <w:r w:rsidRPr="00F34C6E">
        <w:rPr>
          <w:rFonts w:asciiTheme="minorHAnsi" w:hAnsiTheme="minorHAnsi" w:cstheme="minorHAnsi"/>
        </w:rPr>
        <w:t xml:space="preserve"> or assumption (Rousseau, 2020). EBP also has limitations. It must be able to access effective data, analytical </w:t>
      </w:r>
      <w:r w:rsidRPr="00F34C6E">
        <w:rPr>
          <w:rFonts w:asciiTheme="minorHAnsi" w:hAnsiTheme="minorHAnsi" w:cstheme="minorHAnsi"/>
        </w:rPr>
        <w:lastRenderedPageBreak/>
        <w:t xml:space="preserve">capacity and time to research and assess evidence. Opposition at the top managerial level, including Bill Swanky who prefers the old methodology, can also be an obstacle (Chung et al., 2019). These difficulties demonstrate how systems, data capability and people skills have to be invested in to be able to implement </w:t>
      </w:r>
      <w:proofErr w:type="gramStart"/>
      <w:r w:rsidRPr="00F34C6E">
        <w:rPr>
          <w:rFonts w:asciiTheme="minorHAnsi" w:hAnsiTheme="minorHAnsi" w:cstheme="minorHAnsi"/>
        </w:rPr>
        <w:t>it</w:t>
      </w:r>
      <w:proofErr w:type="gramEnd"/>
      <w:r w:rsidRPr="00F34C6E">
        <w:rPr>
          <w:rFonts w:asciiTheme="minorHAnsi" w:hAnsiTheme="minorHAnsi" w:cstheme="minorHAnsi"/>
        </w:rPr>
        <w:t xml:space="preserve"> successfully. EBP gives Technivara a solid framework of making informed, ethical and sustainable people decisions that contribute to the strategic worth of the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function.</w:t>
      </w:r>
    </w:p>
    <w:p w14:paraId="1921DA2D" w14:textId="544C156F" w:rsidR="0005542B" w:rsidRPr="00F34C6E" w:rsidRDefault="0005542B" w:rsidP="0005542B">
      <w:pPr>
        <w:rPr>
          <w:rFonts w:asciiTheme="minorHAnsi" w:hAnsiTheme="minorHAnsi" w:cstheme="minorHAnsi"/>
          <w:b/>
          <w:bCs/>
        </w:rPr>
      </w:pPr>
      <w:r w:rsidRPr="00F34C6E">
        <w:rPr>
          <w:rFonts w:asciiTheme="minorHAnsi" w:hAnsiTheme="minorHAnsi" w:cstheme="minorHAnsi"/>
          <w:b/>
          <w:bCs/>
        </w:rPr>
        <w:t>Q2</w:t>
      </w:r>
      <w:r w:rsidR="00F34C6E">
        <w:rPr>
          <w:rFonts w:asciiTheme="minorHAnsi" w:hAnsiTheme="minorHAnsi" w:cstheme="minorHAnsi"/>
          <w:b/>
          <w:bCs/>
        </w:rPr>
        <w:t xml:space="preserve"> - </w:t>
      </w:r>
      <w:r w:rsidRPr="00F34C6E">
        <w:rPr>
          <w:rFonts w:asciiTheme="minorHAnsi" w:hAnsiTheme="minorHAnsi" w:cstheme="minorHAnsi"/>
          <w:b/>
          <w:bCs/>
        </w:rPr>
        <w:t>AC 1.2</w:t>
      </w:r>
    </w:p>
    <w:p w14:paraId="3FF01EB4" w14:textId="6229FFDD" w:rsidR="00B96AF4" w:rsidRPr="00F34C6E" w:rsidRDefault="00F76DA5" w:rsidP="00B96AF4">
      <w:pPr>
        <w:rPr>
          <w:rFonts w:asciiTheme="minorHAnsi" w:hAnsiTheme="minorHAnsi" w:cstheme="minorHAnsi"/>
        </w:rPr>
      </w:pPr>
      <w:r w:rsidRPr="00F34C6E">
        <w:rPr>
          <w:rFonts w:asciiTheme="minorHAnsi" w:hAnsiTheme="minorHAnsi" w:cstheme="minorHAnsi"/>
        </w:rPr>
        <w:t xml:space="preserve">SWOT analysis is an adequate analysis tool that Technivara can use to evaluate its internal strengths and weaknesses, as well as external opportunities and threats. SWOT can be applied especially in supporting strategic conversations with senior leaders because it offers a concise and </w:t>
      </w:r>
      <w:proofErr w:type="spellStart"/>
      <w:r w:rsidRPr="00F34C6E">
        <w:rPr>
          <w:rFonts w:asciiTheme="minorHAnsi" w:hAnsiTheme="minorHAnsi" w:cstheme="minorHAnsi"/>
        </w:rPr>
        <w:t>organised</w:t>
      </w:r>
      <w:proofErr w:type="spellEnd"/>
      <w:r w:rsidRPr="00F34C6E">
        <w:rPr>
          <w:rFonts w:asciiTheme="minorHAnsi" w:hAnsiTheme="minorHAnsi" w:cstheme="minorHAnsi"/>
        </w:rPr>
        <w:t xml:space="preserve"> view of the current state of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(Ferrar and Green, 2021). In the case of Technivara, a SWOT analysis would reveal that it has internal weaknesses, including the use of paper-based HR systems and little use of workforce data, and a number of strengths, including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growth and technical capability. </w:t>
      </w:r>
      <w:r w:rsidR="002E09A0" w:rsidRPr="00F34C6E">
        <w:rPr>
          <w:rFonts w:asciiTheme="minorHAnsi" w:hAnsiTheme="minorHAnsi" w:cstheme="minorHAnsi"/>
        </w:rPr>
        <w:t>T</w:t>
      </w:r>
      <w:r w:rsidRPr="00F34C6E">
        <w:rPr>
          <w:rFonts w:asciiTheme="minorHAnsi" w:hAnsiTheme="minorHAnsi" w:cstheme="minorHAnsi"/>
        </w:rPr>
        <w:t>he</w:t>
      </w:r>
      <w:r w:rsidR="002E09A0" w:rsidRPr="00F34C6E">
        <w:rPr>
          <w:rFonts w:asciiTheme="minorHAnsi" w:hAnsiTheme="minorHAnsi" w:cstheme="minorHAnsi"/>
        </w:rPr>
        <w:t xml:space="preserve"> </w:t>
      </w:r>
      <w:r w:rsidRPr="00F34C6E">
        <w:rPr>
          <w:rFonts w:asciiTheme="minorHAnsi" w:hAnsiTheme="minorHAnsi" w:cstheme="minorHAnsi"/>
        </w:rPr>
        <w:t xml:space="preserve">opportunities can be HR </w:t>
      </w:r>
      <w:proofErr w:type="spellStart"/>
      <w:r w:rsidRPr="00F34C6E">
        <w:rPr>
          <w:rFonts w:asciiTheme="minorHAnsi" w:hAnsiTheme="minorHAnsi" w:cstheme="minorHAnsi"/>
        </w:rPr>
        <w:t>digitalisation</w:t>
      </w:r>
      <w:proofErr w:type="spellEnd"/>
      <w:r w:rsidRPr="00F34C6E">
        <w:rPr>
          <w:rFonts w:asciiTheme="minorHAnsi" w:hAnsiTheme="minorHAnsi" w:cstheme="minorHAnsi"/>
        </w:rPr>
        <w:t xml:space="preserve"> and expanded talent pools and threats can be new competition of skilled </w:t>
      </w:r>
      <w:proofErr w:type="spellStart"/>
      <w:r w:rsidRPr="00F34C6E">
        <w:rPr>
          <w:rFonts w:asciiTheme="minorHAnsi" w:hAnsiTheme="minorHAnsi" w:cstheme="minorHAnsi"/>
        </w:rPr>
        <w:t>labour</w:t>
      </w:r>
      <w:proofErr w:type="spellEnd"/>
      <w:r w:rsidRPr="00F34C6E">
        <w:rPr>
          <w:rFonts w:asciiTheme="minorHAnsi" w:hAnsiTheme="minorHAnsi" w:cstheme="minorHAnsi"/>
        </w:rPr>
        <w:t xml:space="preserve"> or inefficiency due to ineffective processes. SWOT can also be somewhat </w:t>
      </w:r>
      <w:proofErr w:type="gramStart"/>
      <w:r w:rsidRPr="00F34C6E">
        <w:rPr>
          <w:rFonts w:asciiTheme="minorHAnsi" w:hAnsiTheme="minorHAnsi" w:cstheme="minorHAnsi"/>
        </w:rPr>
        <w:t>subjective</w:t>
      </w:r>
      <w:proofErr w:type="gramEnd"/>
      <w:r w:rsidRPr="00F34C6E">
        <w:rPr>
          <w:rFonts w:asciiTheme="minorHAnsi" w:hAnsiTheme="minorHAnsi" w:cstheme="minorHAnsi"/>
        </w:rPr>
        <w:t xml:space="preserve"> which can be a weakness because it needs to be </w:t>
      </w:r>
      <w:proofErr w:type="gramStart"/>
      <w:r w:rsidRPr="00F34C6E">
        <w:rPr>
          <w:rFonts w:asciiTheme="minorHAnsi" w:hAnsiTheme="minorHAnsi" w:cstheme="minorHAnsi"/>
        </w:rPr>
        <w:t>backed</w:t>
      </w:r>
      <w:proofErr w:type="gramEnd"/>
      <w:r w:rsidRPr="00F34C6E">
        <w:rPr>
          <w:rFonts w:asciiTheme="minorHAnsi" w:hAnsiTheme="minorHAnsi" w:cstheme="minorHAnsi"/>
        </w:rPr>
        <w:t xml:space="preserve"> by evidence. The analysis to be effective at Technivara, then, should be based on authoritative quantitative and qualitative data not solely on opinion (Sparkman, 2025).</w:t>
      </w:r>
    </w:p>
    <w:p w14:paraId="685D1973" w14:textId="3F34436C" w:rsidR="0005542B" w:rsidRPr="00F34C6E" w:rsidRDefault="008126E1" w:rsidP="0005542B">
      <w:pPr>
        <w:rPr>
          <w:rFonts w:asciiTheme="minorHAnsi" w:hAnsiTheme="minorHAnsi" w:cstheme="minorHAnsi"/>
        </w:rPr>
      </w:pPr>
      <w:r w:rsidRPr="00F34C6E">
        <w:rPr>
          <w:rFonts w:asciiTheme="minorHAnsi" w:hAnsiTheme="minorHAnsi" w:cstheme="minorHAnsi"/>
        </w:rPr>
        <w:t xml:space="preserve">A SWOT complemented by an appropriate analysis method is trend analysis, which includes the study of the workforce data across time with the aim of discovering patterns, issues, and emerging risks. In the case of Technivara, this can involve the measurement of trends in employee turnover, absence rates and recruitment results by department. To illustrate, detecting a steady rise in turnover in certain departments,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would be able to diagnose underlying factors and proactively address them prior to performance being impacted (Armstrong and Taylor, 2023). The trend analysis contributes to the evidence-based decision-making process by diverting attention to the isolated events to a more extended pattern. Its success is determined by data availability and accuracy. Technivara uses manual systems now, the data collection and record-</w:t>
      </w:r>
      <w:proofErr w:type="gramStart"/>
      <w:r w:rsidRPr="00F34C6E">
        <w:rPr>
          <w:rFonts w:asciiTheme="minorHAnsi" w:hAnsiTheme="minorHAnsi" w:cstheme="minorHAnsi"/>
        </w:rPr>
        <w:lastRenderedPageBreak/>
        <w:t>keeping would</w:t>
      </w:r>
      <w:proofErr w:type="gramEnd"/>
      <w:r w:rsidRPr="00F34C6E">
        <w:rPr>
          <w:rFonts w:asciiTheme="minorHAnsi" w:hAnsiTheme="minorHAnsi" w:cstheme="minorHAnsi"/>
        </w:rPr>
        <w:t xml:space="preserve"> need improvements in order to </w:t>
      </w:r>
      <w:proofErr w:type="spellStart"/>
      <w:r w:rsidRPr="00F34C6E">
        <w:rPr>
          <w:rFonts w:asciiTheme="minorHAnsi" w:hAnsiTheme="minorHAnsi" w:cstheme="minorHAnsi"/>
        </w:rPr>
        <w:t>maximise</w:t>
      </w:r>
      <w:proofErr w:type="spellEnd"/>
      <w:r w:rsidRPr="00F34C6E">
        <w:rPr>
          <w:rFonts w:asciiTheme="minorHAnsi" w:hAnsiTheme="minorHAnsi" w:cstheme="minorHAnsi"/>
        </w:rPr>
        <w:t xml:space="preserve"> the benefits of this approach (Whittington et al., 2019). The SWOT analysis and trend analysis would allow Technivara to diagnose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strategic problems, </w:t>
      </w:r>
      <w:proofErr w:type="spellStart"/>
      <w:r w:rsidRPr="00F34C6E">
        <w:rPr>
          <w:rFonts w:asciiTheme="minorHAnsi" w:hAnsiTheme="minorHAnsi" w:cstheme="minorHAnsi"/>
        </w:rPr>
        <w:t>recognise</w:t>
      </w:r>
      <w:proofErr w:type="spellEnd"/>
      <w:r w:rsidRPr="00F34C6E">
        <w:rPr>
          <w:rFonts w:asciiTheme="minorHAnsi" w:hAnsiTheme="minorHAnsi" w:cstheme="minorHAnsi"/>
        </w:rPr>
        <w:t xml:space="preserve"> underlying causes and </w:t>
      </w:r>
      <w:proofErr w:type="spellStart"/>
      <w:r w:rsidRPr="00F34C6E">
        <w:rPr>
          <w:rFonts w:asciiTheme="minorHAnsi" w:hAnsiTheme="minorHAnsi" w:cstheme="minorHAnsi"/>
        </w:rPr>
        <w:t>capitalise</w:t>
      </w:r>
      <w:proofErr w:type="spellEnd"/>
      <w:r w:rsidRPr="00F34C6E">
        <w:rPr>
          <w:rFonts w:asciiTheme="minorHAnsi" w:hAnsiTheme="minorHAnsi" w:cstheme="minorHAnsi"/>
        </w:rPr>
        <w:t xml:space="preserve"> on future opportunities in a more knowledgeable and methodical manner.</w:t>
      </w:r>
    </w:p>
    <w:p w14:paraId="4F34D7D7" w14:textId="28701174" w:rsidR="00771244" w:rsidRPr="00F34C6E" w:rsidRDefault="00771244" w:rsidP="00771244">
      <w:pPr>
        <w:rPr>
          <w:rFonts w:asciiTheme="minorHAnsi" w:hAnsiTheme="minorHAnsi" w:cstheme="minorHAnsi"/>
          <w:b/>
          <w:bCs/>
        </w:rPr>
      </w:pPr>
      <w:r w:rsidRPr="00F34C6E">
        <w:rPr>
          <w:rFonts w:asciiTheme="minorHAnsi" w:hAnsiTheme="minorHAnsi" w:cstheme="minorHAnsi"/>
          <w:b/>
          <w:bCs/>
        </w:rPr>
        <w:t>Q3</w:t>
      </w:r>
      <w:r w:rsidR="00F34C6E">
        <w:rPr>
          <w:rFonts w:asciiTheme="minorHAnsi" w:hAnsiTheme="minorHAnsi" w:cstheme="minorHAnsi"/>
          <w:b/>
          <w:bCs/>
        </w:rPr>
        <w:t xml:space="preserve"> - </w:t>
      </w:r>
      <w:r w:rsidRPr="00F34C6E">
        <w:rPr>
          <w:rFonts w:asciiTheme="minorHAnsi" w:hAnsiTheme="minorHAnsi" w:cstheme="minorHAnsi"/>
          <w:b/>
          <w:bCs/>
        </w:rPr>
        <w:t>AC 1.3</w:t>
      </w:r>
    </w:p>
    <w:p w14:paraId="71865252" w14:textId="275F54C7" w:rsidR="00771244" w:rsidRPr="00F34C6E" w:rsidRDefault="00C30B25" w:rsidP="00771244">
      <w:pPr>
        <w:rPr>
          <w:rFonts w:asciiTheme="minorHAnsi" w:hAnsiTheme="minorHAnsi" w:cstheme="minorHAnsi"/>
        </w:rPr>
      </w:pPr>
      <w:r w:rsidRPr="00F34C6E">
        <w:rPr>
          <w:rFonts w:asciiTheme="minorHAnsi" w:hAnsiTheme="minorHAnsi" w:cstheme="minorHAnsi"/>
        </w:rPr>
        <w:t xml:space="preserve">Critical thinking refers to the process of examination of information in a disciplined way, data questioning and drawing well-founded conclusions grounded on evidence (Nicola et al., 2020). In people </w:t>
      </w:r>
      <w:r w:rsidR="00F34C6E" w:rsidRPr="00F34C6E">
        <w:rPr>
          <w:rFonts w:asciiTheme="minorHAnsi" w:hAnsiTheme="minorHAnsi" w:cstheme="minorHAnsi"/>
        </w:rPr>
        <w:t>practice</w:t>
      </w:r>
      <w:r w:rsidRPr="00F34C6E">
        <w:rPr>
          <w:rFonts w:asciiTheme="minorHAnsi" w:hAnsiTheme="minorHAnsi" w:cstheme="minorHAnsi"/>
        </w:rPr>
        <w:t xml:space="preserve"> critical thinking plays a vital role in making sure that decisions made relies on being fair, rational, and </w:t>
      </w:r>
      <w:r w:rsidR="0007108F" w:rsidRPr="00F34C6E">
        <w:rPr>
          <w:rFonts w:asciiTheme="minorHAnsi" w:hAnsiTheme="minorHAnsi" w:cstheme="minorHAnsi"/>
        </w:rPr>
        <w:t>in line</w:t>
      </w:r>
      <w:r w:rsidRPr="00F34C6E">
        <w:rPr>
          <w:rFonts w:asciiTheme="minorHAnsi" w:hAnsiTheme="minorHAnsi" w:cstheme="minorHAnsi"/>
        </w:rPr>
        <w:t xml:space="preserve"> with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objectives, as opposed to being affected by habit, personal preference or seniority. Objectivity is one of the principles of critical thinking, and it presupposes the division of facts and opinions (SMITH and MITCHELL, 2022). At Technivara this would entail ensuring the reliability of data </w:t>
      </w:r>
      <w:proofErr w:type="gramStart"/>
      <w:r w:rsidRPr="00F34C6E">
        <w:rPr>
          <w:rFonts w:asciiTheme="minorHAnsi" w:hAnsiTheme="minorHAnsi" w:cstheme="minorHAnsi"/>
        </w:rPr>
        <w:t>that people</w:t>
      </w:r>
      <w:proofErr w:type="gramEnd"/>
      <w:r w:rsidRPr="00F34C6E">
        <w:rPr>
          <w:rFonts w:asciiTheme="minorHAnsi" w:hAnsiTheme="minorHAnsi" w:cstheme="minorHAnsi"/>
        </w:rPr>
        <w:t xml:space="preserve"> professionals can discuss as opposed to using past successes as evidence that current </w:t>
      </w:r>
      <w:r w:rsidR="00F34C6E" w:rsidRPr="00F34C6E">
        <w:rPr>
          <w:rFonts w:asciiTheme="minorHAnsi" w:hAnsiTheme="minorHAnsi" w:cstheme="minorHAnsi"/>
        </w:rPr>
        <w:t>practice</w:t>
      </w:r>
      <w:r w:rsidRPr="00F34C6E">
        <w:rPr>
          <w:rFonts w:asciiTheme="minorHAnsi" w:hAnsiTheme="minorHAnsi" w:cstheme="minorHAnsi"/>
        </w:rPr>
        <w:t xml:space="preserve">s do work. The second principle is </w:t>
      </w:r>
      <w:proofErr w:type="spellStart"/>
      <w:r w:rsidRPr="00F34C6E">
        <w:rPr>
          <w:rFonts w:asciiTheme="minorHAnsi" w:hAnsiTheme="minorHAnsi" w:cstheme="minorHAnsi"/>
        </w:rPr>
        <w:t>scepticism</w:t>
      </w:r>
      <w:proofErr w:type="spellEnd"/>
      <w:r w:rsidRPr="00F34C6E">
        <w:rPr>
          <w:rFonts w:asciiTheme="minorHAnsi" w:hAnsiTheme="minorHAnsi" w:cstheme="minorHAnsi"/>
        </w:rPr>
        <w:t xml:space="preserve">, which makes the person ask whether information is full, accurate as well as relevant. To illustrate, the notion that paper-based systems are good enough should be disputed by looking at evidence both in the area of efficiency, accuracy, and risk. Another significant principle is logical reasoning, which makes sure that the conclusions are a natural continuation of the evidence provided (Den Hertog and Niessen, 2019). This </w:t>
      </w:r>
      <w:proofErr w:type="spellStart"/>
      <w:r w:rsidRPr="00F34C6E">
        <w:rPr>
          <w:rFonts w:asciiTheme="minorHAnsi" w:hAnsiTheme="minorHAnsi" w:cstheme="minorHAnsi"/>
        </w:rPr>
        <w:t>favours</w:t>
      </w:r>
      <w:proofErr w:type="spellEnd"/>
      <w:r w:rsidRPr="00F34C6E">
        <w:rPr>
          <w:rFonts w:asciiTheme="minorHAnsi" w:hAnsiTheme="minorHAnsi" w:cstheme="minorHAnsi"/>
        </w:rPr>
        <w:t xml:space="preserve"> orderly and logical argument, especially in decision making in regard to change. </w:t>
      </w:r>
      <w:r w:rsidR="00CE4B8B" w:rsidRPr="00F34C6E">
        <w:rPr>
          <w:rFonts w:asciiTheme="minorHAnsi" w:hAnsiTheme="minorHAnsi" w:cstheme="minorHAnsi"/>
        </w:rPr>
        <w:t>O</w:t>
      </w:r>
      <w:r w:rsidRPr="00F34C6E">
        <w:rPr>
          <w:rFonts w:asciiTheme="minorHAnsi" w:hAnsiTheme="minorHAnsi" w:cstheme="minorHAnsi"/>
        </w:rPr>
        <w:t xml:space="preserve">pen-mindedness is also decisive in critical thinking because it consists of readiness to listen to different points of view and acknowledge that the old one might require alterations with the advent of new evidence. This applies more specifically when dealing with an expanding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such as Technivara where previous </w:t>
      </w:r>
      <w:r w:rsidR="00F34C6E" w:rsidRPr="00F34C6E">
        <w:rPr>
          <w:rFonts w:asciiTheme="minorHAnsi" w:hAnsiTheme="minorHAnsi" w:cstheme="minorHAnsi"/>
        </w:rPr>
        <w:t>practice</w:t>
      </w:r>
      <w:r w:rsidRPr="00F34C6E">
        <w:rPr>
          <w:rFonts w:asciiTheme="minorHAnsi" w:hAnsiTheme="minorHAnsi" w:cstheme="minorHAnsi"/>
        </w:rPr>
        <w:t xml:space="preserve">s might have become outdated due to </w:t>
      </w:r>
      <w:proofErr w:type="gramStart"/>
      <w:r w:rsidRPr="00F34C6E">
        <w:rPr>
          <w:rFonts w:asciiTheme="minorHAnsi" w:hAnsiTheme="minorHAnsi" w:cstheme="minorHAnsi"/>
        </w:rPr>
        <w:t>the future</w:t>
      </w:r>
      <w:proofErr w:type="gramEnd"/>
      <w:r w:rsidRPr="00F34C6E">
        <w:rPr>
          <w:rFonts w:asciiTheme="minorHAnsi" w:hAnsiTheme="minorHAnsi" w:cstheme="minorHAnsi"/>
        </w:rPr>
        <w:t xml:space="preserve"> requirements.</w:t>
      </w:r>
    </w:p>
    <w:p w14:paraId="0DB011A4" w14:textId="3C547BCA" w:rsidR="0005542B" w:rsidRPr="00F34C6E" w:rsidRDefault="004562A0" w:rsidP="0005542B">
      <w:pPr>
        <w:rPr>
          <w:rFonts w:asciiTheme="minorHAnsi" w:hAnsiTheme="minorHAnsi" w:cstheme="minorHAnsi"/>
        </w:rPr>
      </w:pPr>
      <w:r w:rsidRPr="00F34C6E">
        <w:rPr>
          <w:rFonts w:asciiTheme="minorHAnsi" w:hAnsiTheme="minorHAnsi" w:cstheme="minorHAnsi"/>
        </w:rPr>
        <w:t>To apply critical thinking to personal ideas, one has to be self-reflecting and mindful of personal biases. Technivara people practitioners should be willing to question their own assumptions and change their perceptions when growth of evidence indicates that a better way can work (</w:t>
      </w:r>
      <w:proofErr w:type="spellStart"/>
      <w:r w:rsidRPr="00F34C6E">
        <w:rPr>
          <w:rFonts w:asciiTheme="minorHAnsi" w:hAnsiTheme="minorHAnsi" w:cstheme="minorHAnsi"/>
        </w:rPr>
        <w:t>Facione</w:t>
      </w:r>
      <w:proofErr w:type="spellEnd"/>
      <w:r w:rsidRPr="00F34C6E">
        <w:rPr>
          <w:rFonts w:asciiTheme="minorHAnsi" w:hAnsiTheme="minorHAnsi" w:cstheme="minorHAnsi"/>
        </w:rPr>
        <w:t xml:space="preserve">, 2020). The critical thinking applied to the ideas of other people consists not only of </w:t>
      </w:r>
      <w:proofErr w:type="gramStart"/>
      <w:r w:rsidRPr="00F34C6E">
        <w:rPr>
          <w:rFonts w:asciiTheme="minorHAnsi" w:hAnsiTheme="minorHAnsi" w:cstheme="minorHAnsi"/>
        </w:rPr>
        <w:t>the respectful</w:t>
      </w:r>
      <w:proofErr w:type="gramEnd"/>
      <w:r w:rsidRPr="00F34C6E">
        <w:rPr>
          <w:rFonts w:asciiTheme="minorHAnsi" w:hAnsiTheme="minorHAnsi" w:cstheme="minorHAnsi"/>
        </w:rPr>
        <w:t xml:space="preserve"> questioning and constructive challenge but also in accepting the views because they are offered </w:t>
      </w:r>
      <w:r w:rsidRPr="00F34C6E">
        <w:rPr>
          <w:rFonts w:asciiTheme="minorHAnsi" w:hAnsiTheme="minorHAnsi" w:cstheme="minorHAnsi"/>
        </w:rPr>
        <w:lastRenderedPageBreak/>
        <w:t>by the senior leaders, like Bill Swanky. Through open and evidence-based dialogue, critical thinking would embrace objective and rational debate in Technivara. This would empower decision making, lessen resistance to change and the posterity of the people function because it clearly shows that suggestions are informed by so</w:t>
      </w:r>
      <w:r w:rsidR="00D02DE8" w:rsidRPr="00F34C6E">
        <w:rPr>
          <w:rFonts w:asciiTheme="minorHAnsi" w:hAnsiTheme="minorHAnsi" w:cstheme="minorHAnsi"/>
        </w:rPr>
        <w:t xml:space="preserve"> </w:t>
      </w:r>
      <w:r w:rsidR="00581672" w:rsidRPr="00F34C6E">
        <w:rPr>
          <w:rFonts w:asciiTheme="minorHAnsi" w:hAnsiTheme="minorHAnsi" w:cstheme="minorHAnsi"/>
        </w:rPr>
        <w:t>underlines</w:t>
      </w:r>
      <w:r w:rsidRPr="00F34C6E">
        <w:rPr>
          <w:rFonts w:asciiTheme="minorHAnsi" w:hAnsiTheme="minorHAnsi" w:cstheme="minorHAnsi"/>
        </w:rPr>
        <w:t xml:space="preserve"> and facts, and not choice.</w:t>
      </w:r>
      <w:r w:rsidR="00F95393" w:rsidRPr="00F34C6E">
        <w:rPr>
          <w:rFonts w:asciiTheme="minorHAnsi" w:hAnsiTheme="minorHAnsi" w:cstheme="minorHAnsi"/>
        </w:rPr>
        <w:t xml:space="preserve"> Critical thinking facilitates objective and rational discussion by promoting evidence-based discussion and </w:t>
      </w:r>
      <w:proofErr w:type="spellStart"/>
      <w:r w:rsidR="00F95393" w:rsidRPr="00F34C6E">
        <w:rPr>
          <w:rFonts w:asciiTheme="minorHAnsi" w:hAnsiTheme="minorHAnsi" w:cstheme="minorHAnsi"/>
        </w:rPr>
        <w:t>minimising</w:t>
      </w:r>
      <w:proofErr w:type="spellEnd"/>
      <w:r w:rsidR="00F95393" w:rsidRPr="00F34C6E">
        <w:rPr>
          <w:rFonts w:asciiTheme="minorHAnsi" w:hAnsiTheme="minorHAnsi" w:cstheme="minorHAnsi"/>
        </w:rPr>
        <w:t xml:space="preserve"> bias. These principles would be beneficial in applying to challenge the old ways of doing things at Technivara. It would also facilitate free communication among </w:t>
      </w:r>
      <w:proofErr w:type="gramStart"/>
      <w:r w:rsidR="00F95393" w:rsidRPr="00F34C6E">
        <w:rPr>
          <w:rFonts w:asciiTheme="minorHAnsi" w:hAnsiTheme="minorHAnsi" w:cstheme="minorHAnsi"/>
        </w:rPr>
        <w:t>people</w:t>
      </w:r>
      <w:proofErr w:type="gramEnd"/>
      <w:r w:rsidR="00F95393" w:rsidRPr="00F34C6E">
        <w:rPr>
          <w:rFonts w:asciiTheme="minorHAnsi" w:hAnsiTheme="minorHAnsi" w:cstheme="minorHAnsi"/>
        </w:rPr>
        <w:t xml:space="preserve"> professionals and senior leadership. The strategy enhances the quality of decisions and promotes </w:t>
      </w:r>
      <w:proofErr w:type="spellStart"/>
      <w:r w:rsidR="00F95393" w:rsidRPr="00F34C6E">
        <w:rPr>
          <w:rFonts w:asciiTheme="minorHAnsi" w:hAnsiTheme="minorHAnsi" w:cstheme="minorHAnsi"/>
        </w:rPr>
        <w:t>organisational</w:t>
      </w:r>
      <w:proofErr w:type="spellEnd"/>
      <w:r w:rsidR="00F95393" w:rsidRPr="00F34C6E">
        <w:rPr>
          <w:rFonts w:asciiTheme="minorHAnsi" w:hAnsiTheme="minorHAnsi" w:cstheme="minorHAnsi"/>
        </w:rPr>
        <w:t xml:space="preserve"> change.</w:t>
      </w:r>
    </w:p>
    <w:p w14:paraId="36A17CAC" w14:textId="317A1231" w:rsidR="0005542B" w:rsidRPr="00F34C6E" w:rsidRDefault="0005542B" w:rsidP="0005542B">
      <w:pPr>
        <w:rPr>
          <w:rFonts w:asciiTheme="minorHAnsi" w:hAnsiTheme="minorHAnsi" w:cstheme="minorHAnsi"/>
          <w:b/>
          <w:bCs/>
        </w:rPr>
      </w:pPr>
      <w:r w:rsidRPr="00F34C6E">
        <w:rPr>
          <w:rFonts w:asciiTheme="minorHAnsi" w:hAnsiTheme="minorHAnsi" w:cstheme="minorHAnsi"/>
          <w:b/>
          <w:bCs/>
        </w:rPr>
        <w:t>Q4</w:t>
      </w:r>
      <w:r w:rsidR="00F34C6E">
        <w:rPr>
          <w:rFonts w:asciiTheme="minorHAnsi" w:hAnsiTheme="minorHAnsi" w:cstheme="minorHAnsi"/>
          <w:b/>
          <w:bCs/>
        </w:rPr>
        <w:t xml:space="preserve"> - </w:t>
      </w:r>
      <w:r w:rsidRPr="00F34C6E">
        <w:rPr>
          <w:rFonts w:asciiTheme="minorHAnsi" w:hAnsiTheme="minorHAnsi" w:cstheme="minorHAnsi"/>
          <w:b/>
          <w:bCs/>
        </w:rPr>
        <w:t>AC 1.4</w:t>
      </w:r>
    </w:p>
    <w:p w14:paraId="3C399105" w14:textId="3ED76654" w:rsidR="00C25F22" w:rsidRPr="00F34C6E" w:rsidRDefault="002B48F4" w:rsidP="00C25F22">
      <w:pPr>
        <w:rPr>
          <w:rFonts w:asciiTheme="minorHAnsi" w:hAnsiTheme="minorHAnsi" w:cstheme="minorHAnsi"/>
        </w:rPr>
      </w:pPr>
      <w:r w:rsidRPr="00F34C6E">
        <w:rPr>
          <w:rFonts w:asciiTheme="minorHAnsi" w:hAnsiTheme="minorHAnsi" w:cstheme="minorHAnsi"/>
        </w:rPr>
        <w:t xml:space="preserve">Quality decision making plays a crucial role in making sure that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goals are </w:t>
      </w:r>
      <w:proofErr w:type="spellStart"/>
      <w:r w:rsidRPr="00F34C6E">
        <w:rPr>
          <w:rFonts w:asciiTheme="minorHAnsi" w:hAnsiTheme="minorHAnsi" w:cstheme="minorHAnsi"/>
        </w:rPr>
        <w:t>realised</w:t>
      </w:r>
      <w:proofErr w:type="spellEnd"/>
      <w:r w:rsidRPr="00F34C6E">
        <w:rPr>
          <w:rFonts w:asciiTheme="minorHAnsi" w:hAnsiTheme="minorHAnsi" w:cstheme="minorHAnsi"/>
        </w:rPr>
        <w:t xml:space="preserve"> in a sustainable and steady manner. As Technivara expands, implementing a structured decision-making process would enable mitigating the risk and enhancing the quality of the people-related decisions. The rational decision-making model is one of the suitable </w:t>
      </w:r>
      <w:r w:rsidR="00F34C6E" w:rsidRPr="00F34C6E">
        <w:rPr>
          <w:rFonts w:asciiTheme="minorHAnsi" w:hAnsiTheme="minorHAnsi" w:cstheme="minorHAnsi"/>
        </w:rPr>
        <w:t>practice</w:t>
      </w:r>
      <w:r w:rsidRPr="00F34C6E">
        <w:rPr>
          <w:rFonts w:asciiTheme="minorHAnsi" w:hAnsiTheme="minorHAnsi" w:cstheme="minorHAnsi"/>
        </w:rPr>
        <w:t xml:space="preserve">s and provides a clear sequence of steps, including the identification of the problem, collection of appropriate evidence, evaluation of existing options, the selection of the most suitable solution, its implementation and assessment of results (Hoffmann et al., 2023). This procedure is quite similar to evidence-based </w:t>
      </w:r>
      <w:r w:rsidR="00F34C6E" w:rsidRPr="00F34C6E">
        <w:rPr>
          <w:rFonts w:asciiTheme="minorHAnsi" w:hAnsiTheme="minorHAnsi" w:cstheme="minorHAnsi"/>
        </w:rPr>
        <w:t>practice</w:t>
      </w:r>
      <w:r w:rsidRPr="00F34C6E">
        <w:rPr>
          <w:rFonts w:asciiTheme="minorHAnsi" w:hAnsiTheme="minorHAnsi" w:cstheme="minorHAnsi"/>
        </w:rPr>
        <w:t xml:space="preserve">, since it focuses on using </w:t>
      </w:r>
      <w:proofErr w:type="gramStart"/>
      <w:r w:rsidRPr="00F34C6E">
        <w:rPr>
          <w:rFonts w:asciiTheme="minorHAnsi" w:hAnsiTheme="minorHAnsi" w:cstheme="minorHAnsi"/>
        </w:rPr>
        <w:t>the credible</w:t>
      </w:r>
      <w:proofErr w:type="gramEnd"/>
      <w:r w:rsidRPr="00F34C6E">
        <w:rPr>
          <w:rFonts w:asciiTheme="minorHAnsi" w:hAnsiTheme="minorHAnsi" w:cstheme="minorHAnsi"/>
        </w:rPr>
        <w:t xml:space="preserve"> data and objective examination at every step. The rational model may prove especially helpful in Technivara concerning workforce planning, recruitment strategy and performance management, the decisions that have long-term consequences. Its formal character endorses transparency and </w:t>
      </w:r>
      <w:proofErr w:type="gramStart"/>
      <w:r w:rsidRPr="00F34C6E">
        <w:rPr>
          <w:rFonts w:asciiTheme="minorHAnsi" w:hAnsiTheme="minorHAnsi" w:cstheme="minorHAnsi"/>
        </w:rPr>
        <w:t>consistency</w:t>
      </w:r>
      <w:proofErr w:type="gramEnd"/>
      <w:r w:rsidRPr="00F34C6E">
        <w:rPr>
          <w:rFonts w:asciiTheme="minorHAnsi" w:hAnsiTheme="minorHAnsi" w:cstheme="minorHAnsi"/>
        </w:rPr>
        <w:t xml:space="preserve"> and it is therefore easier to defend decisions </w:t>
      </w:r>
      <w:proofErr w:type="gramStart"/>
      <w:r w:rsidRPr="00F34C6E">
        <w:rPr>
          <w:rFonts w:asciiTheme="minorHAnsi" w:hAnsiTheme="minorHAnsi" w:cstheme="minorHAnsi"/>
        </w:rPr>
        <w:t>to</w:t>
      </w:r>
      <w:proofErr w:type="gramEnd"/>
      <w:r w:rsidRPr="00F34C6E">
        <w:rPr>
          <w:rFonts w:asciiTheme="minorHAnsi" w:hAnsiTheme="minorHAnsi" w:cstheme="minorHAnsi"/>
        </w:rPr>
        <w:t xml:space="preserve"> both senior leadership and employees. This method might be time-intensive and not very applicable in such cases when prompt action is needed, which is why it should be flexible (Eberhard, 2023).</w:t>
      </w:r>
    </w:p>
    <w:p w14:paraId="74F92BC0" w14:textId="2A18F0A7" w:rsidR="00933A28" w:rsidRPr="00F34C6E" w:rsidRDefault="00F7734E" w:rsidP="00C25F22">
      <w:pPr>
        <w:rPr>
          <w:rFonts w:asciiTheme="minorHAnsi" w:hAnsiTheme="minorHAnsi" w:cstheme="minorHAnsi"/>
        </w:rPr>
      </w:pPr>
      <w:r w:rsidRPr="00F34C6E">
        <w:rPr>
          <w:rFonts w:asciiTheme="minorHAnsi" w:hAnsiTheme="minorHAnsi" w:cstheme="minorHAnsi"/>
        </w:rPr>
        <w:t xml:space="preserve">The second decision-making process that Technivara might pursue is evidence-based collaborative decision-making. This method appeals to both data and professional judgement coupled with the contribution of relevant stakeholders, including the employees, line managers and trade union representatives. As an illustration, Technivara might use consultations and </w:t>
      </w:r>
      <w:r w:rsidRPr="00F34C6E">
        <w:rPr>
          <w:rFonts w:asciiTheme="minorHAnsi" w:hAnsiTheme="minorHAnsi" w:cstheme="minorHAnsi"/>
        </w:rPr>
        <w:lastRenderedPageBreak/>
        <w:t>surveys among staff members alongside performance metrics and best-</w:t>
      </w:r>
      <w:r w:rsidR="00F34C6E" w:rsidRPr="00F34C6E">
        <w:rPr>
          <w:rFonts w:asciiTheme="minorHAnsi" w:hAnsiTheme="minorHAnsi" w:cstheme="minorHAnsi"/>
        </w:rPr>
        <w:t>practice</w:t>
      </w:r>
      <w:r w:rsidRPr="00F34C6E">
        <w:rPr>
          <w:rFonts w:asciiTheme="minorHAnsi" w:hAnsiTheme="minorHAnsi" w:cstheme="minorHAnsi"/>
        </w:rPr>
        <w:t xml:space="preserve"> studies when implementing new HR technologies or revising people policies (Armstrong and Taylor, 2023). This process assists in making sure that decisions are realistic, participative and focused </w:t>
      </w:r>
      <w:proofErr w:type="gramStart"/>
      <w:r w:rsidRPr="00F34C6E">
        <w:rPr>
          <w:rFonts w:asciiTheme="minorHAnsi" w:hAnsiTheme="minorHAnsi" w:cstheme="minorHAnsi"/>
        </w:rPr>
        <w:t>to</w:t>
      </w:r>
      <w:proofErr w:type="gramEnd"/>
      <w:r w:rsidRPr="00F34C6E">
        <w:rPr>
          <w:rFonts w:asciiTheme="minorHAnsi" w:hAnsiTheme="minorHAnsi" w:cstheme="minorHAnsi"/>
        </w:rPr>
        <w:t xml:space="preserve"> the workforce requirements. The most notable benefit is that it enhances stakeholder interest and decreases change resistance especially in an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where the culture is traditionally managed (Sparkman, 2025). There are also limitations of collaborative decision making. It also might be resource </w:t>
      </w:r>
      <w:proofErr w:type="gramStart"/>
      <w:r w:rsidRPr="00F34C6E">
        <w:rPr>
          <w:rFonts w:asciiTheme="minorHAnsi" w:hAnsiTheme="minorHAnsi" w:cstheme="minorHAnsi"/>
        </w:rPr>
        <w:t>intensive</w:t>
      </w:r>
      <w:proofErr w:type="gramEnd"/>
      <w:r w:rsidRPr="00F34C6E">
        <w:rPr>
          <w:rFonts w:asciiTheme="minorHAnsi" w:hAnsiTheme="minorHAnsi" w:cstheme="minorHAnsi"/>
        </w:rPr>
        <w:t xml:space="preserve"> and it can retard the decision-making process when there is lack of clear roles and responsibilities. This would have to be well governed and facilitated by the people </w:t>
      </w:r>
      <w:r w:rsidR="00F34C6E" w:rsidRPr="00F34C6E">
        <w:rPr>
          <w:rFonts w:asciiTheme="minorHAnsi" w:hAnsiTheme="minorHAnsi" w:cstheme="minorHAnsi"/>
        </w:rPr>
        <w:t>practice</w:t>
      </w:r>
      <w:r w:rsidRPr="00F34C6E">
        <w:rPr>
          <w:rFonts w:asciiTheme="minorHAnsi" w:hAnsiTheme="minorHAnsi" w:cstheme="minorHAnsi"/>
        </w:rPr>
        <w:t xml:space="preserve"> team to be effective at Technivara (Jaillet et al., 2022). Through evidence-based collaborative and rational decision-making models, Technivara could possibly be in a better position to </w:t>
      </w:r>
      <w:proofErr w:type="spellStart"/>
      <w:r w:rsidRPr="00F34C6E">
        <w:rPr>
          <w:rFonts w:asciiTheme="minorHAnsi" w:hAnsiTheme="minorHAnsi" w:cstheme="minorHAnsi"/>
        </w:rPr>
        <w:t>realise</w:t>
      </w:r>
      <w:proofErr w:type="spellEnd"/>
      <w:r w:rsidRPr="00F34C6E">
        <w:rPr>
          <w:rFonts w:asciiTheme="minorHAnsi" w:hAnsiTheme="minorHAnsi" w:cstheme="minorHAnsi"/>
        </w:rPr>
        <w:t xml:space="preserve"> optimal results by balancing efficiency, inclusiveness and strategic orientation.</w:t>
      </w:r>
      <w:r w:rsidR="00F00240" w:rsidRPr="00F34C6E">
        <w:rPr>
          <w:rFonts w:asciiTheme="minorHAnsi" w:hAnsiTheme="minorHAnsi" w:cstheme="minorHAnsi"/>
        </w:rPr>
        <w:t xml:space="preserve"> Rational decision-making </w:t>
      </w:r>
      <w:proofErr w:type="gramStart"/>
      <w:r w:rsidR="00F00240" w:rsidRPr="00F34C6E">
        <w:rPr>
          <w:rFonts w:asciiTheme="minorHAnsi" w:hAnsiTheme="minorHAnsi" w:cstheme="minorHAnsi"/>
        </w:rPr>
        <w:t>model</w:t>
      </w:r>
      <w:proofErr w:type="gramEnd"/>
      <w:r w:rsidR="00F00240" w:rsidRPr="00F34C6E">
        <w:rPr>
          <w:rFonts w:asciiTheme="minorHAnsi" w:hAnsiTheme="minorHAnsi" w:cstheme="minorHAnsi"/>
        </w:rPr>
        <w:t xml:space="preserve"> and collaborative evidence-based decision-making have complementary advantages. The rational model promotes consistency and transparency in comparison to collaboration that helps to engage more manage stakeholders. These methods make tradeoffs between effectiveness and inclusion. This would assist Technivara in </w:t>
      </w:r>
      <w:proofErr w:type="spellStart"/>
      <w:r w:rsidR="00F00240" w:rsidRPr="00F34C6E">
        <w:rPr>
          <w:rFonts w:asciiTheme="minorHAnsi" w:hAnsiTheme="minorHAnsi" w:cstheme="minorHAnsi"/>
        </w:rPr>
        <w:t>realising</w:t>
      </w:r>
      <w:proofErr w:type="spellEnd"/>
      <w:r w:rsidR="00F00240" w:rsidRPr="00F34C6E">
        <w:rPr>
          <w:rFonts w:asciiTheme="minorHAnsi" w:hAnsiTheme="minorHAnsi" w:cstheme="minorHAnsi"/>
        </w:rPr>
        <w:t xml:space="preserve"> successful and sustainable results.</w:t>
      </w:r>
    </w:p>
    <w:p w14:paraId="02D66F91" w14:textId="11331129" w:rsidR="0005542B" w:rsidRPr="00F34C6E" w:rsidRDefault="0005542B" w:rsidP="0005542B">
      <w:pPr>
        <w:rPr>
          <w:rFonts w:asciiTheme="minorHAnsi" w:hAnsiTheme="minorHAnsi" w:cstheme="minorHAnsi"/>
          <w:b/>
          <w:bCs/>
        </w:rPr>
      </w:pPr>
      <w:r w:rsidRPr="00F34C6E">
        <w:rPr>
          <w:rFonts w:asciiTheme="minorHAnsi" w:hAnsiTheme="minorHAnsi" w:cstheme="minorHAnsi"/>
          <w:b/>
          <w:bCs/>
        </w:rPr>
        <w:t>Q5</w:t>
      </w:r>
      <w:r w:rsidR="00F34C6E">
        <w:rPr>
          <w:rFonts w:asciiTheme="minorHAnsi" w:hAnsiTheme="minorHAnsi" w:cstheme="minorHAnsi"/>
          <w:b/>
          <w:bCs/>
        </w:rPr>
        <w:t xml:space="preserve"> - </w:t>
      </w:r>
      <w:r w:rsidRPr="00F34C6E">
        <w:rPr>
          <w:rFonts w:asciiTheme="minorHAnsi" w:hAnsiTheme="minorHAnsi" w:cstheme="minorHAnsi"/>
          <w:b/>
          <w:bCs/>
        </w:rPr>
        <w:t>AC 1.5</w:t>
      </w:r>
    </w:p>
    <w:p w14:paraId="70C726CF" w14:textId="19918ED2" w:rsidR="006E3A07" w:rsidRPr="00F34C6E" w:rsidRDefault="00903C56" w:rsidP="006E3A07">
      <w:pPr>
        <w:rPr>
          <w:rFonts w:asciiTheme="minorHAnsi" w:hAnsiTheme="minorHAnsi" w:cstheme="minorHAnsi"/>
        </w:rPr>
      </w:pPr>
      <w:r w:rsidRPr="00F34C6E">
        <w:rPr>
          <w:rFonts w:asciiTheme="minorHAnsi" w:hAnsiTheme="minorHAnsi" w:cstheme="minorHAnsi"/>
        </w:rPr>
        <w:t xml:space="preserve">Effective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 xml:space="preserve"> is based on ethical decision-making, especially in times of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growth and change. Utilitarianism and deontology are two ethical views that are particularly applicable to Technivara, as they represent opposing but complementary ideas of judging decisions pertaining to people. Utilitarianism is concerned with </w:t>
      </w:r>
      <w:proofErr w:type="spellStart"/>
      <w:r w:rsidRPr="00F34C6E">
        <w:rPr>
          <w:rFonts w:asciiTheme="minorHAnsi" w:hAnsiTheme="minorHAnsi" w:cstheme="minorHAnsi"/>
        </w:rPr>
        <w:t>maximising</w:t>
      </w:r>
      <w:proofErr w:type="spellEnd"/>
      <w:r w:rsidRPr="00F34C6E">
        <w:rPr>
          <w:rFonts w:asciiTheme="minorHAnsi" w:hAnsiTheme="minorHAnsi" w:cstheme="minorHAnsi"/>
        </w:rPr>
        <w:t xml:space="preserve"> good to the maximum number of individuals by considering consequences of actions (Pearce and Locke, 2023). In Technivara, this view may be considered in the development of new HR technologies or process automation that will offer greater efficiency and less administrative load. In a utilitarian perspective, it would be deemed as ethical provided that these changes result in net productivity, service delivery, and benefits to the majority of employees (Smith and Mitchell, 2022). One of the shortcomings of utilitarianism is that it can ignore detrimental ensuing effects on minor groups, including workers who are not adept at digital transformation. To implement this strategy in a </w:t>
      </w:r>
      <w:r w:rsidRPr="00F34C6E">
        <w:rPr>
          <w:rFonts w:asciiTheme="minorHAnsi" w:hAnsiTheme="minorHAnsi" w:cstheme="minorHAnsi"/>
        </w:rPr>
        <w:lastRenderedPageBreak/>
        <w:t>responsible manner, Technivara would have to reduce the possible harm by training, redeploying, or supporting (Maddox-Daines, 2023).</w:t>
      </w:r>
    </w:p>
    <w:p w14:paraId="038F243A" w14:textId="7BC4F1C1" w:rsidR="0005542B" w:rsidRPr="00F34C6E" w:rsidRDefault="00B54135" w:rsidP="0005542B">
      <w:pPr>
        <w:rPr>
          <w:rFonts w:asciiTheme="minorHAnsi" w:hAnsiTheme="minorHAnsi" w:cstheme="minorHAnsi"/>
        </w:rPr>
      </w:pPr>
      <w:r w:rsidRPr="00F34C6E">
        <w:rPr>
          <w:rFonts w:asciiTheme="minorHAnsi" w:hAnsiTheme="minorHAnsi" w:cstheme="minorHAnsi"/>
        </w:rPr>
        <w:t xml:space="preserve">However, deontology depends on obligations, rights, moral rules and principles as opposed to results. Ethical decisions are deemed to be correct when they are just, steady and consider personal rights, irrespective of the outcomes (Treviño and Nelson, 2021). In Technivara, deontological approach can inform the decision-making process regarding recruitment, performance management or redundancy so that the policies are implemented in a transparent, consistent and non-discriminatory manner. The same view justifies trust, fairness and procedural justice, which are especially relevant in the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change (Crane et al., 2019). Rigorous compliance with regulations can decrease </w:t>
      </w:r>
      <w:proofErr w:type="gramStart"/>
      <w:r w:rsidRPr="00F34C6E">
        <w:rPr>
          <w:rFonts w:asciiTheme="minorHAnsi" w:hAnsiTheme="minorHAnsi" w:cstheme="minorHAnsi"/>
        </w:rPr>
        <w:t>the flexibility</w:t>
      </w:r>
      <w:proofErr w:type="gramEnd"/>
      <w:r w:rsidRPr="00F34C6E">
        <w:rPr>
          <w:rFonts w:asciiTheme="minorHAnsi" w:hAnsiTheme="minorHAnsi" w:cstheme="minorHAnsi"/>
        </w:rPr>
        <w:t xml:space="preserve"> and slow </w:t>
      </w:r>
      <w:proofErr w:type="gramStart"/>
      <w:r w:rsidRPr="00F34C6E">
        <w:rPr>
          <w:rFonts w:asciiTheme="minorHAnsi" w:hAnsiTheme="minorHAnsi" w:cstheme="minorHAnsi"/>
        </w:rPr>
        <w:t>the decision</w:t>
      </w:r>
      <w:proofErr w:type="gramEnd"/>
      <w:r w:rsidRPr="00F34C6E">
        <w:rPr>
          <w:rFonts w:asciiTheme="minorHAnsi" w:hAnsiTheme="minorHAnsi" w:cstheme="minorHAnsi"/>
        </w:rPr>
        <w:t xml:space="preserve">-making in dynamic settings. A combination of utilitarian and deontological views would enable Technivara to make morally responsible choices that take into account the results of the whole group and the rights of an individual. This moderation helps </w:t>
      </w:r>
      <w:r w:rsidR="00F34C6E" w:rsidRPr="00F34C6E">
        <w:rPr>
          <w:rFonts w:asciiTheme="minorHAnsi" w:hAnsiTheme="minorHAnsi" w:cstheme="minorHAnsi"/>
        </w:rPr>
        <w:t>instill</w:t>
      </w:r>
      <w:r w:rsidRPr="00F34C6E">
        <w:rPr>
          <w:rFonts w:asciiTheme="minorHAnsi" w:hAnsiTheme="minorHAnsi" w:cstheme="minorHAnsi"/>
        </w:rPr>
        <w:t xml:space="preserve"> trust, risk management and sustainable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development and uphold ethical integrity in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w:t>
      </w:r>
    </w:p>
    <w:p w14:paraId="256D7061" w14:textId="7E54721C" w:rsidR="0005542B" w:rsidRPr="00F34C6E" w:rsidRDefault="0005542B" w:rsidP="0005542B">
      <w:pPr>
        <w:rPr>
          <w:rFonts w:asciiTheme="minorHAnsi" w:hAnsiTheme="minorHAnsi" w:cstheme="minorHAnsi"/>
          <w:b/>
          <w:bCs/>
        </w:rPr>
      </w:pPr>
      <w:r w:rsidRPr="00F34C6E">
        <w:rPr>
          <w:rFonts w:asciiTheme="minorHAnsi" w:hAnsiTheme="minorHAnsi" w:cstheme="minorHAnsi"/>
          <w:b/>
          <w:bCs/>
        </w:rPr>
        <w:t>Q6</w:t>
      </w:r>
      <w:r w:rsidR="00F34C6E">
        <w:rPr>
          <w:rFonts w:asciiTheme="minorHAnsi" w:hAnsiTheme="minorHAnsi" w:cstheme="minorHAnsi"/>
          <w:b/>
          <w:bCs/>
        </w:rPr>
        <w:t xml:space="preserve"> - </w:t>
      </w:r>
      <w:r w:rsidRPr="00F34C6E">
        <w:rPr>
          <w:rFonts w:asciiTheme="minorHAnsi" w:hAnsiTheme="minorHAnsi" w:cstheme="minorHAnsi"/>
          <w:b/>
          <w:bCs/>
        </w:rPr>
        <w:t>AC 3.1</w:t>
      </w:r>
    </w:p>
    <w:p w14:paraId="1E05B8F9" w14:textId="21BAE254" w:rsidR="00513062" w:rsidRPr="00F34C6E" w:rsidRDefault="00402C33" w:rsidP="00513062">
      <w:pPr>
        <w:rPr>
          <w:rFonts w:asciiTheme="minorHAnsi" w:hAnsiTheme="minorHAnsi" w:cstheme="minorHAnsi"/>
        </w:rPr>
      </w:pPr>
      <w:r w:rsidRPr="00F34C6E">
        <w:rPr>
          <w:rFonts w:asciiTheme="minorHAnsi" w:hAnsiTheme="minorHAnsi" w:cstheme="minorHAnsi"/>
        </w:rPr>
        <w:t xml:space="preserve">The measurement of financial and non-financial performance is vital to </w:t>
      </w:r>
      <w:proofErr w:type="gramStart"/>
      <w:r w:rsidRPr="00F34C6E">
        <w:rPr>
          <w:rFonts w:asciiTheme="minorHAnsi" w:hAnsiTheme="minorHAnsi" w:cstheme="minorHAnsi"/>
        </w:rPr>
        <w:t>comprehend</w:t>
      </w:r>
      <w:proofErr w:type="gramEnd"/>
      <w:r w:rsidRPr="00F34C6E">
        <w:rPr>
          <w:rFonts w:asciiTheme="minorHAnsi" w:hAnsiTheme="minorHAnsi" w:cstheme="minorHAnsi"/>
        </w:rPr>
        <w:t xml:space="preserve"> the overall effectiveness of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 xml:space="preserve">s and </w:t>
      </w:r>
      <w:r w:rsidR="00F34C6E" w:rsidRPr="00F34C6E">
        <w:rPr>
          <w:rFonts w:asciiTheme="minorHAnsi" w:hAnsiTheme="minorHAnsi" w:cstheme="minorHAnsi"/>
        </w:rPr>
        <w:t>their</w:t>
      </w:r>
      <w:r w:rsidRPr="00F34C6E">
        <w:rPr>
          <w:rFonts w:asciiTheme="minorHAnsi" w:hAnsiTheme="minorHAnsi" w:cstheme="minorHAnsi"/>
        </w:rPr>
        <w:t xml:space="preserve"> contribution to </w:t>
      </w:r>
      <w:proofErr w:type="gramStart"/>
      <w:r w:rsidRPr="00F34C6E">
        <w:rPr>
          <w:rFonts w:asciiTheme="minorHAnsi" w:hAnsiTheme="minorHAnsi" w:cstheme="minorHAnsi"/>
        </w:rPr>
        <w:t xml:space="preserve">the </w:t>
      </w:r>
      <w:proofErr w:type="spellStart"/>
      <w:r w:rsidRPr="00F34C6E">
        <w:rPr>
          <w:rFonts w:asciiTheme="minorHAnsi" w:hAnsiTheme="minorHAnsi" w:cstheme="minorHAnsi"/>
        </w:rPr>
        <w:t>organisational</w:t>
      </w:r>
      <w:proofErr w:type="spellEnd"/>
      <w:proofErr w:type="gramEnd"/>
      <w:r w:rsidRPr="00F34C6E">
        <w:rPr>
          <w:rFonts w:asciiTheme="minorHAnsi" w:hAnsiTheme="minorHAnsi" w:cstheme="minorHAnsi"/>
        </w:rPr>
        <w:t xml:space="preserve"> success. The application of relevant performance measures in the context of Technivara would aid in decision support and show that investment in people is justified as the company keeps growing (Gawron, 2019). Return on investment (ROI) is one of the ways of measuring financial performance. ROI determines whether the profit experienced on an initiative is worth the expenses. In Technivara, to measure the efficacy of a leadership development </w:t>
      </w:r>
      <w:proofErr w:type="spellStart"/>
      <w:r w:rsidRPr="00F34C6E">
        <w:rPr>
          <w:rFonts w:asciiTheme="minorHAnsi" w:hAnsiTheme="minorHAnsi" w:cstheme="minorHAnsi"/>
        </w:rPr>
        <w:t>programme</w:t>
      </w:r>
      <w:proofErr w:type="spellEnd"/>
      <w:r w:rsidRPr="00F34C6E">
        <w:rPr>
          <w:rFonts w:asciiTheme="minorHAnsi" w:hAnsiTheme="minorHAnsi" w:cstheme="minorHAnsi"/>
        </w:rPr>
        <w:t>, ROI might be calculated by estimating the expenses spent on training and dividing them by the quantifiable results like greater productivity, lower employee turnover or less recruitment cost (</w:t>
      </w:r>
      <w:proofErr w:type="spellStart"/>
      <w:r w:rsidRPr="00F34C6E">
        <w:rPr>
          <w:rFonts w:asciiTheme="minorHAnsi" w:hAnsiTheme="minorHAnsi" w:cstheme="minorHAnsi"/>
        </w:rPr>
        <w:t>Heslina</w:t>
      </w:r>
      <w:proofErr w:type="spellEnd"/>
      <w:r w:rsidRPr="00F34C6E">
        <w:rPr>
          <w:rFonts w:asciiTheme="minorHAnsi" w:hAnsiTheme="minorHAnsi" w:cstheme="minorHAnsi"/>
        </w:rPr>
        <w:t xml:space="preserve"> and Syahruni, 2021). This method offers top management with concise, measurable evidence on which to justify investment in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proofErr w:type="spellStart"/>
      <w:r w:rsidRPr="00F34C6E">
        <w:rPr>
          <w:rFonts w:asciiTheme="minorHAnsi" w:hAnsiTheme="minorHAnsi" w:cstheme="minorHAnsi"/>
        </w:rPr>
        <w:t>programmes</w:t>
      </w:r>
      <w:proofErr w:type="spellEnd"/>
      <w:r w:rsidRPr="00F34C6E">
        <w:rPr>
          <w:rFonts w:asciiTheme="minorHAnsi" w:hAnsiTheme="minorHAnsi" w:cstheme="minorHAnsi"/>
        </w:rPr>
        <w:t xml:space="preserve">. One of the disadvantages of ROI is that it is more inclined to short-term, measurable as a result and can underestimate longer-term or intangible benefits, </w:t>
      </w:r>
      <w:r w:rsidRPr="00F34C6E">
        <w:rPr>
          <w:rFonts w:asciiTheme="minorHAnsi" w:hAnsiTheme="minorHAnsi" w:cstheme="minorHAnsi"/>
        </w:rPr>
        <w:lastRenderedPageBreak/>
        <w:t>including better employee competence, interaction or culture (</w:t>
      </w:r>
      <w:proofErr w:type="spellStart"/>
      <w:r w:rsidRPr="00F34C6E">
        <w:rPr>
          <w:rFonts w:asciiTheme="minorHAnsi" w:hAnsiTheme="minorHAnsi" w:cstheme="minorHAnsi"/>
        </w:rPr>
        <w:t>Lohana</w:t>
      </w:r>
      <w:proofErr w:type="spellEnd"/>
      <w:r w:rsidRPr="00F34C6E">
        <w:rPr>
          <w:rFonts w:asciiTheme="minorHAnsi" w:hAnsiTheme="minorHAnsi" w:cstheme="minorHAnsi"/>
        </w:rPr>
        <w:t xml:space="preserve"> et al., 2022). ROI needs to be taken in conjunction with other performance indicators to give a balance analysis.</w:t>
      </w:r>
    </w:p>
    <w:p w14:paraId="7F1CEF39" w14:textId="08C15668" w:rsidR="00513062" w:rsidRPr="00F34C6E" w:rsidRDefault="008157DC" w:rsidP="00513062">
      <w:pPr>
        <w:rPr>
          <w:rFonts w:asciiTheme="minorHAnsi" w:hAnsiTheme="minorHAnsi" w:cstheme="minorHAnsi"/>
        </w:rPr>
      </w:pPr>
      <w:r w:rsidRPr="00F34C6E">
        <w:rPr>
          <w:rFonts w:asciiTheme="minorHAnsi" w:hAnsiTheme="minorHAnsi" w:cstheme="minorHAnsi"/>
        </w:rPr>
        <w:t xml:space="preserve">On the contrary, employee engagement surveys can be used to measure </w:t>
      </w:r>
      <w:r w:rsidR="0062182E" w:rsidRPr="00F34C6E">
        <w:rPr>
          <w:rFonts w:asciiTheme="minorHAnsi" w:hAnsiTheme="minorHAnsi" w:cstheme="minorHAnsi"/>
        </w:rPr>
        <w:t>non-financial</w:t>
      </w:r>
      <w:r w:rsidRPr="00F34C6E">
        <w:rPr>
          <w:rFonts w:asciiTheme="minorHAnsi" w:hAnsiTheme="minorHAnsi" w:cstheme="minorHAnsi"/>
        </w:rPr>
        <w:t xml:space="preserve"> </w:t>
      </w:r>
      <w:proofErr w:type="gramStart"/>
      <w:r w:rsidRPr="00F34C6E">
        <w:rPr>
          <w:rFonts w:asciiTheme="minorHAnsi" w:hAnsiTheme="minorHAnsi" w:cstheme="minorHAnsi"/>
        </w:rPr>
        <w:t>performance</w:t>
      </w:r>
      <w:proofErr w:type="gramEnd"/>
      <w:r w:rsidRPr="00F34C6E">
        <w:rPr>
          <w:rFonts w:asciiTheme="minorHAnsi" w:hAnsiTheme="minorHAnsi" w:cstheme="minorHAnsi"/>
        </w:rPr>
        <w:t xml:space="preserve"> and they evaluate employees on factors like motivation, commitment and job satisfaction. In the case of Technivara, the engagement survey outcomes might highlight the areas of concern impacting retention, performance or wellbeing, especially at times of growth and change (Afifah et al., 2022). This kind of data can be a good way to understand the employee experience and identify </w:t>
      </w:r>
      <w:proofErr w:type="gramStart"/>
      <w:r w:rsidRPr="00F34C6E">
        <w:rPr>
          <w:rFonts w:asciiTheme="minorHAnsi" w:hAnsiTheme="minorHAnsi" w:cstheme="minorHAnsi"/>
        </w:rPr>
        <w:t>the areas</w:t>
      </w:r>
      <w:proofErr w:type="gramEnd"/>
      <w:r w:rsidRPr="00F34C6E">
        <w:rPr>
          <w:rFonts w:asciiTheme="minorHAnsi" w:hAnsiTheme="minorHAnsi" w:cstheme="minorHAnsi"/>
        </w:rPr>
        <w:t xml:space="preserve"> of concern that cannot be easily noticed with financial numbers. The engagement surveys may be subjective and prone to factors like survey design, time of survey and response rates. In order to be reliable, Technivara would have to read in-between, and, where feasible, merge survey results with other sources of data like absence or turnover rates (Srivastava and Mohsin, 2020). Through both financial indicators like ROI and non-financial indicators like engagement surveys, Technivara would have a more holistic view of performance and the effectiveness of its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s.</w:t>
      </w:r>
      <w:r w:rsidR="00B820A8" w:rsidRPr="00F34C6E">
        <w:rPr>
          <w:rFonts w:asciiTheme="minorHAnsi" w:hAnsiTheme="minorHAnsi" w:cstheme="minorHAnsi"/>
        </w:rPr>
        <w:t xml:space="preserve"> The combination of non-financial and financial performance measures would offer a balanced picture of </w:t>
      </w:r>
      <w:proofErr w:type="spellStart"/>
      <w:r w:rsidR="00B820A8" w:rsidRPr="00F34C6E">
        <w:rPr>
          <w:rFonts w:asciiTheme="minorHAnsi" w:hAnsiTheme="minorHAnsi" w:cstheme="minorHAnsi"/>
        </w:rPr>
        <w:t>organisational</w:t>
      </w:r>
      <w:proofErr w:type="spellEnd"/>
      <w:r w:rsidR="00B820A8" w:rsidRPr="00F34C6E">
        <w:rPr>
          <w:rFonts w:asciiTheme="minorHAnsi" w:hAnsiTheme="minorHAnsi" w:cstheme="minorHAnsi"/>
        </w:rPr>
        <w:t xml:space="preserve"> performance. ROI presents a </w:t>
      </w:r>
      <w:proofErr w:type="gramStart"/>
      <w:r w:rsidR="00B820A8" w:rsidRPr="00F34C6E">
        <w:rPr>
          <w:rFonts w:asciiTheme="minorHAnsi" w:hAnsiTheme="minorHAnsi" w:cstheme="minorHAnsi"/>
        </w:rPr>
        <w:t>straight forward</w:t>
      </w:r>
      <w:proofErr w:type="gramEnd"/>
      <w:r w:rsidR="00B820A8" w:rsidRPr="00F34C6E">
        <w:rPr>
          <w:rFonts w:asciiTheme="minorHAnsi" w:hAnsiTheme="minorHAnsi" w:cstheme="minorHAnsi"/>
        </w:rPr>
        <w:t xml:space="preserve"> financial reasoning whereas engagement surveys eye workforce experience. These actions combined are useful in showing the worthiness of </w:t>
      </w:r>
      <w:proofErr w:type="gramStart"/>
      <w:r w:rsidR="00B820A8" w:rsidRPr="00F34C6E">
        <w:rPr>
          <w:rFonts w:asciiTheme="minorHAnsi" w:hAnsiTheme="minorHAnsi" w:cstheme="minorHAnsi"/>
        </w:rPr>
        <w:t>people</w:t>
      </w:r>
      <w:proofErr w:type="gramEnd"/>
      <w:r w:rsidR="00B820A8" w:rsidRPr="00F34C6E">
        <w:rPr>
          <w:rFonts w:asciiTheme="minorHAnsi" w:hAnsiTheme="minorHAnsi" w:cstheme="minorHAnsi"/>
        </w:rPr>
        <w:t xml:space="preserve"> </w:t>
      </w:r>
      <w:r w:rsidR="00F34C6E" w:rsidRPr="00F34C6E">
        <w:rPr>
          <w:rFonts w:asciiTheme="minorHAnsi" w:hAnsiTheme="minorHAnsi" w:cstheme="minorHAnsi"/>
        </w:rPr>
        <w:t>practice</w:t>
      </w:r>
      <w:r w:rsidR="00B820A8" w:rsidRPr="00F34C6E">
        <w:rPr>
          <w:rFonts w:asciiTheme="minorHAnsi" w:hAnsiTheme="minorHAnsi" w:cstheme="minorHAnsi"/>
        </w:rPr>
        <w:t>s. This balanced style makes informed strategic decisions at Technivara.</w:t>
      </w:r>
    </w:p>
    <w:p w14:paraId="5F3859C6" w14:textId="04FDD221" w:rsidR="0005542B" w:rsidRPr="00F34C6E" w:rsidRDefault="0005542B" w:rsidP="0005542B">
      <w:pPr>
        <w:rPr>
          <w:rFonts w:asciiTheme="minorHAnsi" w:hAnsiTheme="minorHAnsi" w:cstheme="minorHAnsi"/>
          <w:b/>
          <w:bCs/>
        </w:rPr>
      </w:pPr>
      <w:r w:rsidRPr="00F34C6E">
        <w:rPr>
          <w:rFonts w:asciiTheme="minorHAnsi" w:hAnsiTheme="minorHAnsi" w:cstheme="minorHAnsi"/>
          <w:b/>
          <w:bCs/>
        </w:rPr>
        <w:t>Q7</w:t>
      </w:r>
      <w:r w:rsidR="00F34C6E">
        <w:rPr>
          <w:rFonts w:asciiTheme="minorHAnsi" w:hAnsiTheme="minorHAnsi" w:cstheme="minorHAnsi"/>
          <w:b/>
          <w:bCs/>
        </w:rPr>
        <w:t xml:space="preserve"> - </w:t>
      </w:r>
      <w:r w:rsidRPr="00F34C6E">
        <w:rPr>
          <w:rFonts w:asciiTheme="minorHAnsi" w:hAnsiTheme="minorHAnsi" w:cstheme="minorHAnsi"/>
          <w:b/>
          <w:bCs/>
        </w:rPr>
        <w:t>AC 3.2</w:t>
      </w:r>
    </w:p>
    <w:p w14:paraId="45A4F908" w14:textId="54B04FC4" w:rsidR="00156F04" w:rsidRPr="00F34C6E" w:rsidRDefault="003C7E5A" w:rsidP="00156F04">
      <w:pPr>
        <w:rPr>
          <w:rFonts w:asciiTheme="minorHAnsi" w:hAnsiTheme="minorHAnsi" w:cstheme="minorHAnsi"/>
        </w:rPr>
      </w:pPr>
      <w:r w:rsidRPr="00F34C6E">
        <w:rPr>
          <w:rFonts w:asciiTheme="minorHAnsi" w:hAnsiTheme="minorHAnsi" w:cstheme="minorHAnsi"/>
        </w:rPr>
        <w:t xml:space="preserve">People </w:t>
      </w:r>
      <w:r w:rsidR="00F34C6E" w:rsidRPr="00F34C6E">
        <w:rPr>
          <w:rFonts w:asciiTheme="minorHAnsi" w:hAnsiTheme="minorHAnsi" w:cstheme="minorHAnsi"/>
        </w:rPr>
        <w:t>practice</w:t>
      </w:r>
      <w:r w:rsidRPr="00F34C6E">
        <w:rPr>
          <w:rFonts w:asciiTheme="minorHAnsi" w:hAnsiTheme="minorHAnsi" w:cstheme="minorHAnsi"/>
        </w:rPr>
        <w:t xml:space="preserve">s are crucial elements in ensuring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value creation through capability of the </w:t>
      </w:r>
      <w:proofErr w:type="gramStart"/>
      <w:r w:rsidRPr="00F34C6E">
        <w:rPr>
          <w:rFonts w:asciiTheme="minorHAnsi" w:hAnsiTheme="minorHAnsi" w:cstheme="minorHAnsi"/>
        </w:rPr>
        <w:t>work-force</w:t>
      </w:r>
      <w:proofErr w:type="gramEnd"/>
      <w:r w:rsidRPr="00F34C6E">
        <w:rPr>
          <w:rFonts w:asciiTheme="minorHAnsi" w:hAnsiTheme="minorHAnsi" w:cstheme="minorHAnsi"/>
        </w:rPr>
        <w:t xml:space="preserve">, engagement and overall performance. In the case of Technivara, where the growth is being sustained, </w:t>
      </w:r>
      <w:proofErr w:type="spellStart"/>
      <w:r w:rsidRPr="00F34C6E">
        <w:rPr>
          <w:rFonts w:asciiTheme="minorHAnsi" w:hAnsiTheme="minorHAnsi" w:cstheme="minorHAnsi"/>
        </w:rPr>
        <w:t>modernised</w:t>
      </w:r>
      <w:proofErr w:type="spellEnd"/>
      <w:r w:rsidRPr="00F34C6E">
        <w:rPr>
          <w:rFonts w:asciiTheme="minorHAnsi" w:hAnsiTheme="minorHAnsi" w:cstheme="minorHAnsi"/>
        </w:rPr>
        <w:t xml:space="preserve"> people </w:t>
      </w:r>
      <w:r w:rsidR="00F34C6E" w:rsidRPr="00F34C6E">
        <w:rPr>
          <w:rFonts w:asciiTheme="minorHAnsi" w:hAnsiTheme="minorHAnsi" w:cstheme="minorHAnsi"/>
        </w:rPr>
        <w:t>practice</w:t>
      </w:r>
      <w:r w:rsidRPr="00F34C6E">
        <w:rPr>
          <w:rFonts w:asciiTheme="minorHAnsi" w:hAnsiTheme="minorHAnsi" w:cstheme="minorHAnsi"/>
        </w:rPr>
        <w:t xml:space="preserve"> would facilitate strategic goals, </w:t>
      </w:r>
      <w:proofErr w:type="spellStart"/>
      <w:r w:rsidRPr="00F34C6E">
        <w:rPr>
          <w:rFonts w:asciiTheme="minorHAnsi" w:hAnsiTheme="minorHAnsi" w:cstheme="minorHAnsi"/>
        </w:rPr>
        <w:t>minimise</w:t>
      </w:r>
      <w:proofErr w:type="spellEnd"/>
      <w:r w:rsidRPr="00F34C6E">
        <w:rPr>
          <w:rFonts w:asciiTheme="minorHAnsi" w:hAnsiTheme="minorHAnsi" w:cstheme="minorHAnsi"/>
        </w:rPr>
        <w:t xml:space="preserve"> operational and people risks (Armstrong, 2020). Through more evidence-based and consistent across recruitment, learning and development (L&amp;D) and performance management,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will be able to boost productivity, retention of key talent and employer brand. To illustrate, enhancing recruitment would help Technivara hire and identify candidates with the skills needed to facilitate future development, decreasing the turnover rates and recruitment expenses (Anwar and Abdullah, 2021). Improving L&amp;D would increase employee competence and </w:t>
      </w:r>
      <w:r w:rsidRPr="00F34C6E">
        <w:rPr>
          <w:rFonts w:asciiTheme="minorHAnsi" w:hAnsiTheme="minorHAnsi" w:cstheme="minorHAnsi"/>
        </w:rPr>
        <w:lastRenderedPageBreak/>
        <w:t xml:space="preserve">facilitate career growth, resulting in increased engagement and performance. In the same manner, proper performance management </w:t>
      </w:r>
      <w:r w:rsidR="00F34C6E" w:rsidRPr="00F34C6E">
        <w:rPr>
          <w:rFonts w:asciiTheme="minorHAnsi" w:hAnsiTheme="minorHAnsi" w:cstheme="minorHAnsi"/>
        </w:rPr>
        <w:t>practice</w:t>
      </w:r>
      <w:r w:rsidRPr="00F34C6E">
        <w:rPr>
          <w:rFonts w:asciiTheme="minorHAnsi" w:hAnsiTheme="minorHAnsi" w:cstheme="minorHAnsi"/>
        </w:rPr>
        <w:t xml:space="preserve">s would see to it that individual goals are aligned with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performance, which promotes accountability and improvement. </w:t>
      </w:r>
      <w:r w:rsidR="00817267" w:rsidRPr="00F34C6E">
        <w:rPr>
          <w:rFonts w:asciiTheme="minorHAnsi" w:hAnsiTheme="minorHAnsi" w:cstheme="minorHAnsi"/>
        </w:rPr>
        <w:t>T</w:t>
      </w:r>
      <w:r w:rsidRPr="00F34C6E">
        <w:rPr>
          <w:rFonts w:asciiTheme="minorHAnsi" w:hAnsiTheme="minorHAnsi" w:cstheme="minorHAnsi"/>
        </w:rPr>
        <w:t>hese</w:t>
      </w:r>
      <w:r w:rsidR="00817267" w:rsidRPr="00F34C6E">
        <w:rPr>
          <w:rFonts w:asciiTheme="minorHAnsi" w:hAnsiTheme="minorHAnsi" w:cstheme="minorHAnsi"/>
        </w:rPr>
        <w:t xml:space="preserve"> </w:t>
      </w:r>
      <w:r w:rsidRPr="00F34C6E">
        <w:rPr>
          <w:rFonts w:asciiTheme="minorHAnsi" w:hAnsiTheme="minorHAnsi" w:cstheme="minorHAnsi"/>
        </w:rPr>
        <w:t xml:space="preserve">people </w:t>
      </w:r>
      <w:r w:rsidR="00F34C6E" w:rsidRPr="00F34C6E">
        <w:rPr>
          <w:rFonts w:asciiTheme="minorHAnsi" w:hAnsiTheme="minorHAnsi" w:cstheme="minorHAnsi"/>
        </w:rPr>
        <w:t>practice</w:t>
      </w:r>
      <w:r w:rsidRPr="00F34C6E">
        <w:rPr>
          <w:rFonts w:asciiTheme="minorHAnsi" w:hAnsiTheme="minorHAnsi" w:cstheme="minorHAnsi"/>
        </w:rPr>
        <w:t>s create value by making the workforce competitive, motivated and focused on business priorities (Peccei and Van De Voorde, 2019).</w:t>
      </w:r>
    </w:p>
    <w:p w14:paraId="61D96DDE" w14:textId="561DF49C" w:rsidR="00156F04" w:rsidRPr="00F34C6E" w:rsidRDefault="003C08F4" w:rsidP="00156F04">
      <w:pPr>
        <w:rPr>
          <w:rFonts w:asciiTheme="minorHAnsi" w:hAnsiTheme="minorHAnsi" w:cstheme="minorHAnsi"/>
        </w:rPr>
      </w:pPr>
      <w:r w:rsidRPr="00F34C6E">
        <w:rPr>
          <w:rFonts w:asciiTheme="minorHAnsi" w:hAnsiTheme="minorHAnsi" w:cstheme="minorHAnsi"/>
        </w:rPr>
        <w:t xml:space="preserve">People analytics is one of the ways Technivara may determine the effects of people </w:t>
      </w:r>
      <w:r w:rsidR="00F34C6E" w:rsidRPr="00F34C6E">
        <w:rPr>
          <w:rFonts w:asciiTheme="minorHAnsi" w:hAnsiTheme="minorHAnsi" w:cstheme="minorHAnsi"/>
        </w:rPr>
        <w:t>practice</w:t>
      </w:r>
      <w:r w:rsidRPr="00F34C6E">
        <w:rPr>
          <w:rFonts w:asciiTheme="minorHAnsi" w:hAnsiTheme="minorHAnsi" w:cstheme="minorHAnsi"/>
        </w:rPr>
        <w:t>s. This includes data collection and analysis of workforce, including employee turnover, absence rates, performance ratings and training completion (</w:t>
      </w:r>
      <w:proofErr w:type="spellStart"/>
      <w:r w:rsidRPr="00F34C6E">
        <w:rPr>
          <w:rFonts w:asciiTheme="minorHAnsi" w:hAnsiTheme="minorHAnsi" w:cstheme="minorHAnsi"/>
        </w:rPr>
        <w:t>Lohana</w:t>
      </w:r>
      <w:proofErr w:type="spellEnd"/>
      <w:r w:rsidRPr="00F34C6E">
        <w:rPr>
          <w:rFonts w:asciiTheme="minorHAnsi" w:hAnsiTheme="minorHAnsi" w:cstheme="minorHAnsi"/>
        </w:rPr>
        <w:t xml:space="preserve"> et al., 2022). Monitoring these metrics across time, Technivara could demonstrate the tendencies and determine whether the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initiatives are bringing expected results. People analytics </w:t>
      </w:r>
      <w:proofErr w:type="gramStart"/>
      <w:r w:rsidRPr="00F34C6E">
        <w:rPr>
          <w:rFonts w:asciiTheme="minorHAnsi" w:hAnsiTheme="minorHAnsi" w:cstheme="minorHAnsi"/>
        </w:rPr>
        <w:t>offers</w:t>
      </w:r>
      <w:proofErr w:type="gramEnd"/>
      <w:r w:rsidRPr="00F34C6E">
        <w:rPr>
          <w:rFonts w:asciiTheme="minorHAnsi" w:hAnsiTheme="minorHAnsi" w:cstheme="minorHAnsi"/>
        </w:rPr>
        <w:t xml:space="preserve"> objective and evidence-based information which can be used to make informed decisions and assess the value of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 xml:space="preserve">s to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performance. The second technique is the benchmarking technique, comparing the people metrics in Technivara with industry standards or other </w:t>
      </w:r>
      <w:proofErr w:type="spellStart"/>
      <w:r w:rsidRPr="00F34C6E">
        <w:rPr>
          <w:rFonts w:asciiTheme="minorHAnsi" w:hAnsiTheme="minorHAnsi" w:cstheme="minorHAnsi"/>
        </w:rPr>
        <w:t>organisations</w:t>
      </w:r>
      <w:proofErr w:type="spellEnd"/>
      <w:r w:rsidRPr="00F34C6E">
        <w:rPr>
          <w:rFonts w:asciiTheme="minorHAnsi" w:hAnsiTheme="minorHAnsi" w:cstheme="minorHAnsi"/>
        </w:rPr>
        <w:t xml:space="preserve"> of the same type (Srivastava and Mohsin, 2020). Benchmarking can also identify areas of high performance and those in need of improvement (higher-than-average turnover or lower engagement levels). This approach aids continuous improvement since it gives context and helps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 xml:space="preserve"> to stay competitive in its industry. The integration of people analytics and benchmarking would allow Technivara to measure the effect of its </w:t>
      </w:r>
      <w:proofErr w:type="gramStart"/>
      <w:r w:rsidRPr="00F34C6E">
        <w:rPr>
          <w:rFonts w:asciiTheme="minorHAnsi" w:hAnsiTheme="minorHAnsi" w:cstheme="minorHAnsi"/>
        </w:rPr>
        <w:t>people</w:t>
      </w:r>
      <w:proofErr w:type="gramEnd"/>
      <w:r w:rsidRPr="00F34C6E">
        <w:rPr>
          <w:rFonts w:asciiTheme="minorHAnsi" w:hAnsiTheme="minorHAnsi" w:cstheme="minorHAnsi"/>
        </w:rPr>
        <w:t xml:space="preserve"> </w:t>
      </w:r>
      <w:r w:rsidR="00F34C6E" w:rsidRPr="00F34C6E">
        <w:rPr>
          <w:rFonts w:asciiTheme="minorHAnsi" w:hAnsiTheme="minorHAnsi" w:cstheme="minorHAnsi"/>
        </w:rPr>
        <w:t>practice</w:t>
      </w:r>
      <w:r w:rsidRPr="00F34C6E">
        <w:rPr>
          <w:rFonts w:asciiTheme="minorHAnsi" w:hAnsiTheme="minorHAnsi" w:cstheme="minorHAnsi"/>
        </w:rPr>
        <w:t xml:space="preserve">s effectively and show how they add value to the </w:t>
      </w:r>
      <w:proofErr w:type="spellStart"/>
      <w:r w:rsidRPr="00F34C6E">
        <w:rPr>
          <w:rFonts w:asciiTheme="minorHAnsi" w:hAnsiTheme="minorHAnsi" w:cstheme="minorHAnsi"/>
        </w:rPr>
        <w:t>organisation</w:t>
      </w:r>
      <w:proofErr w:type="spellEnd"/>
      <w:r w:rsidRPr="00F34C6E">
        <w:rPr>
          <w:rFonts w:asciiTheme="minorHAnsi" w:hAnsiTheme="minorHAnsi" w:cstheme="minorHAnsi"/>
        </w:rPr>
        <w:t>.</w:t>
      </w:r>
      <w:bookmarkEnd w:id="0"/>
      <w:r w:rsidR="00FE2C70" w:rsidRPr="00F34C6E">
        <w:rPr>
          <w:rFonts w:asciiTheme="minorHAnsi" w:hAnsiTheme="minorHAnsi" w:cstheme="minorHAnsi"/>
        </w:rPr>
        <w:t xml:space="preserve"> Effective people </w:t>
      </w:r>
      <w:r w:rsidR="00F34C6E" w:rsidRPr="00F34C6E">
        <w:rPr>
          <w:rFonts w:asciiTheme="minorHAnsi" w:hAnsiTheme="minorHAnsi" w:cstheme="minorHAnsi"/>
        </w:rPr>
        <w:t>practice</w:t>
      </w:r>
      <w:r w:rsidR="00FE2C70" w:rsidRPr="00F34C6E">
        <w:rPr>
          <w:rFonts w:asciiTheme="minorHAnsi" w:hAnsiTheme="minorHAnsi" w:cstheme="minorHAnsi"/>
        </w:rPr>
        <w:t xml:space="preserve">s contribute value by enhancing capability, engagement and </w:t>
      </w:r>
      <w:proofErr w:type="spellStart"/>
      <w:r w:rsidR="00FE2C70" w:rsidRPr="00F34C6E">
        <w:rPr>
          <w:rFonts w:asciiTheme="minorHAnsi" w:hAnsiTheme="minorHAnsi" w:cstheme="minorHAnsi"/>
        </w:rPr>
        <w:t>organisational</w:t>
      </w:r>
      <w:proofErr w:type="spellEnd"/>
      <w:r w:rsidR="00FE2C70" w:rsidRPr="00F34C6E">
        <w:rPr>
          <w:rFonts w:asciiTheme="minorHAnsi" w:hAnsiTheme="minorHAnsi" w:cstheme="minorHAnsi"/>
        </w:rPr>
        <w:t xml:space="preserve"> performance. People analytics and benchmarking can help Technivara objectively measure the impact. Such processes help in sustaining improvement and competitiveness. The </w:t>
      </w:r>
      <w:r w:rsidR="00F34C6E" w:rsidRPr="00F34C6E">
        <w:rPr>
          <w:rFonts w:asciiTheme="minorHAnsi" w:hAnsiTheme="minorHAnsi" w:cstheme="minorHAnsi"/>
        </w:rPr>
        <w:t>practice</w:t>
      </w:r>
      <w:r w:rsidR="00FE2C70" w:rsidRPr="00F34C6E">
        <w:rPr>
          <w:rFonts w:asciiTheme="minorHAnsi" w:hAnsiTheme="minorHAnsi" w:cstheme="minorHAnsi"/>
        </w:rPr>
        <w:t>s of people tend to become an essential force of sustainable success.</w:t>
      </w:r>
    </w:p>
    <w:p w14:paraId="47D53C58" w14:textId="77777777" w:rsidR="00BC7799" w:rsidRPr="00F34C6E" w:rsidRDefault="00BC7799">
      <w:pPr>
        <w:spacing w:line="278" w:lineRule="auto"/>
        <w:jc w:val="left"/>
        <w:rPr>
          <w:rFonts w:asciiTheme="minorHAnsi" w:hAnsiTheme="minorHAnsi" w:cstheme="minorHAnsi"/>
        </w:rPr>
      </w:pPr>
      <w:r w:rsidRPr="00F34C6E">
        <w:rPr>
          <w:rFonts w:asciiTheme="minorHAnsi" w:hAnsiTheme="minorHAnsi" w:cstheme="minorHAnsi"/>
        </w:rPr>
        <w:br w:type="page"/>
      </w:r>
    </w:p>
    <w:p w14:paraId="46CD16F1" w14:textId="7639A1FE" w:rsidR="0018682C" w:rsidRPr="009C020D" w:rsidRDefault="00980F87" w:rsidP="009C020D">
      <w:pPr>
        <w:rPr>
          <w:rFonts w:asciiTheme="minorHAnsi" w:hAnsiTheme="minorHAnsi" w:cstheme="minorHAnsi"/>
          <w:b/>
          <w:bCs/>
          <w:color w:val="000000" w:themeColor="text1"/>
          <w:lang w:val="en-GB"/>
        </w:rPr>
      </w:pPr>
      <w:r w:rsidRPr="00F34C6E">
        <w:rPr>
          <w:rFonts w:asciiTheme="minorHAnsi" w:hAnsiTheme="minorHAnsi" w:cstheme="minorHAnsi"/>
          <w:b/>
          <w:bCs/>
          <w:lang w:val="en-GB"/>
        </w:rPr>
        <w:lastRenderedPageBreak/>
        <w:t>Q8</w:t>
      </w:r>
      <w:r w:rsidR="009C020D">
        <w:rPr>
          <w:rFonts w:asciiTheme="minorHAnsi" w:hAnsiTheme="minorHAnsi" w:cstheme="minorHAnsi"/>
          <w:b/>
          <w:bCs/>
          <w:lang w:val="en-GB"/>
        </w:rPr>
        <w:t xml:space="preserve"> - </w:t>
      </w:r>
      <w:r w:rsidRPr="00F34C6E">
        <w:rPr>
          <w:rFonts w:asciiTheme="minorHAnsi" w:hAnsiTheme="minorHAnsi" w:cstheme="minorHAnsi"/>
          <w:b/>
          <w:bCs/>
          <w:color w:val="000000" w:themeColor="text1"/>
          <w:lang w:val="en-GB"/>
        </w:rPr>
        <w:t>AC 2.1</w:t>
      </w:r>
    </w:p>
    <w:tbl>
      <w:tblPr>
        <w:tblStyle w:val="TableGrid"/>
        <w:tblW w:w="11520" w:type="dxa"/>
        <w:jc w:val="center"/>
        <w:tblLook w:val="04A0" w:firstRow="1" w:lastRow="0" w:firstColumn="1" w:lastColumn="0" w:noHBand="0" w:noVBand="1"/>
      </w:tblPr>
      <w:tblGrid>
        <w:gridCol w:w="2560"/>
        <w:gridCol w:w="1432"/>
        <w:gridCol w:w="1280"/>
        <w:gridCol w:w="1432"/>
        <w:gridCol w:w="1280"/>
        <w:gridCol w:w="1432"/>
        <w:gridCol w:w="1280"/>
        <w:gridCol w:w="1432"/>
      </w:tblGrid>
      <w:tr w:rsidR="003342DB" w:rsidRPr="00F34C6E" w14:paraId="070CFF8E" w14:textId="77777777" w:rsidTr="003342DB">
        <w:trPr>
          <w:trHeight w:val="1590"/>
          <w:jc w:val="center"/>
        </w:trPr>
        <w:tc>
          <w:tcPr>
            <w:tcW w:w="2560" w:type="dxa"/>
            <w:noWrap/>
            <w:hideMark/>
          </w:tcPr>
          <w:p w14:paraId="0BB397D7"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 </w:t>
            </w:r>
          </w:p>
        </w:tc>
        <w:tc>
          <w:tcPr>
            <w:tcW w:w="1280" w:type="dxa"/>
            <w:hideMark/>
          </w:tcPr>
          <w:p w14:paraId="03D4C2C4"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Total in Department 2024</w:t>
            </w:r>
          </w:p>
        </w:tc>
        <w:tc>
          <w:tcPr>
            <w:tcW w:w="1280" w:type="dxa"/>
            <w:hideMark/>
          </w:tcPr>
          <w:p w14:paraId="14407A66"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Leavers for 2024</w:t>
            </w:r>
          </w:p>
        </w:tc>
        <w:tc>
          <w:tcPr>
            <w:tcW w:w="1280" w:type="dxa"/>
            <w:hideMark/>
          </w:tcPr>
          <w:p w14:paraId="08A46071"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Leavers as a % against total in each Department</w:t>
            </w:r>
          </w:p>
        </w:tc>
        <w:tc>
          <w:tcPr>
            <w:tcW w:w="1280" w:type="dxa"/>
            <w:hideMark/>
          </w:tcPr>
          <w:p w14:paraId="25148A2C"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 xml:space="preserve">Positions vacant </w:t>
            </w:r>
          </w:p>
        </w:tc>
        <w:tc>
          <w:tcPr>
            <w:tcW w:w="1280" w:type="dxa"/>
            <w:hideMark/>
          </w:tcPr>
          <w:p w14:paraId="20057987"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Vacancies as a % against total in each Department</w:t>
            </w:r>
          </w:p>
        </w:tc>
        <w:tc>
          <w:tcPr>
            <w:tcW w:w="1280" w:type="dxa"/>
            <w:hideMark/>
          </w:tcPr>
          <w:p w14:paraId="0D13E4B9"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 xml:space="preserve">Positions filled </w:t>
            </w:r>
          </w:p>
        </w:tc>
        <w:tc>
          <w:tcPr>
            <w:tcW w:w="1280" w:type="dxa"/>
            <w:hideMark/>
          </w:tcPr>
          <w:p w14:paraId="4F3A34EB" w14:textId="77777777" w:rsidR="003342DB" w:rsidRPr="00F34C6E" w:rsidRDefault="003342DB" w:rsidP="003342DB">
            <w:pPr>
              <w:spacing w:line="240" w:lineRule="auto"/>
              <w:jc w:val="left"/>
              <w:rPr>
                <w:rFonts w:asciiTheme="minorHAnsi" w:eastAsia="Times New Roman" w:hAnsiTheme="minorHAnsi" w:cstheme="minorHAnsi"/>
                <w:b/>
                <w:bCs/>
                <w:color w:val="000000" w:themeColor="text1"/>
                <w:kern w:val="0"/>
                <w14:ligatures w14:val="none"/>
              </w:rPr>
            </w:pPr>
            <w:r w:rsidRPr="00F34C6E">
              <w:rPr>
                <w:rFonts w:asciiTheme="minorHAnsi" w:eastAsia="Times New Roman" w:hAnsiTheme="minorHAnsi" w:cstheme="minorHAnsi"/>
                <w:b/>
                <w:bCs/>
                <w:color w:val="000000" w:themeColor="text1"/>
                <w:kern w:val="0"/>
                <w14:ligatures w14:val="none"/>
              </w:rPr>
              <w:t>Positions filled as a % of total in each Department</w:t>
            </w:r>
          </w:p>
        </w:tc>
      </w:tr>
      <w:tr w:rsidR="003342DB" w:rsidRPr="00F34C6E" w14:paraId="1D5859A7" w14:textId="77777777" w:rsidTr="003342DB">
        <w:trPr>
          <w:trHeight w:val="600"/>
          <w:jc w:val="center"/>
        </w:trPr>
        <w:tc>
          <w:tcPr>
            <w:tcW w:w="2560" w:type="dxa"/>
            <w:hideMark/>
          </w:tcPr>
          <w:p w14:paraId="18B49872"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Audio technical Department</w:t>
            </w:r>
          </w:p>
        </w:tc>
        <w:tc>
          <w:tcPr>
            <w:tcW w:w="1280" w:type="dxa"/>
            <w:noWrap/>
            <w:hideMark/>
          </w:tcPr>
          <w:p w14:paraId="6349072F"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26</w:t>
            </w:r>
          </w:p>
        </w:tc>
        <w:tc>
          <w:tcPr>
            <w:tcW w:w="1280" w:type="dxa"/>
            <w:noWrap/>
            <w:hideMark/>
          </w:tcPr>
          <w:p w14:paraId="03A571A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6</w:t>
            </w:r>
          </w:p>
        </w:tc>
        <w:tc>
          <w:tcPr>
            <w:tcW w:w="1280" w:type="dxa"/>
            <w:noWrap/>
            <w:hideMark/>
          </w:tcPr>
          <w:p w14:paraId="7D0552B4"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23.08</w:t>
            </w:r>
          </w:p>
        </w:tc>
        <w:tc>
          <w:tcPr>
            <w:tcW w:w="1280" w:type="dxa"/>
            <w:noWrap/>
            <w:hideMark/>
          </w:tcPr>
          <w:p w14:paraId="5042B11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w:t>
            </w:r>
          </w:p>
        </w:tc>
        <w:tc>
          <w:tcPr>
            <w:tcW w:w="1280" w:type="dxa"/>
            <w:noWrap/>
            <w:hideMark/>
          </w:tcPr>
          <w:p w14:paraId="29906FD6"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30.77</w:t>
            </w:r>
          </w:p>
        </w:tc>
        <w:tc>
          <w:tcPr>
            <w:tcW w:w="1280" w:type="dxa"/>
            <w:noWrap/>
            <w:hideMark/>
          </w:tcPr>
          <w:p w14:paraId="251F2C3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37F06B7D"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11.54</w:t>
            </w:r>
          </w:p>
        </w:tc>
      </w:tr>
      <w:tr w:rsidR="003342DB" w:rsidRPr="00F34C6E" w14:paraId="3C488B28" w14:textId="77777777" w:rsidTr="003342DB">
        <w:trPr>
          <w:trHeight w:val="300"/>
          <w:jc w:val="center"/>
        </w:trPr>
        <w:tc>
          <w:tcPr>
            <w:tcW w:w="2560" w:type="dxa"/>
            <w:noWrap/>
            <w:hideMark/>
          </w:tcPr>
          <w:p w14:paraId="61741AD5"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3E363BF0"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41A648DE"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23464EF5"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5B4FCC78"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F63EBAA"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5754AAF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62F3671"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40EA881B" w14:textId="77777777" w:rsidTr="003342DB">
        <w:trPr>
          <w:trHeight w:val="300"/>
          <w:jc w:val="center"/>
        </w:trPr>
        <w:tc>
          <w:tcPr>
            <w:tcW w:w="2560" w:type="dxa"/>
            <w:noWrap/>
            <w:hideMark/>
          </w:tcPr>
          <w:p w14:paraId="460F4BE8"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Offices and Administration</w:t>
            </w:r>
          </w:p>
        </w:tc>
        <w:tc>
          <w:tcPr>
            <w:tcW w:w="1280" w:type="dxa"/>
            <w:noWrap/>
            <w:hideMark/>
          </w:tcPr>
          <w:p w14:paraId="53DFDCF8"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15</w:t>
            </w:r>
          </w:p>
        </w:tc>
        <w:tc>
          <w:tcPr>
            <w:tcW w:w="1280" w:type="dxa"/>
            <w:noWrap/>
            <w:hideMark/>
          </w:tcPr>
          <w:p w14:paraId="4E2D0031"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2F6D396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26.67</w:t>
            </w:r>
          </w:p>
        </w:tc>
        <w:tc>
          <w:tcPr>
            <w:tcW w:w="1280" w:type="dxa"/>
            <w:noWrap/>
            <w:hideMark/>
          </w:tcPr>
          <w:p w14:paraId="0C4124CE"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w:t>
            </w:r>
          </w:p>
        </w:tc>
        <w:tc>
          <w:tcPr>
            <w:tcW w:w="1280" w:type="dxa"/>
            <w:noWrap/>
            <w:hideMark/>
          </w:tcPr>
          <w:p w14:paraId="3A2D9F45"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33.33</w:t>
            </w:r>
          </w:p>
        </w:tc>
        <w:tc>
          <w:tcPr>
            <w:tcW w:w="1280" w:type="dxa"/>
            <w:noWrap/>
            <w:hideMark/>
          </w:tcPr>
          <w:p w14:paraId="0343E8E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w:t>
            </w:r>
          </w:p>
        </w:tc>
        <w:tc>
          <w:tcPr>
            <w:tcW w:w="1280" w:type="dxa"/>
            <w:noWrap/>
            <w:hideMark/>
          </w:tcPr>
          <w:p w14:paraId="5F4A4FF6"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33.33</w:t>
            </w:r>
          </w:p>
        </w:tc>
      </w:tr>
      <w:tr w:rsidR="003342DB" w:rsidRPr="00F34C6E" w14:paraId="18F70C6E" w14:textId="77777777" w:rsidTr="003342DB">
        <w:trPr>
          <w:trHeight w:val="300"/>
          <w:jc w:val="center"/>
        </w:trPr>
        <w:tc>
          <w:tcPr>
            <w:tcW w:w="2560" w:type="dxa"/>
            <w:noWrap/>
            <w:hideMark/>
          </w:tcPr>
          <w:p w14:paraId="00744855"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807942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25CBB3F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2C43CF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0D62FE2D"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29BDAF8C"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6D04499D"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888F39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4B1AF2CB" w14:textId="77777777" w:rsidTr="003342DB">
        <w:trPr>
          <w:trHeight w:val="300"/>
          <w:jc w:val="center"/>
        </w:trPr>
        <w:tc>
          <w:tcPr>
            <w:tcW w:w="2560" w:type="dxa"/>
            <w:noWrap/>
            <w:hideMark/>
          </w:tcPr>
          <w:p w14:paraId="58A4A07E"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Research and Development</w:t>
            </w:r>
          </w:p>
        </w:tc>
        <w:tc>
          <w:tcPr>
            <w:tcW w:w="1280" w:type="dxa"/>
            <w:noWrap/>
            <w:hideMark/>
          </w:tcPr>
          <w:p w14:paraId="3EADD50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w:t>
            </w:r>
          </w:p>
        </w:tc>
        <w:tc>
          <w:tcPr>
            <w:tcW w:w="1280" w:type="dxa"/>
            <w:noWrap/>
            <w:hideMark/>
          </w:tcPr>
          <w:p w14:paraId="2DD1F317"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w:t>
            </w:r>
          </w:p>
        </w:tc>
        <w:tc>
          <w:tcPr>
            <w:tcW w:w="1280" w:type="dxa"/>
            <w:noWrap/>
            <w:hideMark/>
          </w:tcPr>
          <w:p w14:paraId="6A677DC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12.5</w:t>
            </w:r>
          </w:p>
        </w:tc>
        <w:tc>
          <w:tcPr>
            <w:tcW w:w="1280" w:type="dxa"/>
            <w:noWrap/>
            <w:hideMark/>
          </w:tcPr>
          <w:p w14:paraId="1F509BD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7276BC66"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50</w:t>
            </w:r>
          </w:p>
        </w:tc>
        <w:tc>
          <w:tcPr>
            <w:tcW w:w="1280" w:type="dxa"/>
            <w:noWrap/>
            <w:hideMark/>
          </w:tcPr>
          <w:p w14:paraId="5026919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72ABFD22"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50</w:t>
            </w:r>
          </w:p>
        </w:tc>
      </w:tr>
      <w:tr w:rsidR="003342DB" w:rsidRPr="00F34C6E" w14:paraId="5569D8F3" w14:textId="77777777" w:rsidTr="003342DB">
        <w:trPr>
          <w:trHeight w:val="300"/>
          <w:jc w:val="center"/>
        </w:trPr>
        <w:tc>
          <w:tcPr>
            <w:tcW w:w="2560" w:type="dxa"/>
            <w:noWrap/>
            <w:hideMark/>
          </w:tcPr>
          <w:p w14:paraId="63E12FE2"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0F6DEA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29C84F3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4939A58"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2D94DFA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4354367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10BB8E8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6571268"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0316C9EE" w14:textId="77777777" w:rsidTr="003342DB">
        <w:trPr>
          <w:trHeight w:val="300"/>
          <w:jc w:val="center"/>
        </w:trPr>
        <w:tc>
          <w:tcPr>
            <w:tcW w:w="2560" w:type="dxa"/>
            <w:noWrap/>
            <w:hideMark/>
          </w:tcPr>
          <w:p w14:paraId="58B4D2D2"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Quality control</w:t>
            </w:r>
          </w:p>
        </w:tc>
        <w:tc>
          <w:tcPr>
            <w:tcW w:w="1280" w:type="dxa"/>
            <w:noWrap/>
            <w:hideMark/>
          </w:tcPr>
          <w:p w14:paraId="2C08956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6057BB4C"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w:t>
            </w:r>
          </w:p>
        </w:tc>
        <w:tc>
          <w:tcPr>
            <w:tcW w:w="1280" w:type="dxa"/>
            <w:noWrap/>
            <w:hideMark/>
          </w:tcPr>
          <w:p w14:paraId="20B945A0"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50</w:t>
            </w:r>
          </w:p>
        </w:tc>
        <w:tc>
          <w:tcPr>
            <w:tcW w:w="1280" w:type="dxa"/>
            <w:noWrap/>
            <w:hideMark/>
          </w:tcPr>
          <w:p w14:paraId="7EB0DDFE"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6241556E"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75</w:t>
            </w:r>
          </w:p>
        </w:tc>
        <w:tc>
          <w:tcPr>
            <w:tcW w:w="1280" w:type="dxa"/>
            <w:noWrap/>
            <w:hideMark/>
          </w:tcPr>
          <w:p w14:paraId="7F77360C"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1B616971"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75</w:t>
            </w:r>
          </w:p>
        </w:tc>
      </w:tr>
      <w:tr w:rsidR="003342DB" w:rsidRPr="00F34C6E" w14:paraId="131EE83A" w14:textId="77777777" w:rsidTr="003342DB">
        <w:trPr>
          <w:trHeight w:val="300"/>
          <w:jc w:val="center"/>
        </w:trPr>
        <w:tc>
          <w:tcPr>
            <w:tcW w:w="2560" w:type="dxa"/>
            <w:noWrap/>
            <w:hideMark/>
          </w:tcPr>
          <w:p w14:paraId="1C4D5394"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D8C1D5F"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34FB6B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421E905"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23F52A6D"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F6967A0"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59B9184D"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2CE61E2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2622EA57" w14:textId="77777777" w:rsidTr="003342DB">
        <w:trPr>
          <w:trHeight w:val="300"/>
          <w:jc w:val="center"/>
        </w:trPr>
        <w:tc>
          <w:tcPr>
            <w:tcW w:w="2560" w:type="dxa"/>
            <w:noWrap/>
            <w:hideMark/>
          </w:tcPr>
          <w:p w14:paraId="23BFC5CD"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Dispatch </w:t>
            </w:r>
          </w:p>
        </w:tc>
        <w:tc>
          <w:tcPr>
            <w:tcW w:w="1280" w:type="dxa"/>
            <w:noWrap/>
            <w:hideMark/>
          </w:tcPr>
          <w:p w14:paraId="0F13FCF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15</w:t>
            </w:r>
          </w:p>
        </w:tc>
        <w:tc>
          <w:tcPr>
            <w:tcW w:w="1280" w:type="dxa"/>
            <w:noWrap/>
            <w:hideMark/>
          </w:tcPr>
          <w:p w14:paraId="0CDBC7F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66928EAA"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26.67</w:t>
            </w:r>
          </w:p>
        </w:tc>
        <w:tc>
          <w:tcPr>
            <w:tcW w:w="1280" w:type="dxa"/>
            <w:noWrap/>
            <w:hideMark/>
          </w:tcPr>
          <w:p w14:paraId="1F780459"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6</w:t>
            </w:r>
          </w:p>
        </w:tc>
        <w:tc>
          <w:tcPr>
            <w:tcW w:w="1280" w:type="dxa"/>
            <w:noWrap/>
            <w:hideMark/>
          </w:tcPr>
          <w:p w14:paraId="5A4B9615"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40</w:t>
            </w:r>
          </w:p>
        </w:tc>
        <w:tc>
          <w:tcPr>
            <w:tcW w:w="1280" w:type="dxa"/>
            <w:noWrap/>
            <w:hideMark/>
          </w:tcPr>
          <w:p w14:paraId="20C995F9"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6</w:t>
            </w:r>
          </w:p>
        </w:tc>
        <w:tc>
          <w:tcPr>
            <w:tcW w:w="1280" w:type="dxa"/>
            <w:noWrap/>
            <w:hideMark/>
          </w:tcPr>
          <w:p w14:paraId="708B2BF9"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40</w:t>
            </w:r>
          </w:p>
        </w:tc>
      </w:tr>
      <w:tr w:rsidR="003342DB" w:rsidRPr="00F34C6E" w14:paraId="4586FC71" w14:textId="77777777" w:rsidTr="003342DB">
        <w:trPr>
          <w:trHeight w:val="300"/>
          <w:jc w:val="center"/>
        </w:trPr>
        <w:tc>
          <w:tcPr>
            <w:tcW w:w="2560" w:type="dxa"/>
            <w:noWrap/>
            <w:hideMark/>
          </w:tcPr>
          <w:p w14:paraId="2484E140"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8C21F5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A38B381"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C4B3B79"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0D35621C"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40174C8"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56EA07B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B375A10"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52EA657A" w14:textId="77777777" w:rsidTr="003342DB">
        <w:trPr>
          <w:trHeight w:val="300"/>
          <w:jc w:val="center"/>
        </w:trPr>
        <w:tc>
          <w:tcPr>
            <w:tcW w:w="2560" w:type="dxa"/>
            <w:noWrap/>
            <w:hideMark/>
          </w:tcPr>
          <w:p w14:paraId="668F52CA"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Engineering </w:t>
            </w:r>
          </w:p>
        </w:tc>
        <w:tc>
          <w:tcPr>
            <w:tcW w:w="1280" w:type="dxa"/>
            <w:noWrap/>
            <w:hideMark/>
          </w:tcPr>
          <w:p w14:paraId="23680420"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35</w:t>
            </w:r>
          </w:p>
        </w:tc>
        <w:tc>
          <w:tcPr>
            <w:tcW w:w="1280" w:type="dxa"/>
            <w:noWrap/>
            <w:hideMark/>
          </w:tcPr>
          <w:p w14:paraId="6872F2F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w:t>
            </w:r>
          </w:p>
        </w:tc>
        <w:tc>
          <w:tcPr>
            <w:tcW w:w="1280" w:type="dxa"/>
            <w:noWrap/>
            <w:hideMark/>
          </w:tcPr>
          <w:p w14:paraId="1CDF3E61"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22.86</w:t>
            </w:r>
          </w:p>
        </w:tc>
        <w:tc>
          <w:tcPr>
            <w:tcW w:w="1280" w:type="dxa"/>
            <w:noWrap/>
            <w:hideMark/>
          </w:tcPr>
          <w:p w14:paraId="3B68CA82"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w:t>
            </w:r>
          </w:p>
        </w:tc>
        <w:tc>
          <w:tcPr>
            <w:tcW w:w="1280" w:type="dxa"/>
            <w:noWrap/>
            <w:hideMark/>
          </w:tcPr>
          <w:p w14:paraId="3E2DAAB4"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22.86</w:t>
            </w:r>
          </w:p>
        </w:tc>
        <w:tc>
          <w:tcPr>
            <w:tcW w:w="1280" w:type="dxa"/>
            <w:noWrap/>
            <w:hideMark/>
          </w:tcPr>
          <w:p w14:paraId="78FA8E2F"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3F2D964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8.57</w:t>
            </w:r>
          </w:p>
        </w:tc>
      </w:tr>
      <w:tr w:rsidR="003342DB" w:rsidRPr="00F34C6E" w14:paraId="1DB55A76" w14:textId="77777777" w:rsidTr="003342DB">
        <w:trPr>
          <w:trHeight w:val="300"/>
          <w:jc w:val="center"/>
        </w:trPr>
        <w:tc>
          <w:tcPr>
            <w:tcW w:w="2560" w:type="dxa"/>
            <w:noWrap/>
            <w:hideMark/>
          </w:tcPr>
          <w:p w14:paraId="0543CAB2"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4C3CC2F"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367CDF6C"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F93FC7C"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1B4A217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05F305B0"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572DE589"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6CBA63E"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2179986F" w14:textId="77777777" w:rsidTr="003342DB">
        <w:trPr>
          <w:trHeight w:val="300"/>
          <w:jc w:val="center"/>
        </w:trPr>
        <w:tc>
          <w:tcPr>
            <w:tcW w:w="2560" w:type="dxa"/>
            <w:noWrap/>
            <w:hideMark/>
          </w:tcPr>
          <w:p w14:paraId="515C34B6"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Casting Department </w:t>
            </w:r>
          </w:p>
        </w:tc>
        <w:tc>
          <w:tcPr>
            <w:tcW w:w="1280" w:type="dxa"/>
            <w:noWrap/>
            <w:hideMark/>
          </w:tcPr>
          <w:p w14:paraId="595F0DC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6</w:t>
            </w:r>
          </w:p>
        </w:tc>
        <w:tc>
          <w:tcPr>
            <w:tcW w:w="1280" w:type="dxa"/>
            <w:noWrap/>
            <w:hideMark/>
          </w:tcPr>
          <w:p w14:paraId="2EA02EBC"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522DB8EA"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50</w:t>
            </w:r>
          </w:p>
        </w:tc>
        <w:tc>
          <w:tcPr>
            <w:tcW w:w="1280" w:type="dxa"/>
            <w:noWrap/>
            <w:hideMark/>
          </w:tcPr>
          <w:p w14:paraId="3F1BC1F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w:t>
            </w:r>
          </w:p>
        </w:tc>
        <w:tc>
          <w:tcPr>
            <w:tcW w:w="1280" w:type="dxa"/>
            <w:noWrap/>
            <w:hideMark/>
          </w:tcPr>
          <w:p w14:paraId="26EC520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83.33</w:t>
            </w:r>
          </w:p>
        </w:tc>
        <w:tc>
          <w:tcPr>
            <w:tcW w:w="1280" w:type="dxa"/>
            <w:noWrap/>
            <w:hideMark/>
          </w:tcPr>
          <w:p w14:paraId="5314C790"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w:t>
            </w:r>
          </w:p>
        </w:tc>
        <w:tc>
          <w:tcPr>
            <w:tcW w:w="1280" w:type="dxa"/>
            <w:noWrap/>
            <w:hideMark/>
          </w:tcPr>
          <w:p w14:paraId="5F38CF67"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33.33</w:t>
            </w:r>
          </w:p>
        </w:tc>
      </w:tr>
      <w:tr w:rsidR="003342DB" w:rsidRPr="00F34C6E" w14:paraId="13FA2411" w14:textId="77777777" w:rsidTr="003342DB">
        <w:trPr>
          <w:trHeight w:val="300"/>
          <w:jc w:val="center"/>
        </w:trPr>
        <w:tc>
          <w:tcPr>
            <w:tcW w:w="2560" w:type="dxa"/>
            <w:noWrap/>
            <w:hideMark/>
          </w:tcPr>
          <w:p w14:paraId="50D99105"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459D5D9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411C0521"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AFDA152"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1F22BAEE"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26A04EB"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084B77A7"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239F1B2"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06027831" w14:textId="77777777" w:rsidTr="003342DB">
        <w:trPr>
          <w:trHeight w:val="300"/>
          <w:jc w:val="center"/>
        </w:trPr>
        <w:tc>
          <w:tcPr>
            <w:tcW w:w="2560" w:type="dxa"/>
            <w:noWrap/>
            <w:hideMark/>
          </w:tcPr>
          <w:p w14:paraId="7E4650F3"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Sales &amp; Marketing </w:t>
            </w:r>
          </w:p>
        </w:tc>
        <w:tc>
          <w:tcPr>
            <w:tcW w:w="1280" w:type="dxa"/>
            <w:noWrap/>
            <w:hideMark/>
          </w:tcPr>
          <w:p w14:paraId="6A9C83FE"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12</w:t>
            </w:r>
          </w:p>
        </w:tc>
        <w:tc>
          <w:tcPr>
            <w:tcW w:w="1280" w:type="dxa"/>
            <w:noWrap/>
            <w:hideMark/>
          </w:tcPr>
          <w:p w14:paraId="1180A21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0ED6CE4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33.33</w:t>
            </w:r>
          </w:p>
        </w:tc>
        <w:tc>
          <w:tcPr>
            <w:tcW w:w="1280" w:type="dxa"/>
            <w:noWrap/>
            <w:hideMark/>
          </w:tcPr>
          <w:p w14:paraId="61B55589"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049F426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c>
          <w:tcPr>
            <w:tcW w:w="1280" w:type="dxa"/>
            <w:noWrap/>
            <w:hideMark/>
          </w:tcPr>
          <w:p w14:paraId="6CC28CBB"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7E9DC7AF"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r>
      <w:tr w:rsidR="003342DB" w:rsidRPr="00F34C6E" w14:paraId="1422220D" w14:textId="77777777" w:rsidTr="003342DB">
        <w:trPr>
          <w:trHeight w:val="300"/>
          <w:jc w:val="center"/>
        </w:trPr>
        <w:tc>
          <w:tcPr>
            <w:tcW w:w="2560" w:type="dxa"/>
            <w:noWrap/>
            <w:hideMark/>
          </w:tcPr>
          <w:p w14:paraId="27C9ADC5"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7F1C1A5B"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742C134F"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59EDC073"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10FCD44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4E682266"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0BFC79E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6FDD3409"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23CE0377" w14:textId="77777777" w:rsidTr="003342DB">
        <w:trPr>
          <w:trHeight w:val="300"/>
          <w:jc w:val="center"/>
        </w:trPr>
        <w:tc>
          <w:tcPr>
            <w:tcW w:w="2560" w:type="dxa"/>
            <w:noWrap/>
            <w:hideMark/>
          </w:tcPr>
          <w:p w14:paraId="7C810C09"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Human Resources </w:t>
            </w:r>
          </w:p>
        </w:tc>
        <w:tc>
          <w:tcPr>
            <w:tcW w:w="1280" w:type="dxa"/>
            <w:noWrap/>
            <w:hideMark/>
          </w:tcPr>
          <w:p w14:paraId="7DB7A1C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w:t>
            </w:r>
          </w:p>
        </w:tc>
        <w:tc>
          <w:tcPr>
            <w:tcW w:w="1280" w:type="dxa"/>
            <w:noWrap/>
            <w:hideMark/>
          </w:tcPr>
          <w:p w14:paraId="08C5B6A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w:t>
            </w:r>
          </w:p>
        </w:tc>
        <w:tc>
          <w:tcPr>
            <w:tcW w:w="1280" w:type="dxa"/>
            <w:noWrap/>
            <w:hideMark/>
          </w:tcPr>
          <w:p w14:paraId="23FC94B6"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c>
          <w:tcPr>
            <w:tcW w:w="1280" w:type="dxa"/>
            <w:noWrap/>
            <w:hideMark/>
          </w:tcPr>
          <w:p w14:paraId="2BE1C982"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w:t>
            </w:r>
          </w:p>
        </w:tc>
        <w:tc>
          <w:tcPr>
            <w:tcW w:w="1280" w:type="dxa"/>
            <w:noWrap/>
            <w:hideMark/>
          </w:tcPr>
          <w:p w14:paraId="0FFC4D55"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c>
          <w:tcPr>
            <w:tcW w:w="1280" w:type="dxa"/>
            <w:noWrap/>
            <w:hideMark/>
          </w:tcPr>
          <w:p w14:paraId="5D2F65D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w:t>
            </w:r>
          </w:p>
        </w:tc>
        <w:tc>
          <w:tcPr>
            <w:tcW w:w="1280" w:type="dxa"/>
            <w:noWrap/>
            <w:hideMark/>
          </w:tcPr>
          <w:p w14:paraId="7E627FCE"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r>
      <w:tr w:rsidR="003342DB" w:rsidRPr="00F34C6E" w14:paraId="75497F17" w14:textId="77777777" w:rsidTr="003342DB">
        <w:trPr>
          <w:trHeight w:val="300"/>
          <w:jc w:val="center"/>
        </w:trPr>
        <w:tc>
          <w:tcPr>
            <w:tcW w:w="2560" w:type="dxa"/>
            <w:noWrap/>
            <w:hideMark/>
          </w:tcPr>
          <w:p w14:paraId="3167A900"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70CB2463"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3C3FDD6E"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791E9B5A"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263AB618"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35688DDC"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c>
          <w:tcPr>
            <w:tcW w:w="1280" w:type="dxa"/>
            <w:noWrap/>
            <w:hideMark/>
          </w:tcPr>
          <w:p w14:paraId="07171448"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w:t>
            </w:r>
          </w:p>
        </w:tc>
        <w:tc>
          <w:tcPr>
            <w:tcW w:w="1280" w:type="dxa"/>
            <w:noWrap/>
            <w:hideMark/>
          </w:tcPr>
          <w:p w14:paraId="1B71BC17" w14:textId="77777777" w:rsidR="003342DB" w:rsidRPr="00F34C6E" w:rsidRDefault="003342DB" w:rsidP="003342DB">
            <w:pPr>
              <w:spacing w:line="240" w:lineRule="auto"/>
              <w:jc w:val="righ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0</w:t>
            </w:r>
          </w:p>
        </w:tc>
      </w:tr>
      <w:tr w:rsidR="003342DB" w:rsidRPr="00F34C6E" w14:paraId="664CF490" w14:textId="77777777" w:rsidTr="003342DB">
        <w:trPr>
          <w:trHeight w:val="300"/>
          <w:jc w:val="center"/>
        </w:trPr>
        <w:tc>
          <w:tcPr>
            <w:tcW w:w="2560" w:type="dxa"/>
            <w:noWrap/>
            <w:hideMark/>
          </w:tcPr>
          <w:p w14:paraId="1F9D932A" w14:textId="77777777" w:rsidR="003342DB" w:rsidRPr="00F34C6E" w:rsidRDefault="003342DB" w:rsidP="003342DB">
            <w:pPr>
              <w:spacing w:line="240" w:lineRule="auto"/>
              <w:jc w:val="left"/>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 xml:space="preserve">Design </w:t>
            </w:r>
          </w:p>
        </w:tc>
        <w:tc>
          <w:tcPr>
            <w:tcW w:w="1280" w:type="dxa"/>
            <w:noWrap/>
            <w:hideMark/>
          </w:tcPr>
          <w:p w14:paraId="7B2364D5"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12</w:t>
            </w:r>
          </w:p>
        </w:tc>
        <w:tc>
          <w:tcPr>
            <w:tcW w:w="1280" w:type="dxa"/>
            <w:noWrap/>
            <w:hideMark/>
          </w:tcPr>
          <w:p w14:paraId="17E03086"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3</w:t>
            </w:r>
          </w:p>
        </w:tc>
        <w:tc>
          <w:tcPr>
            <w:tcW w:w="1280" w:type="dxa"/>
            <w:noWrap/>
            <w:hideMark/>
          </w:tcPr>
          <w:p w14:paraId="0EB242F3"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25</w:t>
            </w:r>
          </w:p>
        </w:tc>
        <w:tc>
          <w:tcPr>
            <w:tcW w:w="1280" w:type="dxa"/>
            <w:noWrap/>
            <w:hideMark/>
          </w:tcPr>
          <w:p w14:paraId="67BF159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5</w:t>
            </w:r>
          </w:p>
        </w:tc>
        <w:tc>
          <w:tcPr>
            <w:tcW w:w="1280" w:type="dxa"/>
            <w:noWrap/>
            <w:hideMark/>
          </w:tcPr>
          <w:p w14:paraId="28ABBC8A"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41.67</w:t>
            </w:r>
          </w:p>
        </w:tc>
        <w:tc>
          <w:tcPr>
            <w:tcW w:w="1280" w:type="dxa"/>
            <w:noWrap/>
            <w:hideMark/>
          </w:tcPr>
          <w:p w14:paraId="5F6CB194"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2</w:t>
            </w:r>
          </w:p>
        </w:tc>
        <w:tc>
          <w:tcPr>
            <w:tcW w:w="1280" w:type="dxa"/>
            <w:noWrap/>
            <w:hideMark/>
          </w:tcPr>
          <w:p w14:paraId="67E5647D" w14:textId="77777777" w:rsidR="003342DB" w:rsidRPr="00F34C6E" w:rsidRDefault="003342DB" w:rsidP="003342DB">
            <w:pPr>
              <w:spacing w:line="240" w:lineRule="auto"/>
              <w:jc w:val="center"/>
              <w:rPr>
                <w:rFonts w:asciiTheme="minorHAnsi" w:eastAsia="Times New Roman" w:hAnsiTheme="minorHAnsi" w:cstheme="minorHAnsi"/>
                <w:color w:val="000000" w:themeColor="text1"/>
                <w:kern w:val="0"/>
                <w14:ligatures w14:val="none"/>
              </w:rPr>
            </w:pPr>
            <w:r w:rsidRPr="00F34C6E">
              <w:rPr>
                <w:rFonts w:asciiTheme="minorHAnsi" w:eastAsia="Times New Roman" w:hAnsiTheme="minorHAnsi" w:cstheme="minorHAnsi"/>
                <w:color w:val="000000" w:themeColor="text1"/>
                <w:kern w:val="0"/>
                <w14:ligatures w14:val="none"/>
              </w:rPr>
              <w:t>16.67</w:t>
            </w:r>
          </w:p>
        </w:tc>
      </w:tr>
    </w:tbl>
    <w:p w14:paraId="28AEE8D6" w14:textId="77777777" w:rsidR="006071F1" w:rsidRPr="00F34C6E" w:rsidRDefault="006071F1" w:rsidP="006071F1">
      <w:pPr>
        <w:rPr>
          <w:rFonts w:asciiTheme="minorHAnsi" w:hAnsiTheme="minorHAnsi" w:cstheme="minorHAnsi"/>
          <w:lang w:val="en-GB"/>
        </w:rPr>
      </w:pPr>
    </w:p>
    <w:p w14:paraId="655115E3" w14:textId="77777777" w:rsidR="00E94D0A" w:rsidRDefault="00E94D0A" w:rsidP="00BC7799">
      <w:pPr>
        <w:rPr>
          <w:rFonts w:asciiTheme="minorHAnsi" w:hAnsiTheme="minorHAnsi" w:cstheme="minorHAnsi"/>
          <w:b/>
          <w:bCs/>
          <w:lang w:val="en-GB"/>
        </w:rPr>
      </w:pPr>
    </w:p>
    <w:p w14:paraId="06E1269F" w14:textId="77777777" w:rsidR="00E94D0A" w:rsidRDefault="00E94D0A" w:rsidP="00BC7799">
      <w:pPr>
        <w:rPr>
          <w:rFonts w:asciiTheme="minorHAnsi" w:hAnsiTheme="minorHAnsi" w:cstheme="minorHAnsi"/>
          <w:b/>
          <w:bCs/>
          <w:lang w:val="en-GB"/>
        </w:rPr>
      </w:pPr>
    </w:p>
    <w:p w14:paraId="5BC427A5" w14:textId="77777777" w:rsidR="00E94D0A" w:rsidRDefault="00E94D0A" w:rsidP="00BC7799">
      <w:pPr>
        <w:rPr>
          <w:rFonts w:asciiTheme="minorHAnsi" w:hAnsiTheme="minorHAnsi" w:cstheme="minorHAnsi"/>
          <w:b/>
          <w:bCs/>
          <w:lang w:val="en-GB"/>
        </w:rPr>
      </w:pPr>
    </w:p>
    <w:p w14:paraId="022BD370" w14:textId="77777777" w:rsidR="00E94D0A" w:rsidRDefault="00E94D0A" w:rsidP="00BC7799">
      <w:pPr>
        <w:rPr>
          <w:rFonts w:asciiTheme="minorHAnsi" w:hAnsiTheme="minorHAnsi" w:cstheme="minorHAnsi"/>
          <w:b/>
          <w:bCs/>
          <w:lang w:val="en-GB"/>
        </w:rPr>
      </w:pPr>
    </w:p>
    <w:p w14:paraId="694E4D33" w14:textId="77777777" w:rsidR="00E94D0A" w:rsidRDefault="00E94D0A" w:rsidP="00BC7799">
      <w:pPr>
        <w:rPr>
          <w:rFonts w:asciiTheme="minorHAnsi" w:hAnsiTheme="minorHAnsi" w:cstheme="minorHAnsi"/>
          <w:b/>
          <w:bCs/>
          <w:lang w:val="en-GB"/>
        </w:rPr>
      </w:pPr>
    </w:p>
    <w:p w14:paraId="6401B31C" w14:textId="2B013B57" w:rsidR="00E94D0A" w:rsidRDefault="00BC7799" w:rsidP="00BC7799">
      <w:pPr>
        <w:rPr>
          <w:rFonts w:asciiTheme="minorHAnsi" w:hAnsiTheme="minorHAnsi" w:cstheme="minorHAnsi"/>
          <w:b/>
          <w:bCs/>
          <w:lang w:val="en-GB"/>
        </w:rPr>
      </w:pPr>
      <w:r w:rsidRPr="00F34C6E">
        <w:rPr>
          <w:rFonts w:asciiTheme="minorHAnsi" w:hAnsiTheme="minorHAnsi" w:cstheme="minorHAnsi"/>
          <w:b/>
          <w:bCs/>
          <w:lang w:val="en-GB"/>
        </w:rPr>
        <w:lastRenderedPageBreak/>
        <w:t>Q9</w:t>
      </w:r>
      <w:r w:rsidR="009C020D">
        <w:rPr>
          <w:rFonts w:asciiTheme="minorHAnsi" w:hAnsiTheme="minorHAnsi" w:cstheme="minorHAnsi"/>
          <w:b/>
          <w:bCs/>
          <w:lang w:val="en-GB"/>
        </w:rPr>
        <w:t xml:space="preserve"> - </w:t>
      </w:r>
      <w:r w:rsidRPr="00F34C6E">
        <w:rPr>
          <w:rFonts w:asciiTheme="minorHAnsi" w:hAnsiTheme="minorHAnsi" w:cstheme="minorHAnsi"/>
          <w:b/>
          <w:bCs/>
          <w:lang w:val="en-GB"/>
        </w:rPr>
        <w:t>AC 2.2</w:t>
      </w:r>
    </w:p>
    <w:p w14:paraId="4C4C62B5" w14:textId="17ACD159" w:rsidR="00E94D0A" w:rsidRPr="00E94D0A" w:rsidRDefault="00E94D0A" w:rsidP="00BC7799">
      <w:pPr>
        <w:rPr>
          <w:rFonts w:asciiTheme="minorHAnsi" w:hAnsiTheme="minorHAnsi" w:cstheme="minorHAnsi"/>
          <w:u w:val="single"/>
          <w:lang w:val="en-GB"/>
        </w:rPr>
      </w:pPr>
      <w:r w:rsidRPr="00E94D0A">
        <w:rPr>
          <w:rFonts w:asciiTheme="minorHAnsi" w:hAnsiTheme="minorHAnsi" w:cstheme="minorHAnsi"/>
          <w:u w:val="single"/>
          <w:lang w:val="en-GB"/>
        </w:rPr>
        <w:t>Bar chart</w:t>
      </w:r>
    </w:p>
    <w:p w14:paraId="330ACD1E" w14:textId="77777777" w:rsidR="00781C74" w:rsidRPr="00F34C6E" w:rsidRDefault="007E70E1" w:rsidP="00781C74">
      <w:pPr>
        <w:keepNext/>
        <w:rPr>
          <w:rFonts w:asciiTheme="minorHAnsi" w:hAnsiTheme="minorHAnsi" w:cstheme="minorHAnsi"/>
        </w:rPr>
      </w:pPr>
      <w:bookmarkStart w:id="1" w:name="_Hlk191626829"/>
      <w:r w:rsidRPr="00F34C6E">
        <w:rPr>
          <w:rFonts w:asciiTheme="minorHAnsi" w:hAnsiTheme="minorHAnsi" w:cstheme="minorHAnsi"/>
          <w:noProof/>
        </w:rPr>
        <w:drawing>
          <wp:inline distT="0" distB="0" distL="0" distR="0" wp14:anchorId="67A45FEA" wp14:editId="09EAA49E">
            <wp:extent cx="5848351" cy="3181351"/>
            <wp:effectExtent l="0" t="0" r="0" b="0"/>
            <wp:docPr id="1"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A35F9B4" w14:textId="77777777" w:rsidR="00E94D0A" w:rsidRDefault="00E94D0A" w:rsidP="00E94D0A">
      <w:pPr>
        <w:rPr>
          <w:rFonts w:asciiTheme="minorHAnsi" w:hAnsiTheme="minorHAnsi" w:cstheme="minorHAnsi"/>
          <w:u w:val="single"/>
        </w:rPr>
      </w:pPr>
      <w:r w:rsidRPr="00E94D0A">
        <w:rPr>
          <w:rFonts w:asciiTheme="minorHAnsi" w:hAnsiTheme="minorHAnsi" w:cstheme="minorHAnsi"/>
          <w:u w:val="single"/>
        </w:rPr>
        <w:t>Column chart</w:t>
      </w:r>
    </w:p>
    <w:p w14:paraId="4B9932DC" w14:textId="6CFE7E08" w:rsidR="00BC7799" w:rsidRDefault="003209A3" w:rsidP="00E94D0A">
      <w:pPr>
        <w:rPr>
          <w:rFonts w:asciiTheme="minorHAnsi" w:hAnsiTheme="minorHAnsi" w:cstheme="minorHAnsi"/>
        </w:rPr>
      </w:pPr>
      <w:r w:rsidRPr="00F34C6E">
        <w:rPr>
          <w:rFonts w:asciiTheme="minorHAnsi" w:hAnsiTheme="minorHAnsi" w:cstheme="minorHAnsi"/>
          <w:noProof/>
        </w:rPr>
        <w:drawing>
          <wp:inline distT="0" distB="0" distL="0" distR="0" wp14:anchorId="25192A69" wp14:editId="1EDC25DF">
            <wp:extent cx="5657850" cy="3181350"/>
            <wp:effectExtent l="0" t="0" r="0" b="0"/>
            <wp:docPr id="2" name="Chart 2">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5450B46" w14:textId="77777777" w:rsidR="00E94D0A" w:rsidRDefault="00E94D0A" w:rsidP="00E94D0A">
      <w:pPr>
        <w:rPr>
          <w:rFonts w:asciiTheme="minorHAnsi" w:hAnsiTheme="minorHAnsi" w:cstheme="minorHAnsi"/>
          <w:u w:val="single"/>
        </w:rPr>
      </w:pPr>
    </w:p>
    <w:p w14:paraId="15B867C1" w14:textId="3EAD13AF" w:rsidR="00E94D0A" w:rsidRDefault="00E94D0A" w:rsidP="00E94D0A">
      <w:pPr>
        <w:rPr>
          <w:rFonts w:asciiTheme="minorHAnsi" w:hAnsiTheme="minorHAnsi" w:cstheme="minorHAnsi"/>
          <w:u w:val="single"/>
        </w:rPr>
      </w:pPr>
      <w:r w:rsidRPr="00E94D0A">
        <w:rPr>
          <w:rFonts w:asciiTheme="minorHAnsi" w:hAnsiTheme="minorHAnsi" w:cstheme="minorHAnsi"/>
          <w:u w:val="single"/>
        </w:rPr>
        <w:lastRenderedPageBreak/>
        <w:t>Pie</w:t>
      </w:r>
      <w:r>
        <w:rPr>
          <w:rFonts w:asciiTheme="minorHAnsi" w:hAnsiTheme="minorHAnsi" w:cstheme="minorHAnsi"/>
          <w:u w:val="single"/>
        </w:rPr>
        <w:t xml:space="preserve"> </w:t>
      </w:r>
      <w:r w:rsidRPr="00E94D0A">
        <w:rPr>
          <w:rFonts w:asciiTheme="minorHAnsi" w:hAnsiTheme="minorHAnsi" w:cstheme="minorHAnsi"/>
          <w:u w:val="single"/>
        </w:rPr>
        <w:t>chart</w:t>
      </w:r>
    </w:p>
    <w:p w14:paraId="6935593B" w14:textId="77777777" w:rsidR="00E94D0A" w:rsidRDefault="00E94D0A" w:rsidP="00E94D0A">
      <w:pPr>
        <w:rPr>
          <w:rFonts w:asciiTheme="minorHAnsi" w:hAnsiTheme="minorHAnsi" w:cstheme="minorHAnsi"/>
          <w:u w:val="single"/>
        </w:rPr>
      </w:pPr>
    </w:p>
    <w:p w14:paraId="58E7FEA5" w14:textId="0E98C489" w:rsidR="00C141CD" w:rsidRPr="00F34C6E" w:rsidRDefault="00BA1926" w:rsidP="00E94D0A">
      <w:pPr>
        <w:rPr>
          <w:rFonts w:asciiTheme="minorHAnsi" w:hAnsiTheme="minorHAnsi" w:cstheme="minorHAnsi"/>
        </w:rPr>
      </w:pPr>
      <w:r w:rsidRPr="00F34C6E">
        <w:rPr>
          <w:rFonts w:asciiTheme="minorHAnsi" w:hAnsiTheme="minorHAnsi" w:cstheme="minorHAnsi"/>
          <w:noProof/>
        </w:rPr>
        <w:drawing>
          <wp:inline distT="0" distB="0" distL="0" distR="0" wp14:anchorId="7911A151" wp14:editId="4DDF4643">
            <wp:extent cx="5943600" cy="3785235"/>
            <wp:effectExtent l="0" t="0" r="0" b="5715"/>
            <wp:docPr id="3" name="Chart 3">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04AEB0" w14:textId="77777777" w:rsidR="009C020D" w:rsidRDefault="009C020D" w:rsidP="007916C6">
      <w:pPr>
        <w:rPr>
          <w:rFonts w:asciiTheme="minorHAnsi" w:hAnsiTheme="minorHAnsi" w:cstheme="minorHAnsi"/>
          <w:b/>
          <w:bCs/>
          <w:lang w:val="en-GB"/>
        </w:rPr>
      </w:pPr>
    </w:p>
    <w:p w14:paraId="7474E47A" w14:textId="272BF938" w:rsidR="007916C6" w:rsidRPr="00F34C6E" w:rsidRDefault="007916C6" w:rsidP="007916C6">
      <w:pPr>
        <w:rPr>
          <w:rFonts w:asciiTheme="minorHAnsi" w:hAnsiTheme="minorHAnsi" w:cstheme="minorHAnsi"/>
          <w:b/>
          <w:bCs/>
          <w:lang w:val="en-GB"/>
        </w:rPr>
      </w:pPr>
      <w:r w:rsidRPr="00F34C6E">
        <w:rPr>
          <w:rFonts w:asciiTheme="minorHAnsi" w:hAnsiTheme="minorHAnsi" w:cstheme="minorHAnsi"/>
          <w:b/>
          <w:bCs/>
          <w:lang w:val="en-GB"/>
        </w:rPr>
        <w:t>Q10</w:t>
      </w:r>
      <w:r w:rsidR="009C020D">
        <w:rPr>
          <w:rFonts w:asciiTheme="minorHAnsi" w:hAnsiTheme="minorHAnsi" w:cstheme="minorHAnsi"/>
          <w:b/>
          <w:bCs/>
          <w:lang w:val="en-GB"/>
        </w:rPr>
        <w:t xml:space="preserve"> - </w:t>
      </w:r>
      <w:r w:rsidRPr="00F34C6E">
        <w:rPr>
          <w:rFonts w:asciiTheme="minorHAnsi" w:hAnsiTheme="minorHAnsi" w:cstheme="minorHAnsi"/>
          <w:b/>
          <w:bCs/>
          <w:lang w:val="en-GB"/>
        </w:rPr>
        <w:t>AC 2.3</w:t>
      </w:r>
    </w:p>
    <w:p w14:paraId="00AA8873" w14:textId="757E43DD" w:rsidR="00450FDB" w:rsidRPr="00F34C6E" w:rsidRDefault="002600F6" w:rsidP="00450FDB">
      <w:pPr>
        <w:rPr>
          <w:rFonts w:asciiTheme="minorHAnsi" w:hAnsiTheme="minorHAnsi" w:cstheme="minorHAnsi"/>
        </w:rPr>
      </w:pPr>
      <w:r w:rsidRPr="00F34C6E">
        <w:rPr>
          <w:rFonts w:asciiTheme="minorHAnsi" w:hAnsiTheme="minorHAnsi" w:cstheme="minorHAnsi"/>
        </w:rPr>
        <w:t xml:space="preserve">The assessment feedback provided in Table 2 relied on the attendance of 42 employees who attended a recent learning and development event at Technivara. The respondents were asked to rate a set of statements on a five-point scale (1 = fully agree to 5 = strongly disagree). The review </w:t>
      </w:r>
      <w:proofErr w:type="spellStart"/>
      <w:r w:rsidRPr="00F34C6E">
        <w:rPr>
          <w:rFonts w:asciiTheme="minorHAnsi" w:hAnsiTheme="minorHAnsi" w:cstheme="minorHAnsi"/>
        </w:rPr>
        <w:t>emphasises</w:t>
      </w:r>
      <w:proofErr w:type="spellEnd"/>
      <w:r w:rsidRPr="00F34C6E">
        <w:rPr>
          <w:rFonts w:asciiTheme="minorHAnsi" w:hAnsiTheme="minorHAnsi" w:cstheme="minorHAnsi"/>
        </w:rPr>
        <w:t xml:space="preserve"> important patterns, themes and trends to guide the provision of future learning (Owen, 2020). The knowledge and quality of resources regarding the facilitators were rated positive, and the inconsistent responses regarding relevance, engagement and application points to necessary improvements.</w:t>
      </w:r>
    </w:p>
    <w:p w14:paraId="4F5D5802" w14:textId="77777777" w:rsidR="00464233" w:rsidRPr="00F34C6E" w:rsidRDefault="00464233" w:rsidP="00346B3B">
      <w:pPr>
        <w:rPr>
          <w:rFonts w:asciiTheme="minorHAnsi" w:hAnsiTheme="minorHAnsi" w:cstheme="minorHAnsi"/>
          <w:b/>
          <w:bCs/>
          <w:i/>
          <w:iCs/>
        </w:rPr>
      </w:pPr>
    </w:p>
    <w:p w14:paraId="4C6D1538" w14:textId="684237A3" w:rsidR="00346B3B" w:rsidRPr="00F34C6E" w:rsidRDefault="00346B3B" w:rsidP="00346B3B">
      <w:pPr>
        <w:rPr>
          <w:rFonts w:asciiTheme="minorHAnsi" w:hAnsiTheme="minorHAnsi" w:cstheme="minorHAnsi"/>
          <w:b/>
          <w:bCs/>
          <w:i/>
          <w:iCs/>
        </w:rPr>
      </w:pPr>
      <w:r w:rsidRPr="00F34C6E">
        <w:rPr>
          <w:rFonts w:asciiTheme="minorHAnsi" w:hAnsiTheme="minorHAnsi" w:cstheme="minorHAnsi"/>
          <w:b/>
          <w:bCs/>
          <w:i/>
          <w:iCs/>
        </w:rPr>
        <w:t>10.</w:t>
      </w:r>
      <w:r w:rsidR="00301FBC" w:rsidRPr="00F34C6E">
        <w:rPr>
          <w:rFonts w:asciiTheme="minorHAnsi" w:hAnsiTheme="minorHAnsi" w:cstheme="minorHAnsi"/>
          <w:b/>
          <w:bCs/>
          <w:i/>
          <w:iCs/>
        </w:rPr>
        <w:t>1</w:t>
      </w:r>
      <w:r w:rsidRPr="00F34C6E">
        <w:rPr>
          <w:rFonts w:asciiTheme="minorHAnsi" w:hAnsiTheme="minorHAnsi" w:cstheme="minorHAnsi"/>
          <w:b/>
          <w:bCs/>
          <w:i/>
          <w:iCs/>
        </w:rPr>
        <w:t xml:space="preserve"> Key themes and patterns identified</w:t>
      </w:r>
    </w:p>
    <w:p w14:paraId="4D8D869A" w14:textId="58D624EE" w:rsidR="00346B3B" w:rsidRPr="00F34C6E" w:rsidRDefault="00346B3B" w:rsidP="00346B3B">
      <w:pPr>
        <w:rPr>
          <w:rFonts w:asciiTheme="minorHAnsi" w:hAnsiTheme="minorHAnsi" w:cstheme="minorHAnsi"/>
          <w:i/>
          <w:iCs/>
        </w:rPr>
      </w:pPr>
      <w:r w:rsidRPr="00F34C6E">
        <w:rPr>
          <w:rFonts w:asciiTheme="minorHAnsi" w:hAnsiTheme="minorHAnsi" w:cstheme="minorHAnsi"/>
          <w:i/>
          <w:iCs/>
        </w:rPr>
        <w:lastRenderedPageBreak/>
        <w:t>10.</w:t>
      </w:r>
      <w:r w:rsidR="009F073B" w:rsidRPr="00F34C6E">
        <w:rPr>
          <w:rFonts w:asciiTheme="minorHAnsi" w:hAnsiTheme="minorHAnsi" w:cstheme="minorHAnsi"/>
          <w:i/>
          <w:iCs/>
        </w:rPr>
        <w:t>1</w:t>
      </w:r>
      <w:r w:rsidRPr="00F34C6E">
        <w:rPr>
          <w:rFonts w:asciiTheme="minorHAnsi" w:hAnsiTheme="minorHAnsi" w:cstheme="minorHAnsi"/>
          <w:i/>
          <w:iCs/>
        </w:rPr>
        <w:t>.1 Learning design and relevance</w:t>
      </w:r>
    </w:p>
    <w:p w14:paraId="249DB4C6" w14:textId="277690B7" w:rsidR="00346B3B" w:rsidRPr="00F34C6E" w:rsidRDefault="006E7741" w:rsidP="00346B3B">
      <w:pPr>
        <w:rPr>
          <w:rFonts w:asciiTheme="minorHAnsi" w:hAnsiTheme="minorHAnsi" w:cstheme="minorHAnsi"/>
        </w:rPr>
      </w:pPr>
      <w:r w:rsidRPr="00F34C6E">
        <w:rPr>
          <w:rFonts w:asciiTheme="minorHAnsi" w:hAnsiTheme="minorHAnsi" w:cstheme="minorHAnsi"/>
        </w:rPr>
        <w:t xml:space="preserve">Feedback based on learning design gives some mixed results amongst the participants. Reactions to the statement </w:t>
      </w:r>
      <w:r w:rsidR="00063E07" w:rsidRPr="00F34C6E">
        <w:rPr>
          <w:rFonts w:asciiTheme="minorHAnsi" w:hAnsiTheme="minorHAnsi" w:cstheme="minorHAnsi"/>
        </w:rPr>
        <w:t>“My learning preferences were considered prior to the learning activity”</w:t>
      </w:r>
      <w:r w:rsidRPr="00F34C6E">
        <w:rPr>
          <w:rFonts w:asciiTheme="minorHAnsi" w:hAnsiTheme="minorHAnsi" w:cstheme="minorHAnsi"/>
        </w:rPr>
        <w:t xml:space="preserve"> reveal that some workers agreed, yet a vast percentage chose </w:t>
      </w:r>
      <w:r w:rsidR="002F3D07" w:rsidRPr="00F34C6E">
        <w:rPr>
          <w:rFonts w:asciiTheme="minorHAnsi" w:hAnsiTheme="minorHAnsi" w:cstheme="minorHAnsi"/>
        </w:rPr>
        <w:t>“not sure” or “disagree”</w:t>
      </w:r>
      <w:r w:rsidRPr="00F34C6E">
        <w:rPr>
          <w:rFonts w:asciiTheme="minorHAnsi" w:hAnsiTheme="minorHAnsi" w:cstheme="minorHAnsi"/>
        </w:rPr>
        <w:t xml:space="preserve">. This indicates that the learning design could not have been well inclusive of learning styles, such as visual, auditory or practical which might decrease engagement to some learners. </w:t>
      </w:r>
      <w:r w:rsidR="00AD5D62" w:rsidRPr="00F34C6E">
        <w:rPr>
          <w:rFonts w:asciiTheme="minorHAnsi" w:hAnsiTheme="minorHAnsi" w:cstheme="minorHAnsi"/>
        </w:rPr>
        <w:t>T</w:t>
      </w:r>
      <w:r w:rsidRPr="00F34C6E">
        <w:rPr>
          <w:rFonts w:asciiTheme="minorHAnsi" w:hAnsiTheme="minorHAnsi" w:cstheme="minorHAnsi"/>
        </w:rPr>
        <w:t>he</w:t>
      </w:r>
      <w:r w:rsidR="00AD5D62" w:rsidRPr="00F34C6E">
        <w:rPr>
          <w:rFonts w:asciiTheme="minorHAnsi" w:hAnsiTheme="minorHAnsi" w:cstheme="minorHAnsi"/>
        </w:rPr>
        <w:t xml:space="preserve"> </w:t>
      </w:r>
      <w:r w:rsidRPr="00F34C6E">
        <w:rPr>
          <w:rFonts w:asciiTheme="minorHAnsi" w:hAnsiTheme="minorHAnsi" w:cstheme="minorHAnsi"/>
        </w:rPr>
        <w:t xml:space="preserve">answers to the question about </w:t>
      </w:r>
      <w:r w:rsidR="00646922" w:rsidRPr="00F34C6E">
        <w:rPr>
          <w:rFonts w:asciiTheme="minorHAnsi" w:hAnsiTheme="minorHAnsi" w:cstheme="minorHAnsi"/>
        </w:rPr>
        <w:t>“The learning linked to my performance target”</w:t>
      </w:r>
      <w:r w:rsidR="008124E2" w:rsidRPr="00F34C6E">
        <w:rPr>
          <w:rFonts w:asciiTheme="minorHAnsi" w:hAnsiTheme="minorHAnsi" w:cstheme="minorHAnsi"/>
        </w:rPr>
        <w:t xml:space="preserve"> </w:t>
      </w:r>
      <w:r w:rsidRPr="00F34C6E">
        <w:rPr>
          <w:rFonts w:asciiTheme="minorHAnsi" w:hAnsiTheme="minorHAnsi" w:cstheme="minorHAnsi"/>
        </w:rPr>
        <w:t xml:space="preserve">reveal a high degree of uncertainty as well, meaning that the applicability of the learning to the tasks and goals of the specific roles was not always apparent. Motivation and value perceptions may decrease when learning is not well aligned to job requirements (Al Karim, 2019). </w:t>
      </w:r>
      <w:r w:rsidR="004F72C6" w:rsidRPr="00F34C6E">
        <w:rPr>
          <w:rFonts w:asciiTheme="minorHAnsi" w:hAnsiTheme="minorHAnsi" w:cstheme="minorHAnsi"/>
        </w:rPr>
        <w:t>T</w:t>
      </w:r>
      <w:r w:rsidRPr="00F34C6E">
        <w:rPr>
          <w:rFonts w:asciiTheme="minorHAnsi" w:hAnsiTheme="minorHAnsi" w:cstheme="minorHAnsi"/>
        </w:rPr>
        <w:t>he</w:t>
      </w:r>
      <w:r w:rsidR="004F72C6" w:rsidRPr="00F34C6E">
        <w:rPr>
          <w:rFonts w:asciiTheme="minorHAnsi" w:hAnsiTheme="minorHAnsi" w:cstheme="minorHAnsi"/>
        </w:rPr>
        <w:t xml:space="preserve"> </w:t>
      </w:r>
      <w:r w:rsidRPr="00F34C6E">
        <w:rPr>
          <w:rFonts w:asciiTheme="minorHAnsi" w:hAnsiTheme="minorHAnsi" w:cstheme="minorHAnsi"/>
        </w:rPr>
        <w:t>responses indicate that closer correspondence between learning goals, job functions, and performance expectations would enhance the relevance and engagement of learners.</w:t>
      </w:r>
    </w:p>
    <w:p w14:paraId="512CD683" w14:textId="529199F6" w:rsidR="00346B3B" w:rsidRPr="00F34C6E" w:rsidRDefault="00346B3B" w:rsidP="00346B3B">
      <w:pPr>
        <w:rPr>
          <w:rFonts w:asciiTheme="minorHAnsi" w:hAnsiTheme="minorHAnsi" w:cstheme="minorHAnsi"/>
          <w:i/>
          <w:iCs/>
        </w:rPr>
      </w:pPr>
      <w:r w:rsidRPr="00F34C6E">
        <w:rPr>
          <w:rFonts w:asciiTheme="minorHAnsi" w:hAnsiTheme="minorHAnsi" w:cstheme="minorHAnsi"/>
          <w:i/>
          <w:iCs/>
        </w:rPr>
        <w:t>10.</w:t>
      </w:r>
      <w:r w:rsidR="009F073B" w:rsidRPr="00F34C6E">
        <w:rPr>
          <w:rFonts w:asciiTheme="minorHAnsi" w:hAnsiTheme="minorHAnsi" w:cstheme="minorHAnsi"/>
          <w:i/>
          <w:iCs/>
        </w:rPr>
        <w:t>1.</w:t>
      </w:r>
      <w:r w:rsidRPr="00F34C6E">
        <w:rPr>
          <w:rFonts w:asciiTheme="minorHAnsi" w:hAnsiTheme="minorHAnsi" w:cstheme="minorHAnsi"/>
          <w:i/>
          <w:iCs/>
        </w:rPr>
        <w:t>2 Clarity of objectives and structure</w:t>
      </w:r>
    </w:p>
    <w:p w14:paraId="48F93BA6" w14:textId="5104890F" w:rsidR="00346B3B" w:rsidRPr="00F34C6E" w:rsidRDefault="0006306E" w:rsidP="00346B3B">
      <w:pPr>
        <w:rPr>
          <w:rFonts w:asciiTheme="minorHAnsi" w:hAnsiTheme="minorHAnsi" w:cstheme="minorHAnsi"/>
        </w:rPr>
      </w:pPr>
      <w:r w:rsidRPr="00F34C6E">
        <w:rPr>
          <w:rFonts w:asciiTheme="minorHAnsi" w:hAnsiTheme="minorHAnsi" w:cstheme="minorHAnsi"/>
        </w:rPr>
        <w:t xml:space="preserve">The feedback on the question concerning </w:t>
      </w:r>
      <w:r w:rsidR="008A1118" w:rsidRPr="00F34C6E">
        <w:rPr>
          <w:rFonts w:asciiTheme="minorHAnsi" w:hAnsiTheme="minorHAnsi" w:cstheme="minorHAnsi"/>
        </w:rPr>
        <w:t>“On commencement the facilitator provided clear set objectives”</w:t>
      </w:r>
      <w:r w:rsidRPr="00F34C6E">
        <w:rPr>
          <w:rFonts w:asciiTheme="minorHAnsi" w:hAnsiTheme="minorHAnsi" w:cstheme="minorHAnsi"/>
        </w:rPr>
        <w:t xml:space="preserve"> is generally positive with most of the respondents expressing agreement. This implies that the learning session was initiated in the right way and that employees were aware of what the learning session intended to accomplish. Specific aims are significant in establishing expectations and assisting learners to concentrate on essential results. The answers to </w:t>
      </w:r>
      <w:r w:rsidR="008A1118" w:rsidRPr="00F34C6E">
        <w:rPr>
          <w:rFonts w:asciiTheme="minorHAnsi" w:hAnsiTheme="minorHAnsi" w:cstheme="minorHAnsi"/>
        </w:rPr>
        <w:t>“The learning event was appropriately structured”</w:t>
      </w:r>
      <w:r w:rsidRPr="00F34C6E">
        <w:rPr>
          <w:rFonts w:asciiTheme="minorHAnsi" w:hAnsiTheme="minorHAnsi" w:cstheme="minorHAnsi"/>
        </w:rPr>
        <w:t xml:space="preserve"> are more uniformly spread on the scale. Most of the employees concurred, but a percentage voiced doubt or opposed. This trend is showing that there might be a lack of alignment between established goals and the general framework or speed of the lesson to support all learners (Darling-Hammond et al., 2020). The duration of sessions, timing of activities or information overload could have influenced the capability of participants to pay attention throughout the learning process.</w:t>
      </w:r>
    </w:p>
    <w:p w14:paraId="1C723057" w14:textId="733A9EC0" w:rsidR="00346B3B" w:rsidRPr="00F34C6E" w:rsidRDefault="00346B3B" w:rsidP="00346B3B">
      <w:pPr>
        <w:rPr>
          <w:rFonts w:asciiTheme="minorHAnsi" w:hAnsiTheme="minorHAnsi" w:cstheme="minorHAnsi"/>
          <w:i/>
          <w:iCs/>
        </w:rPr>
      </w:pPr>
      <w:r w:rsidRPr="00F34C6E">
        <w:rPr>
          <w:rFonts w:asciiTheme="minorHAnsi" w:hAnsiTheme="minorHAnsi" w:cstheme="minorHAnsi"/>
          <w:i/>
          <w:iCs/>
        </w:rPr>
        <w:t>10.</w:t>
      </w:r>
      <w:r w:rsidR="009F073B" w:rsidRPr="00F34C6E">
        <w:rPr>
          <w:rFonts w:asciiTheme="minorHAnsi" w:hAnsiTheme="minorHAnsi" w:cstheme="minorHAnsi"/>
          <w:i/>
          <w:iCs/>
        </w:rPr>
        <w:t>1</w:t>
      </w:r>
      <w:r w:rsidRPr="00F34C6E">
        <w:rPr>
          <w:rFonts w:asciiTheme="minorHAnsi" w:hAnsiTheme="minorHAnsi" w:cstheme="minorHAnsi"/>
          <w:i/>
          <w:iCs/>
        </w:rPr>
        <w:t>.3 Facilitator capability and delivery</w:t>
      </w:r>
    </w:p>
    <w:p w14:paraId="39D9E16E" w14:textId="2B580143" w:rsidR="00346B3B" w:rsidRPr="00F34C6E" w:rsidRDefault="00762FBF" w:rsidP="00346B3B">
      <w:pPr>
        <w:rPr>
          <w:rFonts w:asciiTheme="minorHAnsi" w:hAnsiTheme="minorHAnsi" w:cstheme="minorHAnsi"/>
        </w:rPr>
      </w:pPr>
      <w:r w:rsidRPr="00F34C6E">
        <w:rPr>
          <w:rFonts w:asciiTheme="minorHAnsi" w:hAnsiTheme="minorHAnsi" w:cstheme="minorHAnsi"/>
        </w:rPr>
        <w:t xml:space="preserve">Among the most influential positive themes in the feedback, there is one about facilitator capability. Such statements like </w:t>
      </w:r>
      <w:r w:rsidR="007C70A2" w:rsidRPr="00F34C6E">
        <w:rPr>
          <w:rFonts w:asciiTheme="minorHAnsi" w:hAnsiTheme="minorHAnsi" w:cstheme="minorHAnsi"/>
        </w:rPr>
        <w:t>“The facilitator was clearly knowledgeable about the topics” and “The facilitator provided clear explanation on topics discussed”</w:t>
      </w:r>
      <w:r w:rsidRPr="00F34C6E">
        <w:rPr>
          <w:rFonts w:asciiTheme="minorHAnsi" w:hAnsiTheme="minorHAnsi" w:cstheme="minorHAnsi"/>
        </w:rPr>
        <w:t xml:space="preserve"> were all highly agreed to. This </w:t>
      </w:r>
      <w:r w:rsidRPr="00F34C6E">
        <w:rPr>
          <w:rFonts w:asciiTheme="minorHAnsi" w:hAnsiTheme="minorHAnsi" w:cstheme="minorHAnsi"/>
        </w:rPr>
        <w:lastRenderedPageBreak/>
        <w:t>means that employees saw the facilitator as a competent, confident and effective content presenter (Schoeb et al., 2021). Good facilitator skills may contribute a lot to learner trust and knowledge. The positive feedback here implies that the facilitator was a strength of the learning activity and played a constructive role in the entire learning process.</w:t>
      </w:r>
    </w:p>
    <w:p w14:paraId="76AA04C9" w14:textId="37931FBD" w:rsidR="00346B3B" w:rsidRPr="00F34C6E" w:rsidRDefault="00346B3B" w:rsidP="00346B3B">
      <w:pPr>
        <w:rPr>
          <w:rFonts w:asciiTheme="minorHAnsi" w:hAnsiTheme="minorHAnsi" w:cstheme="minorHAnsi"/>
          <w:i/>
          <w:iCs/>
        </w:rPr>
      </w:pPr>
      <w:r w:rsidRPr="00F34C6E">
        <w:rPr>
          <w:rFonts w:asciiTheme="minorHAnsi" w:hAnsiTheme="minorHAnsi" w:cstheme="minorHAnsi"/>
          <w:i/>
          <w:iCs/>
        </w:rPr>
        <w:t>10.</w:t>
      </w:r>
      <w:r w:rsidR="009F073B" w:rsidRPr="00F34C6E">
        <w:rPr>
          <w:rFonts w:asciiTheme="minorHAnsi" w:hAnsiTheme="minorHAnsi" w:cstheme="minorHAnsi"/>
          <w:i/>
          <w:iCs/>
        </w:rPr>
        <w:t>1</w:t>
      </w:r>
      <w:r w:rsidRPr="00F34C6E">
        <w:rPr>
          <w:rFonts w:asciiTheme="minorHAnsi" w:hAnsiTheme="minorHAnsi" w:cstheme="minorHAnsi"/>
          <w:i/>
          <w:iCs/>
        </w:rPr>
        <w:t>.4 Learning resources and materials</w:t>
      </w:r>
    </w:p>
    <w:p w14:paraId="73868C53" w14:textId="0CA28925" w:rsidR="00346B3B" w:rsidRPr="00F34C6E" w:rsidRDefault="00346B3B" w:rsidP="00346B3B">
      <w:pPr>
        <w:rPr>
          <w:rFonts w:asciiTheme="minorHAnsi" w:hAnsiTheme="minorHAnsi" w:cstheme="minorHAnsi"/>
        </w:rPr>
      </w:pPr>
      <w:r w:rsidRPr="00F34C6E">
        <w:rPr>
          <w:rFonts w:asciiTheme="minorHAnsi" w:hAnsiTheme="minorHAnsi" w:cstheme="minorHAnsi"/>
        </w:rPr>
        <w:t xml:space="preserve">Responses to “Resources used were of a good quality” </w:t>
      </w:r>
      <w:r w:rsidR="00F32394" w:rsidRPr="00F34C6E">
        <w:rPr>
          <w:rFonts w:asciiTheme="minorHAnsi" w:hAnsiTheme="minorHAnsi" w:cstheme="minorHAnsi"/>
        </w:rPr>
        <w:t>display a large degree of agreement, and little disagreement. This means that learning resources were comprehensible, applicable, and helpful to the content of the session (Schoeb et al., 2021). Quality resources can be used to strengthen learning, to support various learning styles and allow students to repeat content after the lesson. This is another apparent strength of the learning activity.</w:t>
      </w:r>
    </w:p>
    <w:p w14:paraId="0BC24F5B" w14:textId="41229466" w:rsidR="00346B3B" w:rsidRPr="00F34C6E" w:rsidRDefault="00346B3B" w:rsidP="00346B3B">
      <w:pPr>
        <w:rPr>
          <w:rFonts w:asciiTheme="minorHAnsi" w:hAnsiTheme="minorHAnsi" w:cstheme="minorHAnsi"/>
          <w:i/>
          <w:iCs/>
        </w:rPr>
      </w:pPr>
      <w:r w:rsidRPr="00F34C6E">
        <w:rPr>
          <w:rFonts w:asciiTheme="minorHAnsi" w:hAnsiTheme="minorHAnsi" w:cstheme="minorHAnsi"/>
          <w:i/>
          <w:iCs/>
        </w:rPr>
        <w:t>10.</w:t>
      </w:r>
      <w:r w:rsidR="009F073B" w:rsidRPr="00F34C6E">
        <w:rPr>
          <w:rFonts w:asciiTheme="minorHAnsi" w:hAnsiTheme="minorHAnsi" w:cstheme="minorHAnsi"/>
          <w:i/>
          <w:iCs/>
        </w:rPr>
        <w:t>1</w:t>
      </w:r>
      <w:r w:rsidRPr="00F34C6E">
        <w:rPr>
          <w:rFonts w:asciiTheme="minorHAnsi" w:hAnsiTheme="minorHAnsi" w:cstheme="minorHAnsi"/>
          <w:i/>
          <w:iCs/>
        </w:rPr>
        <w:t>.5 Engagement and interaction</w:t>
      </w:r>
    </w:p>
    <w:p w14:paraId="7DAA1AD1" w14:textId="2B6B8B0A" w:rsidR="00346B3B" w:rsidRPr="00F34C6E" w:rsidRDefault="00346B3B" w:rsidP="00346B3B">
      <w:pPr>
        <w:rPr>
          <w:rFonts w:asciiTheme="minorHAnsi" w:hAnsiTheme="minorHAnsi" w:cstheme="minorHAnsi"/>
        </w:rPr>
      </w:pPr>
      <w:r w:rsidRPr="00F34C6E">
        <w:rPr>
          <w:rFonts w:asciiTheme="minorHAnsi" w:hAnsiTheme="minorHAnsi" w:cstheme="minorHAnsi"/>
        </w:rPr>
        <w:t xml:space="preserve">Feedback relating to engagement presents a less positive picture. Responses to “I was able to engage with meaningful questioning and answering on topics being discussed” show that a significant number of employees selected “disagree” or “strongly disagree”. </w:t>
      </w:r>
      <w:r w:rsidR="00E52B6D" w:rsidRPr="00F34C6E">
        <w:rPr>
          <w:rFonts w:asciiTheme="minorHAnsi" w:hAnsiTheme="minorHAnsi" w:cstheme="minorHAnsi"/>
        </w:rPr>
        <w:t xml:space="preserve">This implies that there might </w:t>
      </w:r>
      <w:proofErr w:type="gramStart"/>
      <w:r w:rsidR="00E52B6D" w:rsidRPr="00F34C6E">
        <w:rPr>
          <w:rFonts w:asciiTheme="minorHAnsi" w:hAnsiTheme="minorHAnsi" w:cstheme="minorHAnsi"/>
        </w:rPr>
        <w:t>have been</w:t>
      </w:r>
      <w:proofErr w:type="gramEnd"/>
      <w:r w:rsidR="00E52B6D" w:rsidRPr="00F34C6E">
        <w:rPr>
          <w:rFonts w:asciiTheme="minorHAnsi" w:hAnsiTheme="minorHAnsi" w:cstheme="minorHAnsi"/>
        </w:rPr>
        <w:t xml:space="preserve"> a limited opportunity to interact, discuss and participate. The observance of a lack of engagement could signal the session being predominantly facilitator-led due to a lack of chances to pose any questions, share experiences, or use the learning process during the session. The decreased interaction may impair the motivation and the ability of the learners to gain deeper insights into the taught materials (Arabi and Garza, 2023).</w:t>
      </w:r>
    </w:p>
    <w:p w14:paraId="01D3C362" w14:textId="63FB30CF" w:rsidR="00346B3B" w:rsidRPr="00F34C6E" w:rsidRDefault="00346B3B" w:rsidP="00346B3B">
      <w:pPr>
        <w:rPr>
          <w:rFonts w:asciiTheme="minorHAnsi" w:hAnsiTheme="minorHAnsi" w:cstheme="minorHAnsi"/>
          <w:i/>
          <w:iCs/>
        </w:rPr>
      </w:pPr>
      <w:r w:rsidRPr="00F34C6E">
        <w:rPr>
          <w:rFonts w:asciiTheme="minorHAnsi" w:hAnsiTheme="minorHAnsi" w:cstheme="minorHAnsi"/>
          <w:i/>
          <w:iCs/>
        </w:rPr>
        <w:t>10.</w:t>
      </w:r>
      <w:r w:rsidR="009F073B" w:rsidRPr="00F34C6E">
        <w:rPr>
          <w:rFonts w:asciiTheme="minorHAnsi" w:hAnsiTheme="minorHAnsi" w:cstheme="minorHAnsi"/>
          <w:i/>
          <w:iCs/>
        </w:rPr>
        <w:t>1</w:t>
      </w:r>
      <w:r w:rsidRPr="00F34C6E">
        <w:rPr>
          <w:rFonts w:asciiTheme="minorHAnsi" w:hAnsiTheme="minorHAnsi" w:cstheme="minorHAnsi"/>
          <w:i/>
          <w:iCs/>
        </w:rPr>
        <w:t>.6 Achievement and application of learning outcomes</w:t>
      </w:r>
    </w:p>
    <w:p w14:paraId="32304391" w14:textId="456F8E70" w:rsidR="0071190B" w:rsidRPr="00F34C6E" w:rsidRDefault="00346B3B" w:rsidP="00346B3B">
      <w:pPr>
        <w:rPr>
          <w:rFonts w:asciiTheme="minorHAnsi" w:hAnsiTheme="minorHAnsi" w:cstheme="minorHAnsi"/>
        </w:rPr>
      </w:pPr>
      <w:r w:rsidRPr="00F34C6E">
        <w:rPr>
          <w:rFonts w:asciiTheme="minorHAnsi" w:hAnsiTheme="minorHAnsi" w:cstheme="minorHAnsi"/>
        </w:rPr>
        <w:t xml:space="preserve">Responses to “At the end of the session the set learning outcomes were achieved” reveal mixed views, with many employees indicating uncertainty or disagreement. </w:t>
      </w:r>
      <w:r w:rsidR="0025361D" w:rsidRPr="00F34C6E">
        <w:rPr>
          <w:rFonts w:asciiTheme="minorHAnsi" w:hAnsiTheme="minorHAnsi" w:cstheme="minorHAnsi"/>
        </w:rPr>
        <w:t>F</w:t>
      </w:r>
      <w:r w:rsidRPr="00F34C6E">
        <w:rPr>
          <w:rFonts w:asciiTheme="minorHAnsi" w:hAnsiTheme="minorHAnsi" w:cstheme="minorHAnsi"/>
        </w:rPr>
        <w:t>eedbac</w:t>
      </w:r>
      <w:r w:rsidR="0025361D" w:rsidRPr="00F34C6E">
        <w:rPr>
          <w:rFonts w:asciiTheme="minorHAnsi" w:hAnsiTheme="minorHAnsi" w:cstheme="minorHAnsi"/>
        </w:rPr>
        <w:t>k</w:t>
      </w:r>
      <w:r w:rsidRPr="00F34C6E">
        <w:rPr>
          <w:rFonts w:asciiTheme="minorHAnsi" w:hAnsiTheme="minorHAnsi" w:cstheme="minorHAnsi"/>
        </w:rPr>
        <w:t xml:space="preserve"> on “I was able to employ the knowledge, skills and </w:t>
      </w:r>
      <w:proofErr w:type="spellStart"/>
      <w:r w:rsidRPr="00F34C6E">
        <w:rPr>
          <w:rFonts w:asciiTheme="minorHAnsi" w:hAnsiTheme="minorHAnsi" w:cstheme="minorHAnsi"/>
        </w:rPr>
        <w:t>behaviours</w:t>
      </w:r>
      <w:proofErr w:type="spellEnd"/>
      <w:r w:rsidRPr="00F34C6E">
        <w:rPr>
          <w:rFonts w:asciiTheme="minorHAnsi" w:hAnsiTheme="minorHAnsi" w:cstheme="minorHAnsi"/>
        </w:rPr>
        <w:t xml:space="preserve"> into my working role” </w:t>
      </w:r>
      <w:r w:rsidR="00D56BA1" w:rsidRPr="00F34C6E">
        <w:rPr>
          <w:rFonts w:asciiTheme="minorHAnsi" w:hAnsiTheme="minorHAnsi" w:cstheme="minorHAnsi"/>
        </w:rPr>
        <w:t xml:space="preserve">implicates possible transfer of learning into the </w:t>
      </w:r>
      <w:proofErr w:type="gramStart"/>
      <w:r w:rsidR="00D56BA1" w:rsidRPr="00F34C6E">
        <w:rPr>
          <w:rFonts w:asciiTheme="minorHAnsi" w:hAnsiTheme="minorHAnsi" w:cstheme="minorHAnsi"/>
        </w:rPr>
        <w:t>work place</w:t>
      </w:r>
      <w:proofErr w:type="gramEnd"/>
      <w:r w:rsidR="00D56BA1" w:rsidRPr="00F34C6E">
        <w:rPr>
          <w:rFonts w:asciiTheme="minorHAnsi" w:hAnsiTheme="minorHAnsi" w:cstheme="minorHAnsi"/>
        </w:rPr>
        <w:t xml:space="preserve">. The trend shows that it could be easy to miss the </w:t>
      </w:r>
      <w:r w:rsidR="009C020D" w:rsidRPr="00F34C6E">
        <w:rPr>
          <w:rFonts w:asciiTheme="minorHAnsi" w:hAnsiTheme="minorHAnsi" w:cstheme="minorHAnsi"/>
        </w:rPr>
        <w:t>connection</w:t>
      </w:r>
      <w:r w:rsidR="00D56BA1" w:rsidRPr="00F34C6E">
        <w:rPr>
          <w:rFonts w:asciiTheme="minorHAnsi" w:hAnsiTheme="minorHAnsi" w:cstheme="minorHAnsi"/>
        </w:rPr>
        <w:t xml:space="preserve"> between teaching and physical performance (Darling-Hammond et al., 2020). In the absence of proper reinforcement or follow-up, employees could lack the drive to </w:t>
      </w:r>
      <w:proofErr w:type="spellStart"/>
      <w:r w:rsidR="00D56BA1" w:rsidRPr="00F34C6E">
        <w:rPr>
          <w:rFonts w:asciiTheme="minorHAnsi" w:hAnsiTheme="minorHAnsi" w:cstheme="minorHAnsi"/>
        </w:rPr>
        <w:t>internalise</w:t>
      </w:r>
      <w:proofErr w:type="spellEnd"/>
      <w:r w:rsidR="00D56BA1" w:rsidRPr="00F34C6E">
        <w:rPr>
          <w:rFonts w:asciiTheme="minorHAnsi" w:hAnsiTheme="minorHAnsi" w:cstheme="minorHAnsi"/>
        </w:rPr>
        <w:t xml:space="preserve"> learning into </w:t>
      </w:r>
      <w:r w:rsidR="00D56BA1" w:rsidRPr="00F34C6E">
        <w:rPr>
          <w:rFonts w:asciiTheme="minorHAnsi" w:hAnsiTheme="minorHAnsi" w:cstheme="minorHAnsi"/>
        </w:rPr>
        <w:lastRenderedPageBreak/>
        <w:t xml:space="preserve">effective </w:t>
      </w:r>
      <w:proofErr w:type="spellStart"/>
      <w:r w:rsidR="00D56BA1" w:rsidRPr="00F34C6E">
        <w:rPr>
          <w:rFonts w:asciiTheme="minorHAnsi" w:hAnsiTheme="minorHAnsi" w:cstheme="minorHAnsi"/>
        </w:rPr>
        <w:t>behavioural</w:t>
      </w:r>
      <w:proofErr w:type="spellEnd"/>
      <w:r w:rsidR="00D56BA1" w:rsidRPr="00F34C6E">
        <w:rPr>
          <w:rFonts w:asciiTheme="minorHAnsi" w:hAnsiTheme="minorHAnsi" w:cstheme="minorHAnsi"/>
        </w:rPr>
        <w:t xml:space="preserve"> change, thereby </w:t>
      </w:r>
      <w:proofErr w:type="spellStart"/>
      <w:r w:rsidR="00D56BA1" w:rsidRPr="00F34C6E">
        <w:rPr>
          <w:rFonts w:asciiTheme="minorHAnsi" w:hAnsiTheme="minorHAnsi" w:cstheme="minorHAnsi"/>
        </w:rPr>
        <w:t>minimising</w:t>
      </w:r>
      <w:proofErr w:type="spellEnd"/>
      <w:r w:rsidR="00D56BA1" w:rsidRPr="00F34C6E">
        <w:rPr>
          <w:rFonts w:asciiTheme="minorHAnsi" w:hAnsiTheme="minorHAnsi" w:cstheme="minorHAnsi"/>
        </w:rPr>
        <w:t xml:space="preserve"> the overall effectiveness of the learning and development activity.</w:t>
      </w:r>
    </w:p>
    <w:p w14:paraId="014E34BF" w14:textId="4FA83E7A" w:rsidR="00810206" w:rsidRPr="00F34C6E" w:rsidRDefault="00DE79CF" w:rsidP="00810206">
      <w:pPr>
        <w:rPr>
          <w:rFonts w:asciiTheme="minorHAnsi" w:hAnsiTheme="minorHAnsi" w:cstheme="minorHAnsi"/>
          <w:b/>
          <w:bCs/>
          <w:i/>
          <w:iCs/>
        </w:rPr>
      </w:pPr>
      <w:r w:rsidRPr="00F34C6E">
        <w:rPr>
          <w:rFonts w:asciiTheme="minorHAnsi" w:hAnsiTheme="minorHAnsi" w:cstheme="minorHAnsi"/>
          <w:b/>
          <w:bCs/>
          <w:i/>
          <w:iCs/>
        </w:rPr>
        <w:t xml:space="preserve">10.2 </w:t>
      </w:r>
      <w:r w:rsidR="00810206" w:rsidRPr="00F34C6E">
        <w:rPr>
          <w:rFonts w:asciiTheme="minorHAnsi" w:hAnsiTheme="minorHAnsi" w:cstheme="minorHAnsi"/>
          <w:b/>
          <w:bCs/>
          <w:i/>
          <w:iCs/>
        </w:rPr>
        <w:t>Discussion</w:t>
      </w:r>
    </w:p>
    <w:p w14:paraId="0C4AA114" w14:textId="711BA759" w:rsidR="0071190B" w:rsidRPr="00F34C6E" w:rsidRDefault="00003763" w:rsidP="0071190B">
      <w:pPr>
        <w:rPr>
          <w:rFonts w:asciiTheme="minorHAnsi" w:hAnsiTheme="minorHAnsi" w:cstheme="minorHAnsi"/>
        </w:rPr>
      </w:pPr>
      <w:r w:rsidRPr="00F34C6E">
        <w:rPr>
          <w:rFonts w:asciiTheme="minorHAnsi" w:hAnsiTheme="minorHAnsi" w:cstheme="minorHAnsi"/>
        </w:rPr>
        <w:t>The feedback analysis reveals that there is a definite difference between the quality of delivery and the impact of learning. Although the facilitator knowledge and learning material were rated positively, ambivalent responses on the relevance, engagement and application imply that the learning activity was not entirely relevant to all the learners</w:t>
      </w:r>
      <w:r w:rsidR="00D118B9" w:rsidRPr="00F34C6E">
        <w:rPr>
          <w:rFonts w:asciiTheme="minorHAnsi" w:hAnsiTheme="minorHAnsi" w:cstheme="minorHAnsi"/>
        </w:rPr>
        <w:t xml:space="preserve"> (Darling-Hammond et al., 2020)</w:t>
      </w:r>
      <w:r w:rsidRPr="00F34C6E">
        <w:rPr>
          <w:rFonts w:asciiTheme="minorHAnsi" w:hAnsiTheme="minorHAnsi" w:cstheme="minorHAnsi"/>
        </w:rPr>
        <w:t xml:space="preserve">. </w:t>
      </w:r>
      <w:r w:rsidR="006F581B" w:rsidRPr="00F34C6E">
        <w:rPr>
          <w:rFonts w:asciiTheme="minorHAnsi" w:hAnsiTheme="minorHAnsi" w:cstheme="minorHAnsi"/>
        </w:rPr>
        <w:t>T</w:t>
      </w:r>
      <w:r w:rsidRPr="00F34C6E">
        <w:rPr>
          <w:rFonts w:asciiTheme="minorHAnsi" w:hAnsiTheme="minorHAnsi" w:cstheme="minorHAnsi"/>
        </w:rPr>
        <w:t>he</w:t>
      </w:r>
      <w:r w:rsidR="006F581B" w:rsidRPr="00F34C6E">
        <w:rPr>
          <w:rFonts w:asciiTheme="minorHAnsi" w:hAnsiTheme="minorHAnsi" w:cstheme="minorHAnsi"/>
        </w:rPr>
        <w:t xml:space="preserve"> </w:t>
      </w:r>
      <w:r w:rsidRPr="00F34C6E">
        <w:rPr>
          <w:rFonts w:asciiTheme="minorHAnsi" w:hAnsiTheme="minorHAnsi" w:cstheme="minorHAnsi"/>
        </w:rPr>
        <w:t xml:space="preserve">lack of attention towards learning preferences and poor </w:t>
      </w:r>
      <w:r w:rsidR="009C020D" w:rsidRPr="00F34C6E">
        <w:rPr>
          <w:rFonts w:asciiTheme="minorHAnsi" w:hAnsiTheme="minorHAnsi" w:cstheme="minorHAnsi"/>
        </w:rPr>
        <w:t>connection</w:t>
      </w:r>
      <w:r w:rsidRPr="00F34C6E">
        <w:rPr>
          <w:rFonts w:asciiTheme="minorHAnsi" w:hAnsiTheme="minorHAnsi" w:cstheme="minorHAnsi"/>
        </w:rPr>
        <w:t xml:space="preserve"> to job position seem to have lowered the engagement of the learner and the application of learning to the work environment. These results demonstrate that </w:t>
      </w:r>
      <w:proofErr w:type="gramStart"/>
      <w:r w:rsidRPr="00F34C6E">
        <w:rPr>
          <w:rFonts w:asciiTheme="minorHAnsi" w:hAnsiTheme="minorHAnsi" w:cstheme="minorHAnsi"/>
        </w:rPr>
        <w:t>the teaching</w:t>
      </w:r>
      <w:proofErr w:type="gramEnd"/>
      <w:r w:rsidRPr="00F34C6E">
        <w:rPr>
          <w:rFonts w:asciiTheme="minorHAnsi" w:hAnsiTheme="minorHAnsi" w:cstheme="minorHAnsi"/>
        </w:rPr>
        <w:t>, despite its excellent consistent presentation, was limited in its effectiveness due to design and operational issues</w:t>
      </w:r>
      <w:r w:rsidR="00072F64" w:rsidRPr="00F34C6E">
        <w:rPr>
          <w:rFonts w:asciiTheme="minorHAnsi" w:hAnsiTheme="minorHAnsi" w:cstheme="minorHAnsi"/>
        </w:rPr>
        <w:t xml:space="preserve"> (Schoeb et al.,</w:t>
      </w:r>
      <w:r w:rsidR="00DE4763" w:rsidRPr="00F34C6E">
        <w:rPr>
          <w:rFonts w:asciiTheme="minorHAnsi" w:hAnsiTheme="minorHAnsi" w:cstheme="minorHAnsi"/>
        </w:rPr>
        <w:t xml:space="preserve"> </w:t>
      </w:r>
      <w:r w:rsidR="00072F64" w:rsidRPr="00F34C6E">
        <w:rPr>
          <w:rFonts w:asciiTheme="minorHAnsi" w:hAnsiTheme="minorHAnsi" w:cstheme="minorHAnsi"/>
        </w:rPr>
        <w:t>2021)</w:t>
      </w:r>
      <w:r w:rsidRPr="00F34C6E">
        <w:rPr>
          <w:rFonts w:asciiTheme="minorHAnsi" w:hAnsiTheme="minorHAnsi" w:cstheme="minorHAnsi"/>
        </w:rPr>
        <w:t xml:space="preserve">. These problems would be solved and learning those problems would be more relevant, as well as more engaging and have better </w:t>
      </w:r>
      <w:proofErr w:type="spellStart"/>
      <w:r w:rsidRPr="00F34C6E">
        <w:rPr>
          <w:rFonts w:asciiTheme="minorHAnsi" w:hAnsiTheme="minorHAnsi" w:cstheme="minorHAnsi"/>
        </w:rPr>
        <w:t>behavioural</w:t>
      </w:r>
      <w:proofErr w:type="spellEnd"/>
      <w:r w:rsidRPr="00F34C6E">
        <w:rPr>
          <w:rFonts w:asciiTheme="minorHAnsi" w:hAnsiTheme="minorHAnsi" w:cstheme="minorHAnsi"/>
        </w:rPr>
        <w:t xml:space="preserve"> outcomes.</w:t>
      </w:r>
    </w:p>
    <w:p w14:paraId="532FBE0F" w14:textId="56E05229" w:rsidR="009F073B" w:rsidRPr="00F34C6E" w:rsidRDefault="00DE79CF" w:rsidP="009F073B">
      <w:pPr>
        <w:rPr>
          <w:rFonts w:asciiTheme="minorHAnsi" w:hAnsiTheme="minorHAnsi" w:cstheme="minorHAnsi"/>
          <w:b/>
          <w:bCs/>
        </w:rPr>
      </w:pPr>
      <w:r w:rsidRPr="00F34C6E">
        <w:rPr>
          <w:rFonts w:asciiTheme="minorHAnsi" w:hAnsiTheme="minorHAnsi" w:cstheme="minorHAnsi"/>
          <w:b/>
          <w:bCs/>
          <w:i/>
          <w:iCs/>
        </w:rPr>
        <w:t>10.</w:t>
      </w:r>
      <w:r w:rsidR="00801507" w:rsidRPr="00F34C6E">
        <w:rPr>
          <w:rFonts w:asciiTheme="minorHAnsi" w:hAnsiTheme="minorHAnsi" w:cstheme="minorHAnsi"/>
          <w:b/>
          <w:bCs/>
          <w:i/>
          <w:iCs/>
        </w:rPr>
        <w:t>3</w:t>
      </w:r>
      <w:r w:rsidRPr="00F34C6E">
        <w:rPr>
          <w:rFonts w:asciiTheme="minorHAnsi" w:hAnsiTheme="minorHAnsi" w:cstheme="minorHAnsi"/>
          <w:b/>
          <w:bCs/>
          <w:i/>
          <w:iCs/>
        </w:rPr>
        <w:t xml:space="preserve"> </w:t>
      </w:r>
      <w:r w:rsidR="009F073B" w:rsidRPr="00F34C6E">
        <w:rPr>
          <w:rFonts w:asciiTheme="minorHAnsi" w:hAnsiTheme="minorHAnsi" w:cstheme="minorHAnsi"/>
          <w:b/>
          <w:bCs/>
          <w:i/>
          <w:iCs/>
        </w:rPr>
        <w:t>Conclusion</w:t>
      </w:r>
    </w:p>
    <w:p w14:paraId="565E3E5A" w14:textId="2F0C9151" w:rsidR="00F33159" w:rsidRPr="00F34C6E" w:rsidRDefault="000D4131" w:rsidP="00F33159">
      <w:pPr>
        <w:rPr>
          <w:rFonts w:asciiTheme="minorHAnsi" w:hAnsiTheme="minorHAnsi" w:cstheme="minorHAnsi"/>
        </w:rPr>
      </w:pPr>
      <w:r w:rsidRPr="00F34C6E">
        <w:rPr>
          <w:rFonts w:asciiTheme="minorHAnsi" w:hAnsiTheme="minorHAnsi" w:cstheme="minorHAnsi"/>
        </w:rPr>
        <w:t xml:space="preserve">The learning and development </w:t>
      </w:r>
      <w:proofErr w:type="gramStart"/>
      <w:r w:rsidRPr="00F34C6E">
        <w:rPr>
          <w:rFonts w:asciiTheme="minorHAnsi" w:hAnsiTheme="minorHAnsi" w:cstheme="minorHAnsi"/>
        </w:rPr>
        <w:t>activity</w:t>
      </w:r>
      <w:proofErr w:type="gramEnd"/>
      <w:r w:rsidRPr="00F34C6E">
        <w:rPr>
          <w:rFonts w:asciiTheme="minorHAnsi" w:hAnsiTheme="minorHAnsi" w:cstheme="minorHAnsi"/>
        </w:rPr>
        <w:t xml:space="preserve"> at Technivara </w:t>
      </w:r>
      <w:r w:rsidR="00750DA3" w:rsidRPr="00F34C6E">
        <w:rPr>
          <w:rFonts w:asciiTheme="minorHAnsi" w:hAnsiTheme="minorHAnsi" w:cstheme="minorHAnsi"/>
        </w:rPr>
        <w:t>are</w:t>
      </w:r>
      <w:r w:rsidRPr="00F34C6E">
        <w:rPr>
          <w:rFonts w:asciiTheme="minorHAnsi" w:hAnsiTheme="minorHAnsi" w:cstheme="minorHAnsi"/>
        </w:rPr>
        <w:t xml:space="preserve"> evaluated and the feedback as well as this feedback offers useful information about the effectiveness of the activity. The results indicate that quality of learning resources and facilitator expertise were evident strengths and they positively contributed to the learning experience. The areas of concern where the analysis enters </w:t>
      </w:r>
      <w:proofErr w:type="gramStart"/>
      <w:r w:rsidRPr="00F34C6E">
        <w:rPr>
          <w:rFonts w:asciiTheme="minorHAnsi" w:hAnsiTheme="minorHAnsi" w:cstheme="minorHAnsi"/>
        </w:rPr>
        <w:t>to</w:t>
      </w:r>
      <w:proofErr w:type="gramEnd"/>
      <w:r w:rsidRPr="00F34C6E">
        <w:rPr>
          <w:rFonts w:asciiTheme="minorHAnsi" w:hAnsiTheme="minorHAnsi" w:cstheme="minorHAnsi"/>
        </w:rPr>
        <w:t xml:space="preserve"> include the aspects that need probing are also noted especially within the relevance to the job roles and application of learning in the </w:t>
      </w:r>
      <w:proofErr w:type="gramStart"/>
      <w:r w:rsidRPr="00F34C6E">
        <w:rPr>
          <w:rFonts w:asciiTheme="minorHAnsi" w:hAnsiTheme="minorHAnsi" w:cstheme="minorHAnsi"/>
        </w:rPr>
        <w:t>work place</w:t>
      </w:r>
      <w:proofErr w:type="gramEnd"/>
      <w:r w:rsidRPr="00F34C6E">
        <w:rPr>
          <w:rFonts w:asciiTheme="minorHAnsi" w:hAnsiTheme="minorHAnsi" w:cstheme="minorHAnsi"/>
        </w:rPr>
        <w:t xml:space="preserve">. The lack of interaction at sessions and the lack of </w:t>
      </w:r>
      <w:r w:rsidR="009C020D">
        <w:rPr>
          <w:rFonts w:asciiTheme="minorHAnsi" w:hAnsiTheme="minorHAnsi" w:cstheme="minorHAnsi"/>
        </w:rPr>
        <w:t>connection</w:t>
      </w:r>
      <w:r w:rsidRPr="00F34C6E">
        <w:rPr>
          <w:rFonts w:asciiTheme="minorHAnsi" w:hAnsiTheme="minorHAnsi" w:cstheme="minorHAnsi"/>
        </w:rPr>
        <w:t xml:space="preserve"> with performance goals seems to have diminished the long-term effectiveness of the learning. </w:t>
      </w:r>
      <w:proofErr w:type="gramStart"/>
      <w:r w:rsidRPr="00F34C6E">
        <w:rPr>
          <w:rFonts w:asciiTheme="minorHAnsi" w:hAnsiTheme="minorHAnsi" w:cstheme="minorHAnsi"/>
        </w:rPr>
        <w:t>The teams</w:t>
      </w:r>
      <w:proofErr w:type="gramEnd"/>
      <w:r w:rsidRPr="00F34C6E">
        <w:rPr>
          <w:rFonts w:asciiTheme="minorHAnsi" w:hAnsiTheme="minorHAnsi" w:cstheme="minorHAnsi"/>
        </w:rPr>
        <w:t xml:space="preserve"> at Technivara can embrace a more evidence-based method of learning and development to improve employee capability, motivate </w:t>
      </w:r>
      <w:proofErr w:type="spellStart"/>
      <w:r w:rsidRPr="00F34C6E">
        <w:rPr>
          <w:rFonts w:asciiTheme="minorHAnsi" w:hAnsiTheme="minorHAnsi" w:cstheme="minorHAnsi"/>
        </w:rPr>
        <w:t>behavioural</w:t>
      </w:r>
      <w:proofErr w:type="spellEnd"/>
      <w:r w:rsidRPr="00F34C6E">
        <w:rPr>
          <w:rFonts w:asciiTheme="minorHAnsi" w:hAnsiTheme="minorHAnsi" w:cstheme="minorHAnsi"/>
        </w:rPr>
        <w:t xml:space="preserve"> change, and contribute to sustained </w:t>
      </w:r>
      <w:proofErr w:type="spellStart"/>
      <w:r w:rsidRPr="00F34C6E">
        <w:rPr>
          <w:rFonts w:asciiTheme="minorHAnsi" w:hAnsiTheme="minorHAnsi" w:cstheme="minorHAnsi"/>
        </w:rPr>
        <w:t>organisational</w:t>
      </w:r>
      <w:proofErr w:type="spellEnd"/>
      <w:r w:rsidRPr="00F34C6E">
        <w:rPr>
          <w:rFonts w:asciiTheme="minorHAnsi" w:hAnsiTheme="minorHAnsi" w:cstheme="minorHAnsi"/>
        </w:rPr>
        <w:t xml:space="preserve"> performance by filling in these gaps with better design of learning, enhanced engagement, and improved post-training support.</w:t>
      </w:r>
    </w:p>
    <w:p w14:paraId="699B1E9D" w14:textId="28AA5FCF" w:rsidR="009F073B" w:rsidRPr="00F34C6E" w:rsidRDefault="009F073B" w:rsidP="009F073B">
      <w:pPr>
        <w:rPr>
          <w:rFonts w:asciiTheme="minorHAnsi" w:hAnsiTheme="minorHAnsi" w:cstheme="minorHAnsi"/>
        </w:rPr>
      </w:pPr>
    </w:p>
    <w:p w14:paraId="79C7716E" w14:textId="3BBEDB63" w:rsidR="00BC7799" w:rsidRPr="00F34C6E" w:rsidRDefault="00BC7799" w:rsidP="00BC7799">
      <w:pPr>
        <w:rPr>
          <w:rFonts w:asciiTheme="minorHAnsi" w:hAnsiTheme="minorHAnsi" w:cstheme="minorHAnsi"/>
        </w:rPr>
      </w:pPr>
    </w:p>
    <w:p w14:paraId="430C7BE5" w14:textId="77777777" w:rsidR="00BC7799" w:rsidRPr="00F34C6E" w:rsidRDefault="00BC7799" w:rsidP="00BC7799">
      <w:pPr>
        <w:rPr>
          <w:rFonts w:asciiTheme="minorHAnsi" w:hAnsiTheme="minorHAnsi" w:cstheme="minorHAnsi"/>
          <w:lang w:val="en-GB"/>
        </w:rPr>
      </w:pPr>
    </w:p>
    <w:bookmarkEnd w:id="1"/>
    <w:p w14:paraId="72731665" w14:textId="42C0901E" w:rsidR="00526314" w:rsidRPr="00F34C6E" w:rsidRDefault="00154FFC" w:rsidP="00E94D0A">
      <w:pPr>
        <w:spacing w:line="278" w:lineRule="auto"/>
        <w:jc w:val="left"/>
        <w:rPr>
          <w:rFonts w:asciiTheme="minorHAnsi" w:hAnsiTheme="minorHAnsi" w:cstheme="minorHAnsi"/>
          <w:b/>
          <w:bCs/>
        </w:rPr>
      </w:pPr>
      <w:r w:rsidRPr="00F34C6E">
        <w:rPr>
          <w:rFonts w:asciiTheme="minorHAnsi" w:hAnsiTheme="minorHAnsi" w:cstheme="minorHAnsi"/>
          <w:b/>
          <w:bCs/>
        </w:rPr>
        <w:t>References</w:t>
      </w:r>
    </w:p>
    <w:p w14:paraId="69951D41" w14:textId="77777777" w:rsidR="009262D8" w:rsidRPr="00F34C6E" w:rsidRDefault="009262D8" w:rsidP="00C804EB">
      <w:pPr>
        <w:ind w:left="720" w:hanging="720"/>
        <w:rPr>
          <w:rFonts w:asciiTheme="minorHAnsi" w:hAnsiTheme="minorHAnsi" w:cstheme="minorHAnsi"/>
        </w:rPr>
      </w:pPr>
      <w:r w:rsidRPr="00F34C6E">
        <w:rPr>
          <w:rFonts w:asciiTheme="minorHAnsi" w:hAnsiTheme="minorHAnsi" w:cstheme="minorHAnsi"/>
        </w:rPr>
        <w:t>Armstrong, M. and Taylor, S., 2023. </w:t>
      </w:r>
      <w:r w:rsidRPr="00F34C6E">
        <w:rPr>
          <w:rFonts w:asciiTheme="minorHAnsi" w:hAnsiTheme="minorHAnsi" w:cstheme="minorHAnsi"/>
          <w:i/>
          <w:iCs/>
        </w:rPr>
        <w:t>Armstrong's handbook of human resource management practice: A guide to the theory and practice of people management</w:t>
      </w:r>
      <w:r w:rsidRPr="00F34C6E">
        <w:rPr>
          <w:rFonts w:asciiTheme="minorHAnsi" w:hAnsiTheme="minorHAnsi" w:cstheme="minorHAnsi"/>
        </w:rPr>
        <w:t>. Kogan Page Publishers.</w:t>
      </w:r>
    </w:p>
    <w:p w14:paraId="18903955" w14:textId="2FDCCDEF" w:rsidR="009262D8" w:rsidRPr="00F34C6E" w:rsidRDefault="009E2340" w:rsidP="009262D8">
      <w:pPr>
        <w:ind w:left="720" w:hanging="720"/>
        <w:rPr>
          <w:rFonts w:asciiTheme="minorHAnsi" w:hAnsiTheme="minorHAnsi" w:cstheme="minorHAnsi"/>
        </w:rPr>
      </w:pPr>
      <w:r w:rsidRPr="00F34C6E">
        <w:rPr>
          <w:rFonts w:asciiTheme="minorHAnsi" w:hAnsiTheme="minorHAnsi" w:cstheme="minorHAnsi"/>
        </w:rPr>
        <w:t>Nicola, M., O'Neill, N., Sohrabi, C., Khan, M., Agha, M. and Agha, R., 2020. Evidence based management guideline for the COVID-19 pandemic-Review article. </w:t>
      </w:r>
      <w:r w:rsidRPr="00F34C6E">
        <w:rPr>
          <w:rFonts w:asciiTheme="minorHAnsi" w:hAnsiTheme="minorHAnsi" w:cstheme="minorHAnsi"/>
          <w:i/>
          <w:iCs/>
        </w:rPr>
        <w:t>International Journal of Surgery</w:t>
      </w:r>
      <w:r w:rsidRPr="00F34C6E">
        <w:rPr>
          <w:rFonts w:asciiTheme="minorHAnsi" w:hAnsiTheme="minorHAnsi" w:cstheme="minorHAnsi"/>
        </w:rPr>
        <w:t>, </w:t>
      </w:r>
      <w:r w:rsidRPr="00F34C6E">
        <w:rPr>
          <w:rFonts w:asciiTheme="minorHAnsi" w:hAnsiTheme="minorHAnsi" w:cstheme="minorHAnsi"/>
          <w:i/>
          <w:iCs/>
        </w:rPr>
        <w:t>77</w:t>
      </w:r>
      <w:r w:rsidRPr="00F34C6E">
        <w:rPr>
          <w:rFonts w:asciiTheme="minorHAnsi" w:hAnsiTheme="minorHAnsi" w:cstheme="minorHAnsi"/>
        </w:rPr>
        <w:t>, pp.206-216.</w:t>
      </w:r>
    </w:p>
    <w:p w14:paraId="6FF428E0" w14:textId="77777777" w:rsidR="009262D8" w:rsidRPr="00F34C6E" w:rsidRDefault="009262D8" w:rsidP="00973B58">
      <w:pPr>
        <w:ind w:left="720" w:hanging="720"/>
        <w:rPr>
          <w:rFonts w:asciiTheme="minorHAnsi" w:hAnsiTheme="minorHAnsi" w:cstheme="minorHAnsi"/>
        </w:rPr>
      </w:pPr>
      <w:r w:rsidRPr="00F34C6E">
        <w:rPr>
          <w:rFonts w:asciiTheme="minorHAnsi" w:hAnsiTheme="minorHAnsi" w:cstheme="minorHAnsi"/>
        </w:rPr>
        <w:t xml:space="preserve">Chung, D.Y., Olson, D.M., John, S., Mohamed, W., Kumar, M.A., Thompson, B.B. and </w:t>
      </w:r>
      <w:proofErr w:type="spellStart"/>
      <w:r w:rsidRPr="00F34C6E">
        <w:rPr>
          <w:rFonts w:asciiTheme="minorHAnsi" w:hAnsiTheme="minorHAnsi" w:cstheme="minorHAnsi"/>
        </w:rPr>
        <w:t>Rordorf</w:t>
      </w:r>
      <w:proofErr w:type="spellEnd"/>
      <w:r w:rsidRPr="00F34C6E">
        <w:rPr>
          <w:rFonts w:asciiTheme="minorHAnsi" w:hAnsiTheme="minorHAnsi" w:cstheme="minorHAnsi"/>
        </w:rPr>
        <w:t>, G.A., 2019. Evidence-based management of external ventricular drains. </w:t>
      </w:r>
      <w:r w:rsidRPr="00F34C6E">
        <w:rPr>
          <w:rFonts w:asciiTheme="minorHAnsi" w:hAnsiTheme="minorHAnsi" w:cstheme="minorHAnsi"/>
          <w:i/>
          <w:iCs/>
        </w:rPr>
        <w:t>Current neurology and neuroscience reports</w:t>
      </w:r>
      <w:r w:rsidRPr="00F34C6E">
        <w:rPr>
          <w:rFonts w:asciiTheme="minorHAnsi" w:hAnsiTheme="minorHAnsi" w:cstheme="minorHAnsi"/>
        </w:rPr>
        <w:t>, </w:t>
      </w:r>
      <w:r w:rsidRPr="00F34C6E">
        <w:rPr>
          <w:rFonts w:asciiTheme="minorHAnsi" w:hAnsiTheme="minorHAnsi" w:cstheme="minorHAnsi"/>
          <w:i/>
          <w:iCs/>
        </w:rPr>
        <w:t>19</w:t>
      </w:r>
      <w:r w:rsidRPr="00F34C6E">
        <w:rPr>
          <w:rFonts w:asciiTheme="minorHAnsi" w:hAnsiTheme="minorHAnsi" w:cstheme="minorHAnsi"/>
        </w:rPr>
        <w:t>(12), p.94.</w:t>
      </w:r>
    </w:p>
    <w:p w14:paraId="04D0FFA8" w14:textId="77777777" w:rsidR="009262D8" w:rsidRPr="00F34C6E" w:rsidRDefault="009262D8" w:rsidP="009262D8">
      <w:pPr>
        <w:ind w:left="720" w:hanging="720"/>
        <w:rPr>
          <w:rFonts w:asciiTheme="minorHAnsi" w:hAnsiTheme="minorHAnsi" w:cstheme="minorHAnsi"/>
        </w:rPr>
      </w:pPr>
      <w:r w:rsidRPr="00F34C6E">
        <w:rPr>
          <w:rFonts w:asciiTheme="minorHAnsi" w:hAnsiTheme="minorHAnsi" w:cstheme="minorHAnsi"/>
        </w:rPr>
        <w:t>Den Hertog, R. and Niessen, T., 2019. The role of patient preferences in nursing decision‐making in evidence‐based practice: excellent nurses’ communication tools. </w:t>
      </w:r>
      <w:r w:rsidRPr="00F34C6E">
        <w:rPr>
          <w:rFonts w:asciiTheme="minorHAnsi" w:hAnsiTheme="minorHAnsi" w:cstheme="minorHAnsi"/>
          <w:i/>
          <w:iCs/>
        </w:rPr>
        <w:t>Journal of advanced nursing</w:t>
      </w:r>
      <w:r w:rsidRPr="00F34C6E">
        <w:rPr>
          <w:rFonts w:asciiTheme="minorHAnsi" w:hAnsiTheme="minorHAnsi" w:cstheme="minorHAnsi"/>
        </w:rPr>
        <w:t>, </w:t>
      </w:r>
      <w:r w:rsidRPr="00F34C6E">
        <w:rPr>
          <w:rFonts w:asciiTheme="minorHAnsi" w:hAnsiTheme="minorHAnsi" w:cstheme="minorHAnsi"/>
          <w:i/>
          <w:iCs/>
        </w:rPr>
        <w:t>75</w:t>
      </w:r>
      <w:r w:rsidRPr="00F34C6E">
        <w:rPr>
          <w:rFonts w:asciiTheme="minorHAnsi" w:hAnsiTheme="minorHAnsi" w:cstheme="minorHAnsi"/>
        </w:rPr>
        <w:t>(9), pp.1987-1995.</w:t>
      </w:r>
    </w:p>
    <w:p w14:paraId="60EC8142" w14:textId="77777777" w:rsidR="009262D8" w:rsidRPr="00F34C6E" w:rsidRDefault="009262D8" w:rsidP="009262D8">
      <w:pPr>
        <w:ind w:left="720" w:hanging="720"/>
        <w:rPr>
          <w:rFonts w:asciiTheme="minorHAnsi" w:hAnsiTheme="minorHAnsi" w:cstheme="minorHAnsi"/>
        </w:rPr>
      </w:pPr>
      <w:proofErr w:type="spellStart"/>
      <w:r w:rsidRPr="00F34C6E">
        <w:rPr>
          <w:rFonts w:asciiTheme="minorHAnsi" w:hAnsiTheme="minorHAnsi" w:cstheme="minorHAnsi"/>
        </w:rPr>
        <w:t>Facione</w:t>
      </w:r>
      <w:proofErr w:type="spellEnd"/>
      <w:r w:rsidRPr="00F34C6E">
        <w:rPr>
          <w:rFonts w:asciiTheme="minorHAnsi" w:hAnsiTheme="minorHAnsi" w:cstheme="minorHAnsi"/>
        </w:rPr>
        <w:t>, P., 2020. Critical thinking: What it is and why it counts (2020 ed.). </w:t>
      </w:r>
      <w:r w:rsidRPr="00F34C6E">
        <w:rPr>
          <w:rFonts w:asciiTheme="minorHAnsi" w:hAnsiTheme="minorHAnsi" w:cstheme="minorHAnsi"/>
          <w:i/>
          <w:iCs/>
        </w:rPr>
        <w:t>Hermosa Beach, CA: Measured Reasons LLC</w:t>
      </w:r>
      <w:r w:rsidRPr="00F34C6E">
        <w:rPr>
          <w:rFonts w:asciiTheme="minorHAnsi" w:hAnsiTheme="minorHAnsi" w:cstheme="minorHAnsi"/>
        </w:rPr>
        <w:t>.</w:t>
      </w:r>
    </w:p>
    <w:p w14:paraId="6C27A7C7" w14:textId="77777777" w:rsidR="009262D8" w:rsidRPr="00F34C6E" w:rsidRDefault="009262D8" w:rsidP="00C804EB">
      <w:pPr>
        <w:ind w:left="720" w:hanging="720"/>
        <w:rPr>
          <w:rFonts w:asciiTheme="minorHAnsi" w:hAnsiTheme="minorHAnsi" w:cstheme="minorHAnsi"/>
        </w:rPr>
      </w:pPr>
      <w:r w:rsidRPr="00F34C6E">
        <w:rPr>
          <w:rFonts w:asciiTheme="minorHAnsi" w:hAnsiTheme="minorHAnsi" w:cstheme="minorHAnsi"/>
        </w:rPr>
        <w:t>Ferrar, J. and Green, D., 2021. </w:t>
      </w:r>
      <w:r w:rsidRPr="00F34C6E">
        <w:rPr>
          <w:rFonts w:asciiTheme="minorHAnsi" w:hAnsiTheme="minorHAnsi" w:cstheme="minorHAnsi"/>
          <w:i/>
          <w:iCs/>
        </w:rPr>
        <w:t>Excellence in people analytics: How to use workforce data to create business value</w:t>
      </w:r>
      <w:r w:rsidRPr="00F34C6E">
        <w:rPr>
          <w:rFonts w:asciiTheme="minorHAnsi" w:hAnsiTheme="minorHAnsi" w:cstheme="minorHAnsi"/>
        </w:rPr>
        <w:t>. Kogan Page Publishers.</w:t>
      </w:r>
    </w:p>
    <w:p w14:paraId="485C5F39" w14:textId="77777777" w:rsidR="009262D8" w:rsidRPr="00F34C6E" w:rsidRDefault="009262D8" w:rsidP="00973B58">
      <w:pPr>
        <w:ind w:left="720" w:hanging="720"/>
        <w:rPr>
          <w:rFonts w:asciiTheme="minorHAnsi" w:hAnsiTheme="minorHAnsi" w:cstheme="minorHAnsi"/>
        </w:rPr>
      </w:pPr>
      <w:r w:rsidRPr="00F34C6E">
        <w:rPr>
          <w:rFonts w:asciiTheme="minorHAnsi" w:hAnsiTheme="minorHAnsi" w:cstheme="minorHAnsi"/>
        </w:rPr>
        <w:t>Maddox-Daines, K., 2023. </w:t>
      </w:r>
      <w:r w:rsidRPr="00F34C6E">
        <w:rPr>
          <w:rFonts w:asciiTheme="minorHAnsi" w:hAnsiTheme="minorHAnsi" w:cstheme="minorHAnsi"/>
          <w:i/>
          <w:iCs/>
        </w:rPr>
        <w:t>How to Pass Your CIPD Qualification</w:t>
      </w:r>
      <w:r w:rsidRPr="00F34C6E">
        <w:rPr>
          <w:rFonts w:asciiTheme="minorHAnsi" w:hAnsiTheme="minorHAnsi" w:cstheme="minorHAnsi"/>
        </w:rPr>
        <w:t>. Routledge.</w:t>
      </w:r>
    </w:p>
    <w:p w14:paraId="1ABDF722" w14:textId="77777777" w:rsidR="009262D8" w:rsidRPr="00F34C6E" w:rsidRDefault="009262D8" w:rsidP="00973B58">
      <w:pPr>
        <w:ind w:left="720" w:hanging="720"/>
        <w:rPr>
          <w:rFonts w:asciiTheme="minorHAnsi" w:hAnsiTheme="minorHAnsi" w:cstheme="minorHAnsi"/>
        </w:rPr>
      </w:pPr>
      <w:r w:rsidRPr="00F34C6E">
        <w:rPr>
          <w:rFonts w:asciiTheme="minorHAnsi" w:hAnsiTheme="minorHAnsi" w:cstheme="minorHAnsi"/>
        </w:rPr>
        <w:t>Pearce, C.L. and Locke, E.A. eds., 2023. </w:t>
      </w:r>
      <w:r w:rsidRPr="00F34C6E">
        <w:rPr>
          <w:rFonts w:asciiTheme="minorHAnsi" w:hAnsiTheme="minorHAnsi" w:cstheme="minorHAnsi"/>
          <w:i/>
          <w:iCs/>
        </w:rPr>
        <w:t>Principles of organizational behavior: The handbook of evidence-based management</w:t>
      </w:r>
      <w:r w:rsidRPr="00F34C6E">
        <w:rPr>
          <w:rFonts w:asciiTheme="minorHAnsi" w:hAnsiTheme="minorHAnsi" w:cstheme="minorHAnsi"/>
        </w:rPr>
        <w:t>. John Wiley &amp; Sons.</w:t>
      </w:r>
    </w:p>
    <w:p w14:paraId="04BE9CA3" w14:textId="77777777" w:rsidR="009262D8" w:rsidRPr="00F34C6E" w:rsidRDefault="009262D8" w:rsidP="009262D8">
      <w:pPr>
        <w:ind w:left="720" w:hanging="720"/>
        <w:rPr>
          <w:rFonts w:asciiTheme="minorHAnsi" w:hAnsiTheme="minorHAnsi" w:cstheme="minorHAnsi"/>
        </w:rPr>
      </w:pPr>
      <w:r w:rsidRPr="00F34C6E">
        <w:rPr>
          <w:rFonts w:asciiTheme="minorHAnsi" w:hAnsiTheme="minorHAnsi" w:cstheme="minorHAnsi"/>
        </w:rPr>
        <w:t xml:space="preserve">SMITH, J. and MITCHELL, J., 2022. The </w:t>
      </w:r>
      <w:proofErr w:type="spellStart"/>
      <w:r w:rsidRPr="00F34C6E">
        <w:rPr>
          <w:rFonts w:asciiTheme="minorHAnsi" w:hAnsiTheme="minorHAnsi" w:cstheme="minorHAnsi"/>
        </w:rPr>
        <w:t>behaviour</w:t>
      </w:r>
      <w:proofErr w:type="spellEnd"/>
      <w:r w:rsidRPr="00F34C6E">
        <w:rPr>
          <w:rFonts w:asciiTheme="minorHAnsi" w:hAnsiTheme="minorHAnsi" w:cstheme="minorHAnsi"/>
        </w:rPr>
        <w:t xml:space="preserve"> of the people </w:t>
      </w:r>
      <w:proofErr w:type="gramStart"/>
      <w:r w:rsidRPr="00F34C6E">
        <w:rPr>
          <w:rFonts w:asciiTheme="minorHAnsi" w:hAnsiTheme="minorHAnsi" w:cstheme="minorHAnsi"/>
        </w:rPr>
        <w:t>professional</w:t>
      </w:r>
      <w:proofErr w:type="gramEnd"/>
      <w:r w:rsidRPr="00F34C6E">
        <w:rPr>
          <w:rFonts w:asciiTheme="minorHAnsi" w:hAnsiTheme="minorHAnsi" w:cstheme="minorHAnsi"/>
        </w:rPr>
        <w:t>. </w:t>
      </w:r>
      <w:r w:rsidRPr="00F34C6E">
        <w:rPr>
          <w:rFonts w:asciiTheme="minorHAnsi" w:hAnsiTheme="minorHAnsi" w:cstheme="minorHAnsi"/>
          <w:i/>
          <w:iCs/>
        </w:rPr>
        <w:t>Studying Human Resource Management: A Guide to the Study, Context and Practice of HR</w:t>
      </w:r>
      <w:r w:rsidRPr="00F34C6E">
        <w:rPr>
          <w:rFonts w:asciiTheme="minorHAnsi" w:hAnsiTheme="minorHAnsi" w:cstheme="minorHAnsi"/>
        </w:rPr>
        <w:t>, p.141.</w:t>
      </w:r>
    </w:p>
    <w:p w14:paraId="1F8BBF0E" w14:textId="77777777" w:rsidR="009262D8" w:rsidRPr="00F34C6E" w:rsidRDefault="009262D8" w:rsidP="00C804EB">
      <w:pPr>
        <w:ind w:left="720" w:hanging="720"/>
        <w:rPr>
          <w:rFonts w:asciiTheme="minorHAnsi" w:hAnsiTheme="minorHAnsi" w:cstheme="minorHAnsi"/>
        </w:rPr>
      </w:pPr>
      <w:r w:rsidRPr="00F34C6E">
        <w:rPr>
          <w:rFonts w:asciiTheme="minorHAnsi" w:hAnsiTheme="minorHAnsi" w:cstheme="minorHAnsi"/>
        </w:rPr>
        <w:t>Sparkman, R., 2025. </w:t>
      </w:r>
      <w:r w:rsidRPr="00F34C6E">
        <w:rPr>
          <w:rFonts w:asciiTheme="minorHAnsi" w:hAnsiTheme="minorHAnsi" w:cstheme="minorHAnsi"/>
          <w:i/>
          <w:iCs/>
        </w:rPr>
        <w:t>Strategic workforce planning: Developing optimized talent strategies for future growth</w:t>
      </w:r>
      <w:r w:rsidRPr="00F34C6E">
        <w:rPr>
          <w:rFonts w:asciiTheme="minorHAnsi" w:hAnsiTheme="minorHAnsi" w:cstheme="minorHAnsi"/>
        </w:rPr>
        <w:t>. Kogan Page Publishers.</w:t>
      </w:r>
    </w:p>
    <w:p w14:paraId="4F2D4B82" w14:textId="77777777" w:rsidR="009262D8" w:rsidRPr="00F34C6E" w:rsidRDefault="009262D8" w:rsidP="00973B58">
      <w:pPr>
        <w:ind w:left="720" w:hanging="720"/>
        <w:rPr>
          <w:rFonts w:asciiTheme="minorHAnsi" w:hAnsiTheme="minorHAnsi" w:cstheme="minorHAnsi"/>
        </w:rPr>
      </w:pPr>
      <w:proofErr w:type="spellStart"/>
      <w:r w:rsidRPr="00F34C6E">
        <w:rPr>
          <w:rFonts w:asciiTheme="minorHAnsi" w:hAnsiTheme="minorHAnsi" w:cstheme="minorHAnsi"/>
        </w:rPr>
        <w:lastRenderedPageBreak/>
        <w:t>Tzenios</w:t>
      </w:r>
      <w:proofErr w:type="spellEnd"/>
      <w:r w:rsidRPr="00F34C6E">
        <w:rPr>
          <w:rFonts w:asciiTheme="minorHAnsi" w:hAnsiTheme="minorHAnsi" w:cstheme="minorHAnsi"/>
        </w:rPr>
        <w:t>, N., 2022. Evidence-based practice. </w:t>
      </w:r>
      <w:r w:rsidRPr="00F34C6E">
        <w:rPr>
          <w:rFonts w:asciiTheme="minorHAnsi" w:hAnsiTheme="minorHAnsi" w:cstheme="minorHAnsi"/>
          <w:i/>
          <w:iCs/>
        </w:rPr>
        <w:t>International Research Journal of Modernization in Engineering Technology and Science</w:t>
      </w:r>
      <w:r w:rsidRPr="00F34C6E">
        <w:rPr>
          <w:rFonts w:asciiTheme="minorHAnsi" w:hAnsiTheme="minorHAnsi" w:cstheme="minorHAnsi"/>
        </w:rPr>
        <w:t>, </w:t>
      </w:r>
      <w:r w:rsidRPr="00F34C6E">
        <w:rPr>
          <w:rFonts w:asciiTheme="minorHAnsi" w:hAnsiTheme="minorHAnsi" w:cstheme="minorHAnsi"/>
          <w:i/>
          <w:iCs/>
        </w:rPr>
        <w:t>4</w:t>
      </w:r>
      <w:r w:rsidRPr="00F34C6E">
        <w:rPr>
          <w:rFonts w:asciiTheme="minorHAnsi" w:hAnsiTheme="minorHAnsi" w:cstheme="minorHAnsi"/>
        </w:rPr>
        <w:t>(12), p.922.</w:t>
      </w:r>
    </w:p>
    <w:p w14:paraId="17B6A8C0" w14:textId="6E577FBC" w:rsidR="009262D8" w:rsidRPr="00F34C6E" w:rsidRDefault="009262D8" w:rsidP="00C804EB">
      <w:pPr>
        <w:ind w:left="720" w:hanging="720"/>
        <w:rPr>
          <w:rFonts w:asciiTheme="minorHAnsi" w:hAnsiTheme="minorHAnsi" w:cstheme="minorHAnsi"/>
        </w:rPr>
      </w:pPr>
      <w:r w:rsidRPr="00F34C6E">
        <w:rPr>
          <w:rFonts w:asciiTheme="minorHAnsi" w:hAnsiTheme="minorHAnsi" w:cstheme="minorHAnsi"/>
        </w:rPr>
        <w:t xml:space="preserve">Whittington, R., </w:t>
      </w:r>
      <w:proofErr w:type="spellStart"/>
      <w:r w:rsidRPr="00F34C6E">
        <w:rPr>
          <w:rFonts w:asciiTheme="minorHAnsi" w:hAnsiTheme="minorHAnsi" w:cstheme="minorHAnsi"/>
        </w:rPr>
        <w:t>Regnér</w:t>
      </w:r>
      <w:proofErr w:type="spellEnd"/>
      <w:r w:rsidRPr="00F34C6E">
        <w:rPr>
          <w:rFonts w:asciiTheme="minorHAnsi" w:hAnsiTheme="minorHAnsi" w:cstheme="minorHAnsi"/>
        </w:rPr>
        <w:t>, P., Johnson, G., Angwin, D. and Scholes, K., 2019. </w:t>
      </w:r>
      <w:r w:rsidRPr="00F34C6E">
        <w:rPr>
          <w:rFonts w:asciiTheme="minorHAnsi" w:hAnsiTheme="minorHAnsi" w:cstheme="minorHAnsi"/>
          <w:i/>
          <w:iCs/>
        </w:rPr>
        <w:t>Exploring strategy</w:t>
      </w:r>
      <w:r w:rsidRPr="00F34C6E">
        <w:rPr>
          <w:rFonts w:asciiTheme="minorHAnsi" w:hAnsiTheme="minorHAnsi" w:cstheme="minorHAnsi"/>
        </w:rPr>
        <w:t>. Pearson UK.</w:t>
      </w:r>
    </w:p>
    <w:p w14:paraId="2B6B116F" w14:textId="77777777" w:rsidR="00742F1D" w:rsidRPr="00F34C6E" w:rsidRDefault="00742F1D" w:rsidP="00742F1D">
      <w:pPr>
        <w:ind w:left="720" w:hanging="720"/>
        <w:rPr>
          <w:rFonts w:asciiTheme="minorHAnsi" w:hAnsiTheme="minorHAnsi" w:cstheme="minorHAnsi"/>
        </w:rPr>
      </w:pPr>
      <w:r w:rsidRPr="00F34C6E">
        <w:rPr>
          <w:rFonts w:asciiTheme="minorHAnsi" w:hAnsiTheme="minorHAnsi" w:cstheme="minorHAnsi"/>
        </w:rPr>
        <w:t>Hoffmann, T., Bennett, S. and Del Mar, C., 2023. </w:t>
      </w:r>
      <w:r w:rsidRPr="00F34C6E">
        <w:rPr>
          <w:rFonts w:asciiTheme="minorHAnsi" w:hAnsiTheme="minorHAnsi" w:cstheme="minorHAnsi"/>
          <w:i/>
          <w:iCs/>
        </w:rPr>
        <w:t xml:space="preserve">Evidence-based practice across </w:t>
      </w:r>
      <w:proofErr w:type="gramStart"/>
      <w:r w:rsidRPr="00F34C6E">
        <w:rPr>
          <w:rFonts w:asciiTheme="minorHAnsi" w:hAnsiTheme="minorHAnsi" w:cstheme="minorHAnsi"/>
          <w:i/>
          <w:iCs/>
        </w:rPr>
        <w:t>the health</w:t>
      </w:r>
      <w:proofErr w:type="gramEnd"/>
      <w:r w:rsidRPr="00F34C6E">
        <w:rPr>
          <w:rFonts w:asciiTheme="minorHAnsi" w:hAnsiTheme="minorHAnsi" w:cstheme="minorHAnsi"/>
          <w:i/>
          <w:iCs/>
        </w:rPr>
        <w:t xml:space="preserve"> professions</w:t>
      </w:r>
      <w:r w:rsidRPr="00F34C6E">
        <w:rPr>
          <w:rFonts w:asciiTheme="minorHAnsi" w:hAnsiTheme="minorHAnsi" w:cstheme="minorHAnsi"/>
        </w:rPr>
        <w:t>. Elsevier Health Sciences.</w:t>
      </w:r>
    </w:p>
    <w:p w14:paraId="458894B5" w14:textId="77777777" w:rsidR="00742F1D" w:rsidRPr="00F34C6E" w:rsidRDefault="00742F1D" w:rsidP="00742F1D">
      <w:pPr>
        <w:ind w:left="720" w:hanging="720"/>
        <w:rPr>
          <w:rFonts w:asciiTheme="minorHAnsi" w:hAnsiTheme="minorHAnsi" w:cstheme="minorHAnsi"/>
        </w:rPr>
      </w:pPr>
      <w:r w:rsidRPr="00F34C6E">
        <w:rPr>
          <w:rFonts w:asciiTheme="minorHAnsi" w:hAnsiTheme="minorHAnsi" w:cstheme="minorHAnsi"/>
        </w:rPr>
        <w:t>Eberhard, K., 2023. The effects of visualization on judgment and decision-making: a systematic literature review. </w:t>
      </w:r>
      <w:r w:rsidRPr="00F34C6E">
        <w:rPr>
          <w:rFonts w:asciiTheme="minorHAnsi" w:hAnsiTheme="minorHAnsi" w:cstheme="minorHAnsi"/>
          <w:i/>
          <w:iCs/>
        </w:rPr>
        <w:t>Management Review Quarterly</w:t>
      </w:r>
      <w:r w:rsidRPr="00F34C6E">
        <w:rPr>
          <w:rFonts w:asciiTheme="minorHAnsi" w:hAnsiTheme="minorHAnsi" w:cstheme="minorHAnsi"/>
        </w:rPr>
        <w:t>, </w:t>
      </w:r>
      <w:r w:rsidRPr="00F34C6E">
        <w:rPr>
          <w:rFonts w:asciiTheme="minorHAnsi" w:hAnsiTheme="minorHAnsi" w:cstheme="minorHAnsi"/>
          <w:i/>
          <w:iCs/>
        </w:rPr>
        <w:t>73</w:t>
      </w:r>
      <w:r w:rsidRPr="00F34C6E">
        <w:rPr>
          <w:rFonts w:asciiTheme="minorHAnsi" w:hAnsiTheme="minorHAnsi" w:cstheme="minorHAnsi"/>
        </w:rPr>
        <w:t>(1), pp.167-214.</w:t>
      </w:r>
    </w:p>
    <w:p w14:paraId="23BDC53D" w14:textId="77777777" w:rsidR="00742F1D" w:rsidRPr="00F34C6E" w:rsidRDefault="00742F1D" w:rsidP="00742F1D">
      <w:pPr>
        <w:ind w:left="720" w:hanging="720"/>
        <w:rPr>
          <w:rFonts w:asciiTheme="minorHAnsi" w:hAnsiTheme="minorHAnsi" w:cstheme="minorHAnsi"/>
        </w:rPr>
      </w:pPr>
      <w:r w:rsidRPr="00F34C6E">
        <w:rPr>
          <w:rFonts w:asciiTheme="minorHAnsi" w:hAnsiTheme="minorHAnsi" w:cstheme="minorHAnsi"/>
        </w:rPr>
        <w:t>Sparkman, R., 2025. </w:t>
      </w:r>
      <w:r w:rsidRPr="00F34C6E">
        <w:rPr>
          <w:rFonts w:asciiTheme="minorHAnsi" w:hAnsiTheme="minorHAnsi" w:cstheme="minorHAnsi"/>
          <w:i/>
          <w:iCs/>
        </w:rPr>
        <w:t>Strategic workforce planning: Developing optimized talent strategies for future growth</w:t>
      </w:r>
      <w:r w:rsidRPr="00F34C6E">
        <w:rPr>
          <w:rFonts w:asciiTheme="minorHAnsi" w:hAnsiTheme="minorHAnsi" w:cstheme="minorHAnsi"/>
        </w:rPr>
        <w:t>. Kogan Page Publishers.</w:t>
      </w:r>
    </w:p>
    <w:p w14:paraId="01901683" w14:textId="0723E610" w:rsidR="00C804EB" w:rsidRPr="00F34C6E" w:rsidRDefault="00933A28" w:rsidP="00973B58">
      <w:pPr>
        <w:ind w:left="720" w:hanging="720"/>
        <w:rPr>
          <w:rFonts w:asciiTheme="minorHAnsi" w:hAnsiTheme="minorHAnsi" w:cstheme="minorHAnsi"/>
        </w:rPr>
      </w:pPr>
      <w:r w:rsidRPr="00F34C6E">
        <w:rPr>
          <w:rFonts w:asciiTheme="minorHAnsi" w:hAnsiTheme="minorHAnsi" w:cstheme="minorHAnsi"/>
        </w:rPr>
        <w:t>Jaillet, P., Loke, G.G. and Sim, M., 2022. Strategic workforce planning under uncertainty. </w:t>
      </w:r>
      <w:r w:rsidRPr="00F34C6E">
        <w:rPr>
          <w:rFonts w:asciiTheme="minorHAnsi" w:hAnsiTheme="minorHAnsi" w:cstheme="minorHAnsi"/>
          <w:i/>
          <w:iCs/>
        </w:rPr>
        <w:t>Operations Research</w:t>
      </w:r>
      <w:r w:rsidRPr="00F34C6E">
        <w:rPr>
          <w:rFonts w:asciiTheme="minorHAnsi" w:hAnsiTheme="minorHAnsi" w:cstheme="minorHAnsi"/>
        </w:rPr>
        <w:t>, </w:t>
      </w:r>
      <w:r w:rsidRPr="00F34C6E">
        <w:rPr>
          <w:rFonts w:asciiTheme="minorHAnsi" w:hAnsiTheme="minorHAnsi" w:cstheme="minorHAnsi"/>
          <w:i/>
          <w:iCs/>
        </w:rPr>
        <w:t>70</w:t>
      </w:r>
      <w:r w:rsidRPr="00F34C6E">
        <w:rPr>
          <w:rFonts w:asciiTheme="minorHAnsi" w:hAnsiTheme="minorHAnsi" w:cstheme="minorHAnsi"/>
        </w:rPr>
        <w:t>(2), pp.1042-1065.</w:t>
      </w:r>
    </w:p>
    <w:p w14:paraId="6A30D1D5" w14:textId="77777777" w:rsidR="00B62F86" w:rsidRPr="00F34C6E" w:rsidRDefault="00B62F86" w:rsidP="00B62F86">
      <w:pPr>
        <w:ind w:left="720" w:hanging="720"/>
        <w:rPr>
          <w:rFonts w:asciiTheme="minorHAnsi" w:hAnsiTheme="minorHAnsi" w:cstheme="minorHAnsi"/>
        </w:rPr>
      </w:pPr>
      <w:r w:rsidRPr="00F34C6E">
        <w:rPr>
          <w:rFonts w:asciiTheme="minorHAnsi" w:hAnsiTheme="minorHAnsi" w:cstheme="minorHAnsi"/>
        </w:rPr>
        <w:t>Gawron, V.J., 2019. </w:t>
      </w:r>
      <w:r w:rsidRPr="00F34C6E">
        <w:rPr>
          <w:rFonts w:asciiTheme="minorHAnsi" w:hAnsiTheme="minorHAnsi" w:cstheme="minorHAnsi"/>
          <w:i/>
          <w:iCs/>
        </w:rPr>
        <w:t>Human performance and situation awareness measures</w:t>
      </w:r>
      <w:r w:rsidRPr="00F34C6E">
        <w:rPr>
          <w:rFonts w:asciiTheme="minorHAnsi" w:hAnsiTheme="minorHAnsi" w:cstheme="minorHAnsi"/>
        </w:rPr>
        <w:t xml:space="preserve">. </w:t>
      </w:r>
      <w:proofErr w:type="spellStart"/>
      <w:r w:rsidRPr="00F34C6E">
        <w:rPr>
          <w:rFonts w:asciiTheme="minorHAnsi" w:hAnsiTheme="minorHAnsi" w:cstheme="minorHAnsi"/>
        </w:rPr>
        <w:t>Crc</w:t>
      </w:r>
      <w:proofErr w:type="spellEnd"/>
      <w:r w:rsidRPr="00F34C6E">
        <w:rPr>
          <w:rFonts w:asciiTheme="minorHAnsi" w:hAnsiTheme="minorHAnsi" w:cstheme="minorHAnsi"/>
        </w:rPr>
        <w:t xml:space="preserve"> Press.</w:t>
      </w:r>
    </w:p>
    <w:p w14:paraId="6DEEB5E3" w14:textId="77777777" w:rsidR="00B62F86" w:rsidRPr="00F34C6E" w:rsidRDefault="00B62F86" w:rsidP="00B62F86">
      <w:pPr>
        <w:ind w:left="720" w:hanging="720"/>
        <w:rPr>
          <w:rFonts w:asciiTheme="minorHAnsi" w:hAnsiTheme="minorHAnsi" w:cstheme="minorHAnsi"/>
        </w:rPr>
      </w:pPr>
      <w:proofErr w:type="spellStart"/>
      <w:r w:rsidRPr="00F34C6E">
        <w:rPr>
          <w:rFonts w:asciiTheme="minorHAnsi" w:hAnsiTheme="minorHAnsi" w:cstheme="minorHAnsi"/>
        </w:rPr>
        <w:t>Heslina</w:t>
      </w:r>
      <w:proofErr w:type="spellEnd"/>
      <w:r w:rsidRPr="00F34C6E">
        <w:rPr>
          <w:rFonts w:asciiTheme="minorHAnsi" w:hAnsiTheme="minorHAnsi" w:cstheme="minorHAnsi"/>
        </w:rPr>
        <w:t>, H. and Syahruni, A., 2021. The influence of information technology, human resources competency and employee engagement on performance of employees. </w:t>
      </w:r>
      <w:r w:rsidRPr="00F34C6E">
        <w:rPr>
          <w:rFonts w:asciiTheme="minorHAnsi" w:hAnsiTheme="minorHAnsi" w:cstheme="minorHAnsi"/>
          <w:i/>
          <w:iCs/>
        </w:rPr>
        <w:t>Golden Ratio of Human Resource Management</w:t>
      </w:r>
      <w:r w:rsidRPr="00F34C6E">
        <w:rPr>
          <w:rFonts w:asciiTheme="minorHAnsi" w:hAnsiTheme="minorHAnsi" w:cstheme="minorHAnsi"/>
        </w:rPr>
        <w:t>, </w:t>
      </w:r>
      <w:r w:rsidRPr="00F34C6E">
        <w:rPr>
          <w:rFonts w:asciiTheme="minorHAnsi" w:hAnsiTheme="minorHAnsi" w:cstheme="minorHAnsi"/>
          <w:i/>
          <w:iCs/>
        </w:rPr>
        <w:t>1</w:t>
      </w:r>
      <w:r w:rsidRPr="00F34C6E">
        <w:rPr>
          <w:rFonts w:asciiTheme="minorHAnsi" w:hAnsiTheme="minorHAnsi" w:cstheme="minorHAnsi"/>
        </w:rPr>
        <w:t>(1), pp.01-12.</w:t>
      </w:r>
    </w:p>
    <w:p w14:paraId="79C4B9AD" w14:textId="77777777" w:rsidR="00B62F86" w:rsidRPr="00F34C6E" w:rsidRDefault="00B62F86" w:rsidP="00B62F86">
      <w:pPr>
        <w:ind w:left="720" w:hanging="720"/>
        <w:rPr>
          <w:rFonts w:asciiTheme="minorHAnsi" w:hAnsiTheme="minorHAnsi" w:cstheme="minorHAnsi"/>
        </w:rPr>
      </w:pPr>
      <w:proofErr w:type="spellStart"/>
      <w:r w:rsidRPr="00F34C6E">
        <w:rPr>
          <w:rFonts w:asciiTheme="minorHAnsi" w:hAnsiTheme="minorHAnsi" w:cstheme="minorHAnsi"/>
        </w:rPr>
        <w:t>Lohana</w:t>
      </w:r>
      <w:proofErr w:type="spellEnd"/>
      <w:r w:rsidRPr="00F34C6E">
        <w:rPr>
          <w:rFonts w:asciiTheme="minorHAnsi" w:hAnsiTheme="minorHAnsi" w:cstheme="minorHAnsi"/>
        </w:rPr>
        <w:t xml:space="preserve">, S., Abidi, N.A., Sahoo, N., Babu, M.S., </w:t>
      </w:r>
      <w:proofErr w:type="spellStart"/>
      <w:r w:rsidRPr="00F34C6E">
        <w:rPr>
          <w:rFonts w:asciiTheme="minorHAnsi" w:hAnsiTheme="minorHAnsi" w:cstheme="minorHAnsi"/>
        </w:rPr>
        <w:t>Pallathadka</w:t>
      </w:r>
      <w:proofErr w:type="spellEnd"/>
      <w:r w:rsidRPr="00F34C6E">
        <w:rPr>
          <w:rFonts w:asciiTheme="minorHAnsi" w:hAnsiTheme="minorHAnsi" w:cstheme="minorHAnsi"/>
        </w:rPr>
        <w:t xml:space="preserve">, H. and Singh, U.S., 2022. Performance measurement of human </w:t>
      </w:r>
      <w:proofErr w:type="gramStart"/>
      <w:r w:rsidRPr="00F34C6E">
        <w:rPr>
          <w:rFonts w:asciiTheme="minorHAnsi" w:hAnsiTheme="minorHAnsi" w:cstheme="minorHAnsi"/>
        </w:rPr>
        <w:t>resource</w:t>
      </w:r>
      <w:proofErr w:type="gramEnd"/>
      <w:r w:rsidRPr="00F34C6E">
        <w:rPr>
          <w:rFonts w:asciiTheme="minorHAnsi" w:hAnsiTheme="minorHAnsi" w:cstheme="minorHAnsi"/>
        </w:rPr>
        <w:t xml:space="preserve"> by </w:t>
      </w:r>
      <w:proofErr w:type="gramStart"/>
      <w:r w:rsidRPr="00F34C6E">
        <w:rPr>
          <w:rFonts w:asciiTheme="minorHAnsi" w:hAnsiTheme="minorHAnsi" w:cstheme="minorHAnsi"/>
        </w:rPr>
        <w:t>design</w:t>
      </w:r>
      <w:proofErr w:type="gramEnd"/>
      <w:r w:rsidRPr="00F34C6E">
        <w:rPr>
          <w:rFonts w:asciiTheme="minorHAnsi" w:hAnsiTheme="minorHAnsi" w:cstheme="minorHAnsi"/>
        </w:rPr>
        <w:t xml:space="preserve"> a human resource scorecard. </w:t>
      </w:r>
      <w:r w:rsidRPr="00F34C6E">
        <w:rPr>
          <w:rFonts w:asciiTheme="minorHAnsi" w:hAnsiTheme="minorHAnsi" w:cstheme="minorHAnsi"/>
          <w:i/>
          <w:iCs/>
        </w:rPr>
        <w:t>Materials Today: Proceedings</w:t>
      </w:r>
      <w:r w:rsidRPr="00F34C6E">
        <w:rPr>
          <w:rFonts w:asciiTheme="minorHAnsi" w:hAnsiTheme="minorHAnsi" w:cstheme="minorHAnsi"/>
        </w:rPr>
        <w:t>, </w:t>
      </w:r>
      <w:r w:rsidRPr="00F34C6E">
        <w:rPr>
          <w:rFonts w:asciiTheme="minorHAnsi" w:hAnsiTheme="minorHAnsi" w:cstheme="minorHAnsi"/>
          <w:i/>
          <w:iCs/>
        </w:rPr>
        <w:t>51</w:t>
      </w:r>
      <w:r w:rsidRPr="00F34C6E">
        <w:rPr>
          <w:rFonts w:asciiTheme="minorHAnsi" w:hAnsiTheme="minorHAnsi" w:cstheme="minorHAnsi"/>
        </w:rPr>
        <w:t>, pp.677-681.</w:t>
      </w:r>
    </w:p>
    <w:p w14:paraId="073DB6A7" w14:textId="74197A07" w:rsidR="00B62F86" w:rsidRPr="00F34C6E" w:rsidRDefault="00B62F86" w:rsidP="00B62F86">
      <w:pPr>
        <w:ind w:left="720" w:hanging="720"/>
        <w:rPr>
          <w:rFonts w:asciiTheme="minorHAnsi" w:hAnsiTheme="minorHAnsi" w:cstheme="minorHAnsi"/>
        </w:rPr>
      </w:pPr>
      <w:r w:rsidRPr="00F34C6E">
        <w:rPr>
          <w:rFonts w:asciiTheme="minorHAnsi" w:hAnsiTheme="minorHAnsi" w:cstheme="minorHAnsi"/>
        </w:rPr>
        <w:t xml:space="preserve">Afifah, A., Syakhroni, A. and </w:t>
      </w:r>
      <w:proofErr w:type="spellStart"/>
      <w:r w:rsidRPr="00F34C6E">
        <w:rPr>
          <w:rFonts w:asciiTheme="minorHAnsi" w:hAnsiTheme="minorHAnsi" w:cstheme="minorHAnsi"/>
        </w:rPr>
        <w:t>Khoiriyah</w:t>
      </w:r>
      <w:proofErr w:type="spellEnd"/>
      <w:r w:rsidRPr="00F34C6E">
        <w:rPr>
          <w:rFonts w:asciiTheme="minorHAnsi" w:hAnsiTheme="minorHAnsi" w:cstheme="minorHAnsi"/>
        </w:rPr>
        <w:t xml:space="preserve">, N., 2022. Performance Measurement Analysis </w:t>
      </w:r>
      <w:proofErr w:type="gramStart"/>
      <w:r w:rsidRPr="00F34C6E">
        <w:rPr>
          <w:rFonts w:asciiTheme="minorHAnsi" w:hAnsiTheme="minorHAnsi" w:cstheme="minorHAnsi"/>
        </w:rPr>
        <w:t>Of</w:t>
      </w:r>
      <w:proofErr w:type="gramEnd"/>
      <w:r w:rsidRPr="00F34C6E">
        <w:rPr>
          <w:rFonts w:asciiTheme="minorHAnsi" w:hAnsiTheme="minorHAnsi" w:cstheme="minorHAnsi"/>
        </w:rPr>
        <w:t xml:space="preserve"> Pt </w:t>
      </w:r>
      <w:proofErr w:type="spellStart"/>
      <w:r w:rsidRPr="00F34C6E">
        <w:rPr>
          <w:rFonts w:asciiTheme="minorHAnsi" w:hAnsiTheme="minorHAnsi" w:cstheme="minorHAnsi"/>
        </w:rPr>
        <w:t>Pijar</w:t>
      </w:r>
      <w:proofErr w:type="spellEnd"/>
      <w:r w:rsidRPr="00F34C6E">
        <w:rPr>
          <w:rFonts w:asciiTheme="minorHAnsi" w:hAnsiTheme="minorHAnsi" w:cstheme="minorHAnsi"/>
        </w:rPr>
        <w:t xml:space="preserve"> Sukma Using Performance Prism, Analytical Hierarchy Process (</w:t>
      </w:r>
      <w:proofErr w:type="spellStart"/>
      <w:r w:rsidRPr="00F34C6E">
        <w:rPr>
          <w:rFonts w:asciiTheme="minorHAnsi" w:hAnsiTheme="minorHAnsi" w:cstheme="minorHAnsi"/>
        </w:rPr>
        <w:t>Ahp</w:t>
      </w:r>
      <w:proofErr w:type="spellEnd"/>
      <w:r w:rsidRPr="00F34C6E">
        <w:rPr>
          <w:rFonts w:asciiTheme="minorHAnsi" w:hAnsiTheme="minorHAnsi" w:cstheme="minorHAnsi"/>
        </w:rPr>
        <w:t>), And Objective Matrix (</w:t>
      </w:r>
      <w:proofErr w:type="spellStart"/>
      <w:r w:rsidRPr="00F34C6E">
        <w:rPr>
          <w:rFonts w:asciiTheme="minorHAnsi" w:hAnsiTheme="minorHAnsi" w:cstheme="minorHAnsi"/>
        </w:rPr>
        <w:t>Omax</w:t>
      </w:r>
      <w:proofErr w:type="spellEnd"/>
      <w:r w:rsidRPr="00F34C6E">
        <w:rPr>
          <w:rFonts w:asciiTheme="minorHAnsi" w:hAnsiTheme="minorHAnsi" w:cstheme="minorHAnsi"/>
        </w:rPr>
        <w:t>) Methods. </w:t>
      </w:r>
      <w:r w:rsidRPr="00F34C6E">
        <w:rPr>
          <w:rFonts w:asciiTheme="minorHAnsi" w:hAnsiTheme="minorHAnsi" w:cstheme="minorHAnsi"/>
          <w:i/>
          <w:iCs/>
        </w:rPr>
        <w:t>Journal of Applied Science and Technology</w:t>
      </w:r>
      <w:r w:rsidRPr="00F34C6E">
        <w:rPr>
          <w:rFonts w:asciiTheme="minorHAnsi" w:hAnsiTheme="minorHAnsi" w:cstheme="minorHAnsi"/>
        </w:rPr>
        <w:t>, </w:t>
      </w:r>
      <w:r w:rsidRPr="00F34C6E">
        <w:rPr>
          <w:rFonts w:asciiTheme="minorHAnsi" w:hAnsiTheme="minorHAnsi" w:cstheme="minorHAnsi"/>
          <w:i/>
          <w:iCs/>
        </w:rPr>
        <w:t>2</w:t>
      </w:r>
      <w:r w:rsidRPr="00F34C6E">
        <w:rPr>
          <w:rFonts w:asciiTheme="minorHAnsi" w:hAnsiTheme="minorHAnsi" w:cstheme="minorHAnsi"/>
        </w:rPr>
        <w:t>(01), pp.34-41.</w:t>
      </w:r>
    </w:p>
    <w:p w14:paraId="106B5ADA" w14:textId="6C73BCF0" w:rsidR="002718E3" w:rsidRPr="00F34C6E" w:rsidRDefault="002718E3" w:rsidP="00B62F86">
      <w:pPr>
        <w:ind w:left="720" w:hanging="720"/>
        <w:rPr>
          <w:rFonts w:asciiTheme="minorHAnsi" w:hAnsiTheme="minorHAnsi" w:cstheme="minorHAnsi"/>
        </w:rPr>
      </w:pPr>
      <w:r w:rsidRPr="00F34C6E">
        <w:rPr>
          <w:rFonts w:asciiTheme="minorHAnsi" w:hAnsiTheme="minorHAnsi" w:cstheme="minorHAnsi"/>
        </w:rPr>
        <w:t xml:space="preserve">Srivastava, N. and Mohsin, F., 2020. Workforce analytics: Need </w:t>
      </w:r>
      <w:proofErr w:type="gramStart"/>
      <w:r w:rsidRPr="00F34C6E">
        <w:rPr>
          <w:rFonts w:asciiTheme="minorHAnsi" w:hAnsiTheme="minorHAnsi" w:cstheme="minorHAnsi"/>
        </w:rPr>
        <w:t>of</w:t>
      </w:r>
      <w:proofErr w:type="gramEnd"/>
      <w:r w:rsidRPr="00F34C6E">
        <w:rPr>
          <w:rFonts w:asciiTheme="minorHAnsi" w:hAnsiTheme="minorHAnsi" w:cstheme="minorHAnsi"/>
        </w:rPr>
        <w:t xml:space="preserve"> </w:t>
      </w:r>
      <w:proofErr w:type="gramStart"/>
      <w:r w:rsidRPr="00F34C6E">
        <w:rPr>
          <w:rFonts w:asciiTheme="minorHAnsi" w:hAnsiTheme="minorHAnsi" w:cstheme="minorHAnsi"/>
        </w:rPr>
        <w:t>the modern</w:t>
      </w:r>
      <w:proofErr w:type="gramEnd"/>
      <w:r w:rsidRPr="00F34C6E">
        <w:rPr>
          <w:rFonts w:asciiTheme="minorHAnsi" w:hAnsiTheme="minorHAnsi" w:cstheme="minorHAnsi"/>
        </w:rPr>
        <w:t xml:space="preserve"> </w:t>
      </w:r>
      <w:proofErr w:type="spellStart"/>
      <w:r w:rsidRPr="00F34C6E">
        <w:rPr>
          <w:rFonts w:asciiTheme="minorHAnsi" w:hAnsiTheme="minorHAnsi" w:cstheme="minorHAnsi"/>
        </w:rPr>
        <w:t>organisations</w:t>
      </w:r>
      <w:proofErr w:type="spellEnd"/>
      <w:r w:rsidRPr="00F34C6E">
        <w:rPr>
          <w:rFonts w:asciiTheme="minorHAnsi" w:hAnsiTheme="minorHAnsi" w:cstheme="minorHAnsi"/>
        </w:rPr>
        <w:t>. </w:t>
      </w:r>
      <w:r w:rsidRPr="00F34C6E">
        <w:rPr>
          <w:rFonts w:asciiTheme="minorHAnsi" w:hAnsiTheme="minorHAnsi" w:cstheme="minorHAnsi"/>
          <w:i/>
          <w:iCs/>
        </w:rPr>
        <w:t>International Journal of Psychosocial Rehabilitation</w:t>
      </w:r>
      <w:r w:rsidRPr="00F34C6E">
        <w:rPr>
          <w:rFonts w:asciiTheme="minorHAnsi" w:hAnsiTheme="minorHAnsi" w:cstheme="minorHAnsi"/>
        </w:rPr>
        <w:t>, </w:t>
      </w:r>
      <w:r w:rsidRPr="00F34C6E">
        <w:rPr>
          <w:rFonts w:asciiTheme="minorHAnsi" w:hAnsiTheme="minorHAnsi" w:cstheme="minorHAnsi"/>
          <w:i/>
          <w:iCs/>
        </w:rPr>
        <w:t>24</w:t>
      </w:r>
      <w:r w:rsidRPr="00F34C6E">
        <w:rPr>
          <w:rFonts w:asciiTheme="minorHAnsi" w:hAnsiTheme="minorHAnsi" w:cstheme="minorHAnsi"/>
        </w:rPr>
        <w:t>(5), pp.4410-4418.</w:t>
      </w:r>
    </w:p>
    <w:p w14:paraId="2F243AA0" w14:textId="52D472F2" w:rsidR="000E280E" w:rsidRPr="00F34C6E" w:rsidRDefault="000E280E" w:rsidP="00B62F86">
      <w:pPr>
        <w:ind w:left="720" w:hanging="720"/>
        <w:rPr>
          <w:rFonts w:asciiTheme="minorHAnsi" w:hAnsiTheme="minorHAnsi" w:cstheme="minorHAnsi"/>
        </w:rPr>
      </w:pPr>
      <w:r w:rsidRPr="00F34C6E">
        <w:rPr>
          <w:rFonts w:asciiTheme="minorHAnsi" w:hAnsiTheme="minorHAnsi" w:cstheme="minorHAnsi"/>
        </w:rPr>
        <w:lastRenderedPageBreak/>
        <w:t>Anwar, G. and Abdullah, N.N., 2021. The impact of Human resource management practice on Organizational performance. </w:t>
      </w:r>
      <w:r w:rsidRPr="00F34C6E">
        <w:rPr>
          <w:rFonts w:asciiTheme="minorHAnsi" w:hAnsiTheme="minorHAnsi" w:cstheme="minorHAnsi"/>
          <w:i/>
          <w:iCs/>
        </w:rPr>
        <w:t>International journal of Engineering, Business and Management (IJEBM)</w:t>
      </w:r>
      <w:r w:rsidRPr="00F34C6E">
        <w:rPr>
          <w:rFonts w:asciiTheme="minorHAnsi" w:hAnsiTheme="minorHAnsi" w:cstheme="minorHAnsi"/>
        </w:rPr>
        <w:t>, </w:t>
      </w:r>
      <w:r w:rsidRPr="00F34C6E">
        <w:rPr>
          <w:rFonts w:asciiTheme="minorHAnsi" w:hAnsiTheme="minorHAnsi" w:cstheme="minorHAnsi"/>
          <w:i/>
          <w:iCs/>
        </w:rPr>
        <w:t>5</w:t>
      </w:r>
      <w:r w:rsidRPr="00F34C6E">
        <w:rPr>
          <w:rFonts w:asciiTheme="minorHAnsi" w:hAnsiTheme="minorHAnsi" w:cstheme="minorHAnsi"/>
        </w:rPr>
        <w:t>.</w:t>
      </w:r>
    </w:p>
    <w:p w14:paraId="4E233C60" w14:textId="04B691CF" w:rsidR="00C71C5D" w:rsidRPr="00F34C6E" w:rsidRDefault="00F601A7" w:rsidP="00B62F86">
      <w:pPr>
        <w:ind w:left="720" w:hanging="720"/>
        <w:rPr>
          <w:rFonts w:asciiTheme="minorHAnsi" w:hAnsiTheme="minorHAnsi" w:cstheme="minorHAnsi"/>
        </w:rPr>
      </w:pPr>
      <w:r w:rsidRPr="00F34C6E">
        <w:rPr>
          <w:rFonts w:asciiTheme="minorHAnsi" w:hAnsiTheme="minorHAnsi" w:cstheme="minorHAnsi"/>
        </w:rPr>
        <w:t>Peccei, R. and Van De Voorde, K., 2019. Human resource management–well‐being–performance research revisited: Past, present, and future. </w:t>
      </w:r>
      <w:r w:rsidRPr="00F34C6E">
        <w:rPr>
          <w:rFonts w:asciiTheme="minorHAnsi" w:hAnsiTheme="minorHAnsi" w:cstheme="minorHAnsi"/>
          <w:i/>
          <w:iCs/>
        </w:rPr>
        <w:t>Human resource management journal</w:t>
      </w:r>
      <w:r w:rsidRPr="00F34C6E">
        <w:rPr>
          <w:rFonts w:asciiTheme="minorHAnsi" w:hAnsiTheme="minorHAnsi" w:cstheme="minorHAnsi"/>
        </w:rPr>
        <w:t>, </w:t>
      </w:r>
      <w:r w:rsidRPr="00F34C6E">
        <w:rPr>
          <w:rFonts w:asciiTheme="minorHAnsi" w:hAnsiTheme="minorHAnsi" w:cstheme="minorHAnsi"/>
          <w:i/>
          <w:iCs/>
        </w:rPr>
        <w:t>29</w:t>
      </w:r>
      <w:r w:rsidRPr="00F34C6E">
        <w:rPr>
          <w:rFonts w:asciiTheme="minorHAnsi" w:hAnsiTheme="minorHAnsi" w:cstheme="minorHAnsi"/>
        </w:rPr>
        <w:t>(4), pp.539-563.</w:t>
      </w:r>
    </w:p>
    <w:p w14:paraId="3AA5936D" w14:textId="74E67728" w:rsidR="001D75A4" w:rsidRPr="00F34C6E" w:rsidRDefault="00551209" w:rsidP="001A3909">
      <w:pPr>
        <w:ind w:left="720" w:hanging="720"/>
        <w:rPr>
          <w:rFonts w:asciiTheme="minorHAnsi" w:hAnsiTheme="minorHAnsi" w:cstheme="minorHAnsi"/>
        </w:rPr>
      </w:pPr>
      <w:r w:rsidRPr="00F34C6E">
        <w:rPr>
          <w:rFonts w:asciiTheme="minorHAnsi" w:hAnsiTheme="minorHAnsi" w:cstheme="minorHAnsi"/>
        </w:rPr>
        <w:t>Trevino, L.K. and Nelson, K.A., 2021. </w:t>
      </w:r>
      <w:r w:rsidRPr="00F34C6E">
        <w:rPr>
          <w:rFonts w:asciiTheme="minorHAnsi" w:hAnsiTheme="minorHAnsi" w:cstheme="minorHAnsi"/>
          <w:i/>
          <w:iCs/>
        </w:rPr>
        <w:t>Managing business ethics: Straight talk about how to do it right</w:t>
      </w:r>
      <w:r w:rsidRPr="00F34C6E">
        <w:rPr>
          <w:rFonts w:asciiTheme="minorHAnsi" w:hAnsiTheme="minorHAnsi" w:cstheme="minorHAnsi"/>
        </w:rPr>
        <w:t>. John Wiley &amp; Sons.</w:t>
      </w:r>
    </w:p>
    <w:p w14:paraId="48763CBB" w14:textId="13541498" w:rsidR="00B12C8E" w:rsidRPr="00F34C6E" w:rsidRDefault="00B12C8E" w:rsidP="001A3909">
      <w:pPr>
        <w:ind w:left="720" w:hanging="720"/>
        <w:rPr>
          <w:rFonts w:asciiTheme="minorHAnsi" w:hAnsiTheme="minorHAnsi" w:cstheme="minorHAnsi"/>
        </w:rPr>
      </w:pPr>
      <w:r w:rsidRPr="00F34C6E">
        <w:rPr>
          <w:rFonts w:asciiTheme="minorHAnsi" w:hAnsiTheme="minorHAnsi" w:cstheme="minorHAnsi"/>
        </w:rPr>
        <w:t>Crane, A., Matten, D., Glozer, S. and Spence, L.J., 2019. </w:t>
      </w:r>
      <w:r w:rsidRPr="00F34C6E">
        <w:rPr>
          <w:rFonts w:asciiTheme="minorHAnsi" w:hAnsiTheme="minorHAnsi" w:cstheme="minorHAnsi"/>
          <w:i/>
          <w:iCs/>
        </w:rPr>
        <w:t>Business ethics: Managing corporate citizenship and sustainability in the age of globalization</w:t>
      </w:r>
      <w:r w:rsidRPr="00F34C6E">
        <w:rPr>
          <w:rFonts w:asciiTheme="minorHAnsi" w:hAnsiTheme="minorHAnsi" w:cstheme="minorHAnsi"/>
        </w:rPr>
        <w:t>. Oxford university press.</w:t>
      </w:r>
    </w:p>
    <w:p w14:paraId="1BA6C84A" w14:textId="35DD102D" w:rsidR="002050F3" w:rsidRPr="00F34C6E" w:rsidRDefault="002050F3" w:rsidP="001A3909">
      <w:pPr>
        <w:ind w:left="720" w:hanging="720"/>
        <w:rPr>
          <w:rFonts w:asciiTheme="minorHAnsi" w:hAnsiTheme="minorHAnsi" w:cstheme="minorHAnsi"/>
        </w:rPr>
      </w:pPr>
      <w:r w:rsidRPr="00F34C6E">
        <w:rPr>
          <w:rFonts w:asciiTheme="minorHAnsi" w:hAnsiTheme="minorHAnsi" w:cstheme="minorHAnsi"/>
        </w:rPr>
        <w:t>Owen, J.M., 2020. </w:t>
      </w:r>
      <w:r w:rsidRPr="00F34C6E">
        <w:rPr>
          <w:rFonts w:asciiTheme="minorHAnsi" w:hAnsiTheme="minorHAnsi" w:cstheme="minorHAnsi"/>
          <w:i/>
          <w:iCs/>
        </w:rPr>
        <w:t>Program evaluation: Forms and approaches</w:t>
      </w:r>
      <w:r w:rsidRPr="00F34C6E">
        <w:rPr>
          <w:rFonts w:asciiTheme="minorHAnsi" w:hAnsiTheme="minorHAnsi" w:cstheme="minorHAnsi"/>
        </w:rPr>
        <w:t>. Routledge.</w:t>
      </w:r>
    </w:p>
    <w:p w14:paraId="7CC253A7" w14:textId="78CAD492" w:rsidR="002050F3" w:rsidRPr="00F34C6E" w:rsidRDefault="002050F3" w:rsidP="001A3909">
      <w:pPr>
        <w:ind w:left="720" w:hanging="720"/>
        <w:rPr>
          <w:rFonts w:asciiTheme="minorHAnsi" w:hAnsiTheme="minorHAnsi" w:cstheme="minorHAnsi"/>
        </w:rPr>
      </w:pPr>
      <w:r w:rsidRPr="00F34C6E">
        <w:rPr>
          <w:rFonts w:asciiTheme="minorHAnsi" w:hAnsiTheme="minorHAnsi" w:cstheme="minorHAnsi"/>
        </w:rPr>
        <w:t>Al Karim, R., 2019. Impact of different training and development programs on employee performance in Bangladesh perspective. </w:t>
      </w:r>
      <w:r w:rsidRPr="00F34C6E">
        <w:rPr>
          <w:rFonts w:asciiTheme="minorHAnsi" w:hAnsiTheme="minorHAnsi" w:cstheme="minorHAnsi"/>
          <w:i/>
          <w:iCs/>
        </w:rPr>
        <w:t xml:space="preserve">International Journal of </w:t>
      </w:r>
      <w:proofErr w:type="gramStart"/>
      <w:r w:rsidRPr="00F34C6E">
        <w:rPr>
          <w:rFonts w:asciiTheme="minorHAnsi" w:hAnsiTheme="minorHAnsi" w:cstheme="minorHAnsi"/>
          <w:i/>
          <w:iCs/>
        </w:rPr>
        <w:t>entrepreneurial research</w:t>
      </w:r>
      <w:proofErr w:type="gramEnd"/>
      <w:r w:rsidRPr="00F34C6E">
        <w:rPr>
          <w:rFonts w:asciiTheme="minorHAnsi" w:hAnsiTheme="minorHAnsi" w:cstheme="minorHAnsi"/>
        </w:rPr>
        <w:t>, </w:t>
      </w:r>
      <w:r w:rsidRPr="00F34C6E">
        <w:rPr>
          <w:rFonts w:asciiTheme="minorHAnsi" w:hAnsiTheme="minorHAnsi" w:cstheme="minorHAnsi"/>
          <w:i/>
          <w:iCs/>
        </w:rPr>
        <w:t>2</w:t>
      </w:r>
      <w:r w:rsidRPr="00F34C6E">
        <w:rPr>
          <w:rFonts w:asciiTheme="minorHAnsi" w:hAnsiTheme="minorHAnsi" w:cstheme="minorHAnsi"/>
        </w:rPr>
        <w:t>(1), pp.8-14.</w:t>
      </w:r>
    </w:p>
    <w:p w14:paraId="1849E0E6" w14:textId="04143DD9" w:rsidR="002050F3" w:rsidRPr="00F34C6E" w:rsidRDefault="002050F3" w:rsidP="001A3909">
      <w:pPr>
        <w:ind w:left="720" w:hanging="720"/>
        <w:rPr>
          <w:rFonts w:asciiTheme="minorHAnsi" w:hAnsiTheme="minorHAnsi" w:cstheme="minorHAnsi"/>
        </w:rPr>
      </w:pPr>
      <w:r w:rsidRPr="00F34C6E">
        <w:rPr>
          <w:rFonts w:asciiTheme="minorHAnsi" w:hAnsiTheme="minorHAnsi" w:cstheme="minorHAnsi"/>
        </w:rPr>
        <w:t>Darling-Hammond, L., Flook, L., Cook-Harvey, C., Barron, B. and Osher, D., 2020. Implications for educational practice of the science of learning and development. </w:t>
      </w:r>
      <w:r w:rsidRPr="00F34C6E">
        <w:rPr>
          <w:rFonts w:asciiTheme="minorHAnsi" w:hAnsiTheme="minorHAnsi" w:cstheme="minorHAnsi"/>
          <w:i/>
          <w:iCs/>
        </w:rPr>
        <w:t>Applied developmental science</w:t>
      </w:r>
      <w:r w:rsidRPr="00F34C6E">
        <w:rPr>
          <w:rFonts w:asciiTheme="minorHAnsi" w:hAnsiTheme="minorHAnsi" w:cstheme="minorHAnsi"/>
        </w:rPr>
        <w:t>, </w:t>
      </w:r>
      <w:r w:rsidRPr="00F34C6E">
        <w:rPr>
          <w:rFonts w:asciiTheme="minorHAnsi" w:hAnsiTheme="minorHAnsi" w:cstheme="minorHAnsi"/>
          <w:i/>
          <w:iCs/>
        </w:rPr>
        <w:t>24</w:t>
      </w:r>
      <w:r w:rsidRPr="00F34C6E">
        <w:rPr>
          <w:rFonts w:asciiTheme="minorHAnsi" w:hAnsiTheme="minorHAnsi" w:cstheme="minorHAnsi"/>
        </w:rPr>
        <w:t>(2), pp.97-140.</w:t>
      </w:r>
    </w:p>
    <w:p w14:paraId="17955D0A" w14:textId="726E177A" w:rsidR="002050F3" w:rsidRPr="00F34C6E" w:rsidRDefault="002050F3" w:rsidP="001A3909">
      <w:pPr>
        <w:ind w:left="720" w:hanging="720"/>
        <w:rPr>
          <w:rFonts w:asciiTheme="minorHAnsi" w:hAnsiTheme="minorHAnsi" w:cstheme="minorHAnsi"/>
        </w:rPr>
      </w:pPr>
      <w:r w:rsidRPr="00F34C6E">
        <w:rPr>
          <w:rFonts w:asciiTheme="minorHAnsi" w:hAnsiTheme="minorHAnsi" w:cstheme="minorHAnsi"/>
        </w:rPr>
        <w:t>Schoeb, G., Lafrenière‐Carrier, B., Lauzier, M. and Courcy, F., 2021. Measuring transfer of training: Review and implications for future research. </w:t>
      </w:r>
      <w:r w:rsidRPr="00F34C6E">
        <w:rPr>
          <w:rFonts w:asciiTheme="minorHAnsi" w:hAnsiTheme="minorHAnsi" w:cstheme="minorHAnsi"/>
          <w:i/>
          <w:iCs/>
        </w:rPr>
        <w:t xml:space="preserve">Canadian Journal of Administrative Sciences/Revue Canadienne des Sciences de </w:t>
      </w:r>
      <w:proofErr w:type="spellStart"/>
      <w:r w:rsidRPr="00F34C6E">
        <w:rPr>
          <w:rFonts w:asciiTheme="minorHAnsi" w:hAnsiTheme="minorHAnsi" w:cstheme="minorHAnsi"/>
          <w:i/>
          <w:iCs/>
        </w:rPr>
        <w:t>l'Administration</w:t>
      </w:r>
      <w:proofErr w:type="spellEnd"/>
      <w:r w:rsidRPr="00F34C6E">
        <w:rPr>
          <w:rFonts w:asciiTheme="minorHAnsi" w:hAnsiTheme="minorHAnsi" w:cstheme="minorHAnsi"/>
        </w:rPr>
        <w:t>, </w:t>
      </w:r>
      <w:r w:rsidRPr="00F34C6E">
        <w:rPr>
          <w:rFonts w:asciiTheme="minorHAnsi" w:hAnsiTheme="minorHAnsi" w:cstheme="minorHAnsi"/>
          <w:i/>
          <w:iCs/>
        </w:rPr>
        <w:t>38</w:t>
      </w:r>
      <w:r w:rsidRPr="00F34C6E">
        <w:rPr>
          <w:rFonts w:asciiTheme="minorHAnsi" w:hAnsiTheme="minorHAnsi" w:cstheme="minorHAnsi"/>
        </w:rPr>
        <w:t>(1), pp.17-28.</w:t>
      </w:r>
    </w:p>
    <w:p w14:paraId="04879990" w14:textId="4A61A0F4" w:rsidR="002050F3" w:rsidRPr="00F34C6E" w:rsidRDefault="00056816" w:rsidP="001A3909">
      <w:pPr>
        <w:ind w:left="720" w:hanging="720"/>
        <w:rPr>
          <w:rFonts w:asciiTheme="minorHAnsi" w:hAnsiTheme="minorHAnsi" w:cstheme="minorHAnsi"/>
        </w:rPr>
      </w:pPr>
      <w:r w:rsidRPr="00F34C6E">
        <w:rPr>
          <w:rFonts w:asciiTheme="minorHAnsi" w:hAnsiTheme="minorHAnsi" w:cstheme="minorHAnsi"/>
        </w:rPr>
        <w:t>Arabi, E. and Garza, T., 2023. Training design enhancement through training evaluation: effects on training transfer. </w:t>
      </w:r>
      <w:r w:rsidRPr="00F34C6E">
        <w:rPr>
          <w:rFonts w:asciiTheme="minorHAnsi" w:hAnsiTheme="minorHAnsi" w:cstheme="minorHAnsi"/>
          <w:i/>
          <w:iCs/>
        </w:rPr>
        <w:t>International Journal of Training and Development</w:t>
      </w:r>
      <w:r w:rsidRPr="00F34C6E">
        <w:rPr>
          <w:rFonts w:asciiTheme="minorHAnsi" w:hAnsiTheme="minorHAnsi" w:cstheme="minorHAnsi"/>
        </w:rPr>
        <w:t>, </w:t>
      </w:r>
      <w:r w:rsidRPr="00F34C6E">
        <w:rPr>
          <w:rFonts w:asciiTheme="minorHAnsi" w:hAnsiTheme="minorHAnsi" w:cstheme="minorHAnsi"/>
          <w:i/>
          <w:iCs/>
        </w:rPr>
        <w:t>27</w:t>
      </w:r>
      <w:r w:rsidRPr="00F34C6E">
        <w:rPr>
          <w:rFonts w:asciiTheme="minorHAnsi" w:hAnsiTheme="minorHAnsi" w:cstheme="minorHAnsi"/>
        </w:rPr>
        <w:t>(2), pp.191-219.</w:t>
      </w:r>
    </w:p>
    <w:p w14:paraId="02525006" w14:textId="77777777" w:rsidR="00B80EFE" w:rsidRPr="00F34C6E" w:rsidRDefault="00B80EFE" w:rsidP="00B80EFE">
      <w:pPr>
        <w:ind w:left="720" w:hanging="720"/>
        <w:rPr>
          <w:rFonts w:asciiTheme="minorHAnsi" w:hAnsiTheme="minorHAnsi" w:cstheme="minorHAnsi"/>
        </w:rPr>
      </w:pPr>
      <w:r w:rsidRPr="00F34C6E">
        <w:rPr>
          <w:rFonts w:asciiTheme="minorHAnsi" w:hAnsiTheme="minorHAnsi" w:cstheme="minorHAnsi"/>
        </w:rPr>
        <w:t>Schoeb, G., Lafrenière‐Carrier, B., Lauzier, M. and Courcy, F., 2021. Measuring transfer of training: Review and implications for future research. </w:t>
      </w:r>
      <w:r w:rsidRPr="00F34C6E">
        <w:rPr>
          <w:rFonts w:asciiTheme="minorHAnsi" w:hAnsiTheme="minorHAnsi" w:cstheme="minorHAnsi"/>
          <w:i/>
          <w:iCs/>
        </w:rPr>
        <w:t xml:space="preserve">Canadian Journal of Administrative Sciences/Revue Canadienne des Sciences de </w:t>
      </w:r>
      <w:proofErr w:type="spellStart"/>
      <w:r w:rsidRPr="00F34C6E">
        <w:rPr>
          <w:rFonts w:asciiTheme="minorHAnsi" w:hAnsiTheme="minorHAnsi" w:cstheme="minorHAnsi"/>
          <w:i/>
          <w:iCs/>
        </w:rPr>
        <w:t>l'Administration</w:t>
      </w:r>
      <w:proofErr w:type="spellEnd"/>
      <w:r w:rsidRPr="00F34C6E">
        <w:rPr>
          <w:rFonts w:asciiTheme="minorHAnsi" w:hAnsiTheme="minorHAnsi" w:cstheme="minorHAnsi"/>
        </w:rPr>
        <w:t>, </w:t>
      </w:r>
      <w:r w:rsidRPr="00F34C6E">
        <w:rPr>
          <w:rFonts w:asciiTheme="minorHAnsi" w:hAnsiTheme="minorHAnsi" w:cstheme="minorHAnsi"/>
          <w:i/>
          <w:iCs/>
        </w:rPr>
        <w:t>38</w:t>
      </w:r>
      <w:r w:rsidRPr="00F34C6E">
        <w:rPr>
          <w:rFonts w:asciiTheme="minorHAnsi" w:hAnsiTheme="minorHAnsi" w:cstheme="minorHAnsi"/>
        </w:rPr>
        <w:t>(1), pp.17-28.</w:t>
      </w:r>
    </w:p>
    <w:p w14:paraId="1E688BAE" w14:textId="77777777" w:rsidR="00B80EFE" w:rsidRPr="00F34C6E" w:rsidRDefault="00B80EFE" w:rsidP="001A3909">
      <w:pPr>
        <w:ind w:left="720" w:hanging="720"/>
        <w:rPr>
          <w:rFonts w:asciiTheme="minorHAnsi" w:hAnsiTheme="minorHAnsi" w:cstheme="minorHAnsi"/>
        </w:rPr>
      </w:pPr>
    </w:p>
    <w:sectPr w:rsidR="00B80EFE" w:rsidRPr="00F34C6E" w:rsidSect="00F93BEA">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AB747" w14:textId="77777777" w:rsidR="00D701E0" w:rsidRDefault="00D701E0" w:rsidP="00C235E7">
      <w:pPr>
        <w:spacing w:after="0" w:line="240" w:lineRule="auto"/>
      </w:pPr>
      <w:r>
        <w:separator/>
      </w:r>
    </w:p>
  </w:endnote>
  <w:endnote w:type="continuationSeparator" w:id="0">
    <w:p w14:paraId="03BA04F6" w14:textId="77777777" w:rsidR="00D701E0" w:rsidRDefault="00D701E0" w:rsidP="00C23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138718"/>
      <w:docPartObj>
        <w:docPartGallery w:val="Page Numbers (Bottom of Page)"/>
        <w:docPartUnique/>
      </w:docPartObj>
    </w:sdtPr>
    <w:sdtEndPr>
      <w:rPr>
        <w:noProof/>
      </w:rPr>
    </w:sdtEndPr>
    <w:sdtContent>
      <w:p w14:paraId="6C6ACE2A" w14:textId="7A84F9FD" w:rsidR="004841FA" w:rsidRDefault="004841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42422E" w14:textId="77777777" w:rsidR="00C235E7" w:rsidRDefault="00C23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95868" w14:textId="77777777" w:rsidR="00D701E0" w:rsidRDefault="00D701E0" w:rsidP="00C235E7">
      <w:pPr>
        <w:spacing w:after="0" w:line="240" w:lineRule="auto"/>
      </w:pPr>
      <w:r>
        <w:separator/>
      </w:r>
    </w:p>
  </w:footnote>
  <w:footnote w:type="continuationSeparator" w:id="0">
    <w:p w14:paraId="08BC564D" w14:textId="77777777" w:rsidR="00D701E0" w:rsidRDefault="00D701E0" w:rsidP="00C23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0C3A9A"/>
    <w:multiLevelType w:val="multilevel"/>
    <w:tmpl w:val="F086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3E0FF4"/>
    <w:multiLevelType w:val="hybridMultilevel"/>
    <w:tmpl w:val="FE349370"/>
    <w:lvl w:ilvl="0" w:tplc="DB98F3C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023776">
    <w:abstractNumId w:val="1"/>
  </w:num>
  <w:num w:numId="2" w16cid:durableId="1906912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2B"/>
    <w:rsid w:val="00003763"/>
    <w:rsid w:val="00015639"/>
    <w:rsid w:val="00033E96"/>
    <w:rsid w:val="0005542B"/>
    <w:rsid w:val="00056816"/>
    <w:rsid w:val="0006306E"/>
    <w:rsid w:val="00063E07"/>
    <w:rsid w:val="0007108F"/>
    <w:rsid w:val="00072F64"/>
    <w:rsid w:val="000869A3"/>
    <w:rsid w:val="00093C3D"/>
    <w:rsid w:val="000A429A"/>
    <w:rsid w:val="000B2CB1"/>
    <w:rsid w:val="000B37C1"/>
    <w:rsid w:val="000B58DE"/>
    <w:rsid w:val="000C0514"/>
    <w:rsid w:val="000C3769"/>
    <w:rsid w:val="000D3AF8"/>
    <w:rsid w:val="000D4131"/>
    <w:rsid w:val="000E280E"/>
    <w:rsid w:val="000E591E"/>
    <w:rsid w:val="000F784A"/>
    <w:rsid w:val="00102BA3"/>
    <w:rsid w:val="00120C15"/>
    <w:rsid w:val="0013008D"/>
    <w:rsid w:val="00134022"/>
    <w:rsid w:val="00137943"/>
    <w:rsid w:val="001421FC"/>
    <w:rsid w:val="00142974"/>
    <w:rsid w:val="00154FFC"/>
    <w:rsid w:val="00156F04"/>
    <w:rsid w:val="0018682C"/>
    <w:rsid w:val="00190B4F"/>
    <w:rsid w:val="00192AE0"/>
    <w:rsid w:val="001A3909"/>
    <w:rsid w:val="001A5A12"/>
    <w:rsid w:val="001A7F15"/>
    <w:rsid w:val="001B14A2"/>
    <w:rsid w:val="001B6EF1"/>
    <w:rsid w:val="001D0204"/>
    <w:rsid w:val="001D1D97"/>
    <w:rsid w:val="001D75A4"/>
    <w:rsid w:val="001E76DB"/>
    <w:rsid w:val="001F0274"/>
    <w:rsid w:val="002050F3"/>
    <w:rsid w:val="002072C6"/>
    <w:rsid w:val="002239D0"/>
    <w:rsid w:val="002513AA"/>
    <w:rsid w:val="0025361D"/>
    <w:rsid w:val="002600F6"/>
    <w:rsid w:val="0026278A"/>
    <w:rsid w:val="002633E9"/>
    <w:rsid w:val="00263DA9"/>
    <w:rsid w:val="00264D94"/>
    <w:rsid w:val="00266F6A"/>
    <w:rsid w:val="002718E3"/>
    <w:rsid w:val="002A17D1"/>
    <w:rsid w:val="002A7F83"/>
    <w:rsid w:val="002B3659"/>
    <w:rsid w:val="002B48F4"/>
    <w:rsid w:val="002C354D"/>
    <w:rsid w:val="002C5065"/>
    <w:rsid w:val="002D352F"/>
    <w:rsid w:val="002D4D07"/>
    <w:rsid w:val="002D50C1"/>
    <w:rsid w:val="002D758D"/>
    <w:rsid w:val="002E09A0"/>
    <w:rsid w:val="002E4DB5"/>
    <w:rsid w:val="002F3D07"/>
    <w:rsid w:val="00301FBC"/>
    <w:rsid w:val="003115A7"/>
    <w:rsid w:val="00315506"/>
    <w:rsid w:val="003209A3"/>
    <w:rsid w:val="00327812"/>
    <w:rsid w:val="00330E8E"/>
    <w:rsid w:val="003342DB"/>
    <w:rsid w:val="00334BD0"/>
    <w:rsid w:val="003465AA"/>
    <w:rsid w:val="00346B3B"/>
    <w:rsid w:val="00347179"/>
    <w:rsid w:val="00356CA1"/>
    <w:rsid w:val="00356CAF"/>
    <w:rsid w:val="0036405B"/>
    <w:rsid w:val="00374E5E"/>
    <w:rsid w:val="00382EC8"/>
    <w:rsid w:val="0039405A"/>
    <w:rsid w:val="00394CD9"/>
    <w:rsid w:val="003B1266"/>
    <w:rsid w:val="003C08F4"/>
    <w:rsid w:val="003C5439"/>
    <w:rsid w:val="003C7E5A"/>
    <w:rsid w:val="003D59D3"/>
    <w:rsid w:val="003E4520"/>
    <w:rsid w:val="003E4AFB"/>
    <w:rsid w:val="004025A1"/>
    <w:rsid w:val="00402C33"/>
    <w:rsid w:val="004426F9"/>
    <w:rsid w:val="00450FDB"/>
    <w:rsid w:val="00452584"/>
    <w:rsid w:val="004562A0"/>
    <w:rsid w:val="00464233"/>
    <w:rsid w:val="00474F33"/>
    <w:rsid w:val="00477DEE"/>
    <w:rsid w:val="00481A67"/>
    <w:rsid w:val="004841FA"/>
    <w:rsid w:val="004C4B4F"/>
    <w:rsid w:val="004D52B8"/>
    <w:rsid w:val="004E79C4"/>
    <w:rsid w:val="004F1F3B"/>
    <w:rsid w:val="004F72C6"/>
    <w:rsid w:val="00513062"/>
    <w:rsid w:val="005143A6"/>
    <w:rsid w:val="00520F93"/>
    <w:rsid w:val="00526314"/>
    <w:rsid w:val="00530319"/>
    <w:rsid w:val="00542B3D"/>
    <w:rsid w:val="00551209"/>
    <w:rsid w:val="005577E6"/>
    <w:rsid w:val="00564A6B"/>
    <w:rsid w:val="005660B2"/>
    <w:rsid w:val="00573F89"/>
    <w:rsid w:val="00581672"/>
    <w:rsid w:val="0058374D"/>
    <w:rsid w:val="005A359D"/>
    <w:rsid w:val="005B1376"/>
    <w:rsid w:val="005B7F06"/>
    <w:rsid w:val="005E7C57"/>
    <w:rsid w:val="006071F1"/>
    <w:rsid w:val="0062182E"/>
    <w:rsid w:val="00621CAD"/>
    <w:rsid w:val="00632347"/>
    <w:rsid w:val="0063579A"/>
    <w:rsid w:val="00637EB7"/>
    <w:rsid w:val="00646922"/>
    <w:rsid w:val="0064755E"/>
    <w:rsid w:val="0066012A"/>
    <w:rsid w:val="00672BD4"/>
    <w:rsid w:val="00683238"/>
    <w:rsid w:val="00693327"/>
    <w:rsid w:val="00695571"/>
    <w:rsid w:val="006963D2"/>
    <w:rsid w:val="006A09C9"/>
    <w:rsid w:val="006A3351"/>
    <w:rsid w:val="006C3521"/>
    <w:rsid w:val="006D1482"/>
    <w:rsid w:val="006E3A07"/>
    <w:rsid w:val="006E4BEE"/>
    <w:rsid w:val="006E7741"/>
    <w:rsid w:val="006F1B2A"/>
    <w:rsid w:val="006F2460"/>
    <w:rsid w:val="006F581B"/>
    <w:rsid w:val="0070336F"/>
    <w:rsid w:val="0070720C"/>
    <w:rsid w:val="0071190B"/>
    <w:rsid w:val="00725F95"/>
    <w:rsid w:val="00742F1D"/>
    <w:rsid w:val="00745CEC"/>
    <w:rsid w:val="00747A5B"/>
    <w:rsid w:val="00750DA3"/>
    <w:rsid w:val="00762FBF"/>
    <w:rsid w:val="0076439A"/>
    <w:rsid w:val="00770754"/>
    <w:rsid w:val="00771244"/>
    <w:rsid w:val="00781C74"/>
    <w:rsid w:val="007822AD"/>
    <w:rsid w:val="007873EE"/>
    <w:rsid w:val="007916C6"/>
    <w:rsid w:val="007943C0"/>
    <w:rsid w:val="007B0E73"/>
    <w:rsid w:val="007B1B82"/>
    <w:rsid w:val="007B242A"/>
    <w:rsid w:val="007C70A2"/>
    <w:rsid w:val="007D30FE"/>
    <w:rsid w:val="007D505D"/>
    <w:rsid w:val="007D7DC6"/>
    <w:rsid w:val="007E5702"/>
    <w:rsid w:val="007E70E1"/>
    <w:rsid w:val="007F3494"/>
    <w:rsid w:val="00801507"/>
    <w:rsid w:val="008017C0"/>
    <w:rsid w:val="00810206"/>
    <w:rsid w:val="008124E2"/>
    <w:rsid w:val="008126E1"/>
    <w:rsid w:val="008157DC"/>
    <w:rsid w:val="00817267"/>
    <w:rsid w:val="00824A15"/>
    <w:rsid w:val="008376BB"/>
    <w:rsid w:val="00837949"/>
    <w:rsid w:val="008379A4"/>
    <w:rsid w:val="00846959"/>
    <w:rsid w:val="00852370"/>
    <w:rsid w:val="00853BCF"/>
    <w:rsid w:val="0086704D"/>
    <w:rsid w:val="00867136"/>
    <w:rsid w:val="0088385E"/>
    <w:rsid w:val="008848FE"/>
    <w:rsid w:val="00886708"/>
    <w:rsid w:val="008924FF"/>
    <w:rsid w:val="008940A2"/>
    <w:rsid w:val="008A1118"/>
    <w:rsid w:val="008A12BE"/>
    <w:rsid w:val="008B4854"/>
    <w:rsid w:val="008C0D30"/>
    <w:rsid w:val="008C1553"/>
    <w:rsid w:val="008C5D08"/>
    <w:rsid w:val="008D4CAB"/>
    <w:rsid w:val="008E3AD7"/>
    <w:rsid w:val="008E5863"/>
    <w:rsid w:val="008E78CA"/>
    <w:rsid w:val="008F6A06"/>
    <w:rsid w:val="008F6B37"/>
    <w:rsid w:val="00903C56"/>
    <w:rsid w:val="00913618"/>
    <w:rsid w:val="0092130C"/>
    <w:rsid w:val="009242AA"/>
    <w:rsid w:val="009262D8"/>
    <w:rsid w:val="0093200C"/>
    <w:rsid w:val="00933A28"/>
    <w:rsid w:val="009425A9"/>
    <w:rsid w:val="00950294"/>
    <w:rsid w:val="00951E44"/>
    <w:rsid w:val="00970C52"/>
    <w:rsid w:val="009732D6"/>
    <w:rsid w:val="00973B58"/>
    <w:rsid w:val="00977D82"/>
    <w:rsid w:val="00980F87"/>
    <w:rsid w:val="009812B0"/>
    <w:rsid w:val="00992A96"/>
    <w:rsid w:val="009A0514"/>
    <w:rsid w:val="009A7F40"/>
    <w:rsid w:val="009B1F83"/>
    <w:rsid w:val="009B2D97"/>
    <w:rsid w:val="009C020D"/>
    <w:rsid w:val="009C1FEA"/>
    <w:rsid w:val="009C2B24"/>
    <w:rsid w:val="009D0D83"/>
    <w:rsid w:val="009D6E41"/>
    <w:rsid w:val="009E2340"/>
    <w:rsid w:val="009F073B"/>
    <w:rsid w:val="009F51A6"/>
    <w:rsid w:val="00A04473"/>
    <w:rsid w:val="00A06C88"/>
    <w:rsid w:val="00A1238C"/>
    <w:rsid w:val="00A20D17"/>
    <w:rsid w:val="00A2448C"/>
    <w:rsid w:val="00A41E9A"/>
    <w:rsid w:val="00A42E66"/>
    <w:rsid w:val="00A45087"/>
    <w:rsid w:val="00A57DA5"/>
    <w:rsid w:val="00A715C2"/>
    <w:rsid w:val="00A7730C"/>
    <w:rsid w:val="00A81803"/>
    <w:rsid w:val="00A827A0"/>
    <w:rsid w:val="00A87B1B"/>
    <w:rsid w:val="00A91B59"/>
    <w:rsid w:val="00A971FA"/>
    <w:rsid w:val="00AB2292"/>
    <w:rsid w:val="00AB4E26"/>
    <w:rsid w:val="00AD1E58"/>
    <w:rsid w:val="00AD5954"/>
    <w:rsid w:val="00AD5D62"/>
    <w:rsid w:val="00AE275D"/>
    <w:rsid w:val="00AE7D39"/>
    <w:rsid w:val="00AF2ABA"/>
    <w:rsid w:val="00AF5457"/>
    <w:rsid w:val="00AF5504"/>
    <w:rsid w:val="00B077DD"/>
    <w:rsid w:val="00B12C8E"/>
    <w:rsid w:val="00B24C71"/>
    <w:rsid w:val="00B303FF"/>
    <w:rsid w:val="00B331D8"/>
    <w:rsid w:val="00B36B6E"/>
    <w:rsid w:val="00B439FD"/>
    <w:rsid w:val="00B54135"/>
    <w:rsid w:val="00B62CB3"/>
    <w:rsid w:val="00B62F86"/>
    <w:rsid w:val="00B71871"/>
    <w:rsid w:val="00B73216"/>
    <w:rsid w:val="00B80EFE"/>
    <w:rsid w:val="00B820A8"/>
    <w:rsid w:val="00B87DCE"/>
    <w:rsid w:val="00B91079"/>
    <w:rsid w:val="00B93FDC"/>
    <w:rsid w:val="00B96AF4"/>
    <w:rsid w:val="00BA1926"/>
    <w:rsid w:val="00BB00BA"/>
    <w:rsid w:val="00BB5E71"/>
    <w:rsid w:val="00BB6ADB"/>
    <w:rsid w:val="00BC0B19"/>
    <w:rsid w:val="00BC409F"/>
    <w:rsid w:val="00BC7799"/>
    <w:rsid w:val="00BD554F"/>
    <w:rsid w:val="00BD7326"/>
    <w:rsid w:val="00BE09B3"/>
    <w:rsid w:val="00C00E15"/>
    <w:rsid w:val="00C05130"/>
    <w:rsid w:val="00C12C2C"/>
    <w:rsid w:val="00C141CD"/>
    <w:rsid w:val="00C17A79"/>
    <w:rsid w:val="00C235E7"/>
    <w:rsid w:val="00C25F22"/>
    <w:rsid w:val="00C30B25"/>
    <w:rsid w:val="00C32FAF"/>
    <w:rsid w:val="00C33984"/>
    <w:rsid w:val="00C46FA4"/>
    <w:rsid w:val="00C610B5"/>
    <w:rsid w:val="00C66ECB"/>
    <w:rsid w:val="00C71C5D"/>
    <w:rsid w:val="00C77B56"/>
    <w:rsid w:val="00C804EB"/>
    <w:rsid w:val="00C8545C"/>
    <w:rsid w:val="00C92C06"/>
    <w:rsid w:val="00CB4D67"/>
    <w:rsid w:val="00CC148D"/>
    <w:rsid w:val="00CE4B8B"/>
    <w:rsid w:val="00D02DE8"/>
    <w:rsid w:val="00D118B9"/>
    <w:rsid w:val="00D16503"/>
    <w:rsid w:val="00D21DB4"/>
    <w:rsid w:val="00D24D82"/>
    <w:rsid w:val="00D41936"/>
    <w:rsid w:val="00D47CD1"/>
    <w:rsid w:val="00D515F0"/>
    <w:rsid w:val="00D56BA1"/>
    <w:rsid w:val="00D701E0"/>
    <w:rsid w:val="00DC5A9C"/>
    <w:rsid w:val="00DE4763"/>
    <w:rsid w:val="00DE79CF"/>
    <w:rsid w:val="00DF6BD4"/>
    <w:rsid w:val="00DF7C65"/>
    <w:rsid w:val="00E02D6B"/>
    <w:rsid w:val="00E308E1"/>
    <w:rsid w:val="00E403A9"/>
    <w:rsid w:val="00E44B25"/>
    <w:rsid w:val="00E46A94"/>
    <w:rsid w:val="00E52B6D"/>
    <w:rsid w:val="00E54490"/>
    <w:rsid w:val="00E56494"/>
    <w:rsid w:val="00E73832"/>
    <w:rsid w:val="00E74809"/>
    <w:rsid w:val="00E81015"/>
    <w:rsid w:val="00E94D0A"/>
    <w:rsid w:val="00E95611"/>
    <w:rsid w:val="00E9600C"/>
    <w:rsid w:val="00EA3A4C"/>
    <w:rsid w:val="00EC1B63"/>
    <w:rsid w:val="00EC7DE5"/>
    <w:rsid w:val="00ED579B"/>
    <w:rsid w:val="00ED7E98"/>
    <w:rsid w:val="00F00240"/>
    <w:rsid w:val="00F0464B"/>
    <w:rsid w:val="00F1222A"/>
    <w:rsid w:val="00F15AC6"/>
    <w:rsid w:val="00F160DB"/>
    <w:rsid w:val="00F2068D"/>
    <w:rsid w:val="00F26753"/>
    <w:rsid w:val="00F3131E"/>
    <w:rsid w:val="00F32394"/>
    <w:rsid w:val="00F32693"/>
    <w:rsid w:val="00F33159"/>
    <w:rsid w:val="00F34C6E"/>
    <w:rsid w:val="00F562EC"/>
    <w:rsid w:val="00F57972"/>
    <w:rsid w:val="00F601A7"/>
    <w:rsid w:val="00F63E49"/>
    <w:rsid w:val="00F661EE"/>
    <w:rsid w:val="00F76DA5"/>
    <w:rsid w:val="00F7734E"/>
    <w:rsid w:val="00F83407"/>
    <w:rsid w:val="00F93BEA"/>
    <w:rsid w:val="00F95393"/>
    <w:rsid w:val="00F95E6D"/>
    <w:rsid w:val="00F96312"/>
    <w:rsid w:val="00FA4F08"/>
    <w:rsid w:val="00FC1B84"/>
    <w:rsid w:val="00FD0118"/>
    <w:rsid w:val="00FD37C6"/>
    <w:rsid w:val="00FD4DD2"/>
    <w:rsid w:val="00FE2C70"/>
    <w:rsid w:val="00FF1F25"/>
    <w:rsid w:val="00FF7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7C945"/>
  <w15:chartTrackingRefBased/>
  <w15:docId w15:val="{A8A4CF70-EC5F-4265-8B1C-73AD17C0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79B"/>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F6BD4"/>
    <w:pPr>
      <w:keepNext/>
      <w:keepLines/>
      <w:spacing w:before="360" w:after="80"/>
      <w:outlineLvl w:val="0"/>
    </w:pPr>
    <w:rPr>
      <w:rFonts w:eastAsiaTheme="majorEastAsia" w:cstheme="majorBidi"/>
      <w:szCs w:val="40"/>
    </w:rPr>
  </w:style>
  <w:style w:type="paragraph" w:styleId="Heading2">
    <w:name w:val="heading 2"/>
    <w:basedOn w:val="Normal"/>
    <w:next w:val="Normal"/>
    <w:link w:val="Heading2Char"/>
    <w:uiPriority w:val="9"/>
    <w:semiHidden/>
    <w:unhideWhenUsed/>
    <w:qFormat/>
    <w:rsid w:val="000554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71244"/>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119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BD4"/>
    <w:rPr>
      <w:rFonts w:ascii="Times New Roman" w:eastAsiaTheme="majorEastAsia" w:hAnsi="Times New Roman" w:cstheme="majorBidi"/>
      <w:szCs w:val="40"/>
    </w:rPr>
  </w:style>
  <w:style w:type="character" w:customStyle="1" w:styleId="Heading2Char">
    <w:name w:val="Heading 2 Char"/>
    <w:basedOn w:val="DefaultParagraphFont"/>
    <w:link w:val="Heading2"/>
    <w:uiPriority w:val="9"/>
    <w:semiHidden/>
    <w:rsid w:val="000554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71244"/>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33984"/>
    <w:pPr>
      <w:ind w:left="720"/>
      <w:contextualSpacing/>
    </w:pPr>
  </w:style>
  <w:style w:type="paragraph" w:styleId="NormalWeb">
    <w:name w:val="Normal (Web)"/>
    <w:basedOn w:val="Normal"/>
    <w:uiPriority w:val="99"/>
    <w:semiHidden/>
    <w:unhideWhenUsed/>
    <w:rsid w:val="00B73216"/>
    <w:rPr>
      <w:rFonts w:cs="Times New Roman"/>
    </w:rPr>
  </w:style>
  <w:style w:type="paragraph" w:styleId="Caption">
    <w:name w:val="caption"/>
    <w:basedOn w:val="Normal"/>
    <w:next w:val="Normal"/>
    <w:uiPriority w:val="35"/>
    <w:unhideWhenUsed/>
    <w:qFormat/>
    <w:rsid w:val="00781C74"/>
    <w:pPr>
      <w:spacing w:after="200" w:line="240" w:lineRule="auto"/>
    </w:pPr>
    <w:rPr>
      <w:i/>
      <w:iCs/>
      <w:color w:val="44546A" w:themeColor="text2"/>
      <w:sz w:val="18"/>
      <w:szCs w:val="18"/>
    </w:rPr>
  </w:style>
  <w:style w:type="table" w:styleId="TableGrid">
    <w:name w:val="Table Grid"/>
    <w:basedOn w:val="TableNormal"/>
    <w:uiPriority w:val="39"/>
    <w:rsid w:val="00334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1190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235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5E7"/>
    <w:rPr>
      <w:rFonts w:ascii="Times New Roman" w:hAnsi="Times New Roman"/>
    </w:rPr>
  </w:style>
  <w:style w:type="paragraph" w:styleId="Footer">
    <w:name w:val="footer"/>
    <w:basedOn w:val="Normal"/>
    <w:link w:val="FooterChar"/>
    <w:uiPriority w:val="99"/>
    <w:unhideWhenUsed/>
    <w:rsid w:val="00C235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5E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40032">
      <w:bodyDiv w:val="1"/>
      <w:marLeft w:val="0"/>
      <w:marRight w:val="0"/>
      <w:marTop w:val="0"/>
      <w:marBottom w:val="0"/>
      <w:divBdr>
        <w:top w:val="none" w:sz="0" w:space="0" w:color="auto"/>
        <w:left w:val="none" w:sz="0" w:space="0" w:color="auto"/>
        <w:bottom w:val="none" w:sz="0" w:space="0" w:color="auto"/>
        <w:right w:val="none" w:sz="0" w:space="0" w:color="auto"/>
      </w:divBdr>
    </w:div>
    <w:div w:id="28772655">
      <w:bodyDiv w:val="1"/>
      <w:marLeft w:val="0"/>
      <w:marRight w:val="0"/>
      <w:marTop w:val="0"/>
      <w:marBottom w:val="0"/>
      <w:divBdr>
        <w:top w:val="none" w:sz="0" w:space="0" w:color="auto"/>
        <w:left w:val="none" w:sz="0" w:space="0" w:color="auto"/>
        <w:bottom w:val="none" w:sz="0" w:space="0" w:color="auto"/>
        <w:right w:val="none" w:sz="0" w:space="0" w:color="auto"/>
      </w:divBdr>
    </w:div>
    <w:div w:id="59258086">
      <w:bodyDiv w:val="1"/>
      <w:marLeft w:val="0"/>
      <w:marRight w:val="0"/>
      <w:marTop w:val="0"/>
      <w:marBottom w:val="0"/>
      <w:divBdr>
        <w:top w:val="none" w:sz="0" w:space="0" w:color="auto"/>
        <w:left w:val="none" w:sz="0" w:space="0" w:color="auto"/>
        <w:bottom w:val="none" w:sz="0" w:space="0" w:color="auto"/>
        <w:right w:val="none" w:sz="0" w:space="0" w:color="auto"/>
      </w:divBdr>
    </w:div>
    <w:div w:id="103305065">
      <w:bodyDiv w:val="1"/>
      <w:marLeft w:val="0"/>
      <w:marRight w:val="0"/>
      <w:marTop w:val="0"/>
      <w:marBottom w:val="0"/>
      <w:divBdr>
        <w:top w:val="none" w:sz="0" w:space="0" w:color="auto"/>
        <w:left w:val="none" w:sz="0" w:space="0" w:color="auto"/>
        <w:bottom w:val="none" w:sz="0" w:space="0" w:color="auto"/>
        <w:right w:val="none" w:sz="0" w:space="0" w:color="auto"/>
      </w:divBdr>
    </w:div>
    <w:div w:id="119301952">
      <w:bodyDiv w:val="1"/>
      <w:marLeft w:val="0"/>
      <w:marRight w:val="0"/>
      <w:marTop w:val="0"/>
      <w:marBottom w:val="0"/>
      <w:divBdr>
        <w:top w:val="none" w:sz="0" w:space="0" w:color="auto"/>
        <w:left w:val="none" w:sz="0" w:space="0" w:color="auto"/>
        <w:bottom w:val="none" w:sz="0" w:space="0" w:color="auto"/>
        <w:right w:val="none" w:sz="0" w:space="0" w:color="auto"/>
      </w:divBdr>
    </w:div>
    <w:div w:id="144053716">
      <w:bodyDiv w:val="1"/>
      <w:marLeft w:val="0"/>
      <w:marRight w:val="0"/>
      <w:marTop w:val="0"/>
      <w:marBottom w:val="0"/>
      <w:divBdr>
        <w:top w:val="none" w:sz="0" w:space="0" w:color="auto"/>
        <w:left w:val="none" w:sz="0" w:space="0" w:color="auto"/>
        <w:bottom w:val="none" w:sz="0" w:space="0" w:color="auto"/>
        <w:right w:val="none" w:sz="0" w:space="0" w:color="auto"/>
      </w:divBdr>
    </w:div>
    <w:div w:id="157577407">
      <w:bodyDiv w:val="1"/>
      <w:marLeft w:val="0"/>
      <w:marRight w:val="0"/>
      <w:marTop w:val="0"/>
      <w:marBottom w:val="0"/>
      <w:divBdr>
        <w:top w:val="none" w:sz="0" w:space="0" w:color="auto"/>
        <w:left w:val="none" w:sz="0" w:space="0" w:color="auto"/>
        <w:bottom w:val="none" w:sz="0" w:space="0" w:color="auto"/>
        <w:right w:val="none" w:sz="0" w:space="0" w:color="auto"/>
      </w:divBdr>
    </w:div>
    <w:div w:id="169881133">
      <w:bodyDiv w:val="1"/>
      <w:marLeft w:val="0"/>
      <w:marRight w:val="0"/>
      <w:marTop w:val="0"/>
      <w:marBottom w:val="0"/>
      <w:divBdr>
        <w:top w:val="none" w:sz="0" w:space="0" w:color="auto"/>
        <w:left w:val="none" w:sz="0" w:space="0" w:color="auto"/>
        <w:bottom w:val="none" w:sz="0" w:space="0" w:color="auto"/>
        <w:right w:val="none" w:sz="0" w:space="0" w:color="auto"/>
      </w:divBdr>
    </w:div>
    <w:div w:id="215436548">
      <w:bodyDiv w:val="1"/>
      <w:marLeft w:val="0"/>
      <w:marRight w:val="0"/>
      <w:marTop w:val="0"/>
      <w:marBottom w:val="0"/>
      <w:divBdr>
        <w:top w:val="none" w:sz="0" w:space="0" w:color="auto"/>
        <w:left w:val="none" w:sz="0" w:space="0" w:color="auto"/>
        <w:bottom w:val="none" w:sz="0" w:space="0" w:color="auto"/>
        <w:right w:val="none" w:sz="0" w:space="0" w:color="auto"/>
      </w:divBdr>
    </w:div>
    <w:div w:id="232158883">
      <w:bodyDiv w:val="1"/>
      <w:marLeft w:val="0"/>
      <w:marRight w:val="0"/>
      <w:marTop w:val="0"/>
      <w:marBottom w:val="0"/>
      <w:divBdr>
        <w:top w:val="none" w:sz="0" w:space="0" w:color="auto"/>
        <w:left w:val="none" w:sz="0" w:space="0" w:color="auto"/>
        <w:bottom w:val="none" w:sz="0" w:space="0" w:color="auto"/>
        <w:right w:val="none" w:sz="0" w:space="0" w:color="auto"/>
      </w:divBdr>
    </w:div>
    <w:div w:id="238559502">
      <w:bodyDiv w:val="1"/>
      <w:marLeft w:val="0"/>
      <w:marRight w:val="0"/>
      <w:marTop w:val="0"/>
      <w:marBottom w:val="0"/>
      <w:divBdr>
        <w:top w:val="none" w:sz="0" w:space="0" w:color="auto"/>
        <w:left w:val="none" w:sz="0" w:space="0" w:color="auto"/>
        <w:bottom w:val="none" w:sz="0" w:space="0" w:color="auto"/>
        <w:right w:val="none" w:sz="0" w:space="0" w:color="auto"/>
      </w:divBdr>
    </w:div>
    <w:div w:id="252978896">
      <w:bodyDiv w:val="1"/>
      <w:marLeft w:val="0"/>
      <w:marRight w:val="0"/>
      <w:marTop w:val="0"/>
      <w:marBottom w:val="0"/>
      <w:divBdr>
        <w:top w:val="none" w:sz="0" w:space="0" w:color="auto"/>
        <w:left w:val="none" w:sz="0" w:space="0" w:color="auto"/>
        <w:bottom w:val="none" w:sz="0" w:space="0" w:color="auto"/>
        <w:right w:val="none" w:sz="0" w:space="0" w:color="auto"/>
      </w:divBdr>
    </w:div>
    <w:div w:id="268316040">
      <w:bodyDiv w:val="1"/>
      <w:marLeft w:val="0"/>
      <w:marRight w:val="0"/>
      <w:marTop w:val="0"/>
      <w:marBottom w:val="0"/>
      <w:divBdr>
        <w:top w:val="none" w:sz="0" w:space="0" w:color="auto"/>
        <w:left w:val="none" w:sz="0" w:space="0" w:color="auto"/>
        <w:bottom w:val="none" w:sz="0" w:space="0" w:color="auto"/>
        <w:right w:val="none" w:sz="0" w:space="0" w:color="auto"/>
      </w:divBdr>
    </w:div>
    <w:div w:id="273945075">
      <w:bodyDiv w:val="1"/>
      <w:marLeft w:val="0"/>
      <w:marRight w:val="0"/>
      <w:marTop w:val="0"/>
      <w:marBottom w:val="0"/>
      <w:divBdr>
        <w:top w:val="none" w:sz="0" w:space="0" w:color="auto"/>
        <w:left w:val="none" w:sz="0" w:space="0" w:color="auto"/>
        <w:bottom w:val="none" w:sz="0" w:space="0" w:color="auto"/>
        <w:right w:val="none" w:sz="0" w:space="0" w:color="auto"/>
      </w:divBdr>
    </w:div>
    <w:div w:id="385958161">
      <w:bodyDiv w:val="1"/>
      <w:marLeft w:val="0"/>
      <w:marRight w:val="0"/>
      <w:marTop w:val="0"/>
      <w:marBottom w:val="0"/>
      <w:divBdr>
        <w:top w:val="none" w:sz="0" w:space="0" w:color="auto"/>
        <w:left w:val="none" w:sz="0" w:space="0" w:color="auto"/>
        <w:bottom w:val="none" w:sz="0" w:space="0" w:color="auto"/>
        <w:right w:val="none" w:sz="0" w:space="0" w:color="auto"/>
      </w:divBdr>
    </w:div>
    <w:div w:id="390034388">
      <w:bodyDiv w:val="1"/>
      <w:marLeft w:val="0"/>
      <w:marRight w:val="0"/>
      <w:marTop w:val="0"/>
      <w:marBottom w:val="0"/>
      <w:divBdr>
        <w:top w:val="none" w:sz="0" w:space="0" w:color="auto"/>
        <w:left w:val="none" w:sz="0" w:space="0" w:color="auto"/>
        <w:bottom w:val="none" w:sz="0" w:space="0" w:color="auto"/>
        <w:right w:val="none" w:sz="0" w:space="0" w:color="auto"/>
      </w:divBdr>
    </w:div>
    <w:div w:id="392585128">
      <w:bodyDiv w:val="1"/>
      <w:marLeft w:val="0"/>
      <w:marRight w:val="0"/>
      <w:marTop w:val="0"/>
      <w:marBottom w:val="0"/>
      <w:divBdr>
        <w:top w:val="none" w:sz="0" w:space="0" w:color="auto"/>
        <w:left w:val="none" w:sz="0" w:space="0" w:color="auto"/>
        <w:bottom w:val="none" w:sz="0" w:space="0" w:color="auto"/>
        <w:right w:val="none" w:sz="0" w:space="0" w:color="auto"/>
      </w:divBdr>
    </w:div>
    <w:div w:id="395081782">
      <w:bodyDiv w:val="1"/>
      <w:marLeft w:val="0"/>
      <w:marRight w:val="0"/>
      <w:marTop w:val="0"/>
      <w:marBottom w:val="0"/>
      <w:divBdr>
        <w:top w:val="none" w:sz="0" w:space="0" w:color="auto"/>
        <w:left w:val="none" w:sz="0" w:space="0" w:color="auto"/>
        <w:bottom w:val="none" w:sz="0" w:space="0" w:color="auto"/>
        <w:right w:val="none" w:sz="0" w:space="0" w:color="auto"/>
      </w:divBdr>
    </w:div>
    <w:div w:id="417026338">
      <w:bodyDiv w:val="1"/>
      <w:marLeft w:val="0"/>
      <w:marRight w:val="0"/>
      <w:marTop w:val="0"/>
      <w:marBottom w:val="0"/>
      <w:divBdr>
        <w:top w:val="none" w:sz="0" w:space="0" w:color="auto"/>
        <w:left w:val="none" w:sz="0" w:space="0" w:color="auto"/>
        <w:bottom w:val="none" w:sz="0" w:space="0" w:color="auto"/>
        <w:right w:val="none" w:sz="0" w:space="0" w:color="auto"/>
      </w:divBdr>
    </w:div>
    <w:div w:id="424611489">
      <w:bodyDiv w:val="1"/>
      <w:marLeft w:val="0"/>
      <w:marRight w:val="0"/>
      <w:marTop w:val="0"/>
      <w:marBottom w:val="0"/>
      <w:divBdr>
        <w:top w:val="none" w:sz="0" w:space="0" w:color="auto"/>
        <w:left w:val="none" w:sz="0" w:space="0" w:color="auto"/>
        <w:bottom w:val="none" w:sz="0" w:space="0" w:color="auto"/>
        <w:right w:val="none" w:sz="0" w:space="0" w:color="auto"/>
      </w:divBdr>
    </w:div>
    <w:div w:id="430902664">
      <w:bodyDiv w:val="1"/>
      <w:marLeft w:val="0"/>
      <w:marRight w:val="0"/>
      <w:marTop w:val="0"/>
      <w:marBottom w:val="0"/>
      <w:divBdr>
        <w:top w:val="none" w:sz="0" w:space="0" w:color="auto"/>
        <w:left w:val="none" w:sz="0" w:space="0" w:color="auto"/>
        <w:bottom w:val="none" w:sz="0" w:space="0" w:color="auto"/>
        <w:right w:val="none" w:sz="0" w:space="0" w:color="auto"/>
      </w:divBdr>
    </w:div>
    <w:div w:id="444809062">
      <w:bodyDiv w:val="1"/>
      <w:marLeft w:val="0"/>
      <w:marRight w:val="0"/>
      <w:marTop w:val="0"/>
      <w:marBottom w:val="0"/>
      <w:divBdr>
        <w:top w:val="none" w:sz="0" w:space="0" w:color="auto"/>
        <w:left w:val="none" w:sz="0" w:space="0" w:color="auto"/>
        <w:bottom w:val="none" w:sz="0" w:space="0" w:color="auto"/>
        <w:right w:val="none" w:sz="0" w:space="0" w:color="auto"/>
      </w:divBdr>
    </w:div>
    <w:div w:id="470514027">
      <w:bodyDiv w:val="1"/>
      <w:marLeft w:val="0"/>
      <w:marRight w:val="0"/>
      <w:marTop w:val="0"/>
      <w:marBottom w:val="0"/>
      <w:divBdr>
        <w:top w:val="none" w:sz="0" w:space="0" w:color="auto"/>
        <w:left w:val="none" w:sz="0" w:space="0" w:color="auto"/>
        <w:bottom w:val="none" w:sz="0" w:space="0" w:color="auto"/>
        <w:right w:val="none" w:sz="0" w:space="0" w:color="auto"/>
      </w:divBdr>
    </w:div>
    <w:div w:id="530922891">
      <w:bodyDiv w:val="1"/>
      <w:marLeft w:val="0"/>
      <w:marRight w:val="0"/>
      <w:marTop w:val="0"/>
      <w:marBottom w:val="0"/>
      <w:divBdr>
        <w:top w:val="none" w:sz="0" w:space="0" w:color="auto"/>
        <w:left w:val="none" w:sz="0" w:space="0" w:color="auto"/>
        <w:bottom w:val="none" w:sz="0" w:space="0" w:color="auto"/>
        <w:right w:val="none" w:sz="0" w:space="0" w:color="auto"/>
      </w:divBdr>
    </w:div>
    <w:div w:id="596672127">
      <w:bodyDiv w:val="1"/>
      <w:marLeft w:val="0"/>
      <w:marRight w:val="0"/>
      <w:marTop w:val="0"/>
      <w:marBottom w:val="0"/>
      <w:divBdr>
        <w:top w:val="none" w:sz="0" w:space="0" w:color="auto"/>
        <w:left w:val="none" w:sz="0" w:space="0" w:color="auto"/>
        <w:bottom w:val="none" w:sz="0" w:space="0" w:color="auto"/>
        <w:right w:val="none" w:sz="0" w:space="0" w:color="auto"/>
      </w:divBdr>
    </w:div>
    <w:div w:id="650252810">
      <w:bodyDiv w:val="1"/>
      <w:marLeft w:val="0"/>
      <w:marRight w:val="0"/>
      <w:marTop w:val="0"/>
      <w:marBottom w:val="0"/>
      <w:divBdr>
        <w:top w:val="none" w:sz="0" w:space="0" w:color="auto"/>
        <w:left w:val="none" w:sz="0" w:space="0" w:color="auto"/>
        <w:bottom w:val="none" w:sz="0" w:space="0" w:color="auto"/>
        <w:right w:val="none" w:sz="0" w:space="0" w:color="auto"/>
      </w:divBdr>
    </w:div>
    <w:div w:id="657419631">
      <w:bodyDiv w:val="1"/>
      <w:marLeft w:val="0"/>
      <w:marRight w:val="0"/>
      <w:marTop w:val="0"/>
      <w:marBottom w:val="0"/>
      <w:divBdr>
        <w:top w:val="none" w:sz="0" w:space="0" w:color="auto"/>
        <w:left w:val="none" w:sz="0" w:space="0" w:color="auto"/>
        <w:bottom w:val="none" w:sz="0" w:space="0" w:color="auto"/>
        <w:right w:val="none" w:sz="0" w:space="0" w:color="auto"/>
      </w:divBdr>
    </w:div>
    <w:div w:id="874276071">
      <w:bodyDiv w:val="1"/>
      <w:marLeft w:val="0"/>
      <w:marRight w:val="0"/>
      <w:marTop w:val="0"/>
      <w:marBottom w:val="0"/>
      <w:divBdr>
        <w:top w:val="none" w:sz="0" w:space="0" w:color="auto"/>
        <w:left w:val="none" w:sz="0" w:space="0" w:color="auto"/>
        <w:bottom w:val="none" w:sz="0" w:space="0" w:color="auto"/>
        <w:right w:val="none" w:sz="0" w:space="0" w:color="auto"/>
      </w:divBdr>
    </w:div>
    <w:div w:id="943265865">
      <w:bodyDiv w:val="1"/>
      <w:marLeft w:val="0"/>
      <w:marRight w:val="0"/>
      <w:marTop w:val="0"/>
      <w:marBottom w:val="0"/>
      <w:divBdr>
        <w:top w:val="none" w:sz="0" w:space="0" w:color="auto"/>
        <w:left w:val="none" w:sz="0" w:space="0" w:color="auto"/>
        <w:bottom w:val="none" w:sz="0" w:space="0" w:color="auto"/>
        <w:right w:val="none" w:sz="0" w:space="0" w:color="auto"/>
      </w:divBdr>
    </w:div>
    <w:div w:id="1012337205">
      <w:bodyDiv w:val="1"/>
      <w:marLeft w:val="0"/>
      <w:marRight w:val="0"/>
      <w:marTop w:val="0"/>
      <w:marBottom w:val="0"/>
      <w:divBdr>
        <w:top w:val="none" w:sz="0" w:space="0" w:color="auto"/>
        <w:left w:val="none" w:sz="0" w:space="0" w:color="auto"/>
        <w:bottom w:val="none" w:sz="0" w:space="0" w:color="auto"/>
        <w:right w:val="none" w:sz="0" w:space="0" w:color="auto"/>
      </w:divBdr>
    </w:div>
    <w:div w:id="1031999378">
      <w:bodyDiv w:val="1"/>
      <w:marLeft w:val="0"/>
      <w:marRight w:val="0"/>
      <w:marTop w:val="0"/>
      <w:marBottom w:val="0"/>
      <w:divBdr>
        <w:top w:val="none" w:sz="0" w:space="0" w:color="auto"/>
        <w:left w:val="none" w:sz="0" w:space="0" w:color="auto"/>
        <w:bottom w:val="none" w:sz="0" w:space="0" w:color="auto"/>
        <w:right w:val="none" w:sz="0" w:space="0" w:color="auto"/>
      </w:divBdr>
    </w:div>
    <w:div w:id="1032463991">
      <w:bodyDiv w:val="1"/>
      <w:marLeft w:val="0"/>
      <w:marRight w:val="0"/>
      <w:marTop w:val="0"/>
      <w:marBottom w:val="0"/>
      <w:divBdr>
        <w:top w:val="none" w:sz="0" w:space="0" w:color="auto"/>
        <w:left w:val="none" w:sz="0" w:space="0" w:color="auto"/>
        <w:bottom w:val="none" w:sz="0" w:space="0" w:color="auto"/>
        <w:right w:val="none" w:sz="0" w:space="0" w:color="auto"/>
      </w:divBdr>
    </w:div>
    <w:div w:id="1065764314">
      <w:bodyDiv w:val="1"/>
      <w:marLeft w:val="0"/>
      <w:marRight w:val="0"/>
      <w:marTop w:val="0"/>
      <w:marBottom w:val="0"/>
      <w:divBdr>
        <w:top w:val="none" w:sz="0" w:space="0" w:color="auto"/>
        <w:left w:val="none" w:sz="0" w:space="0" w:color="auto"/>
        <w:bottom w:val="none" w:sz="0" w:space="0" w:color="auto"/>
        <w:right w:val="none" w:sz="0" w:space="0" w:color="auto"/>
      </w:divBdr>
    </w:div>
    <w:div w:id="1068461011">
      <w:bodyDiv w:val="1"/>
      <w:marLeft w:val="0"/>
      <w:marRight w:val="0"/>
      <w:marTop w:val="0"/>
      <w:marBottom w:val="0"/>
      <w:divBdr>
        <w:top w:val="none" w:sz="0" w:space="0" w:color="auto"/>
        <w:left w:val="none" w:sz="0" w:space="0" w:color="auto"/>
        <w:bottom w:val="none" w:sz="0" w:space="0" w:color="auto"/>
        <w:right w:val="none" w:sz="0" w:space="0" w:color="auto"/>
      </w:divBdr>
    </w:div>
    <w:div w:id="1145581196">
      <w:bodyDiv w:val="1"/>
      <w:marLeft w:val="0"/>
      <w:marRight w:val="0"/>
      <w:marTop w:val="0"/>
      <w:marBottom w:val="0"/>
      <w:divBdr>
        <w:top w:val="none" w:sz="0" w:space="0" w:color="auto"/>
        <w:left w:val="none" w:sz="0" w:space="0" w:color="auto"/>
        <w:bottom w:val="none" w:sz="0" w:space="0" w:color="auto"/>
        <w:right w:val="none" w:sz="0" w:space="0" w:color="auto"/>
      </w:divBdr>
    </w:div>
    <w:div w:id="1234125889">
      <w:bodyDiv w:val="1"/>
      <w:marLeft w:val="0"/>
      <w:marRight w:val="0"/>
      <w:marTop w:val="0"/>
      <w:marBottom w:val="0"/>
      <w:divBdr>
        <w:top w:val="none" w:sz="0" w:space="0" w:color="auto"/>
        <w:left w:val="none" w:sz="0" w:space="0" w:color="auto"/>
        <w:bottom w:val="none" w:sz="0" w:space="0" w:color="auto"/>
        <w:right w:val="none" w:sz="0" w:space="0" w:color="auto"/>
      </w:divBdr>
    </w:div>
    <w:div w:id="1243680267">
      <w:bodyDiv w:val="1"/>
      <w:marLeft w:val="0"/>
      <w:marRight w:val="0"/>
      <w:marTop w:val="0"/>
      <w:marBottom w:val="0"/>
      <w:divBdr>
        <w:top w:val="none" w:sz="0" w:space="0" w:color="auto"/>
        <w:left w:val="none" w:sz="0" w:space="0" w:color="auto"/>
        <w:bottom w:val="none" w:sz="0" w:space="0" w:color="auto"/>
        <w:right w:val="none" w:sz="0" w:space="0" w:color="auto"/>
      </w:divBdr>
    </w:div>
    <w:div w:id="1266697474">
      <w:bodyDiv w:val="1"/>
      <w:marLeft w:val="0"/>
      <w:marRight w:val="0"/>
      <w:marTop w:val="0"/>
      <w:marBottom w:val="0"/>
      <w:divBdr>
        <w:top w:val="none" w:sz="0" w:space="0" w:color="auto"/>
        <w:left w:val="none" w:sz="0" w:space="0" w:color="auto"/>
        <w:bottom w:val="none" w:sz="0" w:space="0" w:color="auto"/>
        <w:right w:val="none" w:sz="0" w:space="0" w:color="auto"/>
      </w:divBdr>
    </w:div>
    <w:div w:id="1284534673">
      <w:bodyDiv w:val="1"/>
      <w:marLeft w:val="0"/>
      <w:marRight w:val="0"/>
      <w:marTop w:val="0"/>
      <w:marBottom w:val="0"/>
      <w:divBdr>
        <w:top w:val="none" w:sz="0" w:space="0" w:color="auto"/>
        <w:left w:val="none" w:sz="0" w:space="0" w:color="auto"/>
        <w:bottom w:val="none" w:sz="0" w:space="0" w:color="auto"/>
        <w:right w:val="none" w:sz="0" w:space="0" w:color="auto"/>
      </w:divBdr>
    </w:div>
    <w:div w:id="1433279702">
      <w:bodyDiv w:val="1"/>
      <w:marLeft w:val="0"/>
      <w:marRight w:val="0"/>
      <w:marTop w:val="0"/>
      <w:marBottom w:val="0"/>
      <w:divBdr>
        <w:top w:val="none" w:sz="0" w:space="0" w:color="auto"/>
        <w:left w:val="none" w:sz="0" w:space="0" w:color="auto"/>
        <w:bottom w:val="none" w:sz="0" w:space="0" w:color="auto"/>
        <w:right w:val="none" w:sz="0" w:space="0" w:color="auto"/>
      </w:divBdr>
    </w:div>
    <w:div w:id="1436750440">
      <w:bodyDiv w:val="1"/>
      <w:marLeft w:val="0"/>
      <w:marRight w:val="0"/>
      <w:marTop w:val="0"/>
      <w:marBottom w:val="0"/>
      <w:divBdr>
        <w:top w:val="none" w:sz="0" w:space="0" w:color="auto"/>
        <w:left w:val="none" w:sz="0" w:space="0" w:color="auto"/>
        <w:bottom w:val="none" w:sz="0" w:space="0" w:color="auto"/>
        <w:right w:val="none" w:sz="0" w:space="0" w:color="auto"/>
      </w:divBdr>
    </w:div>
    <w:div w:id="1476141233">
      <w:bodyDiv w:val="1"/>
      <w:marLeft w:val="0"/>
      <w:marRight w:val="0"/>
      <w:marTop w:val="0"/>
      <w:marBottom w:val="0"/>
      <w:divBdr>
        <w:top w:val="none" w:sz="0" w:space="0" w:color="auto"/>
        <w:left w:val="none" w:sz="0" w:space="0" w:color="auto"/>
        <w:bottom w:val="none" w:sz="0" w:space="0" w:color="auto"/>
        <w:right w:val="none" w:sz="0" w:space="0" w:color="auto"/>
      </w:divBdr>
    </w:div>
    <w:div w:id="1493450821">
      <w:bodyDiv w:val="1"/>
      <w:marLeft w:val="0"/>
      <w:marRight w:val="0"/>
      <w:marTop w:val="0"/>
      <w:marBottom w:val="0"/>
      <w:divBdr>
        <w:top w:val="none" w:sz="0" w:space="0" w:color="auto"/>
        <w:left w:val="none" w:sz="0" w:space="0" w:color="auto"/>
        <w:bottom w:val="none" w:sz="0" w:space="0" w:color="auto"/>
        <w:right w:val="none" w:sz="0" w:space="0" w:color="auto"/>
      </w:divBdr>
    </w:div>
    <w:div w:id="1509753854">
      <w:bodyDiv w:val="1"/>
      <w:marLeft w:val="0"/>
      <w:marRight w:val="0"/>
      <w:marTop w:val="0"/>
      <w:marBottom w:val="0"/>
      <w:divBdr>
        <w:top w:val="none" w:sz="0" w:space="0" w:color="auto"/>
        <w:left w:val="none" w:sz="0" w:space="0" w:color="auto"/>
        <w:bottom w:val="none" w:sz="0" w:space="0" w:color="auto"/>
        <w:right w:val="none" w:sz="0" w:space="0" w:color="auto"/>
      </w:divBdr>
    </w:div>
    <w:div w:id="1517495934">
      <w:bodyDiv w:val="1"/>
      <w:marLeft w:val="0"/>
      <w:marRight w:val="0"/>
      <w:marTop w:val="0"/>
      <w:marBottom w:val="0"/>
      <w:divBdr>
        <w:top w:val="none" w:sz="0" w:space="0" w:color="auto"/>
        <w:left w:val="none" w:sz="0" w:space="0" w:color="auto"/>
        <w:bottom w:val="none" w:sz="0" w:space="0" w:color="auto"/>
        <w:right w:val="none" w:sz="0" w:space="0" w:color="auto"/>
      </w:divBdr>
    </w:div>
    <w:div w:id="1524200994">
      <w:bodyDiv w:val="1"/>
      <w:marLeft w:val="0"/>
      <w:marRight w:val="0"/>
      <w:marTop w:val="0"/>
      <w:marBottom w:val="0"/>
      <w:divBdr>
        <w:top w:val="none" w:sz="0" w:space="0" w:color="auto"/>
        <w:left w:val="none" w:sz="0" w:space="0" w:color="auto"/>
        <w:bottom w:val="none" w:sz="0" w:space="0" w:color="auto"/>
        <w:right w:val="none" w:sz="0" w:space="0" w:color="auto"/>
      </w:divBdr>
    </w:div>
    <w:div w:id="1525249621">
      <w:bodyDiv w:val="1"/>
      <w:marLeft w:val="0"/>
      <w:marRight w:val="0"/>
      <w:marTop w:val="0"/>
      <w:marBottom w:val="0"/>
      <w:divBdr>
        <w:top w:val="none" w:sz="0" w:space="0" w:color="auto"/>
        <w:left w:val="none" w:sz="0" w:space="0" w:color="auto"/>
        <w:bottom w:val="none" w:sz="0" w:space="0" w:color="auto"/>
        <w:right w:val="none" w:sz="0" w:space="0" w:color="auto"/>
      </w:divBdr>
    </w:div>
    <w:div w:id="1530558882">
      <w:bodyDiv w:val="1"/>
      <w:marLeft w:val="0"/>
      <w:marRight w:val="0"/>
      <w:marTop w:val="0"/>
      <w:marBottom w:val="0"/>
      <w:divBdr>
        <w:top w:val="none" w:sz="0" w:space="0" w:color="auto"/>
        <w:left w:val="none" w:sz="0" w:space="0" w:color="auto"/>
        <w:bottom w:val="none" w:sz="0" w:space="0" w:color="auto"/>
        <w:right w:val="none" w:sz="0" w:space="0" w:color="auto"/>
      </w:divBdr>
    </w:div>
    <w:div w:id="1574270996">
      <w:bodyDiv w:val="1"/>
      <w:marLeft w:val="0"/>
      <w:marRight w:val="0"/>
      <w:marTop w:val="0"/>
      <w:marBottom w:val="0"/>
      <w:divBdr>
        <w:top w:val="none" w:sz="0" w:space="0" w:color="auto"/>
        <w:left w:val="none" w:sz="0" w:space="0" w:color="auto"/>
        <w:bottom w:val="none" w:sz="0" w:space="0" w:color="auto"/>
        <w:right w:val="none" w:sz="0" w:space="0" w:color="auto"/>
      </w:divBdr>
    </w:div>
    <w:div w:id="1580628261">
      <w:bodyDiv w:val="1"/>
      <w:marLeft w:val="0"/>
      <w:marRight w:val="0"/>
      <w:marTop w:val="0"/>
      <w:marBottom w:val="0"/>
      <w:divBdr>
        <w:top w:val="none" w:sz="0" w:space="0" w:color="auto"/>
        <w:left w:val="none" w:sz="0" w:space="0" w:color="auto"/>
        <w:bottom w:val="none" w:sz="0" w:space="0" w:color="auto"/>
        <w:right w:val="none" w:sz="0" w:space="0" w:color="auto"/>
      </w:divBdr>
    </w:div>
    <w:div w:id="1581135709">
      <w:bodyDiv w:val="1"/>
      <w:marLeft w:val="0"/>
      <w:marRight w:val="0"/>
      <w:marTop w:val="0"/>
      <w:marBottom w:val="0"/>
      <w:divBdr>
        <w:top w:val="none" w:sz="0" w:space="0" w:color="auto"/>
        <w:left w:val="none" w:sz="0" w:space="0" w:color="auto"/>
        <w:bottom w:val="none" w:sz="0" w:space="0" w:color="auto"/>
        <w:right w:val="none" w:sz="0" w:space="0" w:color="auto"/>
      </w:divBdr>
    </w:div>
    <w:div w:id="1616131386">
      <w:bodyDiv w:val="1"/>
      <w:marLeft w:val="0"/>
      <w:marRight w:val="0"/>
      <w:marTop w:val="0"/>
      <w:marBottom w:val="0"/>
      <w:divBdr>
        <w:top w:val="none" w:sz="0" w:space="0" w:color="auto"/>
        <w:left w:val="none" w:sz="0" w:space="0" w:color="auto"/>
        <w:bottom w:val="none" w:sz="0" w:space="0" w:color="auto"/>
        <w:right w:val="none" w:sz="0" w:space="0" w:color="auto"/>
      </w:divBdr>
    </w:div>
    <w:div w:id="1688366954">
      <w:bodyDiv w:val="1"/>
      <w:marLeft w:val="0"/>
      <w:marRight w:val="0"/>
      <w:marTop w:val="0"/>
      <w:marBottom w:val="0"/>
      <w:divBdr>
        <w:top w:val="none" w:sz="0" w:space="0" w:color="auto"/>
        <w:left w:val="none" w:sz="0" w:space="0" w:color="auto"/>
        <w:bottom w:val="none" w:sz="0" w:space="0" w:color="auto"/>
        <w:right w:val="none" w:sz="0" w:space="0" w:color="auto"/>
      </w:divBdr>
    </w:div>
    <w:div w:id="1702050213">
      <w:bodyDiv w:val="1"/>
      <w:marLeft w:val="0"/>
      <w:marRight w:val="0"/>
      <w:marTop w:val="0"/>
      <w:marBottom w:val="0"/>
      <w:divBdr>
        <w:top w:val="none" w:sz="0" w:space="0" w:color="auto"/>
        <w:left w:val="none" w:sz="0" w:space="0" w:color="auto"/>
        <w:bottom w:val="none" w:sz="0" w:space="0" w:color="auto"/>
        <w:right w:val="none" w:sz="0" w:space="0" w:color="auto"/>
      </w:divBdr>
    </w:div>
    <w:div w:id="1752464814">
      <w:bodyDiv w:val="1"/>
      <w:marLeft w:val="0"/>
      <w:marRight w:val="0"/>
      <w:marTop w:val="0"/>
      <w:marBottom w:val="0"/>
      <w:divBdr>
        <w:top w:val="none" w:sz="0" w:space="0" w:color="auto"/>
        <w:left w:val="none" w:sz="0" w:space="0" w:color="auto"/>
        <w:bottom w:val="none" w:sz="0" w:space="0" w:color="auto"/>
        <w:right w:val="none" w:sz="0" w:space="0" w:color="auto"/>
      </w:divBdr>
    </w:div>
    <w:div w:id="1770734778">
      <w:bodyDiv w:val="1"/>
      <w:marLeft w:val="0"/>
      <w:marRight w:val="0"/>
      <w:marTop w:val="0"/>
      <w:marBottom w:val="0"/>
      <w:divBdr>
        <w:top w:val="none" w:sz="0" w:space="0" w:color="auto"/>
        <w:left w:val="none" w:sz="0" w:space="0" w:color="auto"/>
        <w:bottom w:val="none" w:sz="0" w:space="0" w:color="auto"/>
        <w:right w:val="none" w:sz="0" w:space="0" w:color="auto"/>
      </w:divBdr>
    </w:div>
    <w:div w:id="1771394688">
      <w:bodyDiv w:val="1"/>
      <w:marLeft w:val="0"/>
      <w:marRight w:val="0"/>
      <w:marTop w:val="0"/>
      <w:marBottom w:val="0"/>
      <w:divBdr>
        <w:top w:val="none" w:sz="0" w:space="0" w:color="auto"/>
        <w:left w:val="none" w:sz="0" w:space="0" w:color="auto"/>
        <w:bottom w:val="none" w:sz="0" w:space="0" w:color="auto"/>
        <w:right w:val="none" w:sz="0" w:space="0" w:color="auto"/>
      </w:divBdr>
    </w:div>
    <w:div w:id="1813330701">
      <w:bodyDiv w:val="1"/>
      <w:marLeft w:val="0"/>
      <w:marRight w:val="0"/>
      <w:marTop w:val="0"/>
      <w:marBottom w:val="0"/>
      <w:divBdr>
        <w:top w:val="none" w:sz="0" w:space="0" w:color="auto"/>
        <w:left w:val="none" w:sz="0" w:space="0" w:color="auto"/>
        <w:bottom w:val="none" w:sz="0" w:space="0" w:color="auto"/>
        <w:right w:val="none" w:sz="0" w:space="0" w:color="auto"/>
      </w:divBdr>
    </w:div>
    <w:div w:id="1821577815">
      <w:bodyDiv w:val="1"/>
      <w:marLeft w:val="0"/>
      <w:marRight w:val="0"/>
      <w:marTop w:val="0"/>
      <w:marBottom w:val="0"/>
      <w:divBdr>
        <w:top w:val="none" w:sz="0" w:space="0" w:color="auto"/>
        <w:left w:val="none" w:sz="0" w:space="0" w:color="auto"/>
        <w:bottom w:val="none" w:sz="0" w:space="0" w:color="auto"/>
        <w:right w:val="none" w:sz="0" w:space="0" w:color="auto"/>
      </w:divBdr>
    </w:div>
    <w:div w:id="1866940441">
      <w:bodyDiv w:val="1"/>
      <w:marLeft w:val="0"/>
      <w:marRight w:val="0"/>
      <w:marTop w:val="0"/>
      <w:marBottom w:val="0"/>
      <w:divBdr>
        <w:top w:val="none" w:sz="0" w:space="0" w:color="auto"/>
        <w:left w:val="none" w:sz="0" w:space="0" w:color="auto"/>
        <w:bottom w:val="none" w:sz="0" w:space="0" w:color="auto"/>
        <w:right w:val="none" w:sz="0" w:space="0" w:color="auto"/>
      </w:divBdr>
    </w:div>
    <w:div w:id="1877422389">
      <w:bodyDiv w:val="1"/>
      <w:marLeft w:val="0"/>
      <w:marRight w:val="0"/>
      <w:marTop w:val="0"/>
      <w:marBottom w:val="0"/>
      <w:divBdr>
        <w:top w:val="none" w:sz="0" w:space="0" w:color="auto"/>
        <w:left w:val="none" w:sz="0" w:space="0" w:color="auto"/>
        <w:bottom w:val="none" w:sz="0" w:space="0" w:color="auto"/>
        <w:right w:val="none" w:sz="0" w:space="0" w:color="auto"/>
      </w:divBdr>
    </w:div>
    <w:div w:id="1882933144">
      <w:bodyDiv w:val="1"/>
      <w:marLeft w:val="0"/>
      <w:marRight w:val="0"/>
      <w:marTop w:val="0"/>
      <w:marBottom w:val="0"/>
      <w:divBdr>
        <w:top w:val="none" w:sz="0" w:space="0" w:color="auto"/>
        <w:left w:val="none" w:sz="0" w:space="0" w:color="auto"/>
        <w:bottom w:val="none" w:sz="0" w:space="0" w:color="auto"/>
        <w:right w:val="none" w:sz="0" w:space="0" w:color="auto"/>
      </w:divBdr>
    </w:div>
    <w:div w:id="1883782907">
      <w:bodyDiv w:val="1"/>
      <w:marLeft w:val="0"/>
      <w:marRight w:val="0"/>
      <w:marTop w:val="0"/>
      <w:marBottom w:val="0"/>
      <w:divBdr>
        <w:top w:val="none" w:sz="0" w:space="0" w:color="auto"/>
        <w:left w:val="none" w:sz="0" w:space="0" w:color="auto"/>
        <w:bottom w:val="none" w:sz="0" w:space="0" w:color="auto"/>
        <w:right w:val="none" w:sz="0" w:space="0" w:color="auto"/>
      </w:divBdr>
    </w:div>
    <w:div w:id="1888296186">
      <w:bodyDiv w:val="1"/>
      <w:marLeft w:val="0"/>
      <w:marRight w:val="0"/>
      <w:marTop w:val="0"/>
      <w:marBottom w:val="0"/>
      <w:divBdr>
        <w:top w:val="none" w:sz="0" w:space="0" w:color="auto"/>
        <w:left w:val="none" w:sz="0" w:space="0" w:color="auto"/>
        <w:bottom w:val="none" w:sz="0" w:space="0" w:color="auto"/>
        <w:right w:val="none" w:sz="0" w:space="0" w:color="auto"/>
      </w:divBdr>
    </w:div>
    <w:div w:id="1906602664">
      <w:bodyDiv w:val="1"/>
      <w:marLeft w:val="0"/>
      <w:marRight w:val="0"/>
      <w:marTop w:val="0"/>
      <w:marBottom w:val="0"/>
      <w:divBdr>
        <w:top w:val="none" w:sz="0" w:space="0" w:color="auto"/>
        <w:left w:val="none" w:sz="0" w:space="0" w:color="auto"/>
        <w:bottom w:val="none" w:sz="0" w:space="0" w:color="auto"/>
        <w:right w:val="none" w:sz="0" w:space="0" w:color="auto"/>
      </w:divBdr>
    </w:div>
    <w:div w:id="1906641938">
      <w:bodyDiv w:val="1"/>
      <w:marLeft w:val="0"/>
      <w:marRight w:val="0"/>
      <w:marTop w:val="0"/>
      <w:marBottom w:val="0"/>
      <w:divBdr>
        <w:top w:val="none" w:sz="0" w:space="0" w:color="auto"/>
        <w:left w:val="none" w:sz="0" w:space="0" w:color="auto"/>
        <w:bottom w:val="none" w:sz="0" w:space="0" w:color="auto"/>
        <w:right w:val="none" w:sz="0" w:space="0" w:color="auto"/>
      </w:divBdr>
    </w:div>
    <w:div w:id="1921138110">
      <w:bodyDiv w:val="1"/>
      <w:marLeft w:val="0"/>
      <w:marRight w:val="0"/>
      <w:marTop w:val="0"/>
      <w:marBottom w:val="0"/>
      <w:divBdr>
        <w:top w:val="none" w:sz="0" w:space="0" w:color="auto"/>
        <w:left w:val="none" w:sz="0" w:space="0" w:color="auto"/>
        <w:bottom w:val="none" w:sz="0" w:space="0" w:color="auto"/>
        <w:right w:val="none" w:sz="0" w:space="0" w:color="auto"/>
      </w:divBdr>
    </w:div>
    <w:div w:id="1961717336">
      <w:bodyDiv w:val="1"/>
      <w:marLeft w:val="0"/>
      <w:marRight w:val="0"/>
      <w:marTop w:val="0"/>
      <w:marBottom w:val="0"/>
      <w:divBdr>
        <w:top w:val="none" w:sz="0" w:space="0" w:color="auto"/>
        <w:left w:val="none" w:sz="0" w:space="0" w:color="auto"/>
        <w:bottom w:val="none" w:sz="0" w:space="0" w:color="auto"/>
        <w:right w:val="none" w:sz="0" w:space="0" w:color="auto"/>
      </w:divBdr>
    </w:div>
    <w:div w:id="196268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C\Desktop\Writer%20Hub\Turnover_and_recruitment_2024_WITH_Q9_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C\Desktop\Writer%20Hub\Turnover_and_recruitment_2024_WITH_Q9_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C\Desktop\Writer%20Hub\Turnover_and_recruitment_2024_WITH_Q9_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Times New Roman" panose="02020603050405020304" pitchFamily="18" charset="0"/>
                <a:ea typeface="+mn-ea"/>
                <a:cs typeface="Times New Roman" panose="02020603050405020304" pitchFamily="18" charset="0"/>
              </a:defRPr>
            </a:pPr>
            <a:r>
              <a:rPr lang="en-US"/>
              <a:t>Leavers as % of Total Employees by Department</a:t>
            </a:r>
          </a:p>
        </c:rich>
      </c:tx>
      <c:layout>
        <c:manualLayout>
          <c:xMode val="edge"/>
          <c:yMode val="edge"/>
          <c:x val="0.22052664426718646"/>
          <c:y val="2.3952095808383235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1"/>
        <c:ser>
          <c:idx val="0"/>
          <c:order val="0"/>
          <c:tx>
            <c:strRef>
              <c:f>Sheet1!$D$3</c:f>
              <c:strCache>
                <c:ptCount val="1"/>
                <c:pt idx="0">
                  <c:v>Leavers as a % against total in each Department</c:v>
                </c:pt>
              </c:strCache>
            </c:strRef>
          </c:tx>
          <c:invertIfNegative val="1"/>
          <c:dPt>
            <c:idx val="0"/>
            <c:invertIfNegative val="1"/>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2643-4453-870D-CA59A8B03D49}"/>
              </c:ext>
            </c:extLst>
          </c:dPt>
          <c:dPt>
            <c:idx val="1"/>
            <c:invertIfNegative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2643-4453-870D-CA59A8B03D49}"/>
              </c:ext>
            </c:extLst>
          </c:dPt>
          <c:dPt>
            <c:idx val="2"/>
            <c:invertIfNegative val="1"/>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2643-4453-870D-CA59A8B03D49}"/>
              </c:ext>
            </c:extLst>
          </c:dPt>
          <c:dPt>
            <c:idx val="3"/>
            <c:invertIfNegative val="1"/>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2643-4453-870D-CA59A8B03D49}"/>
              </c:ext>
            </c:extLst>
          </c:dPt>
          <c:dPt>
            <c:idx val="4"/>
            <c:invertIfNegative val="1"/>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2643-4453-870D-CA59A8B03D49}"/>
              </c:ext>
            </c:extLst>
          </c:dPt>
          <c:dPt>
            <c:idx val="5"/>
            <c:invertIfNegative val="1"/>
            <c:bubble3D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extLst>
              <c:ext xmlns:c16="http://schemas.microsoft.com/office/drawing/2014/chart" uri="{C3380CC4-5D6E-409C-BE32-E72D297353CC}">
                <c16:uniqueId val="{0000000B-2643-4453-870D-CA59A8B03D49}"/>
              </c:ext>
            </c:extLst>
          </c:dPt>
          <c:dPt>
            <c:idx val="6"/>
            <c:invertIfNegative val="1"/>
            <c:bubble3D val="0"/>
            <c:spPr>
              <a:gradFill rotWithShape="1">
                <a:gsLst>
                  <a:gs pos="0">
                    <a:schemeClr val="accent1">
                      <a:lumMod val="60000"/>
                      <a:lumMod val="110000"/>
                      <a:satMod val="105000"/>
                      <a:tint val="67000"/>
                    </a:schemeClr>
                  </a:gs>
                  <a:gs pos="50000">
                    <a:schemeClr val="accent1">
                      <a:lumMod val="60000"/>
                      <a:lumMod val="105000"/>
                      <a:satMod val="103000"/>
                      <a:tint val="73000"/>
                    </a:schemeClr>
                  </a:gs>
                  <a:gs pos="100000">
                    <a:schemeClr val="accent1">
                      <a:lumMod val="60000"/>
                      <a:lumMod val="105000"/>
                      <a:satMod val="109000"/>
                      <a:tint val="81000"/>
                    </a:schemeClr>
                  </a:gs>
                </a:gsLst>
                <a:lin ang="5400000" scaled="0"/>
              </a:gradFill>
              <a:ln w="9525" cap="flat" cmpd="sng" algn="ctr">
                <a:solidFill>
                  <a:schemeClr val="accent1">
                    <a:lumMod val="60000"/>
                    <a:shade val="95000"/>
                  </a:schemeClr>
                </a:solidFill>
                <a:round/>
              </a:ln>
              <a:effectLst/>
            </c:spPr>
            <c:extLst>
              <c:ext xmlns:c16="http://schemas.microsoft.com/office/drawing/2014/chart" uri="{C3380CC4-5D6E-409C-BE32-E72D297353CC}">
                <c16:uniqueId val="{0000000D-2643-4453-870D-CA59A8B03D49}"/>
              </c:ext>
            </c:extLst>
          </c:dPt>
          <c:dPt>
            <c:idx val="7"/>
            <c:invertIfNegative val="1"/>
            <c:bubble3D val="0"/>
            <c:spPr>
              <a:gradFill rotWithShape="1">
                <a:gsLst>
                  <a:gs pos="0">
                    <a:schemeClr val="accent2">
                      <a:lumMod val="60000"/>
                      <a:lumMod val="110000"/>
                      <a:satMod val="105000"/>
                      <a:tint val="67000"/>
                    </a:schemeClr>
                  </a:gs>
                  <a:gs pos="50000">
                    <a:schemeClr val="accent2">
                      <a:lumMod val="60000"/>
                      <a:lumMod val="105000"/>
                      <a:satMod val="103000"/>
                      <a:tint val="73000"/>
                    </a:schemeClr>
                  </a:gs>
                  <a:gs pos="100000">
                    <a:schemeClr val="accent2">
                      <a:lumMod val="60000"/>
                      <a:lumMod val="105000"/>
                      <a:satMod val="109000"/>
                      <a:tint val="81000"/>
                    </a:schemeClr>
                  </a:gs>
                </a:gsLst>
                <a:lin ang="5400000" scaled="0"/>
              </a:gradFill>
              <a:ln w="9525" cap="flat" cmpd="sng" algn="ctr">
                <a:solidFill>
                  <a:schemeClr val="accent2">
                    <a:lumMod val="60000"/>
                    <a:shade val="95000"/>
                  </a:schemeClr>
                </a:solidFill>
                <a:round/>
              </a:ln>
              <a:effectLst/>
            </c:spPr>
            <c:extLst>
              <c:ext xmlns:c16="http://schemas.microsoft.com/office/drawing/2014/chart" uri="{C3380CC4-5D6E-409C-BE32-E72D297353CC}">
                <c16:uniqueId val="{0000000F-2643-4453-870D-CA59A8B03D49}"/>
              </c:ext>
            </c:extLst>
          </c:dPt>
          <c:dPt>
            <c:idx val="8"/>
            <c:invertIfNegative val="1"/>
            <c:bubble3D val="0"/>
            <c:spPr>
              <a:gradFill rotWithShape="1">
                <a:gsLst>
                  <a:gs pos="0">
                    <a:schemeClr val="accent3">
                      <a:lumMod val="60000"/>
                      <a:lumMod val="110000"/>
                      <a:satMod val="105000"/>
                      <a:tint val="67000"/>
                    </a:schemeClr>
                  </a:gs>
                  <a:gs pos="50000">
                    <a:schemeClr val="accent3">
                      <a:lumMod val="60000"/>
                      <a:lumMod val="105000"/>
                      <a:satMod val="103000"/>
                      <a:tint val="73000"/>
                    </a:schemeClr>
                  </a:gs>
                  <a:gs pos="100000">
                    <a:schemeClr val="accent3">
                      <a:lumMod val="60000"/>
                      <a:lumMod val="105000"/>
                      <a:satMod val="109000"/>
                      <a:tint val="81000"/>
                    </a:schemeClr>
                  </a:gs>
                </a:gsLst>
                <a:lin ang="5400000" scaled="0"/>
              </a:gradFill>
              <a:ln w="9525" cap="flat" cmpd="sng" algn="ctr">
                <a:solidFill>
                  <a:schemeClr val="accent3">
                    <a:lumMod val="60000"/>
                    <a:shade val="95000"/>
                  </a:schemeClr>
                </a:solidFill>
                <a:round/>
              </a:ln>
              <a:effectLst/>
            </c:spPr>
            <c:extLst>
              <c:ext xmlns:c16="http://schemas.microsoft.com/office/drawing/2014/chart" uri="{C3380CC4-5D6E-409C-BE32-E72D297353CC}">
                <c16:uniqueId val="{00000011-2643-4453-870D-CA59A8B03D49}"/>
              </c:ext>
            </c:extLst>
          </c:dPt>
          <c:dPt>
            <c:idx val="9"/>
            <c:invertIfNegative val="1"/>
            <c:bubble3D val="0"/>
            <c:spPr>
              <a:gradFill rotWithShape="1">
                <a:gsLst>
                  <a:gs pos="0">
                    <a:schemeClr val="accent4">
                      <a:lumMod val="60000"/>
                      <a:lumMod val="110000"/>
                      <a:satMod val="105000"/>
                      <a:tint val="67000"/>
                    </a:schemeClr>
                  </a:gs>
                  <a:gs pos="50000">
                    <a:schemeClr val="accent4">
                      <a:lumMod val="60000"/>
                      <a:lumMod val="105000"/>
                      <a:satMod val="103000"/>
                      <a:tint val="73000"/>
                    </a:schemeClr>
                  </a:gs>
                  <a:gs pos="100000">
                    <a:schemeClr val="accent4">
                      <a:lumMod val="60000"/>
                      <a:lumMod val="105000"/>
                      <a:satMod val="109000"/>
                      <a:tint val="81000"/>
                    </a:schemeClr>
                  </a:gs>
                </a:gsLst>
                <a:lin ang="5400000" scaled="0"/>
              </a:gradFill>
              <a:ln w="9525" cap="flat" cmpd="sng" algn="ctr">
                <a:solidFill>
                  <a:schemeClr val="accent4">
                    <a:lumMod val="60000"/>
                    <a:shade val="95000"/>
                  </a:schemeClr>
                </a:solidFill>
                <a:round/>
              </a:ln>
              <a:effectLst/>
            </c:spPr>
            <c:extLst>
              <c:ext xmlns:c16="http://schemas.microsoft.com/office/drawing/2014/chart" uri="{C3380CC4-5D6E-409C-BE32-E72D297353CC}">
                <c16:uniqueId val="{00000013-2643-4453-870D-CA59A8B03D49}"/>
              </c:ext>
            </c:extLst>
          </c:dPt>
          <c:dPt>
            <c:idx val="10"/>
            <c:invertIfNegative val="1"/>
            <c:bubble3D val="0"/>
            <c:spPr>
              <a:gradFill rotWithShape="1">
                <a:gsLst>
                  <a:gs pos="0">
                    <a:schemeClr val="accent5">
                      <a:lumMod val="60000"/>
                      <a:lumMod val="110000"/>
                      <a:satMod val="105000"/>
                      <a:tint val="67000"/>
                    </a:schemeClr>
                  </a:gs>
                  <a:gs pos="50000">
                    <a:schemeClr val="accent5">
                      <a:lumMod val="60000"/>
                      <a:lumMod val="105000"/>
                      <a:satMod val="103000"/>
                      <a:tint val="73000"/>
                    </a:schemeClr>
                  </a:gs>
                  <a:gs pos="100000">
                    <a:schemeClr val="accent5">
                      <a:lumMod val="60000"/>
                      <a:lumMod val="105000"/>
                      <a:satMod val="109000"/>
                      <a:tint val="81000"/>
                    </a:schemeClr>
                  </a:gs>
                </a:gsLst>
                <a:lin ang="5400000" scaled="0"/>
              </a:gradFill>
              <a:ln w="9525" cap="flat" cmpd="sng" algn="ctr">
                <a:solidFill>
                  <a:schemeClr val="accent5">
                    <a:lumMod val="60000"/>
                    <a:shade val="95000"/>
                  </a:schemeClr>
                </a:solidFill>
                <a:round/>
              </a:ln>
              <a:effectLst/>
            </c:spPr>
            <c:extLst>
              <c:ext xmlns:c16="http://schemas.microsoft.com/office/drawing/2014/chart" uri="{C3380CC4-5D6E-409C-BE32-E72D297353CC}">
                <c16:uniqueId val="{00000015-2643-4453-870D-CA59A8B03D49}"/>
              </c:ext>
            </c:extLst>
          </c:dPt>
          <c:dPt>
            <c:idx val="11"/>
            <c:invertIfNegative val="1"/>
            <c:bubble3D val="0"/>
            <c:spPr>
              <a:gradFill rotWithShape="1">
                <a:gsLst>
                  <a:gs pos="0">
                    <a:schemeClr val="accent6">
                      <a:lumMod val="60000"/>
                      <a:lumMod val="110000"/>
                      <a:satMod val="105000"/>
                      <a:tint val="67000"/>
                    </a:schemeClr>
                  </a:gs>
                  <a:gs pos="50000">
                    <a:schemeClr val="accent6">
                      <a:lumMod val="60000"/>
                      <a:lumMod val="105000"/>
                      <a:satMod val="103000"/>
                      <a:tint val="73000"/>
                    </a:schemeClr>
                  </a:gs>
                  <a:gs pos="100000">
                    <a:schemeClr val="accent6">
                      <a:lumMod val="60000"/>
                      <a:lumMod val="105000"/>
                      <a:satMod val="109000"/>
                      <a:tint val="81000"/>
                    </a:schemeClr>
                  </a:gs>
                </a:gsLst>
                <a:lin ang="5400000" scaled="0"/>
              </a:gradFill>
              <a:ln w="9525" cap="flat" cmpd="sng" algn="ctr">
                <a:solidFill>
                  <a:schemeClr val="accent6">
                    <a:lumMod val="60000"/>
                    <a:shade val="95000"/>
                  </a:schemeClr>
                </a:solidFill>
                <a:round/>
              </a:ln>
              <a:effectLst/>
            </c:spPr>
            <c:extLst>
              <c:ext xmlns:c16="http://schemas.microsoft.com/office/drawing/2014/chart" uri="{C3380CC4-5D6E-409C-BE32-E72D297353CC}">
                <c16:uniqueId val="{00000017-2643-4453-870D-CA59A8B03D49}"/>
              </c:ext>
            </c:extLst>
          </c:dPt>
          <c:dPt>
            <c:idx val="12"/>
            <c:invertIfNegative val="1"/>
            <c:bubble3D val="0"/>
            <c:spPr>
              <a:gradFill rotWithShape="1">
                <a:gsLst>
                  <a:gs pos="0">
                    <a:schemeClr val="accent1">
                      <a:lumMod val="80000"/>
                      <a:lumOff val="20000"/>
                      <a:lumMod val="110000"/>
                      <a:satMod val="105000"/>
                      <a:tint val="67000"/>
                    </a:schemeClr>
                  </a:gs>
                  <a:gs pos="50000">
                    <a:schemeClr val="accent1">
                      <a:lumMod val="80000"/>
                      <a:lumOff val="20000"/>
                      <a:lumMod val="105000"/>
                      <a:satMod val="103000"/>
                      <a:tint val="73000"/>
                    </a:schemeClr>
                  </a:gs>
                  <a:gs pos="100000">
                    <a:schemeClr val="accent1">
                      <a:lumMod val="80000"/>
                      <a:lumOff val="20000"/>
                      <a:lumMod val="105000"/>
                      <a:satMod val="109000"/>
                      <a:tint val="81000"/>
                    </a:schemeClr>
                  </a:gs>
                </a:gsLst>
                <a:lin ang="5400000" scaled="0"/>
              </a:gradFill>
              <a:ln w="9525" cap="flat" cmpd="sng" algn="ctr">
                <a:solidFill>
                  <a:schemeClr val="accent1">
                    <a:lumMod val="80000"/>
                    <a:lumOff val="20000"/>
                    <a:shade val="95000"/>
                  </a:schemeClr>
                </a:solidFill>
                <a:round/>
              </a:ln>
              <a:effectLst/>
            </c:spPr>
            <c:extLst>
              <c:ext xmlns:c16="http://schemas.microsoft.com/office/drawing/2014/chart" uri="{C3380CC4-5D6E-409C-BE32-E72D297353CC}">
                <c16:uniqueId val="{00000019-2643-4453-870D-CA59A8B03D49}"/>
              </c:ext>
            </c:extLst>
          </c:dPt>
          <c:dPt>
            <c:idx val="13"/>
            <c:invertIfNegative val="1"/>
            <c:bubble3D val="0"/>
            <c:spPr>
              <a:gradFill rotWithShape="1">
                <a:gsLst>
                  <a:gs pos="0">
                    <a:schemeClr val="accent2">
                      <a:lumMod val="80000"/>
                      <a:lumOff val="20000"/>
                      <a:lumMod val="110000"/>
                      <a:satMod val="105000"/>
                      <a:tint val="67000"/>
                    </a:schemeClr>
                  </a:gs>
                  <a:gs pos="50000">
                    <a:schemeClr val="accent2">
                      <a:lumMod val="80000"/>
                      <a:lumOff val="20000"/>
                      <a:lumMod val="105000"/>
                      <a:satMod val="103000"/>
                      <a:tint val="73000"/>
                    </a:schemeClr>
                  </a:gs>
                  <a:gs pos="100000">
                    <a:schemeClr val="accent2">
                      <a:lumMod val="80000"/>
                      <a:lumOff val="20000"/>
                      <a:lumMod val="105000"/>
                      <a:satMod val="109000"/>
                      <a:tint val="81000"/>
                    </a:schemeClr>
                  </a:gs>
                </a:gsLst>
                <a:lin ang="5400000" scaled="0"/>
              </a:gradFill>
              <a:ln w="9525" cap="flat" cmpd="sng" algn="ctr">
                <a:solidFill>
                  <a:schemeClr val="accent2">
                    <a:lumMod val="80000"/>
                    <a:lumOff val="20000"/>
                    <a:shade val="95000"/>
                  </a:schemeClr>
                </a:solidFill>
                <a:round/>
              </a:ln>
              <a:effectLst/>
            </c:spPr>
            <c:extLst>
              <c:ext xmlns:c16="http://schemas.microsoft.com/office/drawing/2014/chart" uri="{C3380CC4-5D6E-409C-BE32-E72D297353CC}">
                <c16:uniqueId val="{0000001B-2643-4453-870D-CA59A8B03D49}"/>
              </c:ext>
            </c:extLst>
          </c:dPt>
          <c:dPt>
            <c:idx val="14"/>
            <c:invertIfNegative val="1"/>
            <c:bubble3D val="0"/>
            <c:spPr>
              <a:gradFill rotWithShape="1">
                <a:gsLst>
                  <a:gs pos="0">
                    <a:schemeClr val="accent3">
                      <a:lumMod val="80000"/>
                      <a:lumOff val="20000"/>
                      <a:lumMod val="110000"/>
                      <a:satMod val="105000"/>
                      <a:tint val="67000"/>
                    </a:schemeClr>
                  </a:gs>
                  <a:gs pos="50000">
                    <a:schemeClr val="accent3">
                      <a:lumMod val="80000"/>
                      <a:lumOff val="20000"/>
                      <a:lumMod val="105000"/>
                      <a:satMod val="103000"/>
                      <a:tint val="73000"/>
                    </a:schemeClr>
                  </a:gs>
                  <a:gs pos="100000">
                    <a:schemeClr val="accent3">
                      <a:lumMod val="80000"/>
                      <a:lumOff val="20000"/>
                      <a:lumMod val="105000"/>
                      <a:satMod val="109000"/>
                      <a:tint val="81000"/>
                    </a:schemeClr>
                  </a:gs>
                </a:gsLst>
                <a:lin ang="5400000" scaled="0"/>
              </a:gradFill>
              <a:ln w="9525" cap="flat" cmpd="sng" algn="ctr">
                <a:solidFill>
                  <a:schemeClr val="accent3">
                    <a:lumMod val="80000"/>
                    <a:lumOff val="20000"/>
                    <a:shade val="95000"/>
                  </a:schemeClr>
                </a:solidFill>
                <a:round/>
              </a:ln>
              <a:effectLst/>
            </c:spPr>
            <c:extLst>
              <c:ext xmlns:c16="http://schemas.microsoft.com/office/drawing/2014/chart" uri="{C3380CC4-5D6E-409C-BE32-E72D297353CC}">
                <c16:uniqueId val="{0000001D-2643-4453-870D-CA59A8B03D49}"/>
              </c:ext>
            </c:extLst>
          </c:dPt>
          <c:dPt>
            <c:idx val="15"/>
            <c:invertIfNegative val="1"/>
            <c:bubble3D val="0"/>
            <c:spPr>
              <a:gradFill rotWithShape="1">
                <a:gsLst>
                  <a:gs pos="0">
                    <a:schemeClr val="accent4">
                      <a:lumMod val="80000"/>
                      <a:lumOff val="20000"/>
                      <a:lumMod val="110000"/>
                      <a:satMod val="105000"/>
                      <a:tint val="67000"/>
                    </a:schemeClr>
                  </a:gs>
                  <a:gs pos="50000">
                    <a:schemeClr val="accent4">
                      <a:lumMod val="80000"/>
                      <a:lumOff val="20000"/>
                      <a:lumMod val="105000"/>
                      <a:satMod val="103000"/>
                      <a:tint val="73000"/>
                    </a:schemeClr>
                  </a:gs>
                  <a:gs pos="100000">
                    <a:schemeClr val="accent4">
                      <a:lumMod val="80000"/>
                      <a:lumOff val="20000"/>
                      <a:lumMod val="105000"/>
                      <a:satMod val="109000"/>
                      <a:tint val="81000"/>
                    </a:schemeClr>
                  </a:gs>
                </a:gsLst>
                <a:lin ang="5400000" scaled="0"/>
              </a:gradFill>
              <a:ln w="9525" cap="flat" cmpd="sng" algn="ctr">
                <a:solidFill>
                  <a:schemeClr val="accent4">
                    <a:lumMod val="80000"/>
                    <a:lumOff val="20000"/>
                    <a:shade val="95000"/>
                  </a:schemeClr>
                </a:solidFill>
                <a:round/>
              </a:ln>
              <a:effectLst/>
            </c:spPr>
            <c:extLst>
              <c:ext xmlns:c16="http://schemas.microsoft.com/office/drawing/2014/chart" uri="{C3380CC4-5D6E-409C-BE32-E72D297353CC}">
                <c16:uniqueId val="{0000001F-2643-4453-870D-CA59A8B03D49}"/>
              </c:ext>
            </c:extLst>
          </c:dPt>
          <c:dPt>
            <c:idx val="16"/>
            <c:invertIfNegative val="1"/>
            <c:bubble3D val="0"/>
            <c:spPr>
              <a:gradFill rotWithShape="1">
                <a:gsLst>
                  <a:gs pos="0">
                    <a:schemeClr val="accent5">
                      <a:lumMod val="80000"/>
                      <a:lumOff val="20000"/>
                      <a:lumMod val="110000"/>
                      <a:satMod val="105000"/>
                      <a:tint val="67000"/>
                    </a:schemeClr>
                  </a:gs>
                  <a:gs pos="50000">
                    <a:schemeClr val="accent5">
                      <a:lumMod val="80000"/>
                      <a:lumOff val="20000"/>
                      <a:lumMod val="105000"/>
                      <a:satMod val="103000"/>
                      <a:tint val="73000"/>
                    </a:schemeClr>
                  </a:gs>
                  <a:gs pos="100000">
                    <a:schemeClr val="accent5">
                      <a:lumMod val="80000"/>
                      <a:lumOff val="20000"/>
                      <a:lumMod val="105000"/>
                      <a:satMod val="109000"/>
                      <a:tint val="81000"/>
                    </a:schemeClr>
                  </a:gs>
                </a:gsLst>
                <a:lin ang="5400000" scaled="0"/>
              </a:gradFill>
              <a:ln w="9525" cap="flat" cmpd="sng" algn="ctr">
                <a:solidFill>
                  <a:schemeClr val="accent5">
                    <a:lumMod val="80000"/>
                    <a:lumOff val="20000"/>
                    <a:shade val="95000"/>
                  </a:schemeClr>
                </a:solidFill>
                <a:round/>
              </a:ln>
              <a:effectLst/>
            </c:spPr>
            <c:extLst>
              <c:ext xmlns:c16="http://schemas.microsoft.com/office/drawing/2014/chart" uri="{C3380CC4-5D6E-409C-BE32-E72D297353CC}">
                <c16:uniqueId val="{00000021-2643-4453-870D-CA59A8B03D49}"/>
              </c:ext>
            </c:extLst>
          </c:dPt>
          <c:dPt>
            <c:idx val="17"/>
            <c:invertIfNegative val="1"/>
            <c:bubble3D val="0"/>
            <c:spPr>
              <a:gradFill rotWithShape="1">
                <a:gsLst>
                  <a:gs pos="0">
                    <a:schemeClr val="accent6">
                      <a:lumMod val="80000"/>
                      <a:lumOff val="20000"/>
                      <a:lumMod val="110000"/>
                      <a:satMod val="105000"/>
                      <a:tint val="67000"/>
                    </a:schemeClr>
                  </a:gs>
                  <a:gs pos="50000">
                    <a:schemeClr val="accent6">
                      <a:lumMod val="80000"/>
                      <a:lumOff val="20000"/>
                      <a:lumMod val="105000"/>
                      <a:satMod val="103000"/>
                      <a:tint val="73000"/>
                    </a:schemeClr>
                  </a:gs>
                  <a:gs pos="100000">
                    <a:schemeClr val="accent6">
                      <a:lumMod val="80000"/>
                      <a:lumOff val="20000"/>
                      <a:lumMod val="105000"/>
                      <a:satMod val="109000"/>
                      <a:tint val="81000"/>
                    </a:schemeClr>
                  </a:gs>
                </a:gsLst>
                <a:lin ang="5400000" scaled="0"/>
              </a:gradFill>
              <a:ln w="9525" cap="flat" cmpd="sng" algn="ctr">
                <a:solidFill>
                  <a:schemeClr val="accent6">
                    <a:lumMod val="80000"/>
                    <a:lumOff val="20000"/>
                    <a:shade val="95000"/>
                  </a:schemeClr>
                </a:solidFill>
                <a:round/>
              </a:ln>
              <a:effectLst/>
            </c:spPr>
            <c:extLst>
              <c:ext xmlns:c16="http://schemas.microsoft.com/office/drawing/2014/chart" uri="{C3380CC4-5D6E-409C-BE32-E72D297353CC}">
                <c16:uniqueId val="{00000023-2643-4453-870D-CA59A8B03D49}"/>
              </c:ext>
            </c:extLst>
          </c:dPt>
          <c:dPt>
            <c:idx val="18"/>
            <c:invertIfNegative val="1"/>
            <c:bubble3D val="0"/>
            <c:spPr>
              <a:gradFill rotWithShape="1">
                <a:gsLst>
                  <a:gs pos="0">
                    <a:schemeClr val="accent1">
                      <a:lumMod val="80000"/>
                      <a:lumMod val="110000"/>
                      <a:satMod val="105000"/>
                      <a:tint val="67000"/>
                    </a:schemeClr>
                  </a:gs>
                  <a:gs pos="50000">
                    <a:schemeClr val="accent1">
                      <a:lumMod val="80000"/>
                      <a:lumMod val="105000"/>
                      <a:satMod val="103000"/>
                      <a:tint val="73000"/>
                    </a:schemeClr>
                  </a:gs>
                  <a:gs pos="100000">
                    <a:schemeClr val="accent1">
                      <a:lumMod val="80000"/>
                      <a:lumMod val="105000"/>
                      <a:satMod val="109000"/>
                      <a:tint val="81000"/>
                    </a:schemeClr>
                  </a:gs>
                </a:gsLst>
                <a:lin ang="5400000" scaled="0"/>
              </a:gradFill>
              <a:ln w="9525" cap="flat" cmpd="sng" algn="ctr">
                <a:solidFill>
                  <a:schemeClr val="accent1">
                    <a:lumMod val="80000"/>
                    <a:shade val="95000"/>
                  </a:schemeClr>
                </a:solidFill>
                <a:round/>
              </a:ln>
              <a:effectLst/>
            </c:spPr>
            <c:extLst>
              <c:ext xmlns:c16="http://schemas.microsoft.com/office/drawing/2014/chart" uri="{C3380CC4-5D6E-409C-BE32-E72D297353CC}">
                <c16:uniqueId val="{00000025-2643-4453-870D-CA59A8B03D49}"/>
              </c:ext>
            </c:extLst>
          </c:dPt>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Sheet1!$D$4:$D$22</c:f>
              <c:numCache>
                <c:formatCode>General</c:formatCode>
                <c:ptCount val="19"/>
                <c:pt idx="0">
                  <c:v>23.08</c:v>
                </c:pt>
                <c:pt idx="1">
                  <c:v>0</c:v>
                </c:pt>
                <c:pt idx="2">
                  <c:v>26.67</c:v>
                </c:pt>
                <c:pt idx="3">
                  <c:v>0</c:v>
                </c:pt>
                <c:pt idx="4">
                  <c:v>12.5</c:v>
                </c:pt>
                <c:pt idx="5">
                  <c:v>0</c:v>
                </c:pt>
                <c:pt idx="6">
                  <c:v>50</c:v>
                </c:pt>
                <c:pt idx="7">
                  <c:v>0</c:v>
                </c:pt>
                <c:pt idx="8">
                  <c:v>26.67</c:v>
                </c:pt>
                <c:pt idx="9">
                  <c:v>0</c:v>
                </c:pt>
                <c:pt idx="10">
                  <c:v>22.86</c:v>
                </c:pt>
                <c:pt idx="11">
                  <c:v>0</c:v>
                </c:pt>
                <c:pt idx="12">
                  <c:v>50</c:v>
                </c:pt>
                <c:pt idx="13">
                  <c:v>0</c:v>
                </c:pt>
                <c:pt idx="14">
                  <c:v>33.33</c:v>
                </c:pt>
                <c:pt idx="15">
                  <c:v>0</c:v>
                </c:pt>
                <c:pt idx="16">
                  <c:v>25</c:v>
                </c:pt>
                <c:pt idx="17">
                  <c:v>0</c:v>
                </c:pt>
                <c:pt idx="18">
                  <c:v>25</c:v>
                </c:pt>
              </c:numCache>
            </c:numRef>
          </c:val>
          <c:extLst>
            <c:ext xmlns:c16="http://schemas.microsoft.com/office/drawing/2014/chart" uri="{C3380CC4-5D6E-409C-BE32-E72D297353CC}">
              <c16:uniqueId val="{00000026-2643-4453-870D-CA59A8B03D49}"/>
            </c:ext>
          </c:extLst>
        </c:ser>
        <c:dLbls>
          <c:showLegendKey val="0"/>
          <c:showVal val="0"/>
          <c:showCatName val="0"/>
          <c:showSerName val="0"/>
          <c:showPercent val="0"/>
          <c:showBubbleSize val="0"/>
        </c:dLbls>
        <c:gapWidth val="100"/>
        <c:overlap val="-24"/>
        <c:axId val="10"/>
        <c:axId val="100"/>
      </c:barChart>
      <c:catAx>
        <c:axId val="1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r>
                  <a:rPr lang="en-US"/>
                  <a:t>Department</a:t>
                </a:r>
              </a:p>
            </c:rich>
          </c:tx>
          <c:layout>
            <c:manualLayout>
              <c:xMode val="edge"/>
              <c:yMode val="edge"/>
              <c:x val="0.4931938934581731"/>
              <c:y val="0.92277431820632194"/>
            </c:manualLayout>
          </c:layout>
          <c:overlay val="1"/>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0"/>
        <c:crosses val="autoZero"/>
        <c:auto val="1"/>
        <c:lblAlgn val="ctr"/>
        <c:lblOffset val="100"/>
        <c:noMultiLvlLbl val="1"/>
      </c:catAx>
      <c:valAx>
        <c:axId val="1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r>
                  <a:rPr lang="en-US"/>
                  <a:t>Percentage</a:t>
                </a:r>
              </a:p>
            </c:rich>
          </c:tx>
          <c:overlay val="1"/>
          <c:spPr>
            <a:noFill/>
            <a:ln>
              <a:noFill/>
            </a:ln>
            <a:effectLst/>
          </c:spPr>
          <c:txPr>
            <a:bodyPr rot="-540000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solidFill>
                <a:latin typeface="Times New Roman" panose="02020603050405020304" pitchFamily="18" charset="0"/>
                <a:ea typeface="+mj-ea"/>
                <a:cs typeface="Times New Roman" panose="02020603050405020304" pitchFamily="18" charset="0"/>
              </a:defRPr>
            </a:pPr>
            <a:r>
              <a:rPr lang="en-US"/>
              <a:t>Positions filled as a % of total in each Department</a:t>
            </a:r>
          </a:p>
        </c:rich>
      </c:tx>
      <c:layout>
        <c:manualLayout>
          <c:xMode val="edge"/>
          <c:yMode val="edge"/>
          <c:x val="0.19448165829664993"/>
          <c:y val="1.223227261881521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barChart>
        <c:barDir val="col"/>
        <c:grouping val="clustered"/>
        <c:varyColors val="1"/>
        <c:ser>
          <c:idx val="0"/>
          <c:order val="0"/>
          <c:tx>
            <c:strRef>
              <c:f>Sheet1!$H$3</c:f>
              <c:strCache>
                <c:ptCount val="1"/>
                <c:pt idx="0">
                  <c:v>Positions filled as a % of total in each Department</c:v>
                </c:pt>
              </c:strCache>
            </c:strRef>
          </c:tx>
          <c:invertIfNegative val="1"/>
          <c:dPt>
            <c:idx val="0"/>
            <c:invertIfNegative val="1"/>
            <c:bubble3D val="0"/>
            <c:spPr>
              <a:solidFill>
                <a:schemeClr val="accent1">
                  <a:alpha val="70000"/>
                </a:schemeClr>
              </a:solidFill>
              <a:ln>
                <a:noFill/>
              </a:ln>
              <a:effectLst/>
            </c:spPr>
            <c:extLst>
              <c:ext xmlns:c16="http://schemas.microsoft.com/office/drawing/2014/chart" uri="{C3380CC4-5D6E-409C-BE32-E72D297353CC}">
                <c16:uniqueId val="{00000001-32FF-440C-8A7B-173B1F2E34FD}"/>
              </c:ext>
            </c:extLst>
          </c:dPt>
          <c:dPt>
            <c:idx val="1"/>
            <c:invertIfNegative val="1"/>
            <c:bubble3D val="0"/>
            <c:spPr>
              <a:solidFill>
                <a:schemeClr val="accent2">
                  <a:alpha val="70000"/>
                </a:schemeClr>
              </a:solidFill>
              <a:ln>
                <a:noFill/>
              </a:ln>
              <a:effectLst/>
            </c:spPr>
            <c:extLst>
              <c:ext xmlns:c16="http://schemas.microsoft.com/office/drawing/2014/chart" uri="{C3380CC4-5D6E-409C-BE32-E72D297353CC}">
                <c16:uniqueId val="{00000003-32FF-440C-8A7B-173B1F2E34FD}"/>
              </c:ext>
            </c:extLst>
          </c:dPt>
          <c:dPt>
            <c:idx val="2"/>
            <c:invertIfNegative val="1"/>
            <c:bubble3D val="0"/>
            <c:spPr>
              <a:solidFill>
                <a:schemeClr val="accent3">
                  <a:alpha val="70000"/>
                </a:schemeClr>
              </a:solidFill>
              <a:ln>
                <a:noFill/>
              </a:ln>
              <a:effectLst/>
            </c:spPr>
            <c:extLst>
              <c:ext xmlns:c16="http://schemas.microsoft.com/office/drawing/2014/chart" uri="{C3380CC4-5D6E-409C-BE32-E72D297353CC}">
                <c16:uniqueId val="{00000005-32FF-440C-8A7B-173B1F2E34FD}"/>
              </c:ext>
            </c:extLst>
          </c:dPt>
          <c:dPt>
            <c:idx val="3"/>
            <c:invertIfNegative val="1"/>
            <c:bubble3D val="0"/>
            <c:spPr>
              <a:solidFill>
                <a:schemeClr val="accent4">
                  <a:alpha val="70000"/>
                </a:schemeClr>
              </a:solidFill>
              <a:ln>
                <a:noFill/>
              </a:ln>
              <a:effectLst/>
            </c:spPr>
            <c:extLst>
              <c:ext xmlns:c16="http://schemas.microsoft.com/office/drawing/2014/chart" uri="{C3380CC4-5D6E-409C-BE32-E72D297353CC}">
                <c16:uniqueId val="{00000007-32FF-440C-8A7B-173B1F2E34FD}"/>
              </c:ext>
            </c:extLst>
          </c:dPt>
          <c:dPt>
            <c:idx val="4"/>
            <c:invertIfNegative val="1"/>
            <c:bubble3D val="0"/>
            <c:spPr>
              <a:solidFill>
                <a:schemeClr val="accent5">
                  <a:alpha val="70000"/>
                </a:schemeClr>
              </a:solidFill>
              <a:ln>
                <a:noFill/>
              </a:ln>
              <a:effectLst/>
            </c:spPr>
            <c:extLst>
              <c:ext xmlns:c16="http://schemas.microsoft.com/office/drawing/2014/chart" uri="{C3380CC4-5D6E-409C-BE32-E72D297353CC}">
                <c16:uniqueId val="{00000009-32FF-440C-8A7B-173B1F2E34FD}"/>
              </c:ext>
            </c:extLst>
          </c:dPt>
          <c:dPt>
            <c:idx val="5"/>
            <c:invertIfNegative val="1"/>
            <c:bubble3D val="0"/>
            <c:spPr>
              <a:solidFill>
                <a:schemeClr val="accent6">
                  <a:alpha val="70000"/>
                </a:schemeClr>
              </a:solidFill>
              <a:ln>
                <a:noFill/>
              </a:ln>
              <a:effectLst/>
            </c:spPr>
            <c:extLst>
              <c:ext xmlns:c16="http://schemas.microsoft.com/office/drawing/2014/chart" uri="{C3380CC4-5D6E-409C-BE32-E72D297353CC}">
                <c16:uniqueId val="{0000000B-32FF-440C-8A7B-173B1F2E34FD}"/>
              </c:ext>
            </c:extLst>
          </c:dPt>
          <c:dPt>
            <c:idx val="6"/>
            <c:invertIfNegative val="1"/>
            <c:bubble3D val="0"/>
            <c:spPr>
              <a:solidFill>
                <a:schemeClr val="accent1">
                  <a:lumMod val="60000"/>
                  <a:alpha val="70000"/>
                </a:schemeClr>
              </a:solidFill>
              <a:ln>
                <a:noFill/>
              </a:ln>
              <a:effectLst/>
            </c:spPr>
            <c:extLst>
              <c:ext xmlns:c16="http://schemas.microsoft.com/office/drawing/2014/chart" uri="{C3380CC4-5D6E-409C-BE32-E72D297353CC}">
                <c16:uniqueId val="{0000000D-32FF-440C-8A7B-173B1F2E34FD}"/>
              </c:ext>
            </c:extLst>
          </c:dPt>
          <c:dPt>
            <c:idx val="7"/>
            <c:invertIfNegative val="1"/>
            <c:bubble3D val="0"/>
            <c:spPr>
              <a:solidFill>
                <a:schemeClr val="accent2">
                  <a:lumMod val="60000"/>
                  <a:alpha val="70000"/>
                </a:schemeClr>
              </a:solidFill>
              <a:ln>
                <a:noFill/>
              </a:ln>
              <a:effectLst/>
            </c:spPr>
            <c:extLst>
              <c:ext xmlns:c16="http://schemas.microsoft.com/office/drawing/2014/chart" uri="{C3380CC4-5D6E-409C-BE32-E72D297353CC}">
                <c16:uniqueId val="{0000000F-32FF-440C-8A7B-173B1F2E34FD}"/>
              </c:ext>
            </c:extLst>
          </c:dPt>
          <c:dPt>
            <c:idx val="8"/>
            <c:invertIfNegative val="1"/>
            <c:bubble3D val="0"/>
            <c:spPr>
              <a:solidFill>
                <a:schemeClr val="accent3">
                  <a:lumMod val="60000"/>
                  <a:alpha val="70000"/>
                </a:schemeClr>
              </a:solidFill>
              <a:ln>
                <a:noFill/>
              </a:ln>
              <a:effectLst/>
            </c:spPr>
            <c:extLst>
              <c:ext xmlns:c16="http://schemas.microsoft.com/office/drawing/2014/chart" uri="{C3380CC4-5D6E-409C-BE32-E72D297353CC}">
                <c16:uniqueId val="{00000011-32FF-440C-8A7B-173B1F2E34FD}"/>
              </c:ext>
            </c:extLst>
          </c:dPt>
          <c:dPt>
            <c:idx val="9"/>
            <c:invertIfNegative val="1"/>
            <c:bubble3D val="0"/>
            <c:spPr>
              <a:solidFill>
                <a:schemeClr val="accent4">
                  <a:lumMod val="60000"/>
                  <a:alpha val="70000"/>
                </a:schemeClr>
              </a:solidFill>
              <a:ln>
                <a:noFill/>
              </a:ln>
              <a:effectLst/>
            </c:spPr>
            <c:extLst>
              <c:ext xmlns:c16="http://schemas.microsoft.com/office/drawing/2014/chart" uri="{C3380CC4-5D6E-409C-BE32-E72D297353CC}">
                <c16:uniqueId val="{00000013-32FF-440C-8A7B-173B1F2E34FD}"/>
              </c:ext>
            </c:extLst>
          </c:dPt>
          <c:dPt>
            <c:idx val="10"/>
            <c:invertIfNegative val="1"/>
            <c:bubble3D val="0"/>
            <c:spPr>
              <a:solidFill>
                <a:schemeClr val="accent5">
                  <a:lumMod val="60000"/>
                  <a:alpha val="70000"/>
                </a:schemeClr>
              </a:solidFill>
              <a:ln>
                <a:noFill/>
              </a:ln>
              <a:effectLst/>
            </c:spPr>
            <c:extLst>
              <c:ext xmlns:c16="http://schemas.microsoft.com/office/drawing/2014/chart" uri="{C3380CC4-5D6E-409C-BE32-E72D297353CC}">
                <c16:uniqueId val="{00000015-32FF-440C-8A7B-173B1F2E34FD}"/>
              </c:ext>
            </c:extLst>
          </c:dPt>
          <c:dPt>
            <c:idx val="11"/>
            <c:invertIfNegative val="1"/>
            <c:bubble3D val="0"/>
            <c:spPr>
              <a:solidFill>
                <a:schemeClr val="accent6">
                  <a:lumMod val="60000"/>
                  <a:alpha val="70000"/>
                </a:schemeClr>
              </a:solidFill>
              <a:ln>
                <a:noFill/>
              </a:ln>
              <a:effectLst/>
            </c:spPr>
            <c:extLst>
              <c:ext xmlns:c16="http://schemas.microsoft.com/office/drawing/2014/chart" uri="{C3380CC4-5D6E-409C-BE32-E72D297353CC}">
                <c16:uniqueId val="{00000017-32FF-440C-8A7B-173B1F2E34FD}"/>
              </c:ext>
            </c:extLst>
          </c:dPt>
          <c:dPt>
            <c:idx val="12"/>
            <c:invertIfNegative val="1"/>
            <c:bubble3D val="0"/>
            <c:spPr>
              <a:solidFill>
                <a:schemeClr val="accent1">
                  <a:lumMod val="80000"/>
                  <a:lumOff val="20000"/>
                  <a:alpha val="70000"/>
                </a:schemeClr>
              </a:solidFill>
              <a:ln>
                <a:noFill/>
              </a:ln>
              <a:effectLst/>
            </c:spPr>
            <c:extLst>
              <c:ext xmlns:c16="http://schemas.microsoft.com/office/drawing/2014/chart" uri="{C3380CC4-5D6E-409C-BE32-E72D297353CC}">
                <c16:uniqueId val="{00000019-32FF-440C-8A7B-173B1F2E34FD}"/>
              </c:ext>
            </c:extLst>
          </c:dPt>
          <c:dPt>
            <c:idx val="13"/>
            <c:invertIfNegative val="1"/>
            <c:bubble3D val="0"/>
            <c:spPr>
              <a:solidFill>
                <a:schemeClr val="accent2">
                  <a:lumMod val="80000"/>
                  <a:lumOff val="20000"/>
                  <a:alpha val="70000"/>
                </a:schemeClr>
              </a:solidFill>
              <a:ln>
                <a:noFill/>
              </a:ln>
              <a:effectLst/>
            </c:spPr>
            <c:extLst>
              <c:ext xmlns:c16="http://schemas.microsoft.com/office/drawing/2014/chart" uri="{C3380CC4-5D6E-409C-BE32-E72D297353CC}">
                <c16:uniqueId val="{0000001B-32FF-440C-8A7B-173B1F2E34FD}"/>
              </c:ext>
            </c:extLst>
          </c:dPt>
          <c:dPt>
            <c:idx val="14"/>
            <c:invertIfNegative val="1"/>
            <c:bubble3D val="0"/>
            <c:spPr>
              <a:solidFill>
                <a:schemeClr val="accent3">
                  <a:lumMod val="80000"/>
                  <a:lumOff val="20000"/>
                  <a:alpha val="70000"/>
                </a:schemeClr>
              </a:solidFill>
              <a:ln>
                <a:noFill/>
              </a:ln>
              <a:effectLst/>
            </c:spPr>
            <c:extLst>
              <c:ext xmlns:c16="http://schemas.microsoft.com/office/drawing/2014/chart" uri="{C3380CC4-5D6E-409C-BE32-E72D297353CC}">
                <c16:uniqueId val="{0000001D-32FF-440C-8A7B-173B1F2E34FD}"/>
              </c:ext>
            </c:extLst>
          </c:dPt>
          <c:dPt>
            <c:idx val="15"/>
            <c:invertIfNegative val="1"/>
            <c:bubble3D val="0"/>
            <c:spPr>
              <a:solidFill>
                <a:schemeClr val="accent4">
                  <a:lumMod val="80000"/>
                  <a:lumOff val="20000"/>
                  <a:alpha val="70000"/>
                </a:schemeClr>
              </a:solidFill>
              <a:ln>
                <a:noFill/>
              </a:ln>
              <a:effectLst/>
            </c:spPr>
            <c:extLst>
              <c:ext xmlns:c16="http://schemas.microsoft.com/office/drawing/2014/chart" uri="{C3380CC4-5D6E-409C-BE32-E72D297353CC}">
                <c16:uniqueId val="{0000001F-32FF-440C-8A7B-173B1F2E34FD}"/>
              </c:ext>
            </c:extLst>
          </c:dPt>
          <c:dPt>
            <c:idx val="16"/>
            <c:invertIfNegative val="1"/>
            <c:bubble3D val="0"/>
            <c:spPr>
              <a:solidFill>
                <a:schemeClr val="accent5">
                  <a:lumMod val="80000"/>
                  <a:lumOff val="20000"/>
                  <a:alpha val="70000"/>
                </a:schemeClr>
              </a:solidFill>
              <a:ln>
                <a:noFill/>
              </a:ln>
              <a:effectLst/>
            </c:spPr>
            <c:extLst>
              <c:ext xmlns:c16="http://schemas.microsoft.com/office/drawing/2014/chart" uri="{C3380CC4-5D6E-409C-BE32-E72D297353CC}">
                <c16:uniqueId val="{00000021-32FF-440C-8A7B-173B1F2E34FD}"/>
              </c:ext>
            </c:extLst>
          </c:dPt>
          <c:dPt>
            <c:idx val="17"/>
            <c:invertIfNegative val="1"/>
            <c:bubble3D val="0"/>
            <c:spPr>
              <a:solidFill>
                <a:schemeClr val="accent6">
                  <a:lumMod val="80000"/>
                  <a:lumOff val="20000"/>
                  <a:alpha val="70000"/>
                </a:schemeClr>
              </a:solidFill>
              <a:ln>
                <a:noFill/>
              </a:ln>
              <a:effectLst/>
            </c:spPr>
            <c:extLst>
              <c:ext xmlns:c16="http://schemas.microsoft.com/office/drawing/2014/chart" uri="{C3380CC4-5D6E-409C-BE32-E72D297353CC}">
                <c16:uniqueId val="{00000023-32FF-440C-8A7B-173B1F2E34FD}"/>
              </c:ext>
            </c:extLst>
          </c:dPt>
          <c:dPt>
            <c:idx val="18"/>
            <c:invertIfNegative val="1"/>
            <c:bubble3D val="0"/>
            <c:spPr>
              <a:solidFill>
                <a:schemeClr val="accent1">
                  <a:lumMod val="80000"/>
                  <a:alpha val="70000"/>
                </a:schemeClr>
              </a:solidFill>
              <a:ln>
                <a:noFill/>
              </a:ln>
              <a:effectLst/>
            </c:spPr>
            <c:extLst>
              <c:ext xmlns:c16="http://schemas.microsoft.com/office/drawing/2014/chart" uri="{C3380CC4-5D6E-409C-BE32-E72D297353CC}">
                <c16:uniqueId val="{00000025-32FF-440C-8A7B-173B1F2E34FD}"/>
              </c:ext>
            </c:extLst>
          </c:dPt>
          <c:dLbls>
            <c:delete val="1"/>
          </c:dLbls>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Sheet1!$H$4:$H$22</c:f>
              <c:numCache>
                <c:formatCode>General</c:formatCode>
                <c:ptCount val="19"/>
                <c:pt idx="0">
                  <c:v>11.54</c:v>
                </c:pt>
                <c:pt idx="1">
                  <c:v>0</c:v>
                </c:pt>
                <c:pt idx="2">
                  <c:v>33.33</c:v>
                </c:pt>
                <c:pt idx="3">
                  <c:v>0</c:v>
                </c:pt>
                <c:pt idx="4">
                  <c:v>50</c:v>
                </c:pt>
                <c:pt idx="5">
                  <c:v>0</c:v>
                </c:pt>
                <c:pt idx="6">
                  <c:v>75</c:v>
                </c:pt>
                <c:pt idx="7">
                  <c:v>0</c:v>
                </c:pt>
                <c:pt idx="8">
                  <c:v>40</c:v>
                </c:pt>
                <c:pt idx="9">
                  <c:v>0</c:v>
                </c:pt>
                <c:pt idx="10">
                  <c:v>8.57</c:v>
                </c:pt>
                <c:pt idx="11">
                  <c:v>0</c:v>
                </c:pt>
                <c:pt idx="12">
                  <c:v>33.33</c:v>
                </c:pt>
                <c:pt idx="13">
                  <c:v>0</c:v>
                </c:pt>
                <c:pt idx="14">
                  <c:v>25</c:v>
                </c:pt>
                <c:pt idx="15">
                  <c:v>0</c:v>
                </c:pt>
                <c:pt idx="16">
                  <c:v>25</c:v>
                </c:pt>
                <c:pt idx="17">
                  <c:v>0</c:v>
                </c:pt>
                <c:pt idx="18">
                  <c:v>16.670000000000002</c:v>
                </c:pt>
              </c:numCache>
            </c:numRef>
          </c:val>
          <c:extLst>
            <c:ext xmlns:c16="http://schemas.microsoft.com/office/drawing/2014/chart" uri="{C3380CC4-5D6E-409C-BE32-E72D297353CC}">
              <c16:uniqueId val="{00000026-32FF-440C-8A7B-173B1F2E34FD}"/>
            </c:ext>
          </c:extLst>
        </c:ser>
        <c:dLbls>
          <c:dLblPos val="inEnd"/>
          <c:showLegendKey val="0"/>
          <c:showVal val="1"/>
          <c:showCatName val="0"/>
          <c:showSerName val="0"/>
          <c:showPercent val="0"/>
          <c:showBubbleSize val="0"/>
        </c:dLbls>
        <c:gapWidth val="80"/>
        <c:overlap val="25"/>
        <c:axId val="10"/>
        <c:axId val="100"/>
      </c:barChart>
      <c:catAx>
        <c:axId val="1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r>
                  <a:rPr lang="en-US"/>
                  <a:t>Department</a:t>
                </a:r>
              </a:p>
            </c:rich>
          </c:tx>
          <c:layout>
            <c:manualLayout>
              <c:xMode val="edge"/>
              <c:yMode val="edge"/>
              <c:x val="0.4687494540941855"/>
              <c:y val="0.9170436722932569"/>
            </c:manualLayout>
          </c:layout>
          <c:overlay val="1"/>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0"/>
        <c:crosses val="autoZero"/>
        <c:auto val="1"/>
        <c:lblAlgn val="ctr"/>
        <c:lblOffset val="100"/>
        <c:noMultiLvlLbl val="1"/>
      </c:catAx>
      <c:valAx>
        <c:axId val="100"/>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r>
                  <a:rPr lang="en-US"/>
                  <a:t>Percentage</a:t>
                </a:r>
              </a:p>
            </c:rich>
          </c:tx>
          <c:overlay val="1"/>
          <c:spPr>
            <a:noFill/>
            <a:ln>
              <a:noFill/>
            </a:ln>
            <a:effectLst/>
          </c:spPr>
          <c:txPr>
            <a:bodyPr rot="-540000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
        <c:crosses val="autoZero"/>
        <c:crossBetween val="between"/>
      </c:valAx>
      <c:spPr>
        <a:noFill/>
        <a:ln>
          <a:noFill/>
        </a:ln>
        <a:effectLst/>
      </c:spPr>
    </c:plotArea>
    <c:plotVisOnly val="1"/>
    <c:dispBlanksAs val="gap"/>
    <c:showDLblsOverMax val="1"/>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400"/>
              <a:t>Vacancies as % of Total Employees</a:t>
            </a:r>
          </a:p>
        </c:rich>
      </c:tx>
      <c:overlay val="0"/>
      <c:spPr>
        <a:noFill/>
        <a:ln>
          <a:noFill/>
        </a:ln>
        <a:effectLst/>
      </c:spPr>
      <c:txPr>
        <a:bodyPr rot="0" spcFirstLastPara="1" vertOverflow="ellipsis" vert="horz" wrap="square" anchor="ctr" anchorCtr="1"/>
        <a:lstStyle/>
        <a:p>
          <a:pPr>
            <a:defRPr sz="14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67B-4B98-82FD-2E987F9D568F}"/>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67B-4B98-82FD-2E987F9D568F}"/>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67B-4B98-82FD-2E987F9D568F}"/>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67B-4B98-82FD-2E987F9D568F}"/>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67B-4B98-82FD-2E987F9D568F}"/>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467B-4B98-82FD-2E987F9D568F}"/>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467B-4B98-82FD-2E987F9D568F}"/>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467B-4B98-82FD-2E987F9D568F}"/>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467B-4B98-82FD-2E987F9D568F}"/>
              </c:ext>
            </c:extLst>
          </c:dPt>
          <c:dPt>
            <c:idx val="9"/>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467B-4B98-82FD-2E987F9D568F}"/>
              </c:ext>
            </c:extLst>
          </c:dPt>
          <c:dPt>
            <c:idx val="10"/>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467B-4B98-82FD-2E987F9D568F}"/>
              </c:ext>
            </c:extLst>
          </c:dPt>
          <c:dPt>
            <c:idx val="11"/>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467B-4B98-82FD-2E987F9D568F}"/>
              </c:ext>
            </c:extLst>
          </c:dPt>
          <c:dPt>
            <c:idx val="12"/>
            <c:bubble3D val="0"/>
            <c:spPr>
              <a:solidFill>
                <a:schemeClr val="accent1">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467B-4B98-82FD-2E987F9D568F}"/>
              </c:ext>
            </c:extLst>
          </c:dPt>
          <c:dPt>
            <c:idx val="13"/>
            <c:bubble3D val="0"/>
            <c:spPr>
              <a:solidFill>
                <a:schemeClr val="accent2">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B-467B-4B98-82FD-2E987F9D568F}"/>
              </c:ext>
            </c:extLst>
          </c:dPt>
          <c:dPt>
            <c:idx val="14"/>
            <c:bubble3D val="0"/>
            <c:spPr>
              <a:solidFill>
                <a:schemeClr val="accent3">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D-467B-4B98-82FD-2E987F9D568F}"/>
              </c:ext>
            </c:extLst>
          </c:dPt>
          <c:dPt>
            <c:idx val="15"/>
            <c:bubble3D val="0"/>
            <c:spPr>
              <a:solidFill>
                <a:schemeClr val="accent4">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F-467B-4B98-82FD-2E987F9D568F}"/>
              </c:ext>
            </c:extLst>
          </c:dPt>
          <c:dPt>
            <c:idx val="16"/>
            <c:bubble3D val="0"/>
            <c:spPr>
              <a:solidFill>
                <a:schemeClr val="accent5">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1-467B-4B98-82FD-2E987F9D568F}"/>
              </c:ext>
            </c:extLst>
          </c:dPt>
          <c:dPt>
            <c:idx val="17"/>
            <c:bubble3D val="0"/>
            <c:spPr>
              <a:solidFill>
                <a:schemeClr val="accent6">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3-467B-4B98-82FD-2E987F9D568F}"/>
              </c:ext>
            </c:extLst>
          </c:dPt>
          <c:dPt>
            <c:idx val="18"/>
            <c:bubble3D val="0"/>
            <c:spPr>
              <a:solidFill>
                <a:schemeClr val="accent1">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5-467B-4B98-82FD-2E987F9D568F}"/>
              </c:ext>
            </c:extLst>
          </c:dPt>
          <c:dLbls>
            <c:dLbl>
              <c:idx val="0"/>
              <c:spPr>
                <a:noFill/>
                <a:ln>
                  <a:noFill/>
                </a:ln>
                <a:effectLst/>
              </c:spPr>
              <c:txPr>
                <a:bodyPr rot="0" spcFirstLastPara="1" vertOverflow="ellipsis" vert="horz" wrap="square" anchor="ctr" anchorCtr="1"/>
                <a:lstStyle/>
                <a:p>
                  <a:pPr>
                    <a:defRPr sz="900" b="1" i="0" u="none" strike="noStrike" kern="1200" spc="0" baseline="0">
                      <a:solidFill>
                        <a:schemeClr val="accent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467B-4B98-82FD-2E987F9D568F}"/>
                </c:ext>
              </c:extLst>
            </c:dLbl>
            <c:dLbl>
              <c:idx val="1"/>
              <c:spPr>
                <a:noFill/>
                <a:ln>
                  <a:noFill/>
                </a:ln>
                <a:effectLst/>
              </c:spPr>
              <c:txPr>
                <a:bodyPr rot="0" spcFirstLastPara="1" vertOverflow="ellipsis" vert="horz" wrap="square" anchor="ctr" anchorCtr="1"/>
                <a:lstStyle/>
                <a:p>
                  <a:pPr>
                    <a:defRPr sz="900" b="1" i="0" u="none" strike="noStrike" kern="1200" spc="0" baseline="0">
                      <a:solidFill>
                        <a:schemeClr val="accent2"/>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467B-4B98-82FD-2E987F9D568F}"/>
                </c:ext>
              </c:extLst>
            </c:dLbl>
            <c:dLbl>
              <c:idx val="2"/>
              <c:spPr>
                <a:noFill/>
                <a:ln>
                  <a:noFill/>
                </a:ln>
                <a:effectLst/>
              </c:spPr>
              <c:txPr>
                <a:bodyPr rot="0" spcFirstLastPara="1" vertOverflow="ellipsis" vert="horz" wrap="square" anchor="ctr" anchorCtr="1"/>
                <a:lstStyle/>
                <a:p>
                  <a:pPr>
                    <a:defRPr sz="900" b="1" i="0" u="none" strike="noStrike" kern="1200" spc="0" baseline="0">
                      <a:solidFill>
                        <a:schemeClr val="accent3"/>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467B-4B98-82FD-2E987F9D568F}"/>
                </c:ext>
              </c:extLst>
            </c:dLbl>
            <c:dLbl>
              <c:idx val="3"/>
              <c:spPr>
                <a:noFill/>
                <a:ln>
                  <a:noFill/>
                </a:ln>
                <a:effectLst/>
              </c:spPr>
              <c:txPr>
                <a:bodyPr rot="0" spcFirstLastPara="1" vertOverflow="ellipsis" vert="horz" wrap="square" anchor="ctr" anchorCtr="1"/>
                <a:lstStyle/>
                <a:p>
                  <a:pPr>
                    <a:defRPr sz="900" b="1" i="0" u="none" strike="noStrike" kern="1200" spc="0" baseline="0">
                      <a:solidFill>
                        <a:schemeClr val="accent4"/>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467B-4B98-82FD-2E987F9D568F}"/>
                </c:ext>
              </c:extLst>
            </c:dLbl>
            <c:dLbl>
              <c:idx val="4"/>
              <c:spPr>
                <a:noFill/>
                <a:ln>
                  <a:noFill/>
                </a:ln>
                <a:effectLst/>
              </c:spPr>
              <c:txPr>
                <a:bodyPr rot="0" spcFirstLastPara="1" vertOverflow="ellipsis" vert="horz" wrap="square" anchor="ctr" anchorCtr="1"/>
                <a:lstStyle/>
                <a:p>
                  <a:pPr>
                    <a:defRPr sz="900" b="1" i="0" u="none" strike="noStrike" kern="1200" spc="0" baseline="0">
                      <a:solidFill>
                        <a:schemeClr val="accent5"/>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9-467B-4B98-82FD-2E987F9D568F}"/>
                </c:ext>
              </c:extLst>
            </c:dLbl>
            <c:dLbl>
              <c:idx val="5"/>
              <c:spPr>
                <a:noFill/>
                <a:ln>
                  <a:noFill/>
                </a:ln>
                <a:effectLst/>
              </c:spPr>
              <c:txPr>
                <a:bodyPr rot="0" spcFirstLastPara="1" vertOverflow="ellipsis" vert="horz" wrap="square" anchor="ctr" anchorCtr="1"/>
                <a:lstStyle/>
                <a:p>
                  <a:pPr>
                    <a:defRPr sz="900" b="1" i="0" u="none" strike="noStrike" kern="1200" spc="0" baseline="0">
                      <a:solidFill>
                        <a:schemeClr val="accent6"/>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B-467B-4B98-82FD-2E987F9D568F}"/>
                </c:ext>
              </c:extLst>
            </c:dLbl>
            <c:dLbl>
              <c:idx val="6"/>
              <c:spPr>
                <a:noFill/>
                <a:ln>
                  <a:noFill/>
                </a:ln>
                <a:effectLst/>
              </c:spPr>
              <c:txPr>
                <a:bodyPr rot="0" spcFirstLastPara="1" vertOverflow="ellipsis" vert="horz" wrap="square" anchor="ctr" anchorCtr="1"/>
                <a:lstStyle/>
                <a:p>
                  <a:pPr>
                    <a:defRPr sz="900" b="1" i="0" u="none" strike="noStrike" kern="1200" spc="0" baseline="0">
                      <a:solidFill>
                        <a:schemeClr val="accent1">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D-467B-4B98-82FD-2E987F9D568F}"/>
                </c:ext>
              </c:extLst>
            </c:dLbl>
            <c:dLbl>
              <c:idx val="7"/>
              <c:spPr>
                <a:noFill/>
                <a:ln>
                  <a:noFill/>
                </a:ln>
                <a:effectLst/>
              </c:spPr>
              <c:txPr>
                <a:bodyPr rot="0" spcFirstLastPara="1" vertOverflow="ellipsis" vert="horz" wrap="square" anchor="ctr" anchorCtr="1"/>
                <a:lstStyle/>
                <a:p>
                  <a:pPr>
                    <a:defRPr sz="900" b="1" i="0" u="none" strike="noStrike" kern="1200" spc="0" baseline="0">
                      <a:solidFill>
                        <a:schemeClr val="accent2">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F-467B-4B98-82FD-2E987F9D568F}"/>
                </c:ext>
              </c:extLst>
            </c:dLbl>
            <c:dLbl>
              <c:idx val="8"/>
              <c:spPr>
                <a:noFill/>
                <a:ln>
                  <a:noFill/>
                </a:ln>
                <a:effectLst/>
              </c:spPr>
              <c:txPr>
                <a:bodyPr rot="0" spcFirstLastPara="1" vertOverflow="ellipsis" vert="horz" wrap="square" anchor="ctr" anchorCtr="1"/>
                <a:lstStyle/>
                <a:p>
                  <a:pPr>
                    <a:defRPr sz="900" b="1" i="0" u="none" strike="noStrike" kern="1200" spc="0" baseline="0">
                      <a:solidFill>
                        <a:schemeClr val="accent3">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1-467B-4B98-82FD-2E987F9D568F}"/>
                </c:ext>
              </c:extLst>
            </c:dLbl>
            <c:dLbl>
              <c:idx val="9"/>
              <c:spPr>
                <a:noFill/>
                <a:ln>
                  <a:noFill/>
                </a:ln>
                <a:effectLst/>
              </c:spPr>
              <c:txPr>
                <a:bodyPr rot="0" spcFirstLastPara="1" vertOverflow="ellipsis" vert="horz" wrap="square" anchor="ctr" anchorCtr="1"/>
                <a:lstStyle/>
                <a:p>
                  <a:pPr>
                    <a:defRPr sz="900" b="1" i="0" u="none" strike="noStrike" kern="1200" spc="0" baseline="0">
                      <a:solidFill>
                        <a:schemeClr val="accent4">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3-467B-4B98-82FD-2E987F9D568F}"/>
                </c:ext>
              </c:extLst>
            </c:dLbl>
            <c:dLbl>
              <c:idx val="10"/>
              <c:spPr>
                <a:noFill/>
                <a:ln>
                  <a:noFill/>
                </a:ln>
                <a:effectLst/>
              </c:spPr>
              <c:txPr>
                <a:bodyPr rot="0" spcFirstLastPara="1" vertOverflow="ellipsis" vert="horz" wrap="square" anchor="ctr" anchorCtr="1"/>
                <a:lstStyle/>
                <a:p>
                  <a:pPr>
                    <a:defRPr sz="900" b="1" i="0" u="none" strike="noStrike" kern="1200" spc="0" baseline="0">
                      <a:solidFill>
                        <a:schemeClr val="accent5">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5-467B-4B98-82FD-2E987F9D568F}"/>
                </c:ext>
              </c:extLst>
            </c:dLbl>
            <c:dLbl>
              <c:idx val="11"/>
              <c:spPr>
                <a:noFill/>
                <a:ln>
                  <a:noFill/>
                </a:ln>
                <a:effectLst/>
              </c:spPr>
              <c:txPr>
                <a:bodyPr rot="0" spcFirstLastPara="1" vertOverflow="ellipsis" vert="horz" wrap="square" anchor="ctr" anchorCtr="1"/>
                <a:lstStyle/>
                <a:p>
                  <a:pPr>
                    <a:defRPr sz="900" b="1" i="0" u="none" strike="noStrike" kern="1200" spc="0" baseline="0">
                      <a:solidFill>
                        <a:schemeClr val="accent6">
                          <a:lumMod val="6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7-467B-4B98-82FD-2E987F9D568F}"/>
                </c:ext>
              </c:extLst>
            </c:dLbl>
            <c:dLbl>
              <c:idx val="12"/>
              <c:spPr>
                <a:noFill/>
                <a:ln>
                  <a:noFill/>
                </a:ln>
                <a:effectLst/>
              </c:spPr>
              <c:txPr>
                <a:bodyPr rot="0" spcFirstLastPara="1" vertOverflow="ellipsis" vert="horz" wrap="square" anchor="ctr" anchorCtr="1"/>
                <a:lstStyle/>
                <a:p>
                  <a:pPr>
                    <a:defRPr sz="900" b="1" i="0" u="none" strike="noStrike" kern="1200" spc="0" baseline="0">
                      <a:solidFill>
                        <a:schemeClr val="accent1">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9-467B-4B98-82FD-2E987F9D568F}"/>
                </c:ext>
              </c:extLst>
            </c:dLbl>
            <c:dLbl>
              <c:idx val="13"/>
              <c:spPr>
                <a:noFill/>
                <a:ln>
                  <a:noFill/>
                </a:ln>
                <a:effectLst/>
              </c:spPr>
              <c:txPr>
                <a:bodyPr rot="0" spcFirstLastPara="1" vertOverflow="ellipsis" vert="horz" wrap="square" anchor="ctr" anchorCtr="1"/>
                <a:lstStyle/>
                <a:p>
                  <a:pPr>
                    <a:defRPr sz="900" b="1" i="0" u="none" strike="noStrike" kern="1200" spc="0" baseline="0">
                      <a:solidFill>
                        <a:schemeClr val="accent2">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B-467B-4B98-82FD-2E987F9D568F}"/>
                </c:ext>
              </c:extLst>
            </c:dLbl>
            <c:dLbl>
              <c:idx val="14"/>
              <c:spPr>
                <a:noFill/>
                <a:ln>
                  <a:noFill/>
                </a:ln>
                <a:effectLst/>
              </c:spPr>
              <c:txPr>
                <a:bodyPr rot="0" spcFirstLastPara="1" vertOverflow="ellipsis" vert="horz" wrap="square" anchor="ctr" anchorCtr="1"/>
                <a:lstStyle/>
                <a:p>
                  <a:pPr>
                    <a:defRPr sz="900" b="1" i="0" u="none" strike="noStrike" kern="1200" spc="0" baseline="0">
                      <a:solidFill>
                        <a:schemeClr val="accent3">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D-467B-4B98-82FD-2E987F9D568F}"/>
                </c:ext>
              </c:extLst>
            </c:dLbl>
            <c:dLbl>
              <c:idx val="15"/>
              <c:spPr>
                <a:noFill/>
                <a:ln>
                  <a:noFill/>
                </a:ln>
                <a:effectLst/>
              </c:spPr>
              <c:txPr>
                <a:bodyPr rot="0" spcFirstLastPara="1" vertOverflow="ellipsis" vert="horz" wrap="square" anchor="ctr" anchorCtr="1"/>
                <a:lstStyle/>
                <a:p>
                  <a:pPr>
                    <a:defRPr sz="900" b="1" i="0" u="none" strike="noStrike" kern="1200" spc="0" baseline="0">
                      <a:solidFill>
                        <a:schemeClr val="accent4">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F-467B-4B98-82FD-2E987F9D568F}"/>
                </c:ext>
              </c:extLst>
            </c:dLbl>
            <c:dLbl>
              <c:idx val="16"/>
              <c:spPr>
                <a:noFill/>
                <a:ln>
                  <a:noFill/>
                </a:ln>
                <a:effectLst/>
              </c:spPr>
              <c:txPr>
                <a:bodyPr rot="0" spcFirstLastPara="1" vertOverflow="ellipsis" vert="horz" wrap="square" anchor="ctr" anchorCtr="1"/>
                <a:lstStyle/>
                <a:p>
                  <a:pPr>
                    <a:defRPr sz="900" b="1" i="0" u="none" strike="noStrike" kern="1200" spc="0" baseline="0">
                      <a:solidFill>
                        <a:schemeClr val="accent5">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1-467B-4B98-82FD-2E987F9D568F}"/>
                </c:ext>
              </c:extLst>
            </c:dLbl>
            <c:dLbl>
              <c:idx val="17"/>
              <c:spPr>
                <a:noFill/>
                <a:ln>
                  <a:noFill/>
                </a:ln>
                <a:effectLst/>
              </c:spPr>
              <c:txPr>
                <a:bodyPr rot="0" spcFirstLastPara="1" vertOverflow="ellipsis" vert="horz" wrap="square" anchor="ctr" anchorCtr="1"/>
                <a:lstStyle/>
                <a:p>
                  <a:pPr>
                    <a:defRPr sz="900" b="1" i="0" u="none" strike="noStrike" kern="1200" spc="0" baseline="0">
                      <a:solidFill>
                        <a:schemeClr val="accent6">
                          <a:lumMod val="80000"/>
                          <a:lumOff val="2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3-467B-4B98-82FD-2E987F9D568F}"/>
                </c:ext>
              </c:extLst>
            </c:dLbl>
            <c:dLbl>
              <c:idx val="18"/>
              <c:spPr>
                <a:noFill/>
                <a:ln>
                  <a:noFill/>
                </a:ln>
                <a:effectLst/>
              </c:spPr>
              <c:txPr>
                <a:bodyPr rot="0" spcFirstLastPara="1" vertOverflow="ellipsis" vert="horz" wrap="square" anchor="ctr" anchorCtr="1"/>
                <a:lstStyle/>
                <a:p>
                  <a:pPr>
                    <a:defRPr sz="900" b="1" i="0" u="none" strike="noStrike" kern="1200" spc="0" baseline="0">
                      <a:solidFill>
                        <a:schemeClr val="accent1">
                          <a:lumMod val="8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5-467B-4B98-82FD-2E987F9D568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spc="0" baseline="0">
                    <a:solidFill>
                      <a:schemeClr val="accent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Sheet1!$F$4:$F$22</c:f>
              <c:numCache>
                <c:formatCode>General</c:formatCode>
                <c:ptCount val="19"/>
                <c:pt idx="0">
                  <c:v>30.77</c:v>
                </c:pt>
                <c:pt idx="1">
                  <c:v>0</c:v>
                </c:pt>
                <c:pt idx="2">
                  <c:v>33.33</c:v>
                </c:pt>
                <c:pt idx="3">
                  <c:v>0</c:v>
                </c:pt>
                <c:pt idx="4">
                  <c:v>50</c:v>
                </c:pt>
                <c:pt idx="5">
                  <c:v>0</c:v>
                </c:pt>
                <c:pt idx="6">
                  <c:v>75</c:v>
                </c:pt>
                <c:pt idx="7">
                  <c:v>0</c:v>
                </c:pt>
                <c:pt idx="8">
                  <c:v>40</c:v>
                </c:pt>
                <c:pt idx="9">
                  <c:v>0</c:v>
                </c:pt>
                <c:pt idx="10">
                  <c:v>22.86</c:v>
                </c:pt>
                <c:pt idx="11">
                  <c:v>0</c:v>
                </c:pt>
                <c:pt idx="12">
                  <c:v>83.33</c:v>
                </c:pt>
                <c:pt idx="13">
                  <c:v>0</c:v>
                </c:pt>
                <c:pt idx="14">
                  <c:v>25</c:v>
                </c:pt>
                <c:pt idx="15">
                  <c:v>0</c:v>
                </c:pt>
                <c:pt idx="16">
                  <c:v>25</c:v>
                </c:pt>
                <c:pt idx="17">
                  <c:v>0</c:v>
                </c:pt>
                <c:pt idx="18">
                  <c:v>41.67</c:v>
                </c:pt>
              </c:numCache>
            </c:numRef>
          </c:val>
          <c:extLst>
            <c:ext xmlns:c16="http://schemas.microsoft.com/office/drawing/2014/chart" uri="{C3380CC4-5D6E-409C-BE32-E72D297353CC}">
              <c16:uniqueId val="{00000026-467B-4B98-82FD-2E987F9D568F}"/>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4841</Words>
  <Characters>27596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dc:creator>
  <cp:keywords/>
  <dc:description/>
  <cp:lastModifiedBy>Owen Thomas</cp:lastModifiedBy>
  <cp:revision>3</cp:revision>
  <dcterms:created xsi:type="dcterms:W3CDTF">2026-02-02T20:07:00Z</dcterms:created>
  <dcterms:modified xsi:type="dcterms:W3CDTF">2026-02-02T20:14:00Z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2026-01-22T11:54:03Z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92f9395d-70f5-4604-b4f2-8072249ec01f</vt:lpwstr>
  </property>
  <property fmtid="{D5CDD505-2E9C-101B-9397-08002B2CF9AE}" pid="8" name="MSIP_Label_ba2ef5eb-f4dc-4350-b858-3238ea3234a5_ContentBits">
    <vt:lpwstr>0</vt:lpwstr>
  </property>
  <property fmtid="{D5CDD505-2E9C-101B-9397-08002B2CF9AE}" pid="9" name="MSIP_Label_ba2ef5eb-f4dc-4350-b858-3238ea3234a5_Tag">
    <vt:lpwstr>10, 3, 0, 1</vt:lpwstr>
  </property>
</Properties>
</file>