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BD8A949" w:rsidR="008A6776" w:rsidRPr="004443C5" w:rsidRDefault="2FCC14F8" w:rsidP="004443C5">
      <w:pPr>
        <w:spacing w:line="360" w:lineRule="auto"/>
        <w:rPr>
          <w:rFonts w:ascii="Arial" w:hAnsi="Arial" w:cs="Arial"/>
          <w:sz w:val="22"/>
          <w:szCs w:val="22"/>
        </w:rPr>
      </w:pPr>
      <w:r w:rsidRPr="004443C5">
        <w:rPr>
          <w:rFonts w:ascii="Arial" w:hAnsi="Arial" w:cs="Arial"/>
          <w:sz w:val="22"/>
          <w:szCs w:val="22"/>
        </w:rPr>
        <w:t>Name:</w:t>
      </w:r>
      <w:r w:rsidR="1D3DD245" w:rsidRPr="004443C5">
        <w:rPr>
          <w:rFonts w:ascii="Arial" w:hAnsi="Arial" w:cs="Arial"/>
          <w:sz w:val="22"/>
          <w:szCs w:val="22"/>
        </w:rPr>
        <w:t xml:space="preserve"> </w:t>
      </w:r>
      <w:r w:rsidR="00FD3C2C" w:rsidRPr="004443C5">
        <w:rPr>
          <w:rFonts w:ascii="Arial" w:hAnsi="Arial" w:cs="Arial"/>
          <w:sz w:val="22"/>
          <w:szCs w:val="22"/>
        </w:rPr>
        <w:t>Akosua Ntow</w:t>
      </w:r>
    </w:p>
    <w:p w14:paraId="5E0E38C2" w14:textId="75AEC3FE" w:rsidR="1DA4AC93" w:rsidRPr="004443C5" w:rsidRDefault="2FCC14F8" w:rsidP="004443C5">
      <w:pPr>
        <w:spacing w:line="360" w:lineRule="auto"/>
        <w:rPr>
          <w:rFonts w:ascii="Arial" w:hAnsi="Arial" w:cs="Arial"/>
          <w:sz w:val="22"/>
          <w:szCs w:val="22"/>
        </w:rPr>
      </w:pPr>
      <w:r w:rsidRPr="004443C5">
        <w:rPr>
          <w:rFonts w:ascii="Arial" w:hAnsi="Arial" w:cs="Arial"/>
          <w:sz w:val="22"/>
          <w:szCs w:val="22"/>
        </w:rPr>
        <w:t>Student Number:</w:t>
      </w:r>
      <w:r w:rsidR="58A4D031" w:rsidRPr="004443C5">
        <w:rPr>
          <w:rFonts w:ascii="Arial" w:hAnsi="Arial" w:cs="Arial"/>
          <w:sz w:val="22"/>
          <w:szCs w:val="22"/>
        </w:rPr>
        <w:t xml:space="preserve"> </w:t>
      </w:r>
      <w:r w:rsidR="00FD3C2C" w:rsidRPr="004443C5">
        <w:rPr>
          <w:rFonts w:ascii="Arial" w:hAnsi="Arial" w:cs="Arial"/>
          <w:sz w:val="22"/>
          <w:szCs w:val="22"/>
        </w:rPr>
        <w:t>2535577</w:t>
      </w:r>
    </w:p>
    <w:p w14:paraId="2FB1F2E3" w14:textId="6CF593F7" w:rsidR="1DA4AC93" w:rsidRPr="004443C5" w:rsidRDefault="2FCC14F8" w:rsidP="004443C5">
      <w:pPr>
        <w:spacing w:line="360" w:lineRule="auto"/>
        <w:rPr>
          <w:rFonts w:ascii="Arial" w:hAnsi="Arial" w:cs="Arial"/>
          <w:color w:val="28235D"/>
          <w:sz w:val="22"/>
          <w:szCs w:val="22"/>
        </w:rPr>
      </w:pPr>
      <w:r w:rsidRPr="004443C5">
        <w:rPr>
          <w:rFonts w:ascii="Arial" w:hAnsi="Arial" w:cs="Arial"/>
          <w:sz w:val="22"/>
          <w:szCs w:val="22"/>
        </w:rPr>
        <w:t>Module Code:</w:t>
      </w:r>
      <w:r w:rsidR="79A065F4" w:rsidRPr="004443C5">
        <w:rPr>
          <w:rFonts w:ascii="Arial" w:hAnsi="Arial" w:cs="Arial"/>
          <w:sz w:val="22"/>
          <w:szCs w:val="22"/>
        </w:rPr>
        <w:t xml:space="preserve"> </w:t>
      </w:r>
      <w:r w:rsidR="00FD3C2C" w:rsidRPr="004443C5">
        <w:rPr>
          <w:rFonts w:ascii="Arial" w:hAnsi="Arial" w:cs="Arial"/>
          <w:sz w:val="22"/>
          <w:szCs w:val="22"/>
        </w:rPr>
        <w:t>LCHS4007</w:t>
      </w:r>
    </w:p>
    <w:p w14:paraId="71C8289B" w14:textId="12732FE7" w:rsidR="1DA4AC93" w:rsidRPr="004443C5" w:rsidRDefault="1DA4AC93" w:rsidP="004443C5">
      <w:pPr>
        <w:spacing w:line="360" w:lineRule="auto"/>
        <w:rPr>
          <w:rFonts w:ascii="Arial" w:hAnsi="Arial" w:cs="Arial"/>
          <w:sz w:val="22"/>
          <w:szCs w:val="22"/>
        </w:rPr>
      </w:pPr>
      <w:r w:rsidRPr="004443C5">
        <w:rPr>
          <w:rFonts w:ascii="Arial" w:hAnsi="Arial" w:cs="Arial"/>
          <w:sz w:val="22"/>
          <w:szCs w:val="22"/>
        </w:rPr>
        <w:t>Lecturer Name:</w:t>
      </w:r>
      <w:r w:rsidR="00FD3C2C" w:rsidRPr="004443C5">
        <w:rPr>
          <w:rFonts w:ascii="Arial" w:hAnsi="Arial" w:cs="Arial"/>
          <w:sz w:val="22"/>
          <w:szCs w:val="22"/>
        </w:rPr>
        <w:t xml:space="preserve"> Bianca Dodgen</w:t>
      </w:r>
    </w:p>
    <w:p w14:paraId="4A1E7A3A" w14:textId="0E3E7B7E" w:rsidR="1DA4AC93" w:rsidRPr="004443C5" w:rsidRDefault="1DA4AC93" w:rsidP="004443C5">
      <w:pPr>
        <w:spacing w:line="360" w:lineRule="auto"/>
        <w:rPr>
          <w:rFonts w:ascii="Arial" w:hAnsi="Arial" w:cs="Arial"/>
          <w:sz w:val="22"/>
          <w:szCs w:val="22"/>
        </w:rPr>
      </w:pPr>
      <w:r w:rsidRPr="004443C5">
        <w:rPr>
          <w:rFonts w:ascii="Arial" w:hAnsi="Arial" w:cs="Arial"/>
          <w:sz w:val="22"/>
          <w:szCs w:val="22"/>
        </w:rPr>
        <w:t>Assignment Title:</w:t>
      </w:r>
      <w:r w:rsidR="00FD3C2C" w:rsidRPr="004443C5">
        <w:rPr>
          <w:rFonts w:ascii="Arial" w:hAnsi="Arial" w:cs="Arial"/>
          <w:sz w:val="22"/>
          <w:szCs w:val="22"/>
        </w:rPr>
        <w:t xml:space="preserve"> Digital Skills and Research Methods</w:t>
      </w:r>
    </w:p>
    <w:p w14:paraId="3B06B75D" w14:textId="77777777" w:rsidR="00FD3C2C" w:rsidRPr="004443C5" w:rsidRDefault="00FD3C2C" w:rsidP="004443C5">
      <w:pPr>
        <w:spacing w:line="360" w:lineRule="auto"/>
        <w:rPr>
          <w:rFonts w:ascii="Arial" w:hAnsi="Arial" w:cs="Arial"/>
          <w:sz w:val="22"/>
          <w:szCs w:val="22"/>
        </w:rPr>
      </w:pPr>
    </w:p>
    <w:p w14:paraId="07B7A8D9" w14:textId="77777777" w:rsidR="004443C5" w:rsidRPr="004443C5" w:rsidRDefault="004443C5" w:rsidP="004443C5">
      <w:pPr>
        <w:spacing w:line="360" w:lineRule="auto"/>
        <w:rPr>
          <w:rFonts w:ascii="Arial" w:hAnsi="Arial" w:cs="Arial"/>
          <w:sz w:val="22"/>
          <w:szCs w:val="22"/>
        </w:rPr>
      </w:pPr>
    </w:p>
    <w:p w14:paraId="2DA0F8ED" w14:textId="77777777" w:rsidR="004443C5" w:rsidRPr="004443C5" w:rsidRDefault="004443C5" w:rsidP="004443C5">
      <w:pPr>
        <w:spacing w:line="360" w:lineRule="auto"/>
        <w:rPr>
          <w:rFonts w:ascii="Arial" w:hAnsi="Arial" w:cs="Arial"/>
          <w:sz w:val="22"/>
          <w:szCs w:val="22"/>
        </w:rPr>
      </w:pPr>
    </w:p>
    <w:p w14:paraId="5EA2D63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Times New Roman" w:hAnsi="Arial" w:cs="Arial"/>
          <w:sz w:val="22"/>
          <w:szCs w:val="22"/>
        </w:rPr>
        <w:t>The research paper titled "A qualitative study of organisational resilience in care homes in Scotland” was authored by Alastair Ross, Janet E. Anderson, Santhani Selveindran, Tamsin MacBride, Paul Bowie, Andrea Sherriff, Linda Young, Evie Fioratou, Edel Roddy, Heather Edwards, Belinda Dewar, and Lorna M. Macpherson and published in 2022. It</w:t>
      </w:r>
      <w:r w:rsidRPr="004443C5">
        <w:rPr>
          <w:rFonts w:ascii="Arial" w:eastAsia="Aptos" w:hAnsi="Arial" w:cs="Arial"/>
          <w:kern w:val="2"/>
          <w:sz w:val="22"/>
          <w:szCs w:val="22"/>
          <w:lang w:eastAsia="en-US"/>
          <w14:ligatures w14:val="standardContextual"/>
        </w:rPr>
        <w:t xml:space="preserve"> presents a comprehensive exploration of the challenges and complexities involved in ensuring high-quality care for elderly individuals residing in care homes. This study addresses a pressing issue in contemporary health and social care, particularly in the context of the COVID-19 pandemic. which has significantly impacted the functioning of care systems. (Tulloch J.S.P. </w:t>
      </w:r>
      <w:r w:rsidRPr="004443C5">
        <w:rPr>
          <w:rFonts w:ascii="Arial" w:eastAsia="Aptos" w:hAnsi="Arial" w:cs="Arial"/>
          <w:i/>
          <w:iCs/>
          <w:kern w:val="2"/>
          <w:sz w:val="22"/>
          <w:szCs w:val="22"/>
          <w:lang w:eastAsia="en-US"/>
          <w14:ligatures w14:val="standardContextual"/>
        </w:rPr>
        <w:t>et al</w:t>
      </w:r>
      <w:r w:rsidRPr="004443C5">
        <w:rPr>
          <w:rFonts w:ascii="Arial" w:eastAsia="Aptos" w:hAnsi="Arial" w:cs="Arial"/>
          <w:kern w:val="2"/>
          <w:sz w:val="22"/>
          <w:szCs w:val="22"/>
          <w:lang w:eastAsia="en-US"/>
          <w14:ligatures w14:val="standardContextual"/>
        </w:rPr>
        <w:t>., 2021).</w:t>
      </w:r>
    </w:p>
    <w:p w14:paraId="27FFE8F9" w14:textId="77777777" w:rsidR="004443C5" w:rsidRPr="004443C5" w:rsidRDefault="004443C5" w:rsidP="004443C5">
      <w:pPr>
        <w:spacing w:line="360" w:lineRule="auto"/>
        <w:rPr>
          <w:rFonts w:ascii="Arial" w:eastAsia="Times New Roman" w:hAnsi="Arial" w:cs="Arial"/>
          <w:sz w:val="22"/>
          <w:szCs w:val="22"/>
        </w:rPr>
      </w:pPr>
      <w:r w:rsidRPr="004443C5">
        <w:rPr>
          <w:rFonts w:ascii="Arial" w:eastAsia="Aptos" w:hAnsi="Arial" w:cs="Arial"/>
          <w:kern w:val="2"/>
          <w:sz w:val="22"/>
          <w:szCs w:val="22"/>
          <w:lang w:eastAsia="en-US"/>
          <w14:ligatures w14:val="standardContextual"/>
        </w:rPr>
        <w:t xml:space="preserve">The authors draw attention to persistent concerns regarding care standards, especially in critical areas such as nutrition, oral healthcare, and the management of polypharmacy. (Barber </w:t>
      </w:r>
      <w:r w:rsidRPr="004443C5">
        <w:rPr>
          <w:rFonts w:ascii="Arial" w:eastAsia="Aptos" w:hAnsi="Arial" w:cs="Arial"/>
          <w:i/>
          <w:iCs/>
          <w:kern w:val="2"/>
          <w:sz w:val="22"/>
          <w:szCs w:val="22"/>
          <w:lang w:eastAsia="en-US"/>
          <w14:ligatures w14:val="standardContextual"/>
        </w:rPr>
        <w:t>et al</w:t>
      </w:r>
      <w:r w:rsidRPr="004443C5">
        <w:rPr>
          <w:rFonts w:ascii="Arial" w:eastAsia="Aptos" w:hAnsi="Arial" w:cs="Arial"/>
          <w:kern w:val="2"/>
          <w:sz w:val="22"/>
          <w:szCs w:val="22"/>
          <w:lang w:eastAsia="en-US"/>
          <w14:ligatures w14:val="standardContextual"/>
        </w:rPr>
        <w:t>., 2009) The findings of this study provide valuable insights into how care homes can enhance their resilience and adaptability in the face of increasing demands and operational challenges.</w:t>
      </w:r>
    </w:p>
    <w:p w14:paraId="1F9963C3" w14:textId="77777777" w:rsidR="004443C5" w:rsidRPr="004443C5" w:rsidRDefault="004443C5" w:rsidP="004443C5">
      <w:pPr>
        <w:spacing w:line="360" w:lineRule="auto"/>
        <w:rPr>
          <w:rFonts w:ascii="Arial" w:eastAsia="Times New Roman" w:hAnsi="Arial" w:cs="Arial"/>
          <w:sz w:val="22"/>
          <w:szCs w:val="22"/>
        </w:rPr>
      </w:pPr>
      <w:r w:rsidRPr="004443C5">
        <w:rPr>
          <w:rFonts w:ascii="Arial" w:eastAsia="Aptos" w:hAnsi="Arial" w:cs="Arial"/>
          <w:kern w:val="2"/>
          <w:sz w:val="22"/>
          <w:szCs w:val="22"/>
          <w:lang w:eastAsia="en-US"/>
          <w14:ligatures w14:val="standardContextual"/>
        </w:rPr>
        <w:t>Background and Context</w:t>
      </w:r>
    </w:p>
    <w:p w14:paraId="5A94F85E"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The need for effective care delivery systems for dependent older individuals has been underscored by the heightened vulnerability observed during the COVID-19 pandemic.  According to Tulloch J.S.P. et al. (2021), COVID-19 outbreaks in care homes and the pandemic revealed significant weaknesses in care systems, leading to alarming mortality rates in care homes, particularly among residents with pre-existing conditions such as dementia. In Scotland, a substantial proportion of COVID-19-related deaths occurred in care homes, highlighting the urgent need for resilient organisational strategies that can withstand such crises.</w:t>
      </w:r>
    </w:p>
    <w:p w14:paraId="200927C2"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1A470FC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lastRenderedPageBreak/>
        <w:t>The I-SCOPE (Improving Systems of Care for the Older Person) project was initiated to systematically investigate how care home systems deliver services to older adults, focusing on the adaptations made by staff in response to complex demands. This qualitative study aimed to describe everyday care delivery and how staff balance competing priorities to achieve positive outcomes, exploring the interplay between demand and capacity while identifying opportunities for improvement (Righi A.W. et</w:t>
      </w:r>
      <w:r w:rsidRPr="004443C5">
        <w:rPr>
          <w:rFonts w:ascii="Arial" w:eastAsia="Aptos" w:hAnsi="Arial" w:cs="Arial"/>
          <w:i/>
          <w:iCs/>
          <w:kern w:val="2"/>
          <w:sz w:val="22"/>
          <w:szCs w:val="22"/>
          <w:lang w:eastAsia="en-US"/>
          <w14:ligatures w14:val="standardContextual"/>
        </w:rPr>
        <w:t xml:space="preserve"> al.</w:t>
      </w:r>
      <w:r w:rsidRPr="004443C5">
        <w:rPr>
          <w:rFonts w:ascii="Arial" w:eastAsia="Aptos" w:hAnsi="Arial" w:cs="Arial"/>
          <w:kern w:val="2"/>
          <w:sz w:val="22"/>
          <w:szCs w:val="22"/>
          <w:lang w:eastAsia="en-US"/>
          <w14:ligatures w14:val="standardContextual"/>
        </w:rPr>
        <w:t>, 2015).</w:t>
      </w:r>
    </w:p>
    <w:p w14:paraId="3333FD29"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Theoretical Framework</w:t>
      </w:r>
    </w:p>
    <w:p w14:paraId="6C83E183"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Central to the study is the application of Resilient Healthcare (RHC) theory and the CARE (Concepts for Applying Resilience) model. RHC theory posits that healthcare systems must be resilient to effectively respond to unexpected challenges while maintaining high standards of care. Wiig </w:t>
      </w:r>
      <w:r w:rsidRPr="004443C5">
        <w:rPr>
          <w:rFonts w:ascii="Arial" w:eastAsia="Aptos" w:hAnsi="Arial" w:cs="Arial"/>
          <w:i/>
          <w:iCs/>
          <w:kern w:val="2"/>
          <w:sz w:val="22"/>
          <w:szCs w:val="22"/>
          <w:lang w:eastAsia="en-US"/>
          <w14:ligatures w14:val="standardContextual"/>
        </w:rPr>
        <w:t>et al.</w:t>
      </w:r>
      <w:r w:rsidRPr="004443C5">
        <w:rPr>
          <w:rFonts w:ascii="Arial" w:eastAsia="Aptos" w:hAnsi="Arial" w:cs="Arial"/>
          <w:kern w:val="2"/>
          <w:sz w:val="22"/>
          <w:szCs w:val="22"/>
          <w:lang w:eastAsia="en-US"/>
          <w14:ligatures w14:val="standardContextual"/>
        </w:rPr>
        <w:t xml:space="preserve"> (2020). Defining the boundaries and operational concepts of resilience in the healthcare research program. The CARE model provides a framework for understanding how resilience can be cultivated within care organizations through effective information use, flexible adaptation, and coordination among various care domains. By adopting these theoretical foundations, the researchers sought to explore how care homes navigate the complexities of everyday operations while striving for high-quality outcomes.</w:t>
      </w:r>
    </w:p>
    <w:p w14:paraId="1A6F53B5"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Research Method</w:t>
      </w:r>
    </w:p>
    <w:p w14:paraId="3BEAF6A2" w14:textId="3A69DF44" w:rsidR="004443C5" w:rsidRPr="004443C5" w:rsidRDefault="004443C5" w:rsidP="004443C5">
      <w:pPr>
        <w:spacing w:line="360" w:lineRule="auto"/>
        <w:rPr>
          <w:rFonts w:ascii="Arial" w:eastAsia="Aptos" w:hAnsi="Arial" w:cs="Arial"/>
          <w:b/>
          <w:bCs/>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The I-SCOPE project employed a qualitative methodology to gather rich, descriptive data that captures the lived experiences of care staff, residents, and their families. This approach was deemed suitable for understanding the subtleties of everyday care delivery and the interactions that define the care environment. The research was conducted over 24 months, employing various data collection techniques to ensure a comprehensive understanding of the dynamics at play</w:t>
      </w:r>
      <w:r w:rsidR="00001988">
        <w:rPr>
          <w:rFonts w:ascii="Arial" w:eastAsia="Aptos" w:hAnsi="Arial" w:cs="Arial"/>
          <w:kern w:val="2"/>
          <w:sz w:val="22"/>
          <w:szCs w:val="22"/>
          <w:lang w:eastAsia="en-US"/>
          <w14:ligatures w14:val="standardContextual"/>
        </w:rPr>
        <w:t xml:space="preserve"> </w:t>
      </w:r>
      <w:r w:rsidR="00704D30">
        <w:rPr>
          <w:rFonts w:ascii="Arial" w:eastAsia="Aptos" w:hAnsi="Arial" w:cs="Arial"/>
          <w:kern w:val="2"/>
          <w:sz w:val="22"/>
          <w:szCs w:val="22"/>
          <w:lang w:eastAsia="en-US"/>
          <w14:ligatures w14:val="standardContextual"/>
        </w:rPr>
        <w:t xml:space="preserve">(Palinkas et </w:t>
      </w:r>
      <w:r w:rsidR="00FB2456">
        <w:rPr>
          <w:rFonts w:ascii="Arial" w:eastAsia="Aptos" w:hAnsi="Arial" w:cs="Arial"/>
          <w:kern w:val="2"/>
          <w:sz w:val="22"/>
          <w:szCs w:val="22"/>
          <w:lang w:eastAsia="en-US"/>
          <w14:ligatures w14:val="standardContextual"/>
        </w:rPr>
        <w:t>al., 2015).</w:t>
      </w:r>
    </w:p>
    <w:p w14:paraId="4004815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This approach was deemed most suitable for capturing the subtleties of everyday care delivery and the experiences of staff, teams, and organizations. </w:t>
      </w:r>
    </w:p>
    <w:p w14:paraId="07E1B973"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Qualitative, Quantitative, and Mixed-Methods Research</w:t>
      </w:r>
    </w:p>
    <w:p w14:paraId="79942D04"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Qualitative Research: focuses on understanding human behaviors and experiences through in-depth exploration. It often involves open-ended questions, interviews, and observations to gather rich, descriptive data that provide insights into participants' perspectives.</w:t>
      </w:r>
    </w:p>
    <w:p w14:paraId="448FF427"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Quantitative Research: is centered around numerical data and statistical analysis. It aims to quantify relationships, behaviors, or phenomena, often using structured surveys or experiments to test hypotheses and produce generalizable findings.</w:t>
      </w:r>
    </w:p>
    <w:p w14:paraId="61966631"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lastRenderedPageBreak/>
        <w:t>Mixed-Methods Research combines both qualitative and quantitative approaches, allowing researchers to explore a phenomenon from multiple perspectives. This can provide a more comprehensive understanding by integrating the depth of qualitative data with the breadth of quantitative metrics.</w:t>
      </w:r>
    </w:p>
    <w:p w14:paraId="61DB4076"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The I-SCOPE project employed a qualitative method. This choice enabled the researchers to delve deeply into the lived experiences of care staff, capturing the complexity of their interactions and adaptations in a dynamic environment.</w:t>
      </w:r>
    </w:p>
    <w:p w14:paraId="3344E6D4"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7558256F"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Chosen Method</w:t>
      </w:r>
    </w:p>
    <w:p w14:paraId="51A10C08"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The qualitative approach was implemented through various data collection techniques, including nonparticipant observations, one-on-one interviews, focus groups, and roundtable discussions. </w:t>
      </w:r>
    </w:p>
    <w:p w14:paraId="2A5780B9"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Data Collection Techniques</w:t>
      </w:r>
    </w:p>
    <w:p w14:paraId="79F20FAC"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1. Non-Participant Observation: Researchers shadowed care staff to observe their daily activities and interactions. This method provided real-time insights into the care delivery process, allowing researchers to understand how staff adapt to varying demands. (Emerson et al., 2011).</w:t>
      </w:r>
    </w:p>
    <w:p w14:paraId="56502AD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2. Interviews: Structured one-on-one interviews were conducted with care staff in private settings. These interviews began with broad questions and gradually focused on specific aspects of care, including nutrition, medication management, and social activities. This method allowed researchers to delve deeply into the experiences and perspectives of care staff.</w:t>
      </w:r>
    </w:p>
    <w:p w14:paraId="5C88C04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3. Focus Groups: Group discussions were held with care inspectors and multidisciplinary teams to gather diverse perspectives on care quality and organizational resilience. These discussions provided a platform for collaborative dialogue, enabling participants to share insights and experiences.</w:t>
      </w:r>
    </w:p>
    <w:p w14:paraId="0545C196"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4. Resident and Family Interviews: According to Nolan et al. (2006). Care home staff conducted interviews with residents and family members using an emotional touchpoints approach. This method aimed to explore their experiences and feelings about the care provided, emphasizing the importance of relationship-centered care. </w:t>
      </w:r>
    </w:p>
    <w:p w14:paraId="60203DC7"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5. Project Workshop: A final workshop brought together researchers and stakeholders to discuss findings and validate themes through roundtable discussions. This collaborative </w:t>
      </w:r>
      <w:r w:rsidRPr="004443C5">
        <w:rPr>
          <w:rFonts w:ascii="Arial" w:eastAsia="Aptos" w:hAnsi="Arial" w:cs="Arial"/>
          <w:kern w:val="2"/>
          <w:sz w:val="22"/>
          <w:szCs w:val="22"/>
          <w:lang w:eastAsia="en-US"/>
          <w14:ligatures w14:val="standardContextual"/>
        </w:rPr>
        <w:lastRenderedPageBreak/>
        <w:t>approach ensured that the insights derived from the research reflected the experiences of those involved.</w:t>
      </w:r>
    </w:p>
    <w:p w14:paraId="4FEEF487"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1D27B4D7"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Primary vs. Secondary Data Collection</w:t>
      </w:r>
    </w:p>
    <w:p w14:paraId="17514EC3"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The I-SCOPE project primarily relied on primary data collection methods, gathering original data through observations, interviews, and discussions directly related to the research objectives. This focus on primary data allowed the researchers to capture the intricacies of care delivery and the adaptations made by staff in real-time, ensuring that the findings were relevant and grounded in actual experiences.</w:t>
      </w:r>
    </w:p>
    <w:p w14:paraId="25473A3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38917D11"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Data Analysis Process</w:t>
      </w:r>
    </w:p>
    <w:p w14:paraId="4077BF48"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Data analysis in the I-SCOPE study was conducted using QSR NVivo 12.0, a software tool designed for managing qualitative data. (Onwuegbuzie A.J., et al., 2010). The analysis followed a two-stage process aligned with Resilient Healthcare methods and the CARE model.</w:t>
      </w:r>
    </w:p>
    <w:p w14:paraId="4CF1F948"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1. Capturing Work-as- Done: In the first stage, researchers extracted contextual examples from the data, describing everyday work in terms of demand and capacity, adaptations, and outcomes. This stage provided a detailed view of how care staff navigated complex conditions in their daily routines.</w:t>
      </w:r>
    </w:p>
    <w:p w14:paraId="79F52DF9"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4DF19C19"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2. Describing Resilience: The second stage synthesized the data into higher-level thematic descriptions, identifying patterns of resilient performance across different care domains. This involved coding the data based on key resilience activities and assessing where the system functioned effectively or required intervention. (Anderson J.E. et al., 2021.)</w:t>
      </w:r>
    </w:p>
    <w:p w14:paraId="48FE41A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Throughout the analysis, coded excerpts were tested against stakeholder feedback during roundtable discussions at the project workshop. This validation process ensured that the findings accurately represented the experiences and insights of those involved in care delivery.</w:t>
      </w:r>
    </w:p>
    <w:p w14:paraId="5D286918"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7254B2FB"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Key Findings</w:t>
      </w:r>
    </w:p>
    <w:p w14:paraId="36632B4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lastRenderedPageBreak/>
        <w:t>The findings of the I-SCOPE project underscore the necessity for systemic strategies that enhance effective information utilization, promote flexible responses, and improve coordination within care homes. The study revealed several key themes related to organizational resilience.</w:t>
      </w:r>
    </w:p>
    <w:p w14:paraId="15808323"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Adaptability: Care staff demonstrated a remarkable ability to adapt to changing circumstances, whether due to increased complexity in care needs or external pressures such as the COVID-19 pandemic. This adaptability was essential for maintaining care quality in a challenging environment.</w:t>
      </w:r>
    </w:p>
    <w:p w14:paraId="7E33939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Collaboration and Coordination: Effective collaboration among care staff, families, and multidisciplinary teams was identified as a critical factor in achieving positive outcomes. The study highlighted the importance of fostering a culture of teamwork and open communication to navigate the complexities of care delivery.</w:t>
      </w:r>
    </w:p>
    <w:p w14:paraId="1BB27C8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Information Utilization: The research emphasized the need for care homes to utilize information effectively, both in terms of data management and communication. Enhancing the flow of information among staff, residents, and families can lead to more informed decision-making and improved care quality.</w:t>
      </w:r>
    </w:p>
    <w:p w14:paraId="295EF03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Understanding Resident Needs: The emotional touchpoint interviews with residents and families revealed valuable insights into their experiences and expectations. This understanding can inform care practices and support the development of more person-centered approaches.</w:t>
      </w:r>
    </w:p>
    <w:p w14:paraId="3A329D9D"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42D560E2"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Implications for Practice</w:t>
      </w:r>
    </w:p>
    <w:p w14:paraId="0EF29792"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The insights gained from the I-SCOPE project have significant implications for health and social care practice in the UK and beyond. The historical separation of health and social care has often led to inadequate funding and support for care homes, resulting in challenges in meeting the complex needs of residents. (Krein S.L. et al., 2010). Suggested that by focusing on resilience and adaptability in care systems, organizations can develop more sustainable strategies for improving care quality. </w:t>
      </w:r>
    </w:p>
    <w:p w14:paraId="0BAD6ADF"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1. Holistic Approaches: Improvement efforts should prioritize holistic, system-wide changes rather than narrowly focusing on staff training. This includes enhancing information systems, fostering collaboration, and understanding the unique challenges faced by care staff.</w:t>
      </w:r>
    </w:p>
    <w:p w14:paraId="16E9B4A5"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lastRenderedPageBreak/>
        <w:t>2. Investment in Resources: Adequate resources must be allocated to support care homes in their efforts to enhance resilience. This includes funding for staff training, technology, and infrastructure improvements that facilitate effective care delivery.</w:t>
      </w:r>
    </w:p>
    <w:p w14:paraId="1EC3EA4C"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3. Policy Development: Policymakers should consider the insights from this research when designing health and social care policies. Initiatives that promote integration between health and social services can help address the historical divide and support more effective care delivery.</w:t>
      </w:r>
    </w:p>
    <w:p w14:paraId="5D001C9B"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68564C95"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In conclusion, the I-SCOPE project not only sheds light on the pressing issues faced by care homes in Scotland but also provides a roadmap for future improvements in care delivery. The findings emphasize the importance of resilience in care systems and highlight the need for holistic, system-wide strategies that prioritize the needs of residents and staff alike. As the landscape of health and social care continues to evolve, the insights from this research will remain crucial in informing practices that enhance the quality of care for older adults. (Campbell et al., 2007).</w:t>
      </w:r>
    </w:p>
    <w:p w14:paraId="51C4EE02"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0AEBA290"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RESOURCES </w:t>
      </w:r>
    </w:p>
    <w:p w14:paraId="0CC82E01"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Anderson, J.E., and Ross A.J. Improving Quality Through Resilient Systems: The Care-QI Handbook. Available from https://resiliencecentre.org.uk/care-qi-handbook/. in International Ergonomics Association 21st Triennial Congress (IEA 2021). 2021. Vancouver.</w:t>
      </w:r>
    </w:p>
    <w:p w14:paraId="76999EF9"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 Government, S. Coronavirus (COVID-19): daily data for Scotland. 2021, Available from: https://www.gov.scot/publications/coronavirus-covid-19-data-for-scotland/.</w:t>
      </w:r>
    </w:p>
    <w:p w14:paraId="7E74A2A6"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Health and Social Care Standards. 2017, Scottish Government: Edinburgh.</w:t>
      </w:r>
    </w:p>
    <w:p w14:paraId="5B90C598"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 Morley J.E., et al., International Survey of Nursing Home Research Priorities. J AM Med Dir Assoc, 2014. 15(5): p. 309–12. </w:t>
      </w:r>
    </w:p>
    <w:p w14:paraId="5BF94BD5"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 Palinkas L.A., et al., Purposeful Sampling for Qualitative Data Collection and Analysis in Mixed Method Implementation Research. Administration and Policy in Mental Health and Mental Health Services Research, 2015. 42(5): p. 533–544. </w:t>
      </w:r>
    </w:p>
    <w:p w14:paraId="05DF0EA3"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Tulloch J.S.P., et al., COVID-19 outbreaks in care homes. (J Hosp Infect, 2021. 111p. 96–101)</w:t>
      </w:r>
    </w:p>
    <w:p w14:paraId="5941380A"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 xml:space="preserve"> Barber N.D., et al. Qual Saf Health Care, 2009. 18(5): p. 341–6.</w:t>
      </w:r>
    </w:p>
    <w:p w14:paraId="360FB3A5"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lastRenderedPageBreak/>
        <w:t>Krein, S.L., et al., Social Science &amp; Medicine, 2010. 71(9). p. 1692–1701.</w:t>
      </w:r>
    </w:p>
    <w:p w14:paraId="136B9CE2"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r w:rsidRPr="004443C5">
        <w:rPr>
          <w:rFonts w:ascii="Arial" w:eastAsia="Aptos" w:hAnsi="Arial" w:cs="Arial"/>
          <w:kern w:val="2"/>
          <w:sz w:val="22"/>
          <w:szCs w:val="22"/>
          <w:lang w:eastAsia="en-US"/>
          <w14:ligatures w14:val="standardContextual"/>
        </w:rPr>
        <w:t>Campbell, N.C., et al., BMJ, 2007. 334(7591). p. 455–9.</w:t>
      </w:r>
    </w:p>
    <w:p w14:paraId="226E38B6"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798250D7" w14:textId="77777777" w:rsidR="004443C5" w:rsidRPr="004443C5" w:rsidRDefault="004443C5" w:rsidP="004443C5">
      <w:pPr>
        <w:spacing w:line="360" w:lineRule="auto"/>
        <w:rPr>
          <w:rFonts w:ascii="Arial" w:eastAsia="Aptos" w:hAnsi="Arial" w:cs="Arial"/>
          <w:kern w:val="2"/>
          <w:sz w:val="22"/>
          <w:szCs w:val="22"/>
          <w:lang w:eastAsia="en-US"/>
          <w14:ligatures w14:val="standardContextual"/>
        </w:rPr>
      </w:pPr>
    </w:p>
    <w:p w14:paraId="5A8A1B30" w14:textId="77777777" w:rsidR="004443C5" w:rsidRPr="004443C5" w:rsidRDefault="004443C5" w:rsidP="004443C5">
      <w:pPr>
        <w:spacing w:line="360" w:lineRule="auto"/>
        <w:rPr>
          <w:rFonts w:ascii="Arial" w:hAnsi="Arial" w:cs="Arial"/>
          <w:sz w:val="22"/>
          <w:szCs w:val="22"/>
        </w:rPr>
      </w:pPr>
    </w:p>
    <w:p w14:paraId="40760992" w14:textId="77777777" w:rsidR="00FD3C2C" w:rsidRPr="004443C5" w:rsidRDefault="00FD3C2C" w:rsidP="004443C5">
      <w:pPr>
        <w:spacing w:line="360" w:lineRule="auto"/>
        <w:rPr>
          <w:rFonts w:ascii="Arial" w:hAnsi="Arial" w:cs="Arial"/>
          <w:sz w:val="22"/>
          <w:szCs w:val="22"/>
        </w:rPr>
      </w:pPr>
    </w:p>
    <w:p w14:paraId="7FAD6E82" w14:textId="643B7403" w:rsidR="00265269" w:rsidRPr="004443C5" w:rsidRDefault="00265269" w:rsidP="004443C5">
      <w:pPr>
        <w:spacing w:line="360" w:lineRule="auto"/>
        <w:rPr>
          <w:rFonts w:ascii="Arial" w:hAnsi="Arial" w:cs="Arial"/>
          <w:sz w:val="22"/>
          <w:szCs w:val="22"/>
        </w:rPr>
      </w:pPr>
    </w:p>
    <w:sectPr w:rsidR="00265269" w:rsidRPr="004443C5">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6C049" w14:textId="77777777" w:rsidR="009A0BDE" w:rsidRDefault="009A0BDE" w:rsidP="008C780B">
      <w:pPr>
        <w:spacing w:after="0" w:line="240" w:lineRule="auto"/>
      </w:pPr>
      <w:r>
        <w:separator/>
      </w:r>
    </w:p>
  </w:endnote>
  <w:endnote w:type="continuationSeparator" w:id="0">
    <w:p w14:paraId="6BF5DC21" w14:textId="77777777" w:rsidR="009A0BDE" w:rsidRDefault="009A0BDE" w:rsidP="008C7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26869"/>
      <w:docPartObj>
        <w:docPartGallery w:val="Page Numbers (Bottom of Page)"/>
        <w:docPartUnique/>
      </w:docPartObj>
    </w:sdtPr>
    <w:sdtContent>
      <w:p w14:paraId="621189D8" w14:textId="599D12EC" w:rsidR="008C780B" w:rsidRDefault="008C780B">
        <w:pPr>
          <w:pStyle w:val="Footer"/>
        </w:pPr>
        <w:r>
          <w:fldChar w:fldCharType="begin"/>
        </w:r>
        <w:r>
          <w:instrText>PAGE   \* MERGEFORMAT</w:instrText>
        </w:r>
        <w:r>
          <w:fldChar w:fldCharType="separate"/>
        </w:r>
        <w:r>
          <w:t>2</w:t>
        </w:r>
        <w:r>
          <w:fldChar w:fldCharType="end"/>
        </w:r>
      </w:p>
    </w:sdtContent>
  </w:sdt>
  <w:p w14:paraId="7E47A945" w14:textId="77777777" w:rsidR="008C780B" w:rsidRDefault="008C7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3E5E5" w14:textId="77777777" w:rsidR="009A0BDE" w:rsidRDefault="009A0BDE" w:rsidP="008C780B">
      <w:pPr>
        <w:spacing w:after="0" w:line="240" w:lineRule="auto"/>
      </w:pPr>
      <w:r>
        <w:separator/>
      </w:r>
    </w:p>
  </w:footnote>
  <w:footnote w:type="continuationSeparator" w:id="0">
    <w:p w14:paraId="7C3792E8" w14:textId="77777777" w:rsidR="009A0BDE" w:rsidRDefault="009A0BDE" w:rsidP="008C78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DB498E"/>
    <w:rsid w:val="00001988"/>
    <w:rsid w:val="00026284"/>
    <w:rsid w:val="00130FDE"/>
    <w:rsid w:val="00265269"/>
    <w:rsid w:val="0029367D"/>
    <w:rsid w:val="003178D3"/>
    <w:rsid w:val="003C2119"/>
    <w:rsid w:val="0043478E"/>
    <w:rsid w:val="004443C5"/>
    <w:rsid w:val="004827CB"/>
    <w:rsid w:val="0050224F"/>
    <w:rsid w:val="005164A4"/>
    <w:rsid w:val="00704D30"/>
    <w:rsid w:val="008625D0"/>
    <w:rsid w:val="008A6776"/>
    <w:rsid w:val="008C780B"/>
    <w:rsid w:val="009A0BDE"/>
    <w:rsid w:val="00A22381"/>
    <w:rsid w:val="00BF1B62"/>
    <w:rsid w:val="00CE4A40"/>
    <w:rsid w:val="00E170BB"/>
    <w:rsid w:val="00F647AC"/>
    <w:rsid w:val="00FB2456"/>
    <w:rsid w:val="00FD3C2C"/>
    <w:rsid w:val="19A5D528"/>
    <w:rsid w:val="1C46D7D0"/>
    <w:rsid w:val="1D3DD245"/>
    <w:rsid w:val="1DA4AC93"/>
    <w:rsid w:val="27CD2D27"/>
    <w:rsid w:val="2FCC14F8"/>
    <w:rsid w:val="31DB498E"/>
    <w:rsid w:val="3EB9B46A"/>
    <w:rsid w:val="41B80BBC"/>
    <w:rsid w:val="46CEAC95"/>
    <w:rsid w:val="4E0E6A3C"/>
    <w:rsid w:val="58A4D031"/>
    <w:rsid w:val="5A5214B6"/>
    <w:rsid w:val="6CD56AFA"/>
    <w:rsid w:val="6F8FD8DC"/>
    <w:rsid w:val="782432DB"/>
    <w:rsid w:val="78A8AE57"/>
    <w:rsid w:val="79A06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584E2"/>
  <w15:chartTrackingRefBased/>
  <w15:docId w15:val="{82A4445F-3CEC-4C55-A583-F856B332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9A5D528"/>
    <w:rPr>
      <w:color w:val="467886"/>
      <w:u w:val="single"/>
    </w:rPr>
  </w:style>
  <w:style w:type="paragraph" w:styleId="Header">
    <w:name w:val="header"/>
    <w:basedOn w:val="Normal"/>
    <w:link w:val="HeaderChar"/>
    <w:uiPriority w:val="99"/>
    <w:unhideWhenUsed/>
    <w:rsid w:val="008C7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80B"/>
  </w:style>
  <w:style w:type="paragraph" w:styleId="Footer">
    <w:name w:val="footer"/>
    <w:basedOn w:val="Normal"/>
    <w:link w:val="FooterChar"/>
    <w:uiPriority w:val="99"/>
    <w:unhideWhenUsed/>
    <w:rsid w:val="008C7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1939</Words>
  <Characters>11057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Akosua Ntow (2535577)</dc:creator>
  <cp:keywords/>
  <dc:description/>
  <cp:lastModifiedBy>Akosua Ntow</cp:lastModifiedBy>
  <cp:revision>8</cp:revision>
  <dcterms:created xsi:type="dcterms:W3CDTF">2026-07-10T20:23:00Z</dcterms:created>
  <dcterms:modified xsi:type="dcterms:W3CDTF">2026-07-10T20:33:00Z</dcterms:modified>
</cp:coreProperties>
</file>