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935480833"/>
        <w:docPartObj>
          <w:docPartGallery w:val="Cover Pages"/>
          <w:docPartUnique/>
        </w:docPartObj>
      </w:sdtPr>
      <w:sdtEndPr>
        <w:rPr>
          <w:rFonts w:eastAsiaTheme="minorHAnsi"/>
          <w:sz w:val="22"/>
          <w:lang w:val="en-GB" w:eastAsia="en-US"/>
        </w:rPr>
      </w:sdtEndPr>
      <w:sdtContent>
        <w:p w14:paraId="26B02792" w14:textId="7A7D72EE" w:rsidR="007E0B2F" w:rsidRDefault="007E0B2F">
          <w:pPr>
            <w:pStyle w:val="NoSpacing"/>
            <w:rPr>
              <w:sz w:val="2"/>
            </w:rPr>
          </w:pPr>
        </w:p>
        <w:p w14:paraId="4EEACD4D" w14:textId="77777777" w:rsidR="007E0B2F" w:rsidRDefault="007E0B2F">
          <w:r>
            <w:rPr>
              <w:noProof/>
            </w:rPr>
            <mc:AlternateContent>
              <mc:Choice Requires="wps">
                <w:drawing>
                  <wp:anchor distT="0" distB="0" distL="114300" distR="114300" simplePos="0" relativeHeight="251661312" behindDoc="0" locked="0" layoutInCell="1" allowOverlap="1" wp14:anchorId="20D2E4D5" wp14:editId="10784A10">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C40070" w14:textId="30E3F0F4" w:rsidR="007E0B2F" w:rsidRDefault="007E0B2F" w:rsidP="007E0B2F">
                                <w:pPr>
                                  <w:pStyle w:val="NoSpacing"/>
                                  <w:jc w:val="center"/>
                                  <w:rPr>
                                    <w:rFonts w:ascii="Agency FB" w:eastAsiaTheme="majorEastAsia" w:hAnsi="Agency FB" w:cstheme="majorBidi"/>
                                    <w:caps/>
                                    <w:color w:val="000000" w:themeColor="text1"/>
                                    <w:sz w:val="96"/>
                                    <w:szCs w:val="96"/>
                                    <w:lang w:val="en-GB"/>
                                  </w:rPr>
                                </w:pPr>
                                <w:r w:rsidRPr="007E0B2F">
                                  <w:rPr>
                                    <w:rFonts w:ascii="Agency FB" w:eastAsiaTheme="majorEastAsia" w:hAnsi="Agency FB" w:cstheme="majorBidi"/>
                                    <w:caps/>
                                    <w:color w:val="000000" w:themeColor="text1"/>
                                    <w:sz w:val="96"/>
                                    <w:szCs w:val="96"/>
                                    <w:lang w:val="en-GB"/>
                                  </w:rPr>
                                  <w:t>report</w:t>
                                </w:r>
                              </w:p>
                              <w:p w14:paraId="43426CC9" w14:textId="77777777" w:rsidR="007E0B2F" w:rsidRPr="00580D77" w:rsidRDefault="007E0B2F" w:rsidP="007E0B2F">
                                <w:pPr>
                                  <w:jc w:val="center"/>
                                  <w:rPr>
                                    <w:rFonts w:ascii="Agency FB" w:hAnsi="Agency FB"/>
                                    <w:sz w:val="72"/>
                                    <w:szCs w:val="72"/>
                                  </w:rPr>
                                </w:pPr>
                                <w:r w:rsidRPr="00580D77">
                                  <w:rPr>
                                    <w:rFonts w:ascii="Agency FB" w:hAnsi="Agency FB"/>
                                    <w:sz w:val="72"/>
                                    <w:szCs w:val="72"/>
                                  </w:rPr>
                                  <w:t>Veneta Georgieva</w:t>
                                </w:r>
                              </w:p>
                              <w:p w14:paraId="66543B60" w14:textId="77777777" w:rsidR="007E0B2F" w:rsidRPr="00580D77" w:rsidRDefault="007E0B2F" w:rsidP="007E0B2F">
                                <w:pPr>
                                  <w:jc w:val="center"/>
                                  <w:rPr>
                                    <w:rFonts w:ascii="Agency FB" w:hAnsi="Agency FB"/>
                                    <w:sz w:val="72"/>
                                    <w:szCs w:val="72"/>
                                  </w:rPr>
                                </w:pPr>
                                <w:r w:rsidRPr="00580D77">
                                  <w:rPr>
                                    <w:rFonts w:ascii="Agency FB" w:hAnsi="Agency FB"/>
                                    <w:sz w:val="72"/>
                                    <w:szCs w:val="72"/>
                                  </w:rPr>
                                  <w:t>Student ID:2225023</w:t>
                                </w:r>
                              </w:p>
                              <w:p w14:paraId="66A4A162" w14:textId="61C45F5C" w:rsidR="007E0B2F" w:rsidRDefault="007E0B2F" w:rsidP="007E0B2F">
                                <w:pPr>
                                  <w:pStyle w:val="NoSpacing"/>
                                  <w:jc w:val="center"/>
                                  <w:rPr>
                                    <w:rFonts w:ascii="Agency FB" w:eastAsiaTheme="majorEastAsia" w:hAnsi="Agency FB" w:cstheme="majorBidi"/>
                                    <w:caps/>
                                    <w:color w:val="000000" w:themeColor="text1"/>
                                    <w:sz w:val="48"/>
                                    <w:szCs w:val="48"/>
                                    <w:lang w:val="en-GB"/>
                                  </w:rPr>
                                </w:pPr>
                                <w:r>
                                  <w:rPr>
                                    <w:rFonts w:ascii="Agency FB" w:eastAsiaTheme="majorEastAsia" w:hAnsi="Agency FB" w:cstheme="majorBidi"/>
                                    <w:caps/>
                                    <w:color w:val="000000" w:themeColor="text1"/>
                                    <w:sz w:val="48"/>
                                    <w:szCs w:val="48"/>
                                    <w:lang w:val="en-GB"/>
                                  </w:rPr>
                                  <w:t>Course:Business and Management</w:t>
                                </w:r>
                              </w:p>
                              <w:p w14:paraId="074D3E3F" w14:textId="0AB11040" w:rsidR="007E0B2F" w:rsidRDefault="007E0B2F" w:rsidP="007E0B2F">
                                <w:pPr>
                                  <w:pStyle w:val="NoSpacing"/>
                                  <w:jc w:val="center"/>
                                  <w:rPr>
                                    <w:rFonts w:ascii="Agency FB" w:eastAsiaTheme="majorEastAsia" w:hAnsi="Agency FB" w:cstheme="majorBidi"/>
                                    <w:caps/>
                                    <w:color w:val="000000" w:themeColor="text1"/>
                                    <w:sz w:val="48"/>
                                    <w:szCs w:val="48"/>
                                    <w:lang w:val="en-GB"/>
                                  </w:rPr>
                                </w:pPr>
                                <w:r>
                                  <w:rPr>
                                    <w:rFonts w:ascii="Agency FB" w:eastAsiaTheme="majorEastAsia" w:hAnsi="Agency FB" w:cstheme="majorBidi"/>
                                    <w:caps/>
                                    <w:color w:val="000000" w:themeColor="text1"/>
                                    <w:sz w:val="48"/>
                                    <w:szCs w:val="48"/>
                                    <w:lang w:val="en-GB"/>
                                  </w:rPr>
                                  <w:t>Module:</w:t>
                                </w:r>
                                <w:r w:rsidRPr="007E0B2F">
                                  <w:rPr>
                                    <w:rFonts w:ascii="Agency FB" w:eastAsiaTheme="majorEastAsia" w:hAnsi="Agency FB" w:cstheme="majorBidi"/>
                                    <w:caps/>
                                    <w:color w:val="000000" w:themeColor="text1"/>
                                    <w:sz w:val="48"/>
                                    <w:szCs w:val="48"/>
                                    <w:lang w:val="en-GB"/>
                                  </w:rPr>
                                  <w:t xml:space="preserve"> </w:t>
                                </w:r>
                                <w:r>
                                  <w:rPr>
                                    <w:rFonts w:ascii="Agency FB" w:eastAsiaTheme="majorEastAsia" w:hAnsi="Agency FB" w:cstheme="majorBidi"/>
                                    <w:caps/>
                                    <w:color w:val="000000" w:themeColor="text1"/>
                                    <w:sz w:val="48"/>
                                    <w:szCs w:val="48"/>
                                    <w:lang w:val="en-GB"/>
                                  </w:rPr>
                                  <w:t>International Financial Management</w:t>
                                </w:r>
                              </w:p>
                              <w:p w14:paraId="4D4A17CE" w14:textId="7DA7015A" w:rsidR="007E0B2F" w:rsidRDefault="007E0B2F" w:rsidP="007E0B2F">
                                <w:pPr>
                                  <w:pStyle w:val="NoSpacing"/>
                                  <w:jc w:val="center"/>
                                  <w:rPr>
                                    <w:rFonts w:ascii="Agency FB" w:eastAsiaTheme="majorEastAsia" w:hAnsi="Agency FB" w:cstheme="majorBidi"/>
                                    <w:caps/>
                                    <w:color w:val="000000" w:themeColor="text1"/>
                                    <w:sz w:val="48"/>
                                    <w:szCs w:val="48"/>
                                    <w:lang w:val="en-GB"/>
                                  </w:rPr>
                                </w:pPr>
                                <w:r>
                                  <w:rPr>
                                    <w:rFonts w:ascii="Agency FB" w:eastAsiaTheme="majorEastAsia" w:hAnsi="Agency FB" w:cstheme="majorBidi"/>
                                    <w:caps/>
                                    <w:color w:val="000000" w:themeColor="text1"/>
                                    <w:sz w:val="48"/>
                                    <w:szCs w:val="48"/>
                                    <w:lang w:val="en-GB"/>
                                  </w:rPr>
                                  <w:t>Module code:Lcbb6002</w:t>
                                </w:r>
                              </w:p>
                              <w:p w14:paraId="16B10BAE" w14:textId="2EB8D729" w:rsidR="007E0B2F" w:rsidRDefault="007E0B2F" w:rsidP="007E0B2F">
                                <w:pPr>
                                  <w:pStyle w:val="NoSpacing"/>
                                  <w:jc w:val="center"/>
                                  <w:rPr>
                                    <w:rFonts w:ascii="Agency FB" w:eastAsiaTheme="majorEastAsia" w:hAnsi="Agency FB" w:cstheme="majorBidi"/>
                                    <w:caps/>
                                    <w:color w:val="000000" w:themeColor="text1"/>
                                    <w:sz w:val="48"/>
                                    <w:szCs w:val="48"/>
                                    <w:lang w:val="en-GB"/>
                                  </w:rPr>
                                </w:pPr>
                                <w:r>
                                  <w:rPr>
                                    <w:rFonts w:ascii="Agency FB" w:eastAsiaTheme="majorEastAsia" w:hAnsi="Agency FB" w:cstheme="majorBidi"/>
                                    <w:caps/>
                                    <w:color w:val="000000" w:themeColor="text1"/>
                                    <w:sz w:val="48"/>
                                    <w:szCs w:val="48"/>
                                    <w:lang w:val="en-GB"/>
                                  </w:rPr>
                                  <w:t>module lecturer:dr.Mudassar hasan</w:t>
                                </w:r>
                              </w:p>
                              <w:p w14:paraId="5018248E" w14:textId="48260364" w:rsidR="007E0B2F" w:rsidRDefault="007E0B2F" w:rsidP="007E0B2F">
                                <w:pPr>
                                  <w:pStyle w:val="NoSpacing"/>
                                  <w:jc w:val="center"/>
                                  <w:rPr>
                                    <w:rFonts w:ascii="Agency FB" w:eastAsiaTheme="majorEastAsia" w:hAnsi="Agency FB" w:cstheme="majorBidi"/>
                                    <w:caps/>
                                    <w:color w:val="000000" w:themeColor="text1"/>
                                    <w:sz w:val="48"/>
                                    <w:szCs w:val="48"/>
                                    <w:lang w:val="en-GB"/>
                                  </w:rPr>
                                </w:pPr>
                                <w:r>
                                  <w:rPr>
                                    <w:rFonts w:ascii="Agency FB" w:eastAsiaTheme="majorEastAsia" w:hAnsi="Agency FB" w:cstheme="majorBidi"/>
                                    <w:caps/>
                                    <w:color w:val="000000" w:themeColor="text1"/>
                                    <w:sz w:val="48"/>
                                    <w:szCs w:val="48"/>
                                    <w:lang w:val="en-GB"/>
                                  </w:rPr>
                                  <w:t>uwtsd birmingham</w:t>
                                </w:r>
                              </w:p>
                              <w:p w14:paraId="0351872F" w14:textId="758E9D22" w:rsidR="007E0B2F" w:rsidRDefault="007E0B2F">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0D2E4D5"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1DC40070" w14:textId="30E3F0F4" w:rsidR="007E0B2F" w:rsidRDefault="007E0B2F" w:rsidP="007E0B2F">
                          <w:pPr>
                            <w:pStyle w:val="NoSpacing"/>
                            <w:jc w:val="center"/>
                            <w:rPr>
                              <w:rFonts w:ascii="Agency FB" w:eastAsiaTheme="majorEastAsia" w:hAnsi="Agency FB" w:cstheme="majorBidi"/>
                              <w:caps/>
                              <w:color w:val="000000" w:themeColor="text1"/>
                              <w:sz w:val="96"/>
                              <w:szCs w:val="96"/>
                              <w:lang w:val="en-GB"/>
                            </w:rPr>
                          </w:pPr>
                          <w:r w:rsidRPr="007E0B2F">
                            <w:rPr>
                              <w:rFonts w:ascii="Agency FB" w:eastAsiaTheme="majorEastAsia" w:hAnsi="Agency FB" w:cstheme="majorBidi"/>
                              <w:caps/>
                              <w:color w:val="000000" w:themeColor="text1"/>
                              <w:sz w:val="96"/>
                              <w:szCs w:val="96"/>
                              <w:lang w:val="en-GB"/>
                            </w:rPr>
                            <w:t>report</w:t>
                          </w:r>
                        </w:p>
                        <w:p w14:paraId="43426CC9" w14:textId="77777777" w:rsidR="007E0B2F" w:rsidRPr="00580D77" w:rsidRDefault="007E0B2F" w:rsidP="007E0B2F">
                          <w:pPr>
                            <w:jc w:val="center"/>
                            <w:rPr>
                              <w:rFonts w:ascii="Agency FB" w:hAnsi="Agency FB"/>
                              <w:sz w:val="72"/>
                              <w:szCs w:val="72"/>
                            </w:rPr>
                          </w:pPr>
                          <w:r w:rsidRPr="00580D77">
                            <w:rPr>
                              <w:rFonts w:ascii="Agency FB" w:hAnsi="Agency FB"/>
                              <w:sz w:val="72"/>
                              <w:szCs w:val="72"/>
                            </w:rPr>
                            <w:t>Veneta Georgieva</w:t>
                          </w:r>
                        </w:p>
                        <w:p w14:paraId="66543B60" w14:textId="77777777" w:rsidR="007E0B2F" w:rsidRPr="00580D77" w:rsidRDefault="007E0B2F" w:rsidP="007E0B2F">
                          <w:pPr>
                            <w:jc w:val="center"/>
                            <w:rPr>
                              <w:rFonts w:ascii="Agency FB" w:hAnsi="Agency FB"/>
                              <w:sz w:val="72"/>
                              <w:szCs w:val="72"/>
                            </w:rPr>
                          </w:pPr>
                          <w:r w:rsidRPr="00580D77">
                            <w:rPr>
                              <w:rFonts w:ascii="Agency FB" w:hAnsi="Agency FB"/>
                              <w:sz w:val="72"/>
                              <w:szCs w:val="72"/>
                            </w:rPr>
                            <w:t>Student ID:2225023</w:t>
                          </w:r>
                        </w:p>
                        <w:p w14:paraId="66A4A162" w14:textId="61C45F5C" w:rsidR="007E0B2F" w:rsidRDefault="007E0B2F" w:rsidP="007E0B2F">
                          <w:pPr>
                            <w:pStyle w:val="NoSpacing"/>
                            <w:jc w:val="center"/>
                            <w:rPr>
                              <w:rFonts w:ascii="Agency FB" w:eastAsiaTheme="majorEastAsia" w:hAnsi="Agency FB" w:cstheme="majorBidi"/>
                              <w:caps/>
                              <w:color w:val="000000" w:themeColor="text1"/>
                              <w:sz w:val="48"/>
                              <w:szCs w:val="48"/>
                              <w:lang w:val="en-GB"/>
                            </w:rPr>
                          </w:pPr>
                          <w:r>
                            <w:rPr>
                              <w:rFonts w:ascii="Agency FB" w:eastAsiaTheme="majorEastAsia" w:hAnsi="Agency FB" w:cstheme="majorBidi"/>
                              <w:caps/>
                              <w:color w:val="000000" w:themeColor="text1"/>
                              <w:sz w:val="48"/>
                              <w:szCs w:val="48"/>
                              <w:lang w:val="en-GB"/>
                            </w:rPr>
                            <w:t>Course:Business and Management</w:t>
                          </w:r>
                        </w:p>
                        <w:p w14:paraId="074D3E3F" w14:textId="0AB11040" w:rsidR="007E0B2F" w:rsidRDefault="007E0B2F" w:rsidP="007E0B2F">
                          <w:pPr>
                            <w:pStyle w:val="NoSpacing"/>
                            <w:jc w:val="center"/>
                            <w:rPr>
                              <w:rFonts w:ascii="Agency FB" w:eastAsiaTheme="majorEastAsia" w:hAnsi="Agency FB" w:cstheme="majorBidi"/>
                              <w:caps/>
                              <w:color w:val="000000" w:themeColor="text1"/>
                              <w:sz w:val="48"/>
                              <w:szCs w:val="48"/>
                              <w:lang w:val="en-GB"/>
                            </w:rPr>
                          </w:pPr>
                          <w:r>
                            <w:rPr>
                              <w:rFonts w:ascii="Agency FB" w:eastAsiaTheme="majorEastAsia" w:hAnsi="Agency FB" w:cstheme="majorBidi"/>
                              <w:caps/>
                              <w:color w:val="000000" w:themeColor="text1"/>
                              <w:sz w:val="48"/>
                              <w:szCs w:val="48"/>
                              <w:lang w:val="en-GB"/>
                            </w:rPr>
                            <w:t>Module:</w:t>
                          </w:r>
                          <w:r w:rsidRPr="007E0B2F">
                            <w:rPr>
                              <w:rFonts w:ascii="Agency FB" w:eastAsiaTheme="majorEastAsia" w:hAnsi="Agency FB" w:cstheme="majorBidi"/>
                              <w:caps/>
                              <w:color w:val="000000" w:themeColor="text1"/>
                              <w:sz w:val="48"/>
                              <w:szCs w:val="48"/>
                              <w:lang w:val="en-GB"/>
                            </w:rPr>
                            <w:t xml:space="preserve"> </w:t>
                          </w:r>
                          <w:r>
                            <w:rPr>
                              <w:rFonts w:ascii="Agency FB" w:eastAsiaTheme="majorEastAsia" w:hAnsi="Agency FB" w:cstheme="majorBidi"/>
                              <w:caps/>
                              <w:color w:val="000000" w:themeColor="text1"/>
                              <w:sz w:val="48"/>
                              <w:szCs w:val="48"/>
                              <w:lang w:val="en-GB"/>
                            </w:rPr>
                            <w:t>International Financial Management</w:t>
                          </w:r>
                        </w:p>
                        <w:p w14:paraId="4D4A17CE" w14:textId="7DA7015A" w:rsidR="007E0B2F" w:rsidRDefault="007E0B2F" w:rsidP="007E0B2F">
                          <w:pPr>
                            <w:pStyle w:val="NoSpacing"/>
                            <w:jc w:val="center"/>
                            <w:rPr>
                              <w:rFonts w:ascii="Agency FB" w:eastAsiaTheme="majorEastAsia" w:hAnsi="Agency FB" w:cstheme="majorBidi"/>
                              <w:caps/>
                              <w:color w:val="000000" w:themeColor="text1"/>
                              <w:sz w:val="48"/>
                              <w:szCs w:val="48"/>
                              <w:lang w:val="en-GB"/>
                            </w:rPr>
                          </w:pPr>
                          <w:r>
                            <w:rPr>
                              <w:rFonts w:ascii="Agency FB" w:eastAsiaTheme="majorEastAsia" w:hAnsi="Agency FB" w:cstheme="majorBidi"/>
                              <w:caps/>
                              <w:color w:val="000000" w:themeColor="text1"/>
                              <w:sz w:val="48"/>
                              <w:szCs w:val="48"/>
                              <w:lang w:val="en-GB"/>
                            </w:rPr>
                            <w:t>Module code:Lcbb6002</w:t>
                          </w:r>
                        </w:p>
                        <w:p w14:paraId="16B10BAE" w14:textId="2EB8D729" w:rsidR="007E0B2F" w:rsidRDefault="007E0B2F" w:rsidP="007E0B2F">
                          <w:pPr>
                            <w:pStyle w:val="NoSpacing"/>
                            <w:jc w:val="center"/>
                            <w:rPr>
                              <w:rFonts w:ascii="Agency FB" w:eastAsiaTheme="majorEastAsia" w:hAnsi="Agency FB" w:cstheme="majorBidi"/>
                              <w:caps/>
                              <w:color w:val="000000" w:themeColor="text1"/>
                              <w:sz w:val="48"/>
                              <w:szCs w:val="48"/>
                              <w:lang w:val="en-GB"/>
                            </w:rPr>
                          </w:pPr>
                          <w:r>
                            <w:rPr>
                              <w:rFonts w:ascii="Agency FB" w:eastAsiaTheme="majorEastAsia" w:hAnsi="Agency FB" w:cstheme="majorBidi"/>
                              <w:caps/>
                              <w:color w:val="000000" w:themeColor="text1"/>
                              <w:sz w:val="48"/>
                              <w:szCs w:val="48"/>
                              <w:lang w:val="en-GB"/>
                            </w:rPr>
                            <w:t>module lecturer:dr.Mudassar hasan</w:t>
                          </w:r>
                        </w:p>
                        <w:p w14:paraId="5018248E" w14:textId="48260364" w:rsidR="007E0B2F" w:rsidRDefault="007E0B2F" w:rsidP="007E0B2F">
                          <w:pPr>
                            <w:pStyle w:val="NoSpacing"/>
                            <w:jc w:val="center"/>
                            <w:rPr>
                              <w:rFonts w:ascii="Agency FB" w:eastAsiaTheme="majorEastAsia" w:hAnsi="Agency FB" w:cstheme="majorBidi"/>
                              <w:caps/>
                              <w:color w:val="000000" w:themeColor="text1"/>
                              <w:sz w:val="48"/>
                              <w:szCs w:val="48"/>
                              <w:lang w:val="en-GB"/>
                            </w:rPr>
                          </w:pPr>
                          <w:r>
                            <w:rPr>
                              <w:rFonts w:ascii="Agency FB" w:eastAsiaTheme="majorEastAsia" w:hAnsi="Agency FB" w:cstheme="majorBidi"/>
                              <w:caps/>
                              <w:color w:val="000000" w:themeColor="text1"/>
                              <w:sz w:val="48"/>
                              <w:szCs w:val="48"/>
                              <w:lang w:val="en-GB"/>
                            </w:rPr>
                            <w:t>uwtsd birmingham</w:t>
                          </w:r>
                        </w:p>
                        <w:p w14:paraId="0351872F" w14:textId="758E9D22" w:rsidR="007E0B2F" w:rsidRDefault="007E0B2F">
                          <w:r>
                            <w:t xml:space="preserve">                                                </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2F07BE7D" wp14:editId="5723915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5A0F8E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A8C48FF" wp14:editId="42D9188E">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359D3B" w14:textId="1E13474D" w:rsidR="007E0B2F" w:rsidRPr="003C3200" w:rsidRDefault="007E0B2F" w:rsidP="003C3200">
                                <w:pPr>
                                  <w:pStyle w:val="NoSpacing"/>
                                  <w:jc w:val="center"/>
                                  <w:rPr>
                                    <w:color w:val="4472C4" w:themeColor="accent1"/>
                                    <w:sz w:val="36"/>
                                    <w:szCs w:val="36"/>
                                    <w:lang w:val="en-GB"/>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3C3200">
                                      <w:rPr>
                                        <w:color w:val="4472C4" w:themeColor="accent1"/>
                                        <w:sz w:val="36"/>
                                        <w:szCs w:val="36"/>
                                      </w:rPr>
                                      <w:t xml:space="preserve">     </w:t>
                                    </w:r>
                                  </w:sdtContent>
                                </w:sdt>
                                <w:r w:rsidR="003C3200">
                                  <w:rPr>
                                    <w:color w:val="4472C4" w:themeColor="accent1"/>
                                    <w:sz w:val="36"/>
                                    <w:szCs w:val="36"/>
                                    <w:lang w:val="en-GB"/>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A8C48FF"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3359D3B" w14:textId="1E13474D" w:rsidR="007E0B2F" w:rsidRPr="003C3200" w:rsidRDefault="007E0B2F" w:rsidP="003C3200">
                          <w:pPr>
                            <w:pStyle w:val="NoSpacing"/>
                            <w:jc w:val="center"/>
                            <w:rPr>
                              <w:color w:val="4472C4" w:themeColor="accent1"/>
                              <w:sz w:val="36"/>
                              <w:szCs w:val="36"/>
                              <w:lang w:val="en-GB"/>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3C3200">
                                <w:rPr>
                                  <w:color w:val="4472C4" w:themeColor="accent1"/>
                                  <w:sz w:val="36"/>
                                  <w:szCs w:val="36"/>
                                </w:rPr>
                                <w:t xml:space="preserve">     </w:t>
                              </w:r>
                            </w:sdtContent>
                          </w:sdt>
                          <w:r w:rsidR="003C3200">
                            <w:rPr>
                              <w:color w:val="4472C4" w:themeColor="accent1"/>
                              <w:sz w:val="36"/>
                              <w:szCs w:val="36"/>
                              <w:lang w:val="en-GB"/>
                            </w:rPr>
                            <w:t xml:space="preserve">                                                               </w:t>
                          </w:r>
                        </w:p>
                      </w:txbxContent>
                    </v:textbox>
                    <w10:wrap anchorx="page" anchory="margin"/>
                  </v:shape>
                </w:pict>
              </mc:Fallback>
            </mc:AlternateContent>
          </w:r>
        </w:p>
        <w:p w14:paraId="5E2BCE13" w14:textId="77777777" w:rsidR="003C3200" w:rsidRDefault="003C3200">
          <w:r>
            <w:rPr>
              <w:noProof/>
            </w:rPr>
            <w:drawing>
              <wp:inline distT="0" distB="0" distL="0" distR="0" wp14:anchorId="588928F4" wp14:editId="20F50B0F">
                <wp:extent cx="762000" cy="1024991"/>
                <wp:effectExtent l="0" t="0" r="0" b="3810"/>
                <wp:docPr id="1116506270" name="Picture 1" descr="A blue background with a black and yellow sh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506270" name="Picture 1" descr="A blue background with a black and yellow shield&#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64380" cy="1028192"/>
                        </a:xfrm>
                        <a:prstGeom prst="rect">
                          <a:avLst/>
                        </a:prstGeom>
                        <a:noFill/>
                        <a:ln>
                          <a:noFill/>
                        </a:ln>
                      </pic:spPr>
                    </pic:pic>
                  </a:graphicData>
                </a:graphic>
              </wp:inline>
            </w:drawing>
          </w:r>
        </w:p>
      </w:sdtContent>
    </w:sdt>
    <w:p w14:paraId="1320BAD6" w14:textId="42BD1967" w:rsidR="00184FCC" w:rsidRDefault="003C3200">
      <w:r>
        <w:t xml:space="preserve">  </w:t>
      </w:r>
    </w:p>
    <w:p w14:paraId="526E2123" w14:textId="77777777" w:rsidR="003C3200" w:rsidRDefault="003C3200"/>
    <w:p w14:paraId="45EBBC54" w14:textId="77777777" w:rsidR="003C3200" w:rsidRDefault="003C3200"/>
    <w:p w14:paraId="6C2B9420" w14:textId="77777777" w:rsidR="003C3200" w:rsidRDefault="003C3200"/>
    <w:p w14:paraId="1BD6030A" w14:textId="77777777" w:rsidR="003C3200" w:rsidRDefault="003C3200"/>
    <w:p w14:paraId="26665F2D" w14:textId="77777777" w:rsidR="003C3200" w:rsidRDefault="003C3200"/>
    <w:p w14:paraId="74881AA4" w14:textId="77777777" w:rsidR="003C3200" w:rsidRDefault="003C3200"/>
    <w:p w14:paraId="6C24963A" w14:textId="77777777" w:rsidR="003C3200" w:rsidRDefault="003C3200"/>
    <w:p w14:paraId="7EFB8AA7" w14:textId="77777777" w:rsidR="003C3200" w:rsidRDefault="003C3200"/>
    <w:p w14:paraId="7D2F4EB7" w14:textId="77777777" w:rsidR="003C3200" w:rsidRDefault="003C3200"/>
    <w:p w14:paraId="617EA68F" w14:textId="77777777" w:rsidR="003C3200" w:rsidRDefault="003C3200"/>
    <w:p w14:paraId="75FBC2F9" w14:textId="77777777" w:rsidR="003C3200" w:rsidRDefault="003C3200"/>
    <w:p w14:paraId="30330999" w14:textId="77777777" w:rsidR="003C3200" w:rsidRDefault="003C3200"/>
    <w:p w14:paraId="017792C4" w14:textId="77777777" w:rsidR="003C3200" w:rsidRDefault="003C3200"/>
    <w:p w14:paraId="1498E772" w14:textId="77777777" w:rsidR="003C3200" w:rsidRDefault="003C3200"/>
    <w:p w14:paraId="4AD86603" w14:textId="77777777" w:rsidR="003C3200" w:rsidRDefault="003C3200"/>
    <w:p w14:paraId="0C5D4D4A" w14:textId="77777777" w:rsidR="003C3200" w:rsidRDefault="003C3200"/>
    <w:p w14:paraId="032085C1" w14:textId="77777777" w:rsidR="003C3200" w:rsidRDefault="003C3200"/>
    <w:p w14:paraId="5A6D0D52" w14:textId="77777777" w:rsidR="003C3200" w:rsidRDefault="003C3200"/>
    <w:p w14:paraId="6385C019" w14:textId="77777777" w:rsidR="003C3200" w:rsidRDefault="003C3200"/>
    <w:p w14:paraId="0CFD9FB5" w14:textId="77777777" w:rsidR="003C3200" w:rsidRDefault="003C3200"/>
    <w:p w14:paraId="74728675" w14:textId="77777777" w:rsidR="003C3200" w:rsidRDefault="003C3200"/>
    <w:p w14:paraId="6F23B3B6" w14:textId="77777777" w:rsidR="003C3200" w:rsidRDefault="003C3200"/>
    <w:p w14:paraId="19FA6667" w14:textId="77777777" w:rsidR="003C3200" w:rsidRDefault="003C3200"/>
    <w:p w14:paraId="026F03EC" w14:textId="77777777" w:rsidR="003C3200" w:rsidRDefault="003C3200"/>
    <w:p w14:paraId="3968D1AE" w14:textId="77777777" w:rsidR="003C3200" w:rsidRDefault="003C3200"/>
    <w:sdt>
      <w:sdtPr>
        <w:rPr>
          <w:lang w:val="en-GB"/>
        </w:rPr>
        <w:id w:val="-1423644396"/>
        <w:docPartObj>
          <w:docPartGallery w:val="Table of Contents"/>
          <w:docPartUnique/>
        </w:docPartObj>
      </w:sdtPr>
      <w:sdtEndPr>
        <w:rPr>
          <w:rFonts w:ascii="Agency FB" w:eastAsiaTheme="minorHAnsi" w:hAnsi="Agency FB" w:cstheme="minorBidi"/>
          <w:b/>
          <w:bCs/>
          <w:color w:val="auto"/>
          <w:sz w:val="36"/>
          <w:szCs w:val="36"/>
          <w:lang w:eastAsia="en-US"/>
        </w:rPr>
      </w:sdtEndPr>
      <w:sdtContent>
        <w:p w14:paraId="43C0E313" w14:textId="2ADF5A29" w:rsidR="001E5856" w:rsidRPr="00BE6E1F" w:rsidRDefault="001E5856">
          <w:pPr>
            <w:pStyle w:val="TOCHeading"/>
            <w:rPr>
              <w:rFonts w:cstheme="majorHAnsi"/>
              <w:color w:val="000000" w:themeColor="text1"/>
              <w:sz w:val="44"/>
              <w:szCs w:val="44"/>
            </w:rPr>
          </w:pPr>
          <w:r w:rsidRPr="00BE6E1F">
            <w:rPr>
              <w:rFonts w:cstheme="majorHAnsi"/>
              <w:color w:val="000000" w:themeColor="text1"/>
              <w:sz w:val="44"/>
              <w:szCs w:val="44"/>
              <w:lang w:val="en-GB"/>
            </w:rPr>
            <w:t>Table of Contents</w:t>
          </w:r>
        </w:p>
        <w:p w14:paraId="02937D94" w14:textId="34A15C69" w:rsidR="001E5856" w:rsidRPr="001E5856" w:rsidRDefault="001E5856">
          <w:pPr>
            <w:pStyle w:val="TOC1"/>
            <w:tabs>
              <w:tab w:val="right" w:leader="dot" w:pos="9062"/>
            </w:tabs>
            <w:rPr>
              <w:rFonts w:ascii="Agency FB" w:hAnsi="Agency FB"/>
              <w:noProof/>
              <w:sz w:val="36"/>
              <w:szCs w:val="36"/>
            </w:rPr>
          </w:pPr>
          <w:r w:rsidRPr="001E5856">
            <w:rPr>
              <w:rFonts w:ascii="Agency FB" w:hAnsi="Agency FB"/>
              <w:sz w:val="36"/>
              <w:szCs w:val="36"/>
            </w:rPr>
            <w:fldChar w:fldCharType="begin"/>
          </w:r>
          <w:r w:rsidRPr="001E5856">
            <w:rPr>
              <w:rFonts w:ascii="Agency FB" w:hAnsi="Agency FB"/>
              <w:sz w:val="36"/>
              <w:szCs w:val="36"/>
            </w:rPr>
            <w:instrText xml:space="preserve"> TOC \o "1-3" \h \z \u </w:instrText>
          </w:r>
          <w:r w:rsidRPr="001E5856">
            <w:rPr>
              <w:rFonts w:ascii="Agency FB" w:hAnsi="Agency FB"/>
              <w:sz w:val="36"/>
              <w:szCs w:val="36"/>
            </w:rPr>
            <w:fldChar w:fldCharType="separate"/>
          </w:r>
          <w:hyperlink w:anchor="_Toc189859689" w:history="1">
            <w:r w:rsidRPr="001E5856">
              <w:rPr>
                <w:rStyle w:val="Hyperlink"/>
                <w:rFonts w:ascii="Agency FB" w:hAnsi="Agency FB"/>
                <w:noProof/>
                <w:sz w:val="36"/>
                <w:szCs w:val="36"/>
              </w:rPr>
              <w:t>Executive Summary</w:t>
            </w:r>
            <w:r w:rsidRPr="001E5856">
              <w:rPr>
                <w:rFonts w:ascii="Agency FB" w:hAnsi="Agency FB"/>
                <w:noProof/>
                <w:webHidden/>
                <w:sz w:val="36"/>
                <w:szCs w:val="36"/>
              </w:rPr>
              <w:tab/>
            </w:r>
            <w:r w:rsidRPr="001E5856">
              <w:rPr>
                <w:rFonts w:ascii="Agency FB" w:hAnsi="Agency FB"/>
                <w:noProof/>
                <w:webHidden/>
                <w:sz w:val="36"/>
                <w:szCs w:val="36"/>
              </w:rPr>
              <w:fldChar w:fldCharType="begin"/>
            </w:r>
            <w:r w:rsidRPr="001E5856">
              <w:rPr>
                <w:rFonts w:ascii="Agency FB" w:hAnsi="Agency FB"/>
                <w:noProof/>
                <w:webHidden/>
                <w:sz w:val="36"/>
                <w:szCs w:val="36"/>
              </w:rPr>
              <w:instrText xml:space="preserve"> PAGEREF _Toc189859689 \h </w:instrText>
            </w:r>
            <w:r w:rsidRPr="001E5856">
              <w:rPr>
                <w:rFonts w:ascii="Agency FB" w:hAnsi="Agency FB"/>
                <w:noProof/>
                <w:webHidden/>
                <w:sz w:val="36"/>
                <w:szCs w:val="36"/>
              </w:rPr>
            </w:r>
            <w:r w:rsidRPr="001E5856">
              <w:rPr>
                <w:rFonts w:ascii="Agency FB" w:hAnsi="Agency FB"/>
                <w:noProof/>
                <w:webHidden/>
                <w:sz w:val="36"/>
                <w:szCs w:val="36"/>
              </w:rPr>
              <w:fldChar w:fldCharType="separate"/>
            </w:r>
            <w:r w:rsidRPr="001E5856">
              <w:rPr>
                <w:rFonts w:ascii="Agency FB" w:hAnsi="Agency FB"/>
                <w:noProof/>
                <w:webHidden/>
                <w:sz w:val="36"/>
                <w:szCs w:val="36"/>
              </w:rPr>
              <w:t>2</w:t>
            </w:r>
            <w:r w:rsidRPr="001E5856">
              <w:rPr>
                <w:rFonts w:ascii="Agency FB" w:hAnsi="Agency FB"/>
                <w:noProof/>
                <w:webHidden/>
                <w:sz w:val="36"/>
                <w:szCs w:val="36"/>
              </w:rPr>
              <w:fldChar w:fldCharType="end"/>
            </w:r>
          </w:hyperlink>
        </w:p>
        <w:p w14:paraId="6F4549B7" w14:textId="233A0151" w:rsidR="001E5856" w:rsidRPr="001E5856" w:rsidRDefault="001E5856">
          <w:pPr>
            <w:pStyle w:val="TOC1"/>
            <w:tabs>
              <w:tab w:val="right" w:leader="dot" w:pos="9062"/>
            </w:tabs>
            <w:rPr>
              <w:rFonts w:ascii="Agency FB" w:hAnsi="Agency FB"/>
              <w:noProof/>
              <w:sz w:val="36"/>
              <w:szCs w:val="36"/>
            </w:rPr>
          </w:pPr>
          <w:hyperlink w:anchor="_Toc189859690" w:history="1">
            <w:r w:rsidRPr="001E5856">
              <w:rPr>
                <w:rStyle w:val="Hyperlink"/>
                <w:rFonts w:ascii="Agency FB" w:hAnsi="Agency FB"/>
                <w:noProof/>
                <w:sz w:val="36"/>
                <w:szCs w:val="36"/>
              </w:rPr>
              <w:t>Introduction</w:t>
            </w:r>
            <w:r w:rsidRPr="001E5856">
              <w:rPr>
                <w:rFonts w:ascii="Agency FB" w:hAnsi="Agency FB"/>
                <w:noProof/>
                <w:webHidden/>
                <w:sz w:val="36"/>
                <w:szCs w:val="36"/>
              </w:rPr>
              <w:tab/>
            </w:r>
            <w:r w:rsidRPr="001E5856">
              <w:rPr>
                <w:rFonts w:ascii="Agency FB" w:hAnsi="Agency FB"/>
                <w:noProof/>
                <w:webHidden/>
                <w:sz w:val="36"/>
                <w:szCs w:val="36"/>
              </w:rPr>
              <w:fldChar w:fldCharType="begin"/>
            </w:r>
            <w:r w:rsidRPr="001E5856">
              <w:rPr>
                <w:rFonts w:ascii="Agency FB" w:hAnsi="Agency FB"/>
                <w:noProof/>
                <w:webHidden/>
                <w:sz w:val="36"/>
                <w:szCs w:val="36"/>
              </w:rPr>
              <w:instrText xml:space="preserve"> PAGEREF _Toc189859690 \h </w:instrText>
            </w:r>
            <w:r w:rsidRPr="001E5856">
              <w:rPr>
                <w:rFonts w:ascii="Agency FB" w:hAnsi="Agency FB"/>
                <w:noProof/>
                <w:webHidden/>
                <w:sz w:val="36"/>
                <w:szCs w:val="36"/>
              </w:rPr>
            </w:r>
            <w:r w:rsidRPr="001E5856">
              <w:rPr>
                <w:rFonts w:ascii="Agency FB" w:hAnsi="Agency FB"/>
                <w:noProof/>
                <w:webHidden/>
                <w:sz w:val="36"/>
                <w:szCs w:val="36"/>
              </w:rPr>
              <w:fldChar w:fldCharType="separate"/>
            </w:r>
            <w:r w:rsidRPr="001E5856">
              <w:rPr>
                <w:rFonts w:ascii="Agency FB" w:hAnsi="Agency FB"/>
                <w:noProof/>
                <w:webHidden/>
                <w:sz w:val="36"/>
                <w:szCs w:val="36"/>
              </w:rPr>
              <w:t>3</w:t>
            </w:r>
            <w:r w:rsidRPr="001E5856">
              <w:rPr>
                <w:rFonts w:ascii="Agency FB" w:hAnsi="Agency FB"/>
                <w:noProof/>
                <w:webHidden/>
                <w:sz w:val="36"/>
                <w:szCs w:val="36"/>
              </w:rPr>
              <w:fldChar w:fldCharType="end"/>
            </w:r>
          </w:hyperlink>
        </w:p>
        <w:p w14:paraId="5029DF1A" w14:textId="3383FB1A" w:rsidR="001E5856" w:rsidRPr="001E5856" w:rsidRDefault="001E5856">
          <w:pPr>
            <w:pStyle w:val="TOC1"/>
            <w:tabs>
              <w:tab w:val="right" w:leader="dot" w:pos="9062"/>
            </w:tabs>
            <w:rPr>
              <w:rFonts w:ascii="Agency FB" w:hAnsi="Agency FB"/>
              <w:noProof/>
              <w:sz w:val="36"/>
              <w:szCs w:val="36"/>
            </w:rPr>
          </w:pPr>
          <w:hyperlink w:anchor="_Toc189859691" w:history="1">
            <w:r w:rsidRPr="001E5856">
              <w:rPr>
                <w:rStyle w:val="Hyperlink"/>
                <w:rFonts w:ascii="Agency FB" w:hAnsi="Agency FB"/>
                <w:noProof/>
                <w:sz w:val="36"/>
                <w:szCs w:val="36"/>
              </w:rPr>
              <w:t>Corporate Governance and Agency Theory</w:t>
            </w:r>
            <w:r w:rsidRPr="001E5856">
              <w:rPr>
                <w:rFonts w:ascii="Agency FB" w:hAnsi="Agency FB"/>
                <w:noProof/>
                <w:webHidden/>
                <w:sz w:val="36"/>
                <w:szCs w:val="36"/>
              </w:rPr>
              <w:tab/>
            </w:r>
            <w:r w:rsidRPr="001E5856">
              <w:rPr>
                <w:rFonts w:ascii="Agency FB" w:hAnsi="Agency FB"/>
                <w:noProof/>
                <w:webHidden/>
                <w:sz w:val="36"/>
                <w:szCs w:val="36"/>
              </w:rPr>
              <w:fldChar w:fldCharType="begin"/>
            </w:r>
            <w:r w:rsidRPr="001E5856">
              <w:rPr>
                <w:rFonts w:ascii="Agency FB" w:hAnsi="Agency FB"/>
                <w:noProof/>
                <w:webHidden/>
                <w:sz w:val="36"/>
                <w:szCs w:val="36"/>
              </w:rPr>
              <w:instrText xml:space="preserve"> PAGEREF _Toc189859691 \h </w:instrText>
            </w:r>
            <w:r w:rsidRPr="001E5856">
              <w:rPr>
                <w:rFonts w:ascii="Agency FB" w:hAnsi="Agency FB"/>
                <w:noProof/>
                <w:webHidden/>
                <w:sz w:val="36"/>
                <w:szCs w:val="36"/>
              </w:rPr>
            </w:r>
            <w:r w:rsidRPr="001E5856">
              <w:rPr>
                <w:rFonts w:ascii="Agency FB" w:hAnsi="Agency FB"/>
                <w:noProof/>
                <w:webHidden/>
                <w:sz w:val="36"/>
                <w:szCs w:val="36"/>
              </w:rPr>
              <w:fldChar w:fldCharType="separate"/>
            </w:r>
            <w:r w:rsidRPr="001E5856">
              <w:rPr>
                <w:rFonts w:ascii="Agency FB" w:hAnsi="Agency FB"/>
                <w:noProof/>
                <w:webHidden/>
                <w:sz w:val="36"/>
                <w:szCs w:val="36"/>
              </w:rPr>
              <w:t>3</w:t>
            </w:r>
            <w:r w:rsidRPr="001E5856">
              <w:rPr>
                <w:rFonts w:ascii="Agency FB" w:hAnsi="Agency FB"/>
                <w:noProof/>
                <w:webHidden/>
                <w:sz w:val="36"/>
                <w:szCs w:val="36"/>
              </w:rPr>
              <w:fldChar w:fldCharType="end"/>
            </w:r>
          </w:hyperlink>
        </w:p>
        <w:p w14:paraId="7160CF52" w14:textId="49F9BEC6" w:rsidR="001E5856" w:rsidRPr="001E5856" w:rsidRDefault="001E5856">
          <w:pPr>
            <w:pStyle w:val="TOC1"/>
            <w:tabs>
              <w:tab w:val="right" w:leader="dot" w:pos="9062"/>
            </w:tabs>
            <w:rPr>
              <w:rFonts w:ascii="Agency FB" w:hAnsi="Agency FB"/>
              <w:noProof/>
              <w:sz w:val="36"/>
              <w:szCs w:val="36"/>
            </w:rPr>
          </w:pPr>
          <w:hyperlink w:anchor="_Toc189859692" w:history="1">
            <w:r w:rsidRPr="001E5856">
              <w:rPr>
                <w:rStyle w:val="Hyperlink"/>
                <w:rFonts w:ascii="Agency FB" w:hAnsi="Agency FB"/>
                <w:noProof/>
                <w:sz w:val="36"/>
                <w:szCs w:val="36"/>
              </w:rPr>
              <w:t>Retaining control with 30% Shareholding</w:t>
            </w:r>
            <w:r w:rsidRPr="001E5856">
              <w:rPr>
                <w:rFonts w:ascii="Agency FB" w:hAnsi="Agency FB"/>
                <w:noProof/>
                <w:webHidden/>
                <w:sz w:val="36"/>
                <w:szCs w:val="36"/>
              </w:rPr>
              <w:tab/>
            </w:r>
            <w:r w:rsidRPr="001E5856">
              <w:rPr>
                <w:rFonts w:ascii="Agency FB" w:hAnsi="Agency FB"/>
                <w:noProof/>
                <w:webHidden/>
                <w:sz w:val="36"/>
                <w:szCs w:val="36"/>
              </w:rPr>
              <w:fldChar w:fldCharType="begin"/>
            </w:r>
            <w:r w:rsidRPr="001E5856">
              <w:rPr>
                <w:rFonts w:ascii="Agency FB" w:hAnsi="Agency FB"/>
                <w:noProof/>
                <w:webHidden/>
                <w:sz w:val="36"/>
                <w:szCs w:val="36"/>
              </w:rPr>
              <w:instrText xml:space="preserve"> PAGEREF _Toc189859692 \h </w:instrText>
            </w:r>
            <w:r w:rsidRPr="001E5856">
              <w:rPr>
                <w:rFonts w:ascii="Agency FB" w:hAnsi="Agency FB"/>
                <w:noProof/>
                <w:webHidden/>
                <w:sz w:val="36"/>
                <w:szCs w:val="36"/>
              </w:rPr>
            </w:r>
            <w:r w:rsidRPr="001E5856">
              <w:rPr>
                <w:rFonts w:ascii="Agency FB" w:hAnsi="Agency FB"/>
                <w:noProof/>
                <w:webHidden/>
                <w:sz w:val="36"/>
                <w:szCs w:val="36"/>
              </w:rPr>
              <w:fldChar w:fldCharType="separate"/>
            </w:r>
            <w:r w:rsidRPr="001E5856">
              <w:rPr>
                <w:rFonts w:ascii="Agency FB" w:hAnsi="Agency FB"/>
                <w:noProof/>
                <w:webHidden/>
                <w:sz w:val="36"/>
                <w:szCs w:val="36"/>
              </w:rPr>
              <w:t>4</w:t>
            </w:r>
            <w:r w:rsidRPr="001E5856">
              <w:rPr>
                <w:rFonts w:ascii="Agency FB" w:hAnsi="Agency FB"/>
                <w:noProof/>
                <w:webHidden/>
                <w:sz w:val="36"/>
                <w:szCs w:val="36"/>
              </w:rPr>
              <w:fldChar w:fldCharType="end"/>
            </w:r>
          </w:hyperlink>
        </w:p>
        <w:p w14:paraId="29FE65B1" w14:textId="424F027B" w:rsidR="001E5856" w:rsidRPr="001E5856" w:rsidRDefault="001E5856">
          <w:pPr>
            <w:pStyle w:val="TOC1"/>
            <w:tabs>
              <w:tab w:val="right" w:leader="dot" w:pos="9062"/>
            </w:tabs>
            <w:rPr>
              <w:rFonts w:ascii="Agency FB" w:hAnsi="Agency FB"/>
              <w:noProof/>
              <w:sz w:val="36"/>
              <w:szCs w:val="36"/>
            </w:rPr>
          </w:pPr>
          <w:hyperlink w:anchor="_Toc189859693" w:history="1">
            <w:r w:rsidRPr="001E5856">
              <w:rPr>
                <w:rStyle w:val="Hyperlink"/>
                <w:rFonts w:ascii="Agency FB" w:hAnsi="Agency FB"/>
                <w:noProof/>
                <w:sz w:val="36"/>
                <w:szCs w:val="36"/>
              </w:rPr>
              <w:t>Director Remuneration: Frameworks and Reasonable Payments</w:t>
            </w:r>
            <w:r w:rsidRPr="001E5856">
              <w:rPr>
                <w:rFonts w:ascii="Agency FB" w:hAnsi="Agency FB"/>
                <w:noProof/>
                <w:webHidden/>
                <w:sz w:val="36"/>
                <w:szCs w:val="36"/>
              </w:rPr>
              <w:tab/>
            </w:r>
            <w:r w:rsidRPr="001E5856">
              <w:rPr>
                <w:rFonts w:ascii="Agency FB" w:hAnsi="Agency FB"/>
                <w:noProof/>
                <w:webHidden/>
                <w:sz w:val="36"/>
                <w:szCs w:val="36"/>
              </w:rPr>
              <w:fldChar w:fldCharType="begin"/>
            </w:r>
            <w:r w:rsidRPr="001E5856">
              <w:rPr>
                <w:rFonts w:ascii="Agency FB" w:hAnsi="Agency FB"/>
                <w:noProof/>
                <w:webHidden/>
                <w:sz w:val="36"/>
                <w:szCs w:val="36"/>
              </w:rPr>
              <w:instrText xml:space="preserve"> PAGEREF _Toc189859693 \h </w:instrText>
            </w:r>
            <w:r w:rsidRPr="001E5856">
              <w:rPr>
                <w:rFonts w:ascii="Agency FB" w:hAnsi="Agency FB"/>
                <w:noProof/>
                <w:webHidden/>
                <w:sz w:val="36"/>
                <w:szCs w:val="36"/>
              </w:rPr>
            </w:r>
            <w:r w:rsidRPr="001E5856">
              <w:rPr>
                <w:rFonts w:ascii="Agency FB" w:hAnsi="Agency FB"/>
                <w:noProof/>
                <w:webHidden/>
                <w:sz w:val="36"/>
                <w:szCs w:val="36"/>
              </w:rPr>
              <w:fldChar w:fldCharType="separate"/>
            </w:r>
            <w:r w:rsidRPr="001E5856">
              <w:rPr>
                <w:rFonts w:ascii="Agency FB" w:hAnsi="Agency FB"/>
                <w:noProof/>
                <w:webHidden/>
                <w:sz w:val="36"/>
                <w:szCs w:val="36"/>
              </w:rPr>
              <w:t>5</w:t>
            </w:r>
            <w:r w:rsidRPr="001E5856">
              <w:rPr>
                <w:rFonts w:ascii="Agency FB" w:hAnsi="Agency FB"/>
                <w:noProof/>
                <w:webHidden/>
                <w:sz w:val="36"/>
                <w:szCs w:val="36"/>
              </w:rPr>
              <w:fldChar w:fldCharType="end"/>
            </w:r>
          </w:hyperlink>
        </w:p>
        <w:p w14:paraId="1F8FF62B" w14:textId="34E92BCB" w:rsidR="001E5856" w:rsidRPr="001E5856" w:rsidRDefault="001E5856">
          <w:pPr>
            <w:pStyle w:val="TOC1"/>
            <w:tabs>
              <w:tab w:val="right" w:leader="dot" w:pos="9062"/>
            </w:tabs>
            <w:rPr>
              <w:rFonts w:ascii="Agency FB" w:hAnsi="Agency FB"/>
              <w:noProof/>
              <w:sz w:val="36"/>
              <w:szCs w:val="36"/>
            </w:rPr>
          </w:pPr>
          <w:hyperlink w:anchor="_Toc189859694" w:history="1">
            <w:r w:rsidRPr="001E5856">
              <w:rPr>
                <w:rStyle w:val="Hyperlink"/>
                <w:rFonts w:ascii="Agency FB" w:hAnsi="Agency FB"/>
                <w:noProof/>
                <w:sz w:val="36"/>
                <w:szCs w:val="36"/>
              </w:rPr>
              <w:t>Institutional Differences: UK, Shanghai, and Netherlands</w:t>
            </w:r>
            <w:r w:rsidRPr="001E5856">
              <w:rPr>
                <w:rFonts w:ascii="Agency FB" w:hAnsi="Agency FB"/>
                <w:noProof/>
                <w:webHidden/>
                <w:sz w:val="36"/>
                <w:szCs w:val="36"/>
              </w:rPr>
              <w:tab/>
            </w:r>
            <w:r w:rsidRPr="001E5856">
              <w:rPr>
                <w:rFonts w:ascii="Agency FB" w:hAnsi="Agency FB"/>
                <w:noProof/>
                <w:webHidden/>
                <w:sz w:val="36"/>
                <w:szCs w:val="36"/>
              </w:rPr>
              <w:fldChar w:fldCharType="begin"/>
            </w:r>
            <w:r w:rsidRPr="001E5856">
              <w:rPr>
                <w:rFonts w:ascii="Agency FB" w:hAnsi="Agency FB"/>
                <w:noProof/>
                <w:webHidden/>
                <w:sz w:val="36"/>
                <w:szCs w:val="36"/>
              </w:rPr>
              <w:instrText xml:space="preserve"> PAGEREF _Toc189859694 \h </w:instrText>
            </w:r>
            <w:r w:rsidRPr="001E5856">
              <w:rPr>
                <w:rFonts w:ascii="Agency FB" w:hAnsi="Agency FB"/>
                <w:noProof/>
                <w:webHidden/>
                <w:sz w:val="36"/>
                <w:szCs w:val="36"/>
              </w:rPr>
            </w:r>
            <w:r w:rsidRPr="001E5856">
              <w:rPr>
                <w:rFonts w:ascii="Agency FB" w:hAnsi="Agency FB"/>
                <w:noProof/>
                <w:webHidden/>
                <w:sz w:val="36"/>
                <w:szCs w:val="36"/>
              </w:rPr>
              <w:fldChar w:fldCharType="separate"/>
            </w:r>
            <w:r w:rsidRPr="001E5856">
              <w:rPr>
                <w:rFonts w:ascii="Agency FB" w:hAnsi="Agency FB"/>
                <w:noProof/>
                <w:webHidden/>
                <w:sz w:val="36"/>
                <w:szCs w:val="36"/>
              </w:rPr>
              <w:t>6</w:t>
            </w:r>
            <w:r w:rsidRPr="001E5856">
              <w:rPr>
                <w:rFonts w:ascii="Agency FB" w:hAnsi="Agency FB"/>
                <w:noProof/>
                <w:webHidden/>
                <w:sz w:val="36"/>
                <w:szCs w:val="36"/>
              </w:rPr>
              <w:fldChar w:fldCharType="end"/>
            </w:r>
          </w:hyperlink>
        </w:p>
        <w:p w14:paraId="70E3924E" w14:textId="5C56551B" w:rsidR="001E5856" w:rsidRPr="001E5856" w:rsidRDefault="001E5856">
          <w:pPr>
            <w:pStyle w:val="TOC1"/>
            <w:tabs>
              <w:tab w:val="right" w:leader="dot" w:pos="9062"/>
            </w:tabs>
            <w:rPr>
              <w:rFonts w:ascii="Agency FB" w:hAnsi="Agency FB"/>
              <w:noProof/>
              <w:sz w:val="36"/>
              <w:szCs w:val="36"/>
            </w:rPr>
          </w:pPr>
          <w:hyperlink w:anchor="_Toc189859695" w:history="1">
            <w:r w:rsidRPr="001E5856">
              <w:rPr>
                <w:rStyle w:val="Hyperlink"/>
                <w:rFonts w:ascii="Agency FB" w:hAnsi="Agency FB"/>
                <w:noProof/>
                <w:sz w:val="36"/>
                <w:szCs w:val="36"/>
              </w:rPr>
              <w:t>Conclusion</w:t>
            </w:r>
            <w:r w:rsidRPr="001E5856">
              <w:rPr>
                <w:rFonts w:ascii="Agency FB" w:hAnsi="Agency FB"/>
                <w:noProof/>
                <w:webHidden/>
                <w:sz w:val="36"/>
                <w:szCs w:val="36"/>
              </w:rPr>
              <w:tab/>
            </w:r>
            <w:r w:rsidRPr="001E5856">
              <w:rPr>
                <w:rFonts w:ascii="Agency FB" w:hAnsi="Agency FB"/>
                <w:noProof/>
                <w:webHidden/>
                <w:sz w:val="36"/>
                <w:szCs w:val="36"/>
              </w:rPr>
              <w:fldChar w:fldCharType="begin"/>
            </w:r>
            <w:r w:rsidRPr="001E5856">
              <w:rPr>
                <w:rFonts w:ascii="Agency FB" w:hAnsi="Agency FB"/>
                <w:noProof/>
                <w:webHidden/>
                <w:sz w:val="36"/>
                <w:szCs w:val="36"/>
              </w:rPr>
              <w:instrText xml:space="preserve"> PAGEREF _Toc189859695 \h </w:instrText>
            </w:r>
            <w:r w:rsidRPr="001E5856">
              <w:rPr>
                <w:rFonts w:ascii="Agency FB" w:hAnsi="Agency FB"/>
                <w:noProof/>
                <w:webHidden/>
                <w:sz w:val="36"/>
                <w:szCs w:val="36"/>
              </w:rPr>
            </w:r>
            <w:r w:rsidRPr="001E5856">
              <w:rPr>
                <w:rFonts w:ascii="Agency FB" w:hAnsi="Agency FB"/>
                <w:noProof/>
                <w:webHidden/>
                <w:sz w:val="36"/>
                <w:szCs w:val="36"/>
              </w:rPr>
              <w:fldChar w:fldCharType="separate"/>
            </w:r>
            <w:r w:rsidRPr="001E5856">
              <w:rPr>
                <w:rFonts w:ascii="Agency FB" w:hAnsi="Agency FB"/>
                <w:noProof/>
                <w:webHidden/>
                <w:sz w:val="36"/>
                <w:szCs w:val="36"/>
              </w:rPr>
              <w:t>7</w:t>
            </w:r>
            <w:r w:rsidRPr="001E5856">
              <w:rPr>
                <w:rFonts w:ascii="Agency FB" w:hAnsi="Agency FB"/>
                <w:noProof/>
                <w:webHidden/>
                <w:sz w:val="36"/>
                <w:szCs w:val="36"/>
              </w:rPr>
              <w:fldChar w:fldCharType="end"/>
            </w:r>
          </w:hyperlink>
        </w:p>
        <w:p w14:paraId="2EBCE862" w14:textId="0061AEB7" w:rsidR="001E5856" w:rsidRPr="001E5856" w:rsidRDefault="001E5856">
          <w:pPr>
            <w:pStyle w:val="TOC1"/>
            <w:tabs>
              <w:tab w:val="right" w:leader="dot" w:pos="9062"/>
            </w:tabs>
            <w:rPr>
              <w:rFonts w:ascii="Agency FB" w:hAnsi="Agency FB"/>
              <w:noProof/>
              <w:sz w:val="36"/>
              <w:szCs w:val="36"/>
            </w:rPr>
          </w:pPr>
          <w:hyperlink w:anchor="_Toc189859697" w:history="1">
            <w:r w:rsidRPr="001E5856">
              <w:rPr>
                <w:rStyle w:val="Hyperlink"/>
                <w:rFonts w:ascii="Agency FB" w:eastAsia="Times New Roman" w:hAnsi="Agency FB"/>
                <w:noProof/>
                <w:sz w:val="36"/>
                <w:szCs w:val="36"/>
              </w:rPr>
              <w:t>References</w:t>
            </w:r>
            <w:r w:rsidRPr="001E5856">
              <w:rPr>
                <w:rFonts w:ascii="Agency FB" w:hAnsi="Agency FB"/>
                <w:noProof/>
                <w:webHidden/>
                <w:sz w:val="36"/>
                <w:szCs w:val="36"/>
              </w:rPr>
              <w:tab/>
            </w:r>
            <w:r w:rsidRPr="001E5856">
              <w:rPr>
                <w:rFonts w:ascii="Agency FB" w:hAnsi="Agency FB"/>
                <w:noProof/>
                <w:webHidden/>
                <w:sz w:val="36"/>
                <w:szCs w:val="36"/>
              </w:rPr>
              <w:fldChar w:fldCharType="begin"/>
            </w:r>
            <w:r w:rsidRPr="001E5856">
              <w:rPr>
                <w:rFonts w:ascii="Agency FB" w:hAnsi="Agency FB"/>
                <w:noProof/>
                <w:webHidden/>
                <w:sz w:val="36"/>
                <w:szCs w:val="36"/>
              </w:rPr>
              <w:instrText xml:space="preserve"> PAGEREF _Toc189859697 \h </w:instrText>
            </w:r>
            <w:r w:rsidRPr="001E5856">
              <w:rPr>
                <w:rFonts w:ascii="Agency FB" w:hAnsi="Agency FB"/>
                <w:noProof/>
                <w:webHidden/>
                <w:sz w:val="36"/>
                <w:szCs w:val="36"/>
              </w:rPr>
            </w:r>
            <w:r w:rsidRPr="001E5856">
              <w:rPr>
                <w:rFonts w:ascii="Agency FB" w:hAnsi="Agency FB"/>
                <w:noProof/>
                <w:webHidden/>
                <w:sz w:val="36"/>
                <w:szCs w:val="36"/>
              </w:rPr>
              <w:fldChar w:fldCharType="separate"/>
            </w:r>
            <w:r w:rsidRPr="001E5856">
              <w:rPr>
                <w:rFonts w:ascii="Agency FB" w:hAnsi="Agency FB"/>
                <w:noProof/>
                <w:webHidden/>
                <w:sz w:val="36"/>
                <w:szCs w:val="36"/>
              </w:rPr>
              <w:t>8</w:t>
            </w:r>
            <w:r w:rsidRPr="001E5856">
              <w:rPr>
                <w:rFonts w:ascii="Agency FB" w:hAnsi="Agency FB"/>
                <w:noProof/>
                <w:webHidden/>
                <w:sz w:val="36"/>
                <w:szCs w:val="36"/>
              </w:rPr>
              <w:fldChar w:fldCharType="end"/>
            </w:r>
          </w:hyperlink>
        </w:p>
        <w:p w14:paraId="59D42BFD" w14:textId="3E785EF3" w:rsidR="001E5856" w:rsidRPr="001E5856" w:rsidRDefault="001E5856">
          <w:pPr>
            <w:rPr>
              <w:rFonts w:ascii="Agency FB" w:hAnsi="Agency FB"/>
              <w:sz w:val="36"/>
              <w:szCs w:val="36"/>
            </w:rPr>
          </w:pPr>
          <w:r w:rsidRPr="001E5856">
            <w:rPr>
              <w:rFonts w:ascii="Agency FB" w:hAnsi="Agency FB"/>
              <w:b/>
              <w:bCs/>
              <w:sz w:val="36"/>
              <w:szCs w:val="36"/>
            </w:rPr>
            <w:fldChar w:fldCharType="end"/>
          </w:r>
        </w:p>
      </w:sdtContent>
    </w:sdt>
    <w:p w14:paraId="2375BC58" w14:textId="77777777" w:rsidR="003C3200" w:rsidRPr="001E5856" w:rsidRDefault="003C3200">
      <w:pPr>
        <w:rPr>
          <w:rFonts w:ascii="Agency FB" w:hAnsi="Agency FB"/>
          <w:sz w:val="36"/>
          <w:szCs w:val="36"/>
        </w:rPr>
      </w:pPr>
    </w:p>
    <w:p w14:paraId="57CC3C87" w14:textId="77777777" w:rsidR="003C3200" w:rsidRPr="001E5856" w:rsidRDefault="003C3200">
      <w:pPr>
        <w:rPr>
          <w:rFonts w:ascii="Agency FB" w:hAnsi="Agency FB"/>
          <w:sz w:val="36"/>
          <w:szCs w:val="36"/>
        </w:rPr>
      </w:pPr>
    </w:p>
    <w:p w14:paraId="5A031915" w14:textId="77777777" w:rsidR="003C3200" w:rsidRDefault="003C3200"/>
    <w:p w14:paraId="70D3A16A" w14:textId="77777777" w:rsidR="003C3200" w:rsidRDefault="003C3200"/>
    <w:p w14:paraId="2CDD4D0B" w14:textId="77777777" w:rsidR="003C3200" w:rsidRDefault="003C3200"/>
    <w:p w14:paraId="24083C61" w14:textId="77777777" w:rsidR="003C3200" w:rsidRDefault="003C3200"/>
    <w:p w14:paraId="21DAA49A" w14:textId="77777777" w:rsidR="003C3200" w:rsidRDefault="003C3200"/>
    <w:p w14:paraId="266FE15A" w14:textId="77777777" w:rsidR="003C3200" w:rsidRDefault="003C3200"/>
    <w:p w14:paraId="7E7D2DB4" w14:textId="77777777" w:rsidR="003C3200" w:rsidRDefault="003C3200"/>
    <w:p w14:paraId="32BEFE62" w14:textId="77777777" w:rsidR="003C3200" w:rsidRDefault="003C3200"/>
    <w:p w14:paraId="659C9779" w14:textId="77777777" w:rsidR="003C3200" w:rsidRDefault="003C3200"/>
    <w:p w14:paraId="1BB47AEE" w14:textId="77777777" w:rsidR="003C3200" w:rsidRDefault="003C3200"/>
    <w:p w14:paraId="30086855" w14:textId="77777777" w:rsidR="003C3200" w:rsidRDefault="003C3200"/>
    <w:p w14:paraId="41C659C7" w14:textId="77777777" w:rsidR="003C3200" w:rsidRDefault="003C3200"/>
    <w:p w14:paraId="489CDD44" w14:textId="77777777" w:rsidR="003C3200" w:rsidRDefault="003C3200"/>
    <w:p w14:paraId="1600AE22" w14:textId="77777777" w:rsidR="003C3200" w:rsidRDefault="003C3200"/>
    <w:p w14:paraId="2EF4A5FB" w14:textId="3E268D63" w:rsidR="001E5856" w:rsidRDefault="001E5856">
      <w:r>
        <w:br w:type="page"/>
      </w:r>
    </w:p>
    <w:p w14:paraId="687A6D51" w14:textId="77777777" w:rsidR="00EF4B84" w:rsidRPr="001E5856" w:rsidRDefault="00EF4B84" w:rsidP="001E5856">
      <w:pPr>
        <w:pStyle w:val="Heading1"/>
        <w:rPr>
          <w:rFonts w:ascii="Arial" w:hAnsi="Arial" w:cs="Arial"/>
          <w:color w:val="000000" w:themeColor="text1"/>
          <w:sz w:val="32"/>
          <w:szCs w:val="32"/>
        </w:rPr>
      </w:pPr>
      <w:bookmarkStart w:id="0" w:name="_Toc189859689"/>
      <w:r w:rsidRPr="001E5856">
        <w:rPr>
          <w:rFonts w:ascii="Arial" w:hAnsi="Arial" w:cs="Arial"/>
          <w:color w:val="000000" w:themeColor="text1"/>
          <w:sz w:val="32"/>
          <w:szCs w:val="32"/>
        </w:rPr>
        <w:lastRenderedPageBreak/>
        <w:t>Executive Summary</w:t>
      </w:r>
      <w:bookmarkEnd w:id="0"/>
    </w:p>
    <w:p w14:paraId="3BC0B25D" w14:textId="77777777" w:rsidR="00EF4B84" w:rsidRPr="001E5856" w:rsidRDefault="00EF4B84" w:rsidP="001E5856">
      <w:pPr>
        <w:spacing w:line="360" w:lineRule="auto"/>
        <w:ind w:firstLine="720"/>
        <w:jc w:val="both"/>
        <w:rPr>
          <w:rFonts w:ascii="Arial" w:hAnsi="Arial" w:cs="Arial"/>
          <w:bCs/>
        </w:rPr>
      </w:pPr>
      <w:r w:rsidRPr="001E5856">
        <w:rPr>
          <w:rFonts w:ascii="Arial" w:hAnsi="Arial" w:cs="Arial"/>
          <w:bCs/>
        </w:rPr>
        <w:t>This study analyses corporate governance, agency theory, and thinking for XYZ Limited's UK Alternative Investment Market (AIM) listing search. In becoming a public entity, proper governance structures must be in place to engender accountability, transparency, and harmony between shareholder and management interests. Trust and compliance with regulators must be based on governance values such as accountability and investor fairness. Agency theory seeks to harmonise management with shareholder interests to mitigate conflict and create long-term value. To have a 30% holding following a listing, dual-class structures, shareholder agreements, and long-term board composition could be adopted. To mitigate agency conflicts, pay for directors must be fair, transparent, and performance-related, with an independent committee in place. Institutional diversity in UK, Shanghai, and Dutch listings is discussed in the research, and a recommendation for AIM is mooted for its less stringent environment and compliance with XYZ Limited's development aims. In the long term, XYZ Limited will have to make its governance practice stricter, implement restrictions for holding onto powers, and develop fair reward frameworks to make its listing successful. The entity will maintain its direction and family heritage as a public entity by addressing these concerns.</w:t>
      </w:r>
    </w:p>
    <w:p w14:paraId="6A876FE0" w14:textId="77777777" w:rsidR="00EF4B84" w:rsidRPr="001E5856" w:rsidRDefault="00EF4B84" w:rsidP="001E5856">
      <w:pPr>
        <w:spacing w:line="360" w:lineRule="auto"/>
        <w:rPr>
          <w:rFonts w:ascii="Arial" w:hAnsi="Arial" w:cs="Arial"/>
          <w:bCs/>
        </w:rPr>
      </w:pPr>
      <w:r w:rsidRPr="001E5856">
        <w:rPr>
          <w:rFonts w:ascii="Arial" w:hAnsi="Arial" w:cs="Arial"/>
          <w:bCs/>
        </w:rPr>
        <w:br w:type="page"/>
      </w:r>
    </w:p>
    <w:p w14:paraId="68DBD943" w14:textId="77777777" w:rsidR="00EF4B84" w:rsidRPr="001E5856" w:rsidRDefault="00EF4B84" w:rsidP="001E5856">
      <w:pPr>
        <w:pStyle w:val="Heading1"/>
        <w:rPr>
          <w:rFonts w:ascii="Arial" w:hAnsi="Arial" w:cs="Arial"/>
          <w:color w:val="000000" w:themeColor="text1"/>
          <w:sz w:val="32"/>
          <w:szCs w:val="32"/>
        </w:rPr>
      </w:pPr>
      <w:bookmarkStart w:id="1" w:name="_Toc189859690"/>
      <w:r w:rsidRPr="001E5856">
        <w:rPr>
          <w:rFonts w:ascii="Arial" w:hAnsi="Arial" w:cs="Arial"/>
          <w:color w:val="000000" w:themeColor="text1"/>
          <w:sz w:val="32"/>
          <w:szCs w:val="32"/>
        </w:rPr>
        <w:lastRenderedPageBreak/>
        <w:t>Introduction</w:t>
      </w:r>
      <w:bookmarkEnd w:id="1"/>
    </w:p>
    <w:p w14:paraId="552AC6F7" w14:textId="77777777" w:rsidR="00EF4B84" w:rsidRPr="001E5856" w:rsidRDefault="00EF4B84" w:rsidP="001E5856">
      <w:pPr>
        <w:spacing w:line="360" w:lineRule="auto"/>
        <w:ind w:firstLine="720"/>
        <w:jc w:val="both"/>
        <w:rPr>
          <w:rFonts w:ascii="Arial" w:hAnsi="Arial" w:cs="Arial"/>
          <w:bCs/>
        </w:rPr>
      </w:pPr>
      <w:r w:rsidRPr="001E5856">
        <w:rPr>
          <w:rFonts w:ascii="Arial" w:hAnsi="Arial" w:cs="Arial"/>
          <w:bCs/>
        </w:rPr>
        <w:t>XYZ Limited, a family-owned firm, will join the UK Alternative Investment Market (AIM) shortly. To be a public company, you must have good governance and a solid grasp of agency theory for long-term success. As a family firm with four sibling owners, each with a 25% interest, the group will have to handle issues under public ownership with continued influence over its future course. In preparation for its float onto AIM, this study will cover important considerations for consideration for XYZ Limited. First, corporate governance and agency theory definitions are given, focusing on public limited liability corporation requirements. Next, options for keeping control of the group with a 30% lower holding are discussed. Third, guidelines for planning for remuneration for directors in a fair and performance-related way at XYZ Limited are addressed. Fourth, institutionally important considerations in comparing a UK, a Shanghai, and a Dutch listing are addressed, with assistance for board decision-making.</w:t>
      </w:r>
      <w:r w:rsidRPr="001E5856">
        <w:rPr>
          <w:rFonts w:ascii="Arial" w:hAnsi="Arial" w:cs="Arial"/>
        </w:rPr>
        <w:t xml:space="preserve"> </w:t>
      </w:r>
      <w:r w:rsidRPr="001E5856">
        <w:rPr>
          <w:rFonts w:ascii="Arial" w:hAnsi="Arial" w:cs="Arial"/>
          <w:bCs/>
        </w:rPr>
        <w:t>XYZ Limited must adopt strong corporate Governance, strategic control mechanisms, and transparent, performance-based pay structures to transition to a public company while retaining family control; the best option is to list on AIM in the UK due to its regulatory flexibility and alignment with the company's growth objectives.</w:t>
      </w:r>
    </w:p>
    <w:p w14:paraId="651FD396" w14:textId="77777777" w:rsidR="00EF4B84" w:rsidRPr="001E5856" w:rsidRDefault="00EF4B84" w:rsidP="001E5856">
      <w:pPr>
        <w:pStyle w:val="Heading1"/>
        <w:rPr>
          <w:rFonts w:ascii="Arial" w:hAnsi="Arial" w:cs="Arial"/>
          <w:color w:val="000000" w:themeColor="text1"/>
          <w:sz w:val="32"/>
          <w:szCs w:val="32"/>
        </w:rPr>
      </w:pPr>
      <w:bookmarkStart w:id="2" w:name="_Toc189859691"/>
      <w:r w:rsidRPr="001E5856">
        <w:rPr>
          <w:rFonts w:ascii="Arial" w:hAnsi="Arial" w:cs="Arial"/>
          <w:color w:val="000000" w:themeColor="text1"/>
          <w:sz w:val="32"/>
          <w:szCs w:val="32"/>
        </w:rPr>
        <w:t>Corporate Governance and Agency Theory</w:t>
      </w:r>
      <w:bookmarkEnd w:id="2"/>
    </w:p>
    <w:p w14:paraId="110503E0" w14:textId="77777777" w:rsidR="00EF4B84" w:rsidRPr="001E5856" w:rsidRDefault="00EF4B84" w:rsidP="001E5856">
      <w:pPr>
        <w:spacing w:line="360" w:lineRule="auto"/>
        <w:ind w:firstLine="720"/>
        <w:jc w:val="both"/>
        <w:rPr>
          <w:rFonts w:ascii="Arial" w:hAnsi="Arial" w:cs="Arial"/>
          <w:bCs/>
        </w:rPr>
      </w:pPr>
      <w:r w:rsidRPr="001E5856">
        <w:rPr>
          <w:rFonts w:ascii="Arial" w:hAnsi="Arial" w:cs="Arial"/>
          <w:bCs/>
        </w:rPr>
        <w:t>Corporate Governance is a system of practice, processes, and rules under which a corporation is guided and monitored. It entails relations between a corporation's board of directors, management, shareholders, and interested groups and is responsible for providing accountability, transparency, and ethical decision-making. For publicly traded companies, effective governance is important in creating confidence in investors, complying with regulators, and driving long-term performance</w:t>
      </w:r>
      <w:r w:rsidRPr="001E5856">
        <w:rPr>
          <w:rFonts w:ascii="Arial" w:hAnsi="Arial" w:cs="Arial"/>
        </w:rPr>
        <w:t xml:space="preserve"> </w:t>
      </w:r>
      <w:r w:rsidRPr="001E5856">
        <w:rPr>
          <w:rFonts w:ascii="Arial" w:hAnsi="Arial" w:cs="Arial"/>
          <w:bCs/>
        </w:rPr>
        <w:t>(Efunniyi et al., 2024, pp. 1597-1616). Central tenets include accountability, with management answerable to shareholders; transparency, through timely and transparent financial and operational disclosures; fairness, with fair dealing with all interested groups; and responsibility, with the board acting best for the corporation and its shareholders. In the UK, a full range of guidance for listed companies is set out in the UK Corporate Governance Code, with a decisive role for non-executive directors, effective risk management, and shareholder dialogue</w:t>
      </w:r>
      <w:r w:rsidRPr="001E5856">
        <w:rPr>
          <w:rFonts w:ascii="Arial" w:hAnsi="Arial" w:cs="Arial"/>
        </w:rPr>
        <w:t xml:space="preserve"> </w:t>
      </w:r>
      <w:r w:rsidRPr="001E5856">
        <w:rPr>
          <w:rFonts w:ascii="Arial" w:hAnsi="Arial" w:cs="Arial"/>
          <w:bCs/>
        </w:rPr>
        <w:t>(Cheffins &amp; Reddy, 2022, pp. 1-40).</w:t>
      </w:r>
    </w:p>
    <w:p w14:paraId="08726ED0" w14:textId="77777777" w:rsidR="00EF4B84" w:rsidRPr="001E5856" w:rsidRDefault="00EF4B84" w:rsidP="001E5856">
      <w:pPr>
        <w:spacing w:line="360" w:lineRule="auto"/>
        <w:ind w:firstLine="720"/>
        <w:jc w:val="both"/>
        <w:rPr>
          <w:rFonts w:ascii="Arial" w:hAnsi="Arial" w:cs="Arial"/>
          <w:bCs/>
        </w:rPr>
      </w:pPr>
      <w:r w:rsidRPr="001E5856">
        <w:rPr>
          <w:rFonts w:ascii="Arial" w:hAnsi="Arial" w:cs="Arial"/>
          <w:bCs/>
        </w:rPr>
        <w:t>Agency theory, in contrast, considers the principal-agent relationship between shareholders and management in publicly traded companies. In publicly traded companies, such a relationship tends to produce agency conflicts, with shareholder and management interests sometimes at odds with each other</w:t>
      </w:r>
      <w:r w:rsidRPr="001E5856">
        <w:rPr>
          <w:rFonts w:ascii="Arial" w:hAnsi="Arial" w:cs="Arial"/>
        </w:rPr>
        <w:t xml:space="preserve"> </w:t>
      </w:r>
      <w:r w:rsidRPr="001E5856">
        <w:rPr>
          <w:rFonts w:ascii="Arial" w:hAnsi="Arial" w:cs="Arial"/>
          <w:bCs/>
        </w:rPr>
        <w:t xml:space="preserve">(Abdulaziz, 2024). For example, managers may pursue short-term profit or individual gain at the expense of long-term shareholder value. To mitigate such conflicts, performance-related pay, independent supervision, and transparent </w:t>
      </w:r>
      <w:r w:rsidRPr="001E5856">
        <w:rPr>
          <w:rFonts w:ascii="Arial" w:hAnsi="Arial" w:cs="Arial"/>
          <w:bCs/>
        </w:rPr>
        <w:lastRenderedPageBreak/>
        <w:t>reporting become governance tools in a corporation. All these tools work towards aligning management and shareholder interests to maximise long-term value through decision-making. For XYZ Limited, understanding and applying these fundamentals is key in its transition towards a public corporation. Sound governance will make XYZ a respected corporation, attract investors, and comply with requirements under AIM's regulatory regime. Similarly, resolving conflicts of agency through effective governance structures will work towards maintaining harmony between family strategic direction and outsiders' shareholder concerns. By adopting best governance and agency theory practices, XYZ Limited can establish a strong platform for long-term success and continued development in the public marketplace.</w:t>
      </w:r>
    </w:p>
    <w:p w14:paraId="2911CB26" w14:textId="77777777" w:rsidR="00EF4B84" w:rsidRPr="001E5856" w:rsidRDefault="00EF4B84" w:rsidP="001E5856">
      <w:pPr>
        <w:pStyle w:val="Heading1"/>
        <w:rPr>
          <w:rFonts w:ascii="Arial" w:hAnsi="Arial" w:cs="Arial"/>
          <w:color w:val="000000" w:themeColor="text1"/>
          <w:sz w:val="32"/>
          <w:szCs w:val="32"/>
        </w:rPr>
      </w:pPr>
      <w:bookmarkStart w:id="3" w:name="_Toc189859692"/>
      <w:r w:rsidRPr="001E5856">
        <w:rPr>
          <w:rFonts w:ascii="Arial" w:hAnsi="Arial" w:cs="Arial"/>
          <w:color w:val="000000" w:themeColor="text1"/>
          <w:sz w:val="32"/>
          <w:szCs w:val="32"/>
        </w:rPr>
        <w:t>Retaining control with 30% Shareholding</w:t>
      </w:r>
      <w:bookmarkEnd w:id="3"/>
    </w:p>
    <w:p w14:paraId="2AAB4361" w14:textId="77777777" w:rsidR="00EF4B84" w:rsidRPr="001E5856" w:rsidRDefault="00EF4B84" w:rsidP="001E5856">
      <w:pPr>
        <w:spacing w:line="360" w:lineRule="auto"/>
        <w:ind w:firstLine="720"/>
        <w:jc w:val="both"/>
        <w:rPr>
          <w:rFonts w:ascii="Arial" w:hAnsi="Arial" w:cs="Arial"/>
          <w:bCs/>
        </w:rPr>
      </w:pPr>
      <w:r w:rsidRPr="001E5856">
        <w:rPr>
          <w:rFonts w:ascii="Arial" w:hAnsi="Arial" w:cs="Arial"/>
          <w:bCs/>
        </w:rPr>
        <w:t>Retaining control over XYZ Limited with a mere 30% holding in post-listed company shares requires a calculated move to maintain family control over important decisions. One such effective mechanism for such a move is through a dual-class share structure, in which family-owned shares with enhanced voting powers and voting privileges are retained, and outsiders have restricted voting powers or no voting powers at all (Gurrea-Martínez, 2021, pp. 475-515). With such a structure, family owners can maintain control over important decisions, such as mergers, acquisitions, and dividend policies, even with a minority holding position. Several successful entities, such as Google and Facebook, have utilised such a mechanism for holding onto control with access to public capital. Shareholder agreements can also be drafted to restrict external influence through a supermajority approval for significant actions. With a 30% family holding and supportive shareholder backing, such actions can be vetoed in case of a contradiction with the family vision.</w:t>
      </w:r>
    </w:p>
    <w:p w14:paraId="109B7E4A" w14:textId="77777777" w:rsidR="00EF4B84" w:rsidRPr="001E5856" w:rsidRDefault="00EF4B84" w:rsidP="001E5856">
      <w:pPr>
        <w:spacing w:line="360" w:lineRule="auto"/>
        <w:ind w:firstLine="720"/>
        <w:jc w:val="both"/>
        <w:rPr>
          <w:rFonts w:ascii="Arial" w:hAnsi="Arial" w:cs="Arial"/>
          <w:bCs/>
        </w:rPr>
      </w:pPr>
      <w:r w:rsidRPr="001E5856">
        <w:rPr>
          <w:rFonts w:ascii="Arial" w:hAnsi="Arial" w:cs="Arial"/>
          <w:bCs/>
        </w:rPr>
        <w:t>Another critical step is the governance of the board of directors. By taking key positions such as Chairman, CEO, or Executive Director, family governance over decision-making and safeguarding of direction for the company can be guaranteed. Having additional independent directors with a long-term outlook similar to that of the family can make such governance even stronger</w:t>
      </w:r>
      <w:r w:rsidRPr="001E5856">
        <w:rPr>
          <w:rFonts w:ascii="Arial" w:hAnsi="Arial" w:cs="Arial"/>
        </w:rPr>
        <w:t xml:space="preserve"> </w:t>
      </w:r>
      <w:r w:rsidRPr="001E5856">
        <w:rPr>
          <w:rFonts w:ascii="Arial" w:hAnsi="Arial" w:cs="Arial"/>
          <w:bCs/>
        </w:rPr>
        <w:t>(Kavadis &amp; Thomsen, 2022, pp. 198-206). Institutional investors can even be convinced and become supportive, with voting trusts or pool agreements providing family members with a mechanism for combining voting powers and acting in concert in a bloc, exercising their aggregated 30% holding in a meaningful manner.</w:t>
      </w:r>
    </w:p>
    <w:p w14:paraId="38489F6C" w14:textId="77777777" w:rsidR="00EF4B84" w:rsidRPr="001E5856" w:rsidRDefault="00EF4B84" w:rsidP="001E5856">
      <w:pPr>
        <w:spacing w:line="360" w:lineRule="auto"/>
        <w:ind w:firstLine="720"/>
        <w:jc w:val="both"/>
        <w:rPr>
          <w:rFonts w:ascii="Arial" w:hAnsi="Arial" w:cs="Arial"/>
          <w:bCs/>
        </w:rPr>
      </w:pPr>
      <w:r w:rsidRPr="001E5856">
        <w:rPr>
          <w:rFonts w:ascii="Arial" w:hAnsi="Arial" w:cs="Arial"/>
          <w:bCs/>
        </w:rPr>
        <w:t xml:space="preserve">Staggered board elections, under which a section of the board is elected at a time, introduce stability by minimising board composition change in one election period as it helps preserve family control over a long period. By employing these tools in unison—dual-class voting, shareholder agreements, board composition, voting trusts, institution investor alliances, and staggered voting—the board of XYZ Limited can exercise effective control over the </w:t>
      </w:r>
      <w:r w:rsidRPr="001E5856">
        <w:rPr>
          <w:rFonts w:ascii="Arial" w:hAnsi="Arial" w:cs="Arial"/>
          <w:bCs/>
        </w:rPr>
        <w:lastRenderedPageBreak/>
        <w:t>direction of the corporation, its growth strategies, and dividend payments even with a reduced holding of 30%. These tools safeguard family interests and assure outsiders that the corporation is operated with a specific and coherent direction, generating long-term growth and stability.</w:t>
      </w:r>
    </w:p>
    <w:p w14:paraId="5518B119" w14:textId="77777777" w:rsidR="00EF4B84" w:rsidRPr="00BE6E1F" w:rsidRDefault="00EF4B84" w:rsidP="001E5856">
      <w:pPr>
        <w:pStyle w:val="Heading1"/>
        <w:rPr>
          <w:rFonts w:ascii="Arial" w:hAnsi="Arial" w:cs="Arial"/>
          <w:color w:val="000000" w:themeColor="text1"/>
          <w:sz w:val="32"/>
          <w:szCs w:val="32"/>
        </w:rPr>
      </w:pPr>
      <w:bookmarkStart w:id="4" w:name="_Toc189859693"/>
      <w:r w:rsidRPr="00BE6E1F">
        <w:rPr>
          <w:rFonts w:ascii="Arial" w:hAnsi="Arial" w:cs="Arial"/>
          <w:color w:val="000000" w:themeColor="text1"/>
          <w:sz w:val="32"/>
          <w:szCs w:val="32"/>
        </w:rPr>
        <w:t>Director Remuneration: Frameworks and Reasonable Payments</w:t>
      </w:r>
      <w:bookmarkEnd w:id="4"/>
    </w:p>
    <w:p w14:paraId="2F4EF522" w14:textId="77777777" w:rsidR="00EF4B84" w:rsidRPr="001E5856" w:rsidRDefault="00EF4B84" w:rsidP="001E5856">
      <w:pPr>
        <w:spacing w:line="360" w:lineRule="auto"/>
        <w:ind w:firstLine="720"/>
        <w:jc w:val="both"/>
        <w:rPr>
          <w:rFonts w:ascii="Arial" w:hAnsi="Arial" w:cs="Arial"/>
          <w:bCs/>
        </w:rPr>
      </w:pPr>
      <w:r w:rsidRPr="001E5856">
        <w:rPr>
          <w:rFonts w:ascii="Arial" w:hAnsi="Arial" w:cs="Arial"/>
          <w:bCs/>
        </w:rPr>
        <w:t>The remuneration of directors should be constructed to align incentives with long-term success at XYZ Limited and ensure fairness, transparency, and accountability. Not only will a successful scheme motivate effective performance for directors, but it will also mitigate agency conflicts through assurance that incentives will align with shareholder interests. For such a reality, the following structures and practices must be embraced: First, an independent Remuneration Committee must be instituted to manage director pay. Made up of predominantly independent non-executive directors, such a committee brings independence and averts conflicts of interest</w:t>
      </w:r>
      <w:r w:rsidRPr="001E5856">
        <w:rPr>
          <w:rFonts w:ascii="Arial" w:hAnsi="Arial" w:cs="Arial"/>
        </w:rPr>
        <w:t xml:space="preserve"> </w:t>
      </w:r>
      <w:r w:rsidRPr="001E5856">
        <w:rPr>
          <w:rFonts w:ascii="Arial" w:hAnsi="Arial" w:cs="Arial"/>
          <w:bCs/>
        </w:rPr>
        <w:t>(Ibrahim &amp; Farahiyah, 2021, pp. 291-303). Setting remuneration policies, performance evaluation of directors, and deciding proper pay packages fall under its role. Transparency is paramount, and its decisions and justification must be disclosed in the company's annual report, instilling confidence in its shareholders and stakeholders.</w:t>
      </w:r>
    </w:p>
    <w:p w14:paraId="031EE628" w14:textId="77777777" w:rsidR="00EF4B84" w:rsidRPr="001E5856" w:rsidRDefault="00EF4B84" w:rsidP="001E5856">
      <w:pPr>
        <w:spacing w:line="360" w:lineRule="auto"/>
        <w:ind w:firstLine="720"/>
        <w:jc w:val="both"/>
        <w:rPr>
          <w:rFonts w:ascii="Arial" w:hAnsi="Arial" w:cs="Arial"/>
          <w:bCs/>
        </w:rPr>
      </w:pPr>
      <w:r w:rsidRPr="001E5856">
        <w:rPr>
          <w:rFonts w:ascii="Arial" w:hAnsi="Arial" w:cs="Arial"/>
          <w:bCs/>
        </w:rPr>
        <w:t>Director remuneration will have to be performance-related, with a significant portion of pay contingent on the financial and operational performance of the group. Examples include short-term incentives, such as annual bonuses about key performance indicators (KPIs) such as revenue growth, profitability, and sustainability targets, and long-term incentives, such as options over years or grants of equity that will become payable over years</w:t>
      </w:r>
      <w:r w:rsidRPr="001E5856">
        <w:rPr>
          <w:rFonts w:ascii="Arial" w:hAnsi="Arial" w:cs="Arial"/>
        </w:rPr>
        <w:t xml:space="preserve"> </w:t>
      </w:r>
      <w:r w:rsidRPr="001E5856">
        <w:rPr>
          <w:rFonts w:ascii="Arial" w:hAnsi="Arial" w:cs="Arial"/>
          <w:bCs/>
        </w:rPr>
        <w:t>(Nel, Jachi &amp; Scholtz, 2024, pp. 1-31). Long-term incentives are critical because they cause directors to prioritise long-term value creation over short-term aims. The remuneration arrangement must have a balanced mix of variable and fixed components. Fixed components, such as base salary, provide stability, and variable components, such as incentives and equity, reward performance. There must also be provisions for clawing back incentives and bonuses in the event of malfeasance or financial misstatement, holding them in check.</w:t>
      </w:r>
    </w:p>
    <w:p w14:paraId="537046F9" w14:textId="77777777" w:rsidR="00EF4B84" w:rsidRPr="001E5856" w:rsidRDefault="00EF4B84" w:rsidP="001E5856">
      <w:pPr>
        <w:spacing w:line="360" w:lineRule="auto"/>
        <w:ind w:firstLine="720"/>
        <w:jc w:val="both"/>
        <w:rPr>
          <w:rFonts w:ascii="Arial" w:hAnsi="Arial" w:cs="Arial"/>
          <w:bCs/>
        </w:rPr>
      </w:pPr>
      <w:r w:rsidRPr="001E5856">
        <w:rPr>
          <w:rFonts w:ascii="Arial" w:hAnsi="Arial" w:cs="Arial"/>
          <w:bCs/>
        </w:rPr>
        <w:t>To ensure a fair level, pay must be benchmarked with consideration for industry and peer companies, taking into account factors such as marketplace, complexity, and size, in an attempt to attract and retain the best talent and not pay them in a manner that will result in shareholder disaffection and loss of goodwill. Finally, shareholder approval of XYZ Limited's remuneration policy in a vote at its annual general meeting (AGM) ensures transparency and accountability</w:t>
      </w:r>
      <w:r w:rsidRPr="001E5856">
        <w:rPr>
          <w:rFonts w:ascii="Arial" w:hAnsi="Arial" w:cs="Arial"/>
        </w:rPr>
        <w:t xml:space="preserve"> </w:t>
      </w:r>
      <w:r w:rsidRPr="001E5856">
        <w:rPr>
          <w:rFonts w:ascii="Arial" w:hAnsi="Arial" w:cs="Arial"/>
          <w:bCs/>
        </w:rPr>
        <w:t xml:space="preserve">(Ferrarini &amp; Ungureanu, 2024). By considering its shareholders, XYZ Limited can harmonise its pay practice with shareholder aspirations and best governance practices. </w:t>
      </w:r>
      <w:r w:rsidRPr="001E5856">
        <w:rPr>
          <w:rFonts w:ascii="Arial" w:hAnsi="Arial" w:cs="Arial"/>
          <w:bCs/>
        </w:rPr>
        <w:lastRenderedPageBreak/>
        <w:t>All these structures together ensure fair and adequate pay for its directors and long-term success for the company.</w:t>
      </w:r>
    </w:p>
    <w:p w14:paraId="155FB260" w14:textId="77777777" w:rsidR="00EF4B84" w:rsidRPr="00BE6E1F" w:rsidRDefault="00EF4B84" w:rsidP="001E5856">
      <w:pPr>
        <w:pStyle w:val="Heading1"/>
        <w:rPr>
          <w:rFonts w:ascii="Arial" w:hAnsi="Arial" w:cs="Arial"/>
          <w:color w:val="000000" w:themeColor="text1"/>
          <w:sz w:val="32"/>
          <w:szCs w:val="32"/>
        </w:rPr>
      </w:pPr>
      <w:bookmarkStart w:id="5" w:name="_Toc189859694"/>
      <w:r w:rsidRPr="00BE6E1F">
        <w:rPr>
          <w:rFonts w:ascii="Arial" w:hAnsi="Arial" w:cs="Arial"/>
          <w:color w:val="000000" w:themeColor="text1"/>
          <w:sz w:val="32"/>
          <w:szCs w:val="32"/>
        </w:rPr>
        <w:t>Institutional Differences: UK, Shanghai, and Netherlands</w:t>
      </w:r>
      <w:bookmarkEnd w:id="5"/>
    </w:p>
    <w:p w14:paraId="134AD748" w14:textId="77777777" w:rsidR="00EF4B84" w:rsidRPr="001E5856" w:rsidRDefault="00EF4B84" w:rsidP="001E5856">
      <w:pPr>
        <w:spacing w:line="360" w:lineRule="auto"/>
        <w:ind w:firstLine="720"/>
        <w:jc w:val="both"/>
        <w:rPr>
          <w:rFonts w:ascii="Arial" w:hAnsi="Arial" w:cs="Arial"/>
          <w:bCs/>
        </w:rPr>
      </w:pPr>
      <w:r w:rsidRPr="001E5856">
        <w:rPr>
          <w:rFonts w:ascii="Arial" w:hAnsi="Arial" w:cs="Arial"/>
          <w:bCs/>
        </w:rPr>
        <w:t>When considering a listing, XYZ Limited will have to evaluate the variation in institutions between the UK (AIM), Shanghai, and the Netherlands, each with its respective regulatory environment, requirements for governance, and conventions in terms of culture. The UK's Alternative Investment Market (AIM) is renowned for its less stringent environment for regulation, and its appeal for developing companies such as XYZ Limited is therefore significant</w:t>
      </w:r>
      <w:r w:rsidRPr="001E5856">
        <w:rPr>
          <w:rFonts w:ascii="Arial" w:hAnsi="Arial" w:cs="Arial"/>
        </w:rPr>
        <w:t xml:space="preserve"> </w:t>
      </w:r>
      <w:r w:rsidRPr="001E5856">
        <w:rPr>
          <w:rFonts w:ascii="Arial" w:hAnsi="Arial" w:cs="Arial"/>
          <w:bCs/>
        </w:rPr>
        <w:t>(Di Terlizzi, 2024). AIM's less stringent requirements for a listing, compared with its primary market, allow companies to raise funds with a lighter compliance burden. There is a robust, well-established governance environment in the UK, supported by the UK Corporate Governance Code, with a strong bias towards transparency, accountability, and shareholder dialogue</w:t>
      </w:r>
      <w:r w:rsidRPr="001E5856">
        <w:rPr>
          <w:rFonts w:ascii="Arial" w:hAnsi="Arial" w:cs="Arial"/>
        </w:rPr>
        <w:t xml:space="preserve"> </w:t>
      </w:r>
      <w:r w:rsidRPr="001E5856">
        <w:rPr>
          <w:rFonts w:ascii="Arial" w:hAnsi="Arial" w:cs="Arial"/>
          <w:bCs/>
        </w:rPr>
        <w:t>(Ahmed Saber Moussa &amp; Mahmoud Elmarzouky, 2023). Such a robust governance environment will build confidence in investors, and its compliance with best practices worldwide will make AIM an ideal platform for XYZ Limited's growth objectives.</w:t>
      </w:r>
    </w:p>
    <w:p w14:paraId="3931A6CB" w14:textId="77777777" w:rsidR="00EF4B84" w:rsidRPr="001E5856" w:rsidRDefault="00EF4B84" w:rsidP="001E5856">
      <w:pPr>
        <w:spacing w:line="360" w:lineRule="auto"/>
        <w:ind w:firstLine="720"/>
        <w:jc w:val="both"/>
        <w:rPr>
          <w:rFonts w:ascii="Arial" w:hAnsi="Arial" w:cs="Arial"/>
          <w:bCs/>
        </w:rPr>
      </w:pPr>
      <w:r w:rsidRPr="001E5856">
        <w:rPr>
          <w:rFonts w:ascii="Arial" w:hAnsi="Arial" w:cs="Arial"/>
          <w:bCs/>
        </w:rPr>
        <w:t>In contrast, a listing in Shanghai entails a new set of obstacles and opportunities. China's environment for regulation is stricter, with significant government intervention in companies' operations. Even when reforming, China's corporate governance standards lag behind in transparency and shareholder protection compared with the UK (AttaYeboah, 2022). For example, minority shareholders can have little voice in decision-making, and disclosures can have less stringent requirements. Besides, cultural and language barriers and political risks could make operations for a UK corporation like XYZ Limited arduous. All these make a listing in Shanghai less desirable, even with its access to a growing marketplace.</w:t>
      </w:r>
    </w:p>
    <w:p w14:paraId="40D89815" w14:textId="77777777" w:rsidR="00EF4B84" w:rsidRPr="001E5856" w:rsidRDefault="00EF4B84" w:rsidP="001E5856">
      <w:pPr>
        <w:spacing w:line="360" w:lineRule="auto"/>
        <w:ind w:firstLine="720"/>
        <w:jc w:val="both"/>
        <w:rPr>
          <w:rFonts w:ascii="Arial" w:hAnsi="Arial" w:cs="Arial"/>
          <w:bCs/>
        </w:rPr>
      </w:pPr>
      <w:r w:rsidRPr="001E5856">
        <w:rPr>
          <w:rFonts w:ascii="Arial" w:hAnsi="Arial" w:cs="Arial"/>
          <w:bCs/>
        </w:rPr>
        <w:t>On the other hand, the Netherlands has a firm legal infrastructure and sound governance, similar to that of the UK. Dutch practice is a model of a stakeholder with a strong orientation towards long-term value creation and balancing shareholder, employee, and other stakeholders' interests. Despite a sound and transparent environment in the Netherlands, its market is relatively minor compared to that in the UK, and access to a variety of investors could, therefore, become restricted</w:t>
      </w:r>
      <w:r w:rsidRPr="001E5856">
        <w:rPr>
          <w:rFonts w:ascii="Arial" w:hAnsi="Arial" w:cs="Arial"/>
        </w:rPr>
        <w:t xml:space="preserve"> </w:t>
      </w:r>
      <w:r w:rsidRPr="001E5856">
        <w:rPr>
          <w:rFonts w:ascii="Arial" w:hAnsi="Arial" w:cs="Arial"/>
          <w:bCs/>
        </w:rPr>
        <w:t>(Iskandarova et al., 2021). Besides, Dutch listing requirements could be stricter about AIM, and an emerging concern such as XYZ Limited could have difficulty adhering to them. Given these considerations, a UK listing in AIM is most desirable for XYZ Limited. AIM's eased regulations, excellent governance level, and alignment with the firm's growth goals make it ideal for a smooth transition to a public company. By adopting an AIM, XYZ Limited may obtain capital, develop its reputation, and retain its agility in a position to realise its objectives for growth by best governance practices globally.</w:t>
      </w:r>
    </w:p>
    <w:p w14:paraId="504F2B67" w14:textId="77777777" w:rsidR="00EF4B84" w:rsidRPr="00BE6E1F" w:rsidRDefault="00EF4B84" w:rsidP="001E5856">
      <w:pPr>
        <w:pStyle w:val="Heading1"/>
        <w:rPr>
          <w:rFonts w:ascii="Arial" w:hAnsi="Arial" w:cs="Arial"/>
          <w:color w:val="000000" w:themeColor="text1"/>
          <w:sz w:val="32"/>
          <w:szCs w:val="32"/>
        </w:rPr>
      </w:pPr>
      <w:bookmarkStart w:id="6" w:name="_Toc189859695"/>
      <w:r w:rsidRPr="00BE6E1F">
        <w:rPr>
          <w:rFonts w:ascii="Arial" w:hAnsi="Arial" w:cs="Arial"/>
          <w:color w:val="000000" w:themeColor="text1"/>
          <w:sz w:val="32"/>
          <w:szCs w:val="32"/>
        </w:rPr>
        <w:lastRenderedPageBreak/>
        <w:t>Conclusion</w:t>
      </w:r>
      <w:bookmarkEnd w:id="6"/>
      <w:r w:rsidRPr="00BE6E1F">
        <w:rPr>
          <w:rFonts w:ascii="Arial" w:hAnsi="Arial" w:cs="Arial"/>
          <w:color w:val="000000" w:themeColor="text1"/>
          <w:sz w:val="32"/>
          <w:szCs w:val="32"/>
        </w:rPr>
        <w:t xml:space="preserve"> </w:t>
      </w:r>
    </w:p>
    <w:p w14:paraId="1149E115" w14:textId="0D1FA8EA" w:rsidR="00EF4B84" w:rsidRPr="00BE6E1F" w:rsidRDefault="00EF4B84" w:rsidP="00BE6E1F">
      <w:pPr>
        <w:spacing w:after="240" w:line="360" w:lineRule="auto"/>
        <w:jc w:val="center"/>
        <w:outlineLvl w:val="0"/>
        <w:rPr>
          <w:rFonts w:ascii="Arial" w:hAnsi="Arial" w:cs="Arial"/>
          <w:bCs/>
        </w:rPr>
      </w:pPr>
      <w:bookmarkStart w:id="7" w:name="_Toc189859696"/>
      <w:r w:rsidRPr="001E5856">
        <w:rPr>
          <w:rFonts w:ascii="Arial" w:hAnsi="Arial" w:cs="Arial"/>
          <w:bCs/>
        </w:rPr>
        <w:t>As it joins AIM, XYZ Limited must adopt strong governance, handle agency disputes, and maintain family control. The UK Corporate Governance Code suggests improving governance frameworks, keeping executives and the board accountable, and aligning with shareholder value. To guarantee family control with a 30% stake, dual-class shares, shareholder agreements, and board composition through a deliberate selection will have to be considered for use by the board. A transparent, performance-based compensation structure for directors, overseen by an independent remuneration committee, will align management's incentives with long-term value development. AIM is better than Shanghai or the Netherlands because of its flexible regulations, good governance standards, and conformance with XYZ Limited's business goals. Following these tips, XYZ Limited will convert to a public business while keeping its direction, family legacy, and long-term growth goals. Not only will investors be recruited, but a strong platform for long-term success in th</w:t>
      </w:r>
      <w:r w:rsidR="00BE6E1F">
        <w:rPr>
          <w:rFonts w:ascii="Arial" w:hAnsi="Arial" w:cs="Arial"/>
          <w:bCs/>
        </w:rPr>
        <w:t xml:space="preserve">e </w:t>
      </w:r>
      <w:r w:rsidRPr="001E5856">
        <w:rPr>
          <w:rFonts w:ascii="Arial" w:hAnsi="Arial" w:cs="Arial"/>
          <w:bCs/>
        </w:rPr>
        <w:t>public marketplace will also be established.</w:t>
      </w:r>
      <w:bookmarkEnd w:id="7"/>
      <w:r w:rsidRPr="001E5856">
        <w:rPr>
          <w:rFonts w:ascii="Arial" w:hAnsi="Arial" w:cs="Arial"/>
          <w:bCs/>
        </w:rPr>
        <w:t xml:space="preserve">                                                                                                                                 </w:t>
      </w:r>
      <w:r w:rsidRPr="001E5856">
        <w:rPr>
          <w:rFonts w:ascii="Arial" w:eastAsia="Times New Roman" w:hAnsi="Arial" w:cs="Arial"/>
          <w:b/>
          <w:bCs/>
          <w:kern w:val="36"/>
        </w:rPr>
        <w:t xml:space="preserve">      </w:t>
      </w:r>
    </w:p>
    <w:p w14:paraId="468F0256" w14:textId="77777777" w:rsidR="00EF4B84" w:rsidRPr="001E5856" w:rsidRDefault="00EF4B84" w:rsidP="001E5856">
      <w:pPr>
        <w:spacing w:after="240" w:line="360" w:lineRule="auto"/>
        <w:jc w:val="center"/>
        <w:outlineLvl w:val="0"/>
        <w:rPr>
          <w:rFonts w:ascii="Arial" w:eastAsia="Times New Roman" w:hAnsi="Arial" w:cs="Arial"/>
          <w:b/>
          <w:bCs/>
          <w:kern w:val="36"/>
        </w:rPr>
      </w:pPr>
    </w:p>
    <w:p w14:paraId="3C65A762" w14:textId="77777777" w:rsidR="00EF4B84" w:rsidRDefault="00EF4B84" w:rsidP="00EF4B84">
      <w:pPr>
        <w:spacing w:after="240" w:line="360" w:lineRule="auto"/>
        <w:jc w:val="center"/>
        <w:outlineLvl w:val="0"/>
        <w:rPr>
          <w:rFonts w:ascii="Times New Roman" w:eastAsia="Times New Roman" w:hAnsi="Times New Roman" w:cs="Times New Roman"/>
          <w:b/>
          <w:bCs/>
          <w:kern w:val="36"/>
          <w:sz w:val="24"/>
          <w:szCs w:val="24"/>
        </w:rPr>
      </w:pPr>
    </w:p>
    <w:p w14:paraId="18AFC5D5" w14:textId="77777777" w:rsidR="00EF4B84" w:rsidRDefault="00EF4B84" w:rsidP="00EF4B84">
      <w:pPr>
        <w:spacing w:after="240" w:line="360" w:lineRule="auto"/>
        <w:jc w:val="center"/>
        <w:outlineLvl w:val="0"/>
        <w:rPr>
          <w:rFonts w:ascii="Times New Roman" w:eastAsia="Times New Roman" w:hAnsi="Times New Roman" w:cs="Times New Roman"/>
          <w:b/>
          <w:bCs/>
          <w:kern w:val="36"/>
          <w:sz w:val="24"/>
          <w:szCs w:val="24"/>
        </w:rPr>
      </w:pPr>
    </w:p>
    <w:p w14:paraId="3E1855E6" w14:textId="77777777" w:rsidR="00EF4B84" w:rsidRDefault="00EF4B84" w:rsidP="00EF4B84">
      <w:pPr>
        <w:spacing w:after="240" w:line="360" w:lineRule="auto"/>
        <w:jc w:val="center"/>
        <w:outlineLvl w:val="0"/>
        <w:rPr>
          <w:rFonts w:ascii="Times New Roman" w:eastAsia="Times New Roman" w:hAnsi="Times New Roman" w:cs="Times New Roman"/>
          <w:b/>
          <w:bCs/>
          <w:kern w:val="36"/>
          <w:sz w:val="24"/>
          <w:szCs w:val="24"/>
        </w:rPr>
      </w:pPr>
    </w:p>
    <w:p w14:paraId="24F19592" w14:textId="77777777" w:rsidR="00EF4B84" w:rsidRDefault="00EF4B84" w:rsidP="00EF4B84">
      <w:pPr>
        <w:spacing w:after="240" w:line="360" w:lineRule="auto"/>
        <w:jc w:val="center"/>
        <w:outlineLvl w:val="0"/>
        <w:rPr>
          <w:rFonts w:ascii="Times New Roman" w:eastAsia="Times New Roman" w:hAnsi="Times New Roman" w:cs="Times New Roman"/>
          <w:b/>
          <w:bCs/>
          <w:kern w:val="36"/>
          <w:sz w:val="24"/>
          <w:szCs w:val="24"/>
        </w:rPr>
      </w:pPr>
    </w:p>
    <w:p w14:paraId="429FC05C" w14:textId="77777777" w:rsidR="001E5856" w:rsidRDefault="001E5856" w:rsidP="00EF4B84">
      <w:pPr>
        <w:spacing w:after="240" w:line="360" w:lineRule="auto"/>
        <w:jc w:val="center"/>
        <w:outlineLvl w:val="0"/>
        <w:rPr>
          <w:rFonts w:ascii="Arial" w:eastAsia="Times New Roman" w:hAnsi="Arial" w:cs="Arial"/>
          <w:kern w:val="36"/>
          <w:sz w:val="32"/>
          <w:szCs w:val="32"/>
        </w:rPr>
      </w:pPr>
    </w:p>
    <w:p w14:paraId="6560B2D3" w14:textId="77777777" w:rsidR="001E5856" w:rsidRDefault="001E5856" w:rsidP="00EF4B84">
      <w:pPr>
        <w:spacing w:after="240" w:line="360" w:lineRule="auto"/>
        <w:jc w:val="center"/>
        <w:outlineLvl w:val="0"/>
        <w:rPr>
          <w:rFonts w:ascii="Arial" w:eastAsia="Times New Roman" w:hAnsi="Arial" w:cs="Arial"/>
          <w:kern w:val="36"/>
          <w:sz w:val="32"/>
          <w:szCs w:val="32"/>
        </w:rPr>
      </w:pPr>
    </w:p>
    <w:p w14:paraId="60CE7207" w14:textId="77777777" w:rsidR="001E5856" w:rsidRDefault="001E5856" w:rsidP="00EF4B84">
      <w:pPr>
        <w:spacing w:after="240" w:line="360" w:lineRule="auto"/>
        <w:jc w:val="center"/>
        <w:outlineLvl w:val="0"/>
        <w:rPr>
          <w:rFonts w:ascii="Arial" w:eastAsia="Times New Roman" w:hAnsi="Arial" w:cs="Arial"/>
          <w:kern w:val="36"/>
          <w:sz w:val="32"/>
          <w:szCs w:val="32"/>
        </w:rPr>
      </w:pPr>
    </w:p>
    <w:p w14:paraId="7AC9C30B" w14:textId="77777777" w:rsidR="001E5856" w:rsidRDefault="001E5856" w:rsidP="00EF4B84">
      <w:pPr>
        <w:spacing w:after="240" w:line="360" w:lineRule="auto"/>
        <w:jc w:val="center"/>
        <w:outlineLvl w:val="0"/>
        <w:rPr>
          <w:rFonts w:ascii="Arial" w:eastAsia="Times New Roman" w:hAnsi="Arial" w:cs="Arial"/>
          <w:kern w:val="36"/>
          <w:sz w:val="32"/>
          <w:szCs w:val="32"/>
        </w:rPr>
      </w:pPr>
    </w:p>
    <w:p w14:paraId="7768D3E4" w14:textId="77777777" w:rsidR="001E5856" w:rsidRDefault="001E5856" w:rsidP="00EF4B84">
      <w:pPr>
        <w:spacing w:after="240" w:line="360" w:lineRule="auto"/>
        <w:jc w:val="center"/>
        <w:outlineLvl w:val="0"/>
        <w:rPr>
          <w:rFonts w:ascii="Arial" w:eastAsia="Times New Roman" w:hAnsi="Arial" w:cs="Arial"/>
          <w:kern w:val="36"/>
          <w:sz w:val="32"/>
          <w:szCs w:val="32"/>
        </w:rPr>
      </w:pPr>
    </w:p>
    <w:p w14:paraId="0C06817C" w14:textId="77777777" w:rsidR="001E5856" w:rsidRDefault="001E5856" w:rsidP="001E5856">
      <w:pPr>
        <w:pStyle w:val="Heading1"/>
        <w:jc w:val="center"/>
        <w:rPr>
          <w:rFonts w:eastAsia="Times New Roman"/>
        </w:rPr>
      </w:pPr>
    </w:p>
    <w:p w14:paraId="19993AFB" w14:textId="0B95C72B" w:rsidR="00EF4B84" w:rsidRPr="00BE6E1F" w:rsidRDefault="00EF4B84" w:rsidP="001E5856">
      <w:pPr>
        <w:pStyle w:val="Heading1"/>
        <w:jc w:val="center"/>
        <w:rPr>
          <w:rFonts w:ascii="Arial" w:eastAsia="Times New Roman" w:hAnsi="Arial" w:cs="Arial"/>
          <w:color w:val="000000" w:themeColor="text1"/>
          <w:sz w:val="32"/>
          <w:szCs w:val="32"/>
        </w:rPr>
      </w:pPr>
      <w:bookmarkStart w:id="8" w:name="_Toc189859697"/>
      <w:r w:rsidRPr="00BE6E1F">
        <w:rPr>
          <w:rFonts w:ascii="Arial" w:eastAsia="Times New Roman" w:hAnsi="Arial" w:cs="Arial"/>
          <w:color w:val="000000" w:themeColor="text1"/>
          <w:sz w:val="32"/>
          <w:szCs w:val="32"/>
        </w:rPr>
        <w:t>References</w:t>
      </w:r>
      <w:bookmarkEnd w:id="8"/>
    </w:p>
    <w:p w14:paraId="26786E21" w14:textId="57CE8DE2" w:rsidR="00EF4B84" w:rsidRPr="003C3C0C" w:rsidRDefault="00EF4B84" w:rsidP="00EF4B84">
      <w:pPr>
        <w:spacing w:after="240" w:line="360" w:lineRule="auto"/>
        <w:ind w:left="720" w:hanging="720"/>
        <w:rPr>
          <w:rFonts w:ascii="Times New Roman" w:eastAsia="Times New Roman" w:hAnsi="Times New Roman" w:cs="Times New Roman"/>
          <w:sz w:val="24"/>
          <w:szCs w:val="24"/>
        </w:rPr>
      </w:pPr>
      <w:r w:rsidRPr="007C082E">
        <w:rPr>
          <w:rFonts w:ascii="Times New Roman" w:eastAsia="Times New Roman" w:hAnsi="Times New Roman" w:cs="Times New Roman"/>
          <w:sz w:val="24"/>
          <w:szCs w:val="24"/>
        </w:rPr>
        <w:t xml:space="preserve">Abdulaziz, M. (2024). Agency theory, corporate governance and corruption: an integrative literature review approach. </w:t>
      </w:r>
      <w:r w:rsidRPr="007C082E">
        <w:rPr>
          <w:rFonts w:ascii="Times New Roman" w:eastAsia="Times New Roman" w:hAnsi="Times New Roman" w:cs="Times New Roman"/>
          <w:i/>
          <w:iCs/>
          <w:sz w:val="24"/>
          <w:szCs w:val="24"/>
        </w:rPr>
        <w:t>Cogent social sciences</w:t>
      </w:r>
      <w:r w:rsidRPr="007C082E">
        <w:rPr>
          <w:rFonts w:ascii="Times New Roman" w:eastAsia="Times New Roman" w:hAnsi="Times New Roman" w:cs="Times New Roman"/>
          <w:sz w:val="24"/>
          <w:szCs w:val="24"/>
        </w:rPr>
        <w:t>, 10(1). doi:</w:t>
      </w:r>
      <w:hyperlink r:id="rId8" w:history="1">
        <w:r w:rsidRPr="009E6097">
          <w:rPr>
            <w:rStyle w:val="Hyperlink"/>
            <w:rFonts w:ascii="Times New Roman" w:eastAsia="Times New Roman" w:hAnsi="Times New Roman" w:cs="Times New Roman"/>
            <w:sz w:val="24"/>
            <w:szCs w:val="24"/>
          </w:rPr>
          <w:t>https://doi.org/10.1080/23311886.2024.2337893</w:t>
        </w:r>
      </w:hyperlink>
      <w:r w:rsidRPr="007C082E">
        <w:rPr>
          <w:rFonts w:ascii="Times New Roman" w:eastAsia="Times New Roman" w:hAnsi="Times New Roman" w:cs="Times New Roman"/>
          <w:sz w:val="24"/>
          <w:szCs w:val="24"/>
        </w:rPr>
        <w:t>.</w:t>
      </w:r>
    </w:p>
    <w:p w14:paraId="7525A248" w14:textId="77777777" w:rsidR="00EF4B84" w:rsidRPr="003C3C0C" w:rsidRDefault="00EF4B84" w:rsidP="00EF4B84">
      <w:pPr>
        <w:spacing w:after="240" w:line="360" w:lineRule="auto"/>
        <w:ind w:left="720" w:hanging="720"/>
        <w:rPr>
          <w:rFonts w:ascii="Times New Roman" w:eastAsia="Times New Roman" w:hAnsi="Times New Roman" w:cs="Times New Roman"/>
          <w:sz w:val="24"/>
          <w:szCs w:val="24"/>
        </w:rPr>
      </w:pPr>
      <w:r w:rsidRPr="007C082E">
        <w:rPr>
          <w:rFonts w:ascii="Times New Roman" w:eastAsia="Times New Roman" w:hAnsi="Times New Roman" w:cs="Times New Roman"/>
          <w:sz w:val="24"/>
          <w:szCs w:val="24"/>
        </w:rPr>
        <w:t xml:space="preserve">Ahmed Saber Moussa and Mahmoud Elmarzouky (2023). Does Capital Expenditure Matter for ESG Disclosure? A UK Perspective. </w:t>
      </w:r>
      <w:r w:rsidRPr="007C082E">
        <w:rPr>
          <w:rFonts w:ascii="Times New Roman" w:eastAsia="Times New Roman" w:hAnsi="Times New Roman" w:cs="Times New Roman"/>
          <w:i/>
          <w:iCs/>
          <w:sz w:val="24"/>
          <w:szCs w:val="24"/>
        </w:rPr>
        <w:t>Journal of Risk and Financial Management</w:t>
      </w:r>
      <w:r w:rsidRPr="007C082E">
        <w:rPr>
          <w:rFonts w:ascii="Times New Roman" w:eastAsia="Times New Roman" w:hAnsi="Times New Roman" w:cs="Times New Roman"/>
          <w:sz w:val="24"/>
          <w:szCs w:val="24"/>
        </w:rPr>
        <w:t>, 16(10), pp.429–429. doi:</w:t>
      </w:r>
      <w:r w:rsidRPr="003C3C0C">
        <w:rPr>
          <w:rFonts w:ascii="Times New Roman" w:eastAsia="Times New Roman" w:hAnsi="Times New Roman" w:cs="Times New Roman"/>
          <w:sz w:val="24"/>
          <w:szCs w:val="24"/>
        </w:rPr>
        <w:t xml:space="preserve"> </w:t>
      </w:r>
      <w:hyperlink r:id="rId9" w:history="1">
        <w:r w:rsidRPr="003C3C0C">
          <w:rPr>
            <w:rStyle w:val="Hyperlink"/>
            <w:rFonts w:ascii="Times New Roman" w:eastAsia="Times New Roman" w:hAnsi="Times New Roman" w:cs="Times New Roman"/>
            <w:sz w:val="24"/>
            <w:szCs w:val="24"/>
          </w:rPr>
          <w:t>https://doi.org/10.3390/jrfm16100429</w:t>
        </w:r>
      </w:hyperlink>
      <w:r w:rsidRPr="007C082E">
        <w:rPr>
          <w:rFonts w:ascii="Times New Roman" w:eastAsia="Times New Roman" w:hAnsi="Times New Roman" w:cs="Times New Roman"/>
          <w:sz w:val="24"/>
          <w:szCs w:val="24"/>
        </w:rPr>
        <w:t>.</w:t>
      </w:r>
    </w:p>
    <w:p w14:paraId="3FCF8A22" w14:textId="77777777" w:rsidR="00EF4B84" w:rsidRPr="003C3C0C" w:rsidRDefault="00EF4B84" w:rsidP="00EF4B84">
      <w:pPr>
        <w:spacing w:after="240" w:line="360" w:lineRule="auto"/>
        <w:ind w:left="720" w:hanging="720"/>
        <w:rPr>
          <w:rFonts w:ascii="Times New Roman" w:eastAsia="Times New Roman" w:hAnsi="Times New Roman" w:cs="Times New Roman"/>
          <w:sz w:val="24"/>
          <w:szCs w:val="24"/>
        </w:rPr>
      </w:pPr>
      <w:r w:rsidRPr="003C3C0C">
        <w:rPr>
          <w:rFonts w:ascii="Times New Roman" w:eastAsia="Times New Roman" w:hAnsi="Times New Roman" w:cs="Times New Roman"/>
          <w:sz w:val="24"/>
          <w:szCs w:val="24"/>
        </w:rPr>
        <w:t>AttaYeboah, N.O., 2022. A comparative analysis of South African and Chinese System of Corporate Governance: A case of Standard Bank South Africa and Agricultural Bank of China.</w:t>
      </w:r>
    </w:p>
    <w:p w14:paraId="17F31C6F" w14:textId="77777777" w:rsidR="00EF4B84" w:rsidRPr="003C3C0C" w:rsidRDefault="00EF4B84" w:rsidP="00EF4B84">
      <w:pPr>
        <w:spacing w:after="240" w:line="360" w:lineRule="auto"/>
        <w:ind w:left="720" w:hanging="720"/>
        <w:rPr>
          <w:rFonts w:ascii="Times New Roman" w:eastAsia="Times New Roman" w:hAnsi="Times New Roman" w:cs="Times New Roman"/>
          <w:sz w:val="24"/>
          <w:szCs w:val="24"/>
        </w:rPr>
      </w:pPr>
      <w:r w:rsidRPr="007C082E">
        <w:rPr>
          <w:rFonts w:ascii="Times New Roman" w:eastAsia="Times New Roman" w:hAnsi="Times New Roman" w:cs="Times New Roman"/>
          <w:sz w:val="24"/>
          <w:szCs w:val="24"/>
        </w:rPr>
        <w:t xml:space="preserve">Cheffins, B.R. and Reddy, B.V. (2022). Thirty years and done – time to abolish the UK Corporate Governance Code. </w:t>
      </w:r>
      <w:r w:rsidRPr="007C082E">
        <w:rPr>
          <w:rFonts w:ascii="Times New Roman" w:eastAsia="Times New Roman" w:hAnsi="Times New Roman" w:cs="Times New Roman"/>
          <w:i/>
          <w:iCs/>
          <w:sz w:val="24"/>
          <w:szCs w:val="24"/>
        </w:rPr>
        <w:t>Journal of Corporate Law Studies</w:t>
      </w:r>
      <w:r w:rsidRPr="007C082E">
        <w:rPr>
          <w:rFonts w:ascii="Times New Roman" w:eastAsia="Times New Roman" w:hAnsi="Times New Roman" w:cs="Times New Roman"/>
          <w:sz w:val="24"/>
          <w:szCs w:val="24"/>
        </w:rPr>
        <w:t>, 22(2), pp.1–40. doi:</w:t>
      </w:r>
      <w:r w:rsidRPr="003C3C0C">
        <w:rPr>
          <w:rFonts w:ascii="Times New Roman" w:eastAsia="Times New Roman" w:hAnsi="Times New Roman" w:cs="Times New Roman"/>
          <w:sz w:val="24"/>
          <w:szCs w:val="24"/>
        </w:rPr>
        <w:t xml:space="preserve"> </w:t>
      </w:r>
      <w:hyperlink r:id="rId10" w:history="1">
        <w:r w:rsidRPr="003C3C0C">
          <w:rPr>
            <w:rStyle w:val="Hyperlink"/>
            <w:rFonts w:ascii="Times New Roman" w:eastAsia="Times New Roman" w:hAnsi="Times New Roman" w:cs="Times New Roman"/>
            <w:sz w:val="24"/>
            <w:szCs w:val="24"/>
          </w:rPr>
          <w:t>https://doi.org/10.1080/14735970.2022.2140496</w:t>
        </w:r>
      </w:hyperlink>
      <w:r w:rsidRPr="007C082E">
        <w:rPr>
          <w:rFonts w:ascii="Times New Roman" w:eastAsia="Times New Roman" w:hAnsi="Times New Roman" w:cs="Times New Roman"/>
          <w:sz w:val="24"/>
          <w:szCs w:val="24"/>
        </w:rPr>
        <w:t>.</w:t>
      </w:r>
    </w:p>
    <w:p w14:paraId="64969F3F" w14:textId="77777777" w:rsidR="00EF4B84" w:rsidRPr="003C3C0C" w:rsidRDefault="00EF4B84" w:rsidP="00EF4B84">
      <w:pPr>
        <w:spacing w:after="240" w:line="360" w:lineRule="auto"/>
        <w:ind w:left="720" w:hanging="720"/>
        <w:rPr>
          <w:rFonts w:ascii="Times New Roman" w:eastAsia="Times New Roman" w:hAnsi="Times New Roman" w:cs="Times New Roman"/>
          <w:sz w:val="24"/>
          <w:szCs w:val="24"/>
        </w:rPr>
      </w:pPr>
      <w:r w:rsidRPr="007C082E">
        <w:rPr>
          <w:rFonts w:ascii="Times New Roman" w:eastAsia="Times New Roman" w:hAnsi="Times New Roman" w:cs="Times New Roman"/>
          <w:sz w:val="24"/>
          <w:szCs w:val="24"/>
        </w:rPr>
        <w:t xml:space="preserve">Di Terlizzi, R.F.V. (2024). At The Forefront Of Decentralised Finance: Investment DAOs For An Alternative Asset Management. </w:t>
      </w:r>
      <w:r w:rsidRPr="007C082E">
        <w:rPr>
          <w:rFonts w:ascii="Times New Roman" w:eastAsia="Times New Roman" w:hAnsi="Times New Roman" w:cs="Times New Roman"/>
          <w:i/>
          <w:iCs/>
          <w:sz w:val="24"/>
          <w:szCs w:val="24"/>
        </w:rPr>
        <w:t>SSRN Electronic Journal</w:t>
      </w:r>
      <w:r w:rsidRPr="007C082E">
        <w:rPr>
          <w:rFonts w:ascii="Times New Roman" w:eastAsia="Times New Roman" w:hAnsi="Times New Roman" w:cs="Times New Roman"/>
          <w:sz w:val="24"/>
          <w:szCs w:val="24"/>
        </w:rPr>
        <w:t>. Doi:</w:t>
      </w:r>
      <w:r w:rsidRPr="003C3C0C">
        <w:rPr>
          <w:rFonts w:ascii="Times New Roman" w:eastAsia="Times New Roman" w:hAnsi="Times New Roman" w:cs="Times New Roman"/>
          <w:sz w:val="24"/>
          <w:szCs w:val="24"/>
        </w:rPr>
        <w:t xml:space="preserve"> </w:t>
      </w:r>
      <w:hyperlink r:id="rId11" w:history="1">
        <w:r w:rsidRPr="003C3C0C">
          <w:rPr>
            <w:rStyle w:val="Hyperlink"/>
            <w:rFonts w:ascii="Times New Roman" w:eastAsia="Times New Roman" w:hAnsi="Times New Roman" w:cs="Times New Roman"/>
            <w:sz w:val="24"/>
            <w:szCs w:val="24"/>
          </w:rPr>
          <w:t>https://doi.org/10.2139/ssrn.4994459</w:t>
        </w:r>
      </w:hyperlink>
      <w:r w:rsidRPr="007C082E">
        <w:rPr>
          <w:rFonts w:ascii="Times New Roman" w:eastAsia="Times New Roman" w:hAnsi="Times New Roman" w:cs="Times New Roman"/>
          <w:sz w:val="24"/>
          <w:szCs w:val="24"/>
        </w:rPr>
        <w:t>.</w:t>
      </w:r>
    </w:p>
    <w:p w14:paraId="01681453" w14:textId="77777777" w:rsidR="00EF4B84" w:rsidRPr="003C3C0C" w:rsidRDefault="00EF4B84" w:rsidP="00EF4B84">
      <w:pPr>
        <w:spacing w:after="240" w:line="360" w:lineRule="auto"/>
        <w:ind w:left="720" w:hanging="720"/>
        <w:rPr>
          <w:rFonts w:ascii="Times New Roman" w:eastAsia="Times New Roman" w:hAnsi="Times New Roman" w:cs="Times New Roman"/>
          <w:sz w:val="24"/>
          <w:szCs w:val="24"/>
        </w:rPr>
      </w:pPr>
      <w:r w:rsidRPr="007C082E">
        <w:rPr>
          <w:rFonts w:ascii="Times New Roman" w:eastAsia="Times New Roman" w:hAnsi="Times New Roman" w:cs="Times New Roman"/>
          <w:sz w:val="24"/>
          <w:szCs w:val="24"/>
        </w:rPr>
        <w:t xml:space="preserve">Efunniyi, C.P., Abhulimen, A.O., Obiki-Osafiele, A.N., Osundare, O.S., Agu, E.E. and Adeniran, I.A. (2024). Strengthening corporate governance and financial compliance: Enhancing accountability and transparency. </w:t>
      </w:r>
      <w:r w:rsidRPr="007C082E">
        <w:rPr>
          <w:rFonts w:ascii="Times New Roman" w:eastAsia="Times New Roman" w:hAnsi="Times New Roman" w:cs="Times New Roman"/>
          <w:i/>
          <w:iCs/>
          <w:sz w:val="24"/>
          <w:szCs w:val="24"/>
        </w:rPr>
        <w:t>Finance &amp; Accounting Research Journal</w:t>
      </w:r>
      <w:r w:rsidRPr="007C082E">
        <w:rPr>
          <w:rFonts w:ascii="Times New Roman" w:eastAsia="Times New Roman" w:hAnsi="Times New Roman" w:cs="Times New Roman"/>
          <w:sz w:val="24"/>
          <w:szCs w:val="24"/>
        </w:rPr>
        <w:t>, 6(8), pp.1597–1616. doi:</w:t>
      </w:r>
      <w:r w:rsidRPr="003C3C0C">
        <w:rPr>
          <w:rFonts w:ascii="Times New Roman" w:eastAsia="Times New Roman" w:hAnsi="Times New Roman" w:cs="Times New Roman"/>
          <w:sz w:val="24"/>
          <w:szCs w:val="24"/>
        </w:rPr>
        <w:t xml:space="preserve"> </w:t>
      </w:r>
      <w:hyperlink r:id="rId12" w:history="1">
        <w:r w:rsidRPr="003C3C0C">
          <w:rPr>
            <w:rStyle w:val="Hyperlink"/>
            <w:rFonts w:ascii="Times New Roman" w:eastAsia="Times New Roman" w:hAnsi="Times New Roman" w:cs="Times New Roman"/>
            <w:sz w:val="24"/>
            <w:szCs w:val="24"/>
          </w:rPr>
          <w:t>https://doi.org/10.51594/farj.v6i8.1509</w:t>
        </w:r>
      </w:hyperlink>
      <w:r w:rsidRPr="007C082E">
        <w:rPr>
          <w:rFonts w:ascii="Times New Roman" w:eastAsia="Times New Roman" w:hAnsi="Times New Roman" w:cs="Times New Roman"/>
          <w:sz w:val="24"/>
          <w:szCs w:val="24"/>
        </w:rPr>
        <w:t>.</w:t>
      </w:r>
    </w:p>
    <w:p w14:paraId="10E05EDD" w14:textId="77777777" w:rsidR="00EF4B84" w:rsidRPr="003C3C0C" w:rsidRDefault="00EF4B84" w:rsidP="00EF4B84">
      <w:pPr>
        <w:spacing w:after="240" w:line="360" w:lineRule="auto"/>
        <w:ind w:left="720" w:hanging="720"/>
        <w:rPr>
          <w:rFonts w:ascii="Times New Roman" w:eastAsia="Times New Roman" w:hAnsi="Times New Roman" w:cs="Times New Roman"/>
          <w:sz w:val="24"/>
          <w:szCs w:val="24"/>
        </w:rPr>
      </w:pPr>
      <w:r w:rsidRPr="007C082E">
        <w:rPr>
          <w:rFonts w:ascii="Times New Roman" w:eastAsia="Times New Roman" w:hAnsi="Times New Roman" w:cs="Times New Roman"/>
          <w:sz w:val="24"/>
          <w:szCs w:val="24"/>
        </w:rPr>
        <w:t xml:space="preserve">Ferrarini, G. and Ungureanu, C. (2024). Executive Remuneration: A Comparative Overview II. </w:t>
      </w:r>
      <w:r w:rsidRPr="007C082E">
        <w:rPr>
          <w:rFonts w:ascii="Times New Roman" w:eastAsia="Times New Roman" w:hAnsi="Times New Roman" w:cs="Times New Roman"/>
          <w:i/>
          <w:iCs/>
          <w:sz w:val="24"/>
          <w:szCs w:val="24"/>
        </w:rPr>
        <w:t>European Corporate Governance Institute - Law Working Paper No. 814/2024</w:t>
      </w:r>
      <w:r w:rsidRPr="007C082E">
        <w:rPr>
          <w:rFonts w:ascii="Times New Roman" w:eastAsia="Times New Roman" w:hAnsi="Times New Roman" w:cs="Times New Roman"/>
          <w:sz w:val="24"/>
          <w:szCs w:val="24"/>
        </w:rPr>
        <w:t>. [online] doi:</w:t>
      </w:r>
      <w:r w:rsidRPr="003C3C0C">
        <w:rPr>
          <w:rFonts w:ascii="Times New Roman" w:eastAsia="Times New Roman" w:hAnsi="Times New Roman" w:cs="Times New Roman"/>
          <w:sz w:val="24"/>
          <w:szCs w:val="24"/>
        </w:rPr>
        <w:t xml:space="preserve"> </w:t>
      </w:r>
      <w:hyperlink r:id="rId13" w:history="1">
        <w:r w:rsidRPr="003C3C0C">
          <w:rPr>
            <w:rStyle w:val="Hyperlink"/>
            <w:rFonts w:ascii="Times New Roman" w:eastAsia="Times New Roman" w:hAnsi="Times New Roman" w:cs="Times New Roman"/>
            <w:sz w:val="24"/>
            <w:szCs w:val="24"/>
          </w:rPr>
          <w:t>https://doi.org/10.2139/ssrn.5040008</w:t>
        </w:r>
      </w:hyperlink>
      <w:r w:rsidRPr="007C082E">
        <w:rPr>
          <w:rFonts w:ascii="Times New Roman" w:eastAsia="Times New Roman" w:hAnsi="Times New Roman" w:cs="Times New Roman"/>
          <w:sz w:val="24"/>
          <w:szCs w:val="24"/>
        </w:rPr>
        <w:t>.</w:t>
      </w:r>
    </w:p>
    <w:p w14:paraId="0AA40C4C" w14:textId="77777777" w:rsidR="00EF4B84" w:rsidRPr="003C3C0C" w:rsidRDefault="00EF4B84" w:rsidP="00EF4B84">
      <w:pPr>
        <w:spacing w:after="240" w:line="360" w:lineRule="auto"/>
        <w:ind w:left="720" w:hanging="720"/>
        <w:rPr>
          <w:rFonts w:ascii="Times New Roman" w:eastAsia="Times New Roman" w:hAnsi="Times New Roman" w:cs="Times New Roman"/>
          <w:sz w:val="24"/>
          <w:szCs w:val="24"/>
        </w:rPr>
      </w:pPr>
      <w:r w:rsidRPr="007C082E">
        <w:rPr>
          <w:rFonts w:ascii="Times New Roman" w:eastAsia="Times New Roman" w:hAnsi="Times New Roman" w:cs="Times New Roman"/>
          <w:sz w:val="24"/>
          <w:szCs w:val="24"/>
        </w:rPr>
        <w:t xml:space="preserve">Gurrea-Martínez, A. (2021). Theory, Evidence, and Policy on Dual-Class Shares: A Country-Specific Response to a Global Debate. </w:t>
      </w:r>
      <w:r w:rsidRPr="007C082E">
        <w:rPr>
          <w:rFonts w:ascii="Times New Roman" w:eastAsia="Times New Roman" w:hAnsi="Times New Roman" w:cs="Times New Roman"/>
          <w:i/>
          <w:iCs/>
          <w:sz w:val="24"/>
          <w:szCs w:val="24"/>
        </w:rPr>
        <w:t>European Business Organization Law Review</w:t>
      </w:r>
      <w:r w:rsidRPr="007C082E">
        <w:rPr>
          <w:rFonts w:ascii="Times New Roman" w:eastAsia="Times New Roman" w:hAnsi="Times New Roman" w:cs="Times New Roman"/>
          <w:sz w:val="24"/>
          <w:szCs w:val="24"/>
        </w:rPr>
        <w:t>, 22(3), pp.475–515. doi:</w:t>
      </w:r>
      <w:r w:rsidRPr="003C3C0C">
        <w:rPr>
          <w:rFonts w:ascii="Times New Roman" w:eastAsia="Times New Roman" w:hAnsi="Times New Roman" w:cs="Times New Roman"/>
          <w:sz w:val="24"/>
          <w:szCs w:val="24"/>
        </w:rPr>
        <w:t xml:space="preserve"> </w:t>
      </w:r>
      <w:hyperlink r:id="rId14" w:history="1">
        <w:r w:rsidRPr="003C3C0C">
          <w:rPr>
            <w:rStyle w:val="Hyperlink"/>
            <w:rFonts w:ascii="Times New Roman" w:eastAsia="Times New Roman" w:hAnsi="Times New Roman" w:cs="Times New Roman"/>
            <w:sz w:val="24"/>
            <w:szCs w:val="24"/>
          </w:rPr>
          <w:t>https://doi.org/10.1007/s40804-021-00212-4</w:t>
        </w:r>
      </w:hyperlink>
      <w:r w:rsidRPr="007C082E">
        <w:rPr>
          <w:rFonts w:ascii="Times New Roman" w:eastAsia="Times New Roman" w:hAnsi="Times New Roman" w:cs="Times New Roman"/>
          <w:sz w:val="24"/>
          <w:szCs w:val="24"/>
        </w:rPr>
        <w:t>.</w:t>
      </w:r>
    </w:p>
    <w:p w14:paraId="52786D94" w14:textId="77777777" w:rsidR="00EF4B84" w:rsidRPr="003C3C0C" w:rsidRDefault="00EF4B84" w:rsidP="00EF4B84">
      <w:pPr>
        <w:spacing w:after="240" w:line="360" w:lineRule="auto"/>
        <w:ind w:left="720" w:hanging="720"/>
        <w:rPr>
          <w:rFonts w:ascii="Times New Roman" w:eastAsia="Times New Roman" w:hAnsi="Times New Roman" w:cs="Times New Roman"/>
          <w:sz w:val="24"/>
          <w:szCs w:val="24"/>
        </w:rPr>
      </w:pPr>
      <w:r w:rsidRPr="007C082E">
        <w:rPr>
          <w:rFonts w:ascii="Times New Roman" w:eastAsia="Times New Roman" w:hAnsi="Times New Roman" w:cs="Times New Roman"/>
          <w:sz w:val="24"/>
          <w:szCs w:val="24"/>
        </w:rPr>
        <w:lastRenderedPageBreak/>
        <w:t xml:space="preserve">Ibrahim, A.S. and Farahiyah, K. (2021). Board attributes and corporate tax avoidance: An explanatory mixed method investigation. </w:t>
      </w:r>
      <w:r w:rsidRPr="007C082E">
        <w:rPr>
          <w:rFonts w:ascii="Times New Roman" w:eastAsia="Times New Roman" w:hAnsi="Times New Roman" w:cs="Times New Roman"/>
          <w:i/>
          <w:iCs/>
          <w:sz w:val="24"/>
          <w:szCs w:val="24"/>
        </w:rPr>
        <w:t>Journal of Accounting and Taxation</w:t>
      </w:r>
      <w:r w:rsidRPr="007C082E">
        <w:rPr>
          <w:rFonts w:ascii="Times New Roman" w:eastAsia="Times New Roman" w:hAnsi="Times New Roman" w:cs="Times New Roman"/>
          <w:sz w:val="24"/>
          <w:szCs w:val="24"/>
        </w:rPr>
        <w:t>, 13(4), pp.291–303. doi:</w:t>
      </w:r>
      <w:r w:rsidRPr="003C3C0C">
        <w:rPr>
          <w:rFonts w:ascii="Times New Roman" w:eastAsia="Times New Roman" w:hAnsi="Times New Roman" w:cs="Times New Roman"/>
          <w:sz w:val="24"/>
          <w:szCs w:val="24"/>
        </w:rPr>
        <w:t xml:space="preserve"> </w:t>
      </w:r>
      <w:hyperlink r:id="rId15" w:history="1">
        <w:r w:rsidRPr="003C3C0C">
          <w:rPr>
            <w:rStyle w:val="Hyperlink"/>
            <w:rFonts w:ascii="Times New Roman" w:eastAsia="Times New Roman" w:hAnsi="Times New Roman" w:cs="Times New Roman"/>
            <w:sz w:val="24"/>
            <w:szCs w:val="24"/>
          </w:rPr>
          <w:t>https://doi.org/10.5897/jat2021.0455</w:t>
        </w:r>
      </w:hyperlink>
      <w:r w:rsidRPr="007C082E">
        <w:rPr>
          <w:rFonts w:ascii="Times New Roman" w:eastAsia="Times New Roman" w:hAnsi="Times New Roman" w:cs="Times New Roman"/>
          <w:sz w:val="24"/>
          <w:szCs w:val="24"/>
        </w:rPr>
        <w:t>.</w:t>
      </w:r>
    </w:p>
    <w:p w14:paraId="71109E2B" w14:textId="77777777" w:rsidR="00EF4B84" w:rsidRPr="007C082E" w:rsidRDefault="00EF4B84" w:rsidP="00EF4B84">
      <w:pPr>
        <w:spacing w:after="240" w:line="360" w:lineRule="auto"/>
        <w:ind w:left="720" w:hanging="720"/>
        <w:rPr>
          <w:rFonts w:ascii="Times New Roman" w:eastAsia="Times New Roman" w:hAnsi="Times New Roman" w:cs="Times New Roman"/>
          <w:sz w:val="24"/>
          <w:szCs w:val="24"/>
        </w:rPr>
      </w:pPr>
      <w:r w:rsidRPr="007C082E">
        <w:rPr>
          <w:rFonts w:ascii="Times New Roman" w:eastAsia="Times New Roman" w:hAnsi="Times New Roman" w:cs="Times New Roman"/>
          <w:sz w:val="24"/>
          <w:szCs w:val="24"/>
        </w:rPr>
        <w:t xml:space="preserve">Iskandarova, M., Dembek, A., Fraaije, M., Matthews, W., Stasik, A., Wittmayer, J.M. and Sovacool, B.K. (2021). Who finances renewable energy in Europe? Examining temporality, authority and contestation in solar and wind subsidies in Poland, the Netherlands and the United Kingdom. </w:t>
      </w:r>
      <w:r w:rsidRPr="007C082E">
        <w:rPr>
          <w:rFonts w:ascii="Times New Roman" w:eastAsia="Times New Roman" w:hAnsi="Times New Roman" w:cs="Times New Roman"/>
          <w:i/>
          <w:iCs/>
          <w:sz w:val="24"/>
          <w:szCs w:val="24"/>
        </w:rPr>
        <w:t>Energy Strategy Reviews</w:t>
      </w:r>
      <w:r w:rsidRPr="007C082E">
        <w:rPr>
          <w:rFonts w:ascii="Times New Roman" w:eastAsia="Times New Roman" w:hAnsi="Times New Roman" w:cs="Times New Roman"/>
          <w:sz w:val="24"/>
          <w:szCs w:val="24"/>
        </w:rPr>
        <w:t>, 38, p.100730.</w:t>
      </w:r>
    </w:p>
    <w:p w14:paraId="2590C039" w14:textId="77777777" w:rsidR="00EF4B84" w:rsidRPr="003C3C0C" w:rsidRDefault="00EF4B84" w:rsidP="00EF4B84">
      <w:pPr>
        <w:spacing w:after="240" w:line="360" w:lineRule="auto"/>
        <w:ind w:left="720" w:hanging="720"/>
        <w:rPr>
          <w:rFonts w:ascii="Times New Roman" w:eastAsia="Times New Roman" w:hAnsi="Times New Roman" w:cs="Times New Roman"/>
          <w:sz w:val="24"/>
          <w:szCs w:val="24"/>
        </w:rPr>
      </w:pPr>
      <w:r w:rsidRPr="007C082E">
        <w:rPr>
          <w:rFonts w:ascii="Times New Roman" w:eastAsia="Times New Roman" w:hAnsi="Times New Roman" w:cs="Times New Roman"/>
          <w:sz w:val="24"/>
          <w:szCs w:val="24"/>
        </w:rPr>
        <w:t xml:space="preserve">Kavadis, N. and Thomsen, S. (2022). Sustainable Corporate Governance: A Review of Long‐term Corporate Ownership and Sustainability Research. </w:t>
      </w:r>
      <w:r w:rsidRPr="007C082E">
        <w:rPr>
          <w:rFonts w:ascii="Times New Roman" w:eastAsia="Times New Roman" w:hAnsi="Times New Roman" w:cs="Times New Roman"/>
          <w:i/>
          <w:iCs/>
          <w:sz w:val="24"/>
          <w:szCs w:val="24"/>
        </w:rPr>
        <w:t>Corporate Governance: An International Review</w:t>
      </w:r>
      <w:r w:rsidRPr="007C082E">
        <w:rPr>
          <w:rFonts w:ascii="Times New Roman" w:eastAsia="Times New Roman" w:hAnsi="Times New Roman" w:cs="Times New Roman"/>
          <w:sz w:val="24"/>
          <w:szCs w:val="24"/>
        </w:rPr>
        <w:t>, 31(1), pp.198–226. doi:</w:t>
      </w:r>
      <w:r w:rsidRPr="003C3C0C">
        <w:rPr>
          <w:rFonts w:ascii="Times New Roman" w:eastAsia="Times New Roman" w:hAnsi="Times New Roman" w:cs="Times New Roman"/>
          <w:sz w:val="24"/>
          <w:szCs w:val="24"/>
        </w:rPr>
        <w:t xml:space="preserve"> </w:t>
      </w:r>
      <w:hyperlink r:id="rId16" w:history="1">
        <w:r w:rsidRPr="003C3C0C">
          <w:rPr>
            <w:rStyle w:val="Hyperlink"/>
            <w:rFonts w:ascii="Times New Roman" w:eastAsia="Times New Roman" w:hAnsi="Times New Roman" w:cs="Times New Roman"/>
            <w:sz w:val="24"/>
            <w:szCs w:val="24"/>
          </w:rPr>
          <w:t>https://doi.org/10.1111/corg.12486</w:t>
        </w:r>
      </w:hyperlink>
      <w:r w:rsidRPr="007C082E">
        <w:rPr>
          <w:rFonts w:ascii="Times New Roman" w:eastAsia="Times New Roman" w:hAnsi="Times New Roman" w:cs="Times New Roman"/>
          <w:sz w:val="24"/>
          <w:szCs w:val="24"/>
        </w:rPr>
        <w:t>.</w:t>
      </w:r>
    </w:p>
    <w:p w14:paraId="3D2B1410" w14:textId="77777777" w:rsidR="00EF4B84" w:rsidRPr="003C3C0C" w:rsidRDefault="00EF4B84" w:rsidP="00EF4B84">
      <w:pPr>
        <w:spacing w:after="240" w:line="360" w:lineRule="auto"/>
        <w:ind w:left="720" w:hanging="720"/>
        <w:rPr>
          <w:rFonts w:ascii="Times New Roman" w:eastAsia="Times New Roman" w:hAnsi="Times New Roman" w:cs="Times New Roman"/>
          <w:sz w:val="24"/>
          <w:szCs w:val="24"/>
        </w:rPr>
      </w:pPr>
      <w:r w:rsidRPr="007C082E">
        <w:rPr>
          <w:rFonts w:ascii="Times New Roman" w:eastAsia="Times New Roman" w:hAnsi="Times New Roman" w:cs="Times New Roman"/>
          <w:sz w:val="24"/>
          <w:szCs w:val="24"/>
        </w:rPr>
        <w:t xml:space="preserve">Nel, G., Jachi, M. and Scholtz, H. (2024). The impact of institutional and managerial ownership on the pay-performance relationship: Evidence from JSE-listed firms. </w:t>
      </w:r>
      <w:r w:rsidRPr="007C082E">
        <w:rPr>
          <w:rFonts w:ascii="Times New Roman" w:eastAsia="Times New Roman" w:hAnsi="Times New Roman" w:cs="Times New Roman"/>
          <w:i/>
          <w:iCs/>
          <w:sz w:val="24"/>
          <w:szCs w:val="24"/>
        </w:rPr>
        <w:t>Journal of Management &amp; Governance</w:t>
      </w:r>
      <w:r w:rsidRPr="007C082E">
        <w:rPr>
          <w:rFonts w:ascii="Times New Roman" w:eastAsia="Times New Roman" w:hAnsi="Times New Roman" w:cs="Times New Roman"/>
          <w:sz w:val="24"/>
          <w:szCs w:val="24"/>
        </w:rPr>
        <w:t>, pp.1–31. doi:</w:t>
      </w:r>
      <w:r w:rsidRPr="003C3C0C">
        <w:rPr>
          <w:rFonts w:ascii="Times New Roman" w:eastAsia="Times New Roman" w:hAnsi="Times New Roman" w:cs="Times New Roman"/>
          <w:sz w:val="24"/>
          <w:szCs w:val="24"/>
        </w:rPr>
        <w:t xml:space="preserve"> </w:t>
      </w:r>
      <w:hyperlink r:id="rId17" w:history="1">
        <w:r w:rsidRPr="003C3C0C">
          <w:rPr>
            <w:rStyle w:val="Hyperlink"/>
            <w:rFonts w:ascii="Times New Roman" w:eastAsia="Times New Roman" w:hAnsi="Times New Roman" w:cs="Times New Roman"/>
            <w:sz w:val="24"/>
            <w:szCs w:val="24"/>
          </w:rPr>
          <w:t>https://doi.org/10.1007/s10997-024-09725-9</w:t>
        </w:r>
      </w:hyperlink>
      <w:r w:rsidRPr="007C082E">
        <w:rPr>
          <w:rFonts w:ascii="Times New Roman" w:eastAsia="Times New Roman" w:hAnsi="Times New Roman" w:cs="Times New Roman"/>
          <w:sz w:val="24"/>
          <w:szCs w:val="24"/>
        </w:rPr>
        <w:t>.</w:t>
      </w:r>
    </w:p>
    <w:p w14:paraId="38AD7CFC" w14:textId="77777777" w:rsidR="00EF4B84" w:rsidRPr="007C082E" w:rsidRDefault="00EF4B84" w:rsidP="00EF4B84">
      <w:pPr>
        <w:spacing w:after="240" w:line="360" w:lineRule="auto"/>
        <w:rPr>
          <w:rFonts w:ascii="Times New Roman" w:eastAsia="Times New Roman" w:hAnsi="Times New Roman" w:cs="Times New Roman"/>
          <w:sz w:val="24"/>
          <w:szCs w:val="24"/>
        </w:rPr>
      </w:pPr>
    </w:p>
    <w:p w14:paraId="72A09AD9" w14:textId="77777777" w:rsidR="00EF4B84" w:rsidRPr="003C3C0C" w:rsidRDefault="00EF4B84" w:rsidP="00EF4B84">
      <w:pPr>
        <w:spacing w:line="360" w:lineRule="auto"/>
        <w:jc w:val="both"/>
        <w:rPr>
          <w:rFonts w:ascii="Times New Roman" w:hAnsi="Times New Roman" w:cs="Times New Roman"/>
          <w:sz w:val="24"/>
          <w:szCs w:val="24"/>
        </w:rPr>
      </w:pPr>
    </w:p>
    <w:p w14:paraId="166165BB" w14:textId="77777777" w:rsidR="00EF4B84" w:rsidRPr="005467FA" w:rsidRDefault="00EF4B84" w:rsidP="00EF4B84">
      <w:pPr>
        <w:tabs>
          <w:tab w:val="left" w:pos="6195"/>
        </w:tabs>
        <w:spacing w:after="0" w:line="480" w:lineRule="auto"/>
        <w:rPr>
          <w:rFonts w:ascii="Times New Roman" w:hAnsi="Times New Roman" w:cs="Times New Roman"/>
          <w:sz w:val="24"/>
          <w:szCs w:val="24"/>
        </w:rPr>
      </w:pPr>
    </w:p>
    <w:p w14:paraId="0840FD17" w14:textId="318863D1" w:rsidR="00EF4B84" w:rsidRPr="003C3C0C" w:rsidRDefault="00EF4B84" w:rsidP="00EF4B84">
      <w:pPr>
        <w:spacing w:line="360" w:lineRule="auto"/>
        <w:ind w:firstLine="720"/>
        <w:jc w:val="both"/>
        <w:rPr>
          <w:rFonts w:ascii="Times New Roman" w:hAnsi="Times New Roman" w:cs="Times New Roman"/>
          <w:bCs/>
          <w:sz w:val="24"/>
          <w:szCs w:val="24"/>
        </w:rPr>
      </w:pPr>
    </w:p>
    <w:p w14:paraId="403A19B2" w14:textId="77777777" w:rsidR="00EF4B84" w:rsidRPr="003C3C0C" w:rsidRDefault="00EF4B84" w:rsidP="00EF4B84">
      <w:pPr>
        <w:spacing w:line="360" w:lineRule="auto"/>
        <w:rPr>
          <w:rFonts w:ascii="Times New Roman" w:hAnsi="Times New Roman" w:cs="Times New Roman"/>
          <w:bCs/>
          <w:sz w:val="24"/>
          <w:szCs w:val="24"/>
        </w:rPr>
      </w:pPr>
      <w:r w:rsidRPr="003C3C0C">
        <w:rPr>
          <w:rFonts w:ascii="Times New Roman" w:hAnsi="Times New Roman" w:cs="Times New Roman"/>
          <w:bCs/>
          <w:sz w:val="24"/>
          <w:szCs w:val="24"/>
        </w:rPr>
        <w:br w:type="page"/>
      </w:r>
    </w:p>
    <w:p w14:paraId="783D7E61" w14:textId="77777777" w:rsidR="003C3200" w:rsidRPr="003C3200" w:rsidRDefault="003C3200">
      <w:pPr>
        <w:rPr>
          <w:rFonts w:ascii="Arial" w:hAnsi="Arial" w:cs="Arial"/>
        </w:rPr>
      </w:pPr>
    </w:p>
    <w:sectPr w:rsidR="003C3200" w:rsidRPr="003C3200" w:rsidSect="007E0B2F">
      <w:headerReference w:type="default" r:id="rId18"/>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9D633F" w14:textId="77777777" w:rsidR="001E6820" w:rsidRDefault="001E6820" w:rsidP="003C3200">
      <w:pPr>
        <w:spacing w:after="0" w:line="240" w:lineRule="auto"/>
      </w:pPr>
      <w:r>
        <w:separator/>
      </w:r>
    </w:p>
  </w:endnote>
  <w:endnote w:type="continuationSeparator" w:id="0">
    <w:p w14:paraId="2EE2680D" w14:textId="77777777" w:rsidR="001E6820" w:rsidRDefault="001E6820" w:rsidP="003C32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9C883F" w14:textId="77777777" w:rsidR="001E6820" w:rsidRDefault="001E6820" w:rsidP="003C3200">
      <w:pPr>
        <w:spacing w:after="0" w:line="240" w:lineRule="auto"/>
      </w:pPr>
      <w:r>
        <w:separator/>
      </w:r>
    </w:p>
  </w:footnote>
  <w:footnote w:type="continuationSeparator" w:id="0">
    <w:p w14:paraId="13A58C0B" w14:textId="77777777" w:rsidR="001E6820" w:rsidRDefault="001E6820" w:rsidP="003C32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8840357"/>
      <w:docPartObj>
        <w:docPartGallery w:val="Page Numbers (Top of Page)"/>
        <w:docPartUnique/>
      </w:docPartObj>
    </w:sdtPr>
    <w:sdtContent>
      <w:p w14:paraId="27C53FCE" w14:textId="4FF3E1F4" w:rsidR="001E5856" w:rsidRDefault="001E5856">
        <w:pPr>
          <w:pStyle w:val="Header"/>
        </w:pPr>
        <w:r>
          <w:fldChar w:fldCharType="begin"/>
        </w:r>
        <w:r>
          <w:instrText>PAGE   \* MERGEFORMAT</w:instrText>
        </w:r>
        <w:r>
          <w:fldChar w:fldCharType="separate"/>
        </w:r>
        <w:r>
          <w:t>2</w:t>
        </w:r>
        <w:r>
          <w:fldChar w:fldCharType="end"/>
        </w:r>
      </w:p>
    </w:sdtContent>
  </w:sdt>
  <w:p w14:paraId="3DBC8628" w14:textId="77777777" w:rsidR="001E5856" w:rsidRDefault="001E585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B2F"/>
    <w:rsid w:val="00184FCC"/>
    <w:rsid w:val="001E5856"/>
    <w:rsid w:val="001E6820"/>
    <w:rsid w:val="00285D8A"/>
    <w:rsid w:val="003C3200"/>
    <w:rsid w:val="00651829"/>
    <w:rsid w:val="0078607A"/>
    <w:rsid w:val="007E0B2F"/>
    <w:rsid w:val="00BE6E1F"/>
    <w:rsid w:val="00EF4B84"/>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C4AA6"/>
  <w15:chartTrackingRefBased/>
  <w15:docId w15:val="{25B7BA34-0DD5-4FE1-A748-C44CB87BF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0B2F"/>
    <w:rPr>
      <w:lang w:val="en-GB"/>
    </w:rPr>
  </w:style>
  <w:style w:type="paragraph" w:styleId="Heading1">
    <w:name w:val="heading 1"/>
    <w:basedOn w:val="Normal"/>
    <w:next w:val="Normal"/>
    <w:link w:val="Heading1Char"/>
    <w:uiPriority w:val="9"/>
    <w:qFormat/>
    <w:rsid w:val="007E0B2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E0B2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E0B2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E0B2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E0B2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E0B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0B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0B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0B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0B2F"/>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7E0B2F"/>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7E0B2F"/>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7E0B2F"/>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7E0B2F"/>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7E0B2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E0B2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7E0B2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E0B2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7E0B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0B2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E0B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0B2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E0B2F"/>
    <w:pPr>
      <w:spacing w:before="160"/>
      <w:jc w:val="center"/>
    </w:pPr>
    <w:rPr>
      <w:i/>
      <w:iCs/>
      <w:color w:val="404040" w:themeColor="text1" w:themeTint="BF"/>
    </w:rPr>
  </w:style>
  <w:style w:type="character" w:customStyle="1" w:styleId="QuoteChar">
    <w:name w:val="Quote Char"/>
    <w:basedOn w:val="DefaultParagraphFont"/>
    <w:link w:val="Quote"/>
    <w:uiPriority w:val="29"/>
    <w:rsid w:val="007E0B2F"/>
    <w:rPr>
      <w:i/>
      <w:iCs/>
      <w:color w:val="404040" w:themeColor="text1" w:themeTint="BF"/>
      <w:lang w:val="en-GB"/>
    </w:rPr>
  </w:style>
  <w:style w:type="paragraph" w:styleId="ListParagraph">
    <w:name w:val="List Paragraph"/>
    <w:basedOn w:val="Normal"/>
    <w:uiPriority w:val="34"/>
    <w:qFormat/>
    <w:rsid w:val="007E0B2F"/>
    <w:pPr>
      <w:ind w:left="720"/>
      <w:contextualSpacing/>
    </w:pPr>
  </w:style>
  <w:style w:type="character" w:styleId="IntenseEmphasis">
    <w:name w:val="Intense Emphasis"/>
    <w:basedOn w:val="DefaultParagraphFont"/>
    <w:uiPriority w:val="21"/>
    <w:qFormat/>
    <w:rsid w:val="007E0B2F"/>
    <w:rPr>
      <w:i/>
      <w:iCs/>
      <w:color w:val="2F5496" w:themeColor="accent1" w:themeShade="BF"/>
    </w:rPr>
  </w:style>
  <w:style w:type="paragraph" w:styleId="IntenseQuote">
    <w:name w:val="Intense Quote"/>
    <w:basedOn w:val="Normal"/>
    <w:next w:val="Normal"/>
    <w:link w:val="IntenseQuoteChar"/>
    <w:uiPriority w:val="30"/>
    <w:qFormat/>
    <w:rsid w:val="007E0B2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E0B2F"/>
    <w:rPr>
      <w:i/>
      <w:iCs/>
      <w:color w:val="2F5496" w:themeColor="accent1" w:themeShade="BF"/>
      <w:lang w:val="en-GB"/>
    </w:rPr>
  </w:style>
  <w:style w:type="character" w:styleId="IntenseReference">
    <w:name w:val="Intense Reference"/>
    <w:basedOn w:val="DefaultParagraphFont"/>
    <w:uiPriority w:val="32"/>
    <w:qFormat/>
    <w:rsid w:val="007E0B2F"/>
    <w:rPr>
      <w:b/>
      <w:bCs/>
      <w:smallCaps/>
      <w:color w:val="2F5496" w:themeColor="accent1" w:themeShade="BF"/>
      <w:spacing w:val="5"/>
    </w:rPr>
  </w:style>
  <w:style w:type="paragraph" w:styleId="NoSpacing">
    <w:name w:val="No Spacing"/>
    <w:link w:val="NoSpacingChar"/>
    <w:uiPriority w:val="1"/>
    <w:qFormat/>
    <w:rsid w:val="007E0B2F"/>
    <w:pPr>
      <w:spacing w:after="0" w:line="240" w:lineRule="auto"/>
    </w:pPr>
    <w:rPr>
      <w:rFonts w:eastAsiaTheme="minorEastAsia"/>
      <w:lang w:eastAsia="bg-BG"/>
    </w:rPr>
  </w:style>
  <w:style w:type="character" w:customStyle="1" w:styleId="NoSpacingChar">
    <w:name w:val="No Spacing Char"/>
    <w:basedOn w:val="DefaultParagraphFont"/>
    <w:link w:val="NoSpacing"/>
    <w:uiPriority w:val="1"/>
    <w:rsid w:val="007E0B2F"/>
    <w:rPr>
      <w:rFonts w:eastAsiaTheme="minorEastAsia"/>
      <w:lang w:eastAsia="bg-BG"/>
    </w:rPr>
  </w:style>
  <w:style w:type="paragraph" w:styleId="Header">
    <w:name w:val="header"/>
    <w:basedOn w:val="Normal"/>
    <w:link w:val="HeaderChar"/>
    <w:uiPriority w:val="99"/>
    <w:unhideWhenUsed/>
    <w:rsid w:val="003C3200"/>
    <w:pPr>
      <w:tabs>
        <w:tab w:val="center" w:pos="4536"/>
        <w:tab w:val="right" w:pos="9072"/>
      </w:tabs>
      <w:spacing w:after="0" w:line="240" w:lineRule="auto"/>
    </w:pPr>
  </w:style>
  <w:style w:type="character" w:customStyle="1" w:styleId="HeaderChar">
    <w:name w:val="Header Char"/>
    <w:basedOn w:val="DefaultParagraphFont"/>
    <w:link w:val="Header"/>
    <w:uiPriority w:val="99"/>
    <w:rsid w:val="003C3200"/>
    <w:rPr>
      <w:lang w:val="en-GB"/>
    </w:rPr>
  </w:style>
  <w:style w:type="paragraph" w:styleId="Footer">
    <w:name w:val="footer"/>
    <w:basedOn w:val="Normal"/>
    <w:link w:val="FooterChar"/>
    <w:uiPriority w:val="99"/>
    <w:unhideWhenUsed/>
    <w:rsid w:val="003C3200"/>
    <w:pPr>
      <w:tabs>
        <w:tab w:val="center" w:pos="4536"/>
        <w:tab w:val="right" w:pos="9072"/>
      </w:tabs>
      <w:spacing w:after="0" w:line="240" w:lineRule="auto"/>
    </w:pPr>
  </w:style>
  <w:style w:type="character" w:customStyle="1" w:styleId="FooterChar">
    <w:name w:val="Footer Char"/>
    <w:basedOn w:val="DefaultParagraphFont"/>
    <w:link w:val="Footer"/>
    <w:uiPriority w:val="99"/>
    <w:rsid w:val="003C3200"/>
    <w:rPr>
      <w:lang w:val="en-GB"/>
    </w:rPr>
  </w:style>
  <w:style w:type="character" w:styleId="Hyperlink">
    <w:name w:val="Hyperlink"/>
    <w:basedOn w:val="DefaultParagraphFont"/>
    <w:uiPriority w:val="99"/>
    <w:unhideWhenUsed/>
    <w:rsid w:val="00EF4B84"/>
    <w:rPr>
      <w:color w:val="0563C1" w:themeColor="hyperlink"/>
      <w:u w:val="single"/>
    </w:rPr>
  </w:style>
  <w:style w:type="character" w:styleId="UnresolvedMention">
    <w:name w:val="Unresolved Mention"/>
    <w:basedOn w:val="DefaultParagraphFont"/>
    <w:uiPriority w:val="99"/>
    <w:semiHidden/>
    <w:unhideWhenUsed/>
    <w:rsid w:val="00EF4B84"/>
    <w:rPr>
      <w:color w:val="605E5C"/>
      <w:shd w:val="clear" w:color="auto" w:fill="E1DFDD"/>
    </w:rPr>
  </w:style>
  <w:style w:type="paragraph" w:styleId="TOCHeading">
    <w:name w:val="TOC Heading"/>
    <w:basedOn w:val="Heading1"/>
    <w:next w:val="Normal"/>
    <w:uiPriority w:val="39"/>
    <w:unhideWhenUsed/>
    <w:qFormat/>
    <w:rsid w:val="001E5856"/>
    <w:pPr>
      <w:spacing w:before="240" w:after="0"/>
      <w:outlineLvl w:val="9"/>
    </w:pPr>
    <w:rPr>
      <w:sz w:val="32"/>
      <w:szCs w:val="32"/>
      <w:lang w:val="bg-BG" w:eastAsia="bg-BG"/>
    </w:rPr>
  </w:style>
  <w:style w:type="paragraph" w:styleId="TOC1">
    <w:name w:val="toc 1"/>
    <w:basedOn w:val="Normal"/>
    <w:next w:val="Normal"/>
    <w:autoRedefine/>
    <w:uiPriority w:val="39"/>
    <w:unhideWhenUsed/>
    <w:rsid w:val="001E585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23311886.2024.2337893" TargetMode="External"/><Relationship Id="rId13" Type="http://schemas.openxmlformats.org/officeDocument/2006/relationships/hyperlink" Target="https://doi.org/10.2139/ssrn.5040008"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doi.org/10.51594/farj.v6i8.1509" TargetMode="External"/><Relationship Id="rId17" Type="http://schemas.openxmlformats.org/officeDocument/2006/relationships/hyperlink" Target="https://doi.org/10.1007/s10997-024-09725-9" TargetMode="External"/><Relationship Id="rId2" Type="http://schemas.openxmlformats.org/officeDocument/2006/relationships/styles" Target="styles.xml"/><Relationship Id="rId16" Type="http://schemas.openxmlformats.org/officeDocument/2006/relationships/hyperlink" Target="https://doi.org/10.1111/corg.1248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2139/ssrn.4994459" TargetMode="External"/><Relationship Id="rId5" Type="http://schemas.openxmlformats.org/officeDocument/2006/relationships/footnotes" Target="footnotes.xml"/><Relationship Id="rId15" Type="http://schemas.openxmlformats.org/officeDocument/2006/relationships/hyperlink" Target="https://doi.org/10.5897/jat2021.0455" TargetMode="External"/><Relationship Id="rId10" Type="http://schemas.openxmlformats.org/officeDocument/2006/relationships/hyperlink" Target="https://doi.org/10.1080/14735970.2022.2140496"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3390/jrfm16100429" TargetMode="External"/><Relationship Id="rId14" Type="http://schemas.openxmlformats.org/officeDocument/2006/relationships/hyperlink" Target="https://doi.org/10.1007/s40804-021-00212-4"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D4F672-FAB3-47E9-A66B-CC0048DA75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11</Pages>
  <Words>2825</Words>
  <Characters>16106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Veneta Stoyanova-Georgieva</dc:creator>
  <cp:keywords/>
  <dc:description/>
  <cp:lastModifiedBy>Veneta Stoyanova-Georgieva</cp:lastModifiedBy>
  <cp:revision>1</cp:revision>
  <dcterms:created xsi:type="dcterms:W3CDTF">2025-02-07T19:50:00Z</dcterms:created>
  <dcterms:modified xsi:type="dcterms:W3CDTF">2025-02-07T20:35:00Z</dcterms:modified>
</cp:coreProperties>
</file>