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35C98" w14:textId="247F51EE" w:rsidR="00417449" w:rsidRPr="00417449" w:rsidRDefault="00417449" w:rsidP="00417449">
      <w:pPr>
        <w:spacing w:line="259" w:lineRule="auto"/>
        <w:rPr>
          <w:rFonts w:ascii="Arial" w:eastAsiaTheme="minorHAnsi" w:hAnsi="Arial" w:cs="Arial"/>
          <w:b/>
          <w:bCs/>
          <w:kern w:val="0"/>
          <w:sz w:val="22"/>
          <w:szCs w:val="22"/>
          <w:lang w:eastAsia="en-US"/>
          <w14:ligatures w14:val="none"/>
        </w:rPr>
      </w:pPr>
    </w:p>
    <w:p w14:paraId="02A421E4" w14:textId="77777777" w:rsidR="00417449" w:rsidRPr="00417449" w:rsidRDefault="00417449" w:rsidP="00417449">
      <w:pPr>
        <w:spacing w:line="259" w:lineRule="auto"/>
        <w:jc w:val="center"/>
        <w:rPr>
          <w:rFonts w:ascii="Arial" w:eastAsiaTheme="minorHAnsi" w:hAnsi="Arial" w:cs="Arial"/>
          <w:b/>
          <w:bCs/>
          <w:kern w:val="0"/>
          <w:sz w:val="22"/>
          <w:szCs w:val="22"/>
          <w:lang w:eastAsia="en-US"/>
          <w14:ligatures w14:val="none"/>
        </w:rPr>
      </w:pPr>
      <w:r w:rsidRPr="00417449">
        <w:rPr>
          <w:rFonts w:ascii="Arial" w:eastAsiaTheme="minorHAnsi" w:hAnsi="Arial" w:cs="Arial"/>
          <w:b/>
          <w:bCs/>
          <w:kern w:val="0"/>
          <w:sz w:val="22"/>
          <w:szCs w:val="22"/>
          <w:lang w:eastAsia="en-US"/>
          <w14:ligatures w14:val="none"/>
        </w:rPr>
        <w:t xml:space="preserve">Name: Mohammad </w:t>
      </w:r>
      <w:proofErr w:type="spellStart"/>
      <w:r w:rsidRPr="00417449">
        <w:rPr>
          <w:rFonts w:ascii="Arial" w:eastAsiaTheme="minorHAnsi" w:hAnsi="Arial" w:cs="Arial"/>
          <w:b/>
          <w:bCs/>
          <w:kern w:val="0"/>
          <w:sz w:val="22"/>
          <w:szCs w:val="22"/>
          <w:lang w:eastAsia="en-US"/>
          <w14:ligatures w14:val="none"/>
        </w:rPr>
        <w:t>Ilyas</w:t>
      </w:r>
      <w:proofErr w:type="spellEnd"/>
    </w:p>
    <w:p w14:paraId="6DB4E62A" w14:textId="77777777" w:rsidR="00417449" w:rsidRPr="00417449" w:rsidRDefault="00417449" w:rsidP="00417449">
      <w:pPr>
        <w:spacing w:line="259" w:lineRule="auto"/>
        <w:jc w:val="center"/>
        <w:rPr>
          <w:rFonts w:ascii="Arial" w:eastAsiaTheme="minorHAnsi" w:hAnsi="Arial" w:cs="Arial"/>
          <w:b/>
          <w:bCs/>
          <w:kern w:val="0"/>
          <w:sz w:val="22"/>
          <w:szCs w:val="22"/>
          <w:lang w:eastAsia="en-US"/>
          <w14:ligatures w14:val="none"/>
        </w:rPr>
      </w:pPr>
      <w:r w:rsidRPr="00417449">
        <w:rPr>
          <w:rFonts w:ascii="Arial" w:eastAsiaTheme="minorHAnsi" w:hAnsi="Arial" w:cs="Arial"/>
          <w:b/>
          <w:bCs/>
          <w:kern w:val="0"/>
          <w:sz w:val="22"/>
          <w:szCs w:val="22"/>
          <w:lang w:eastAsia="en-US"/>
          <w14:ligatures w14:val="none"/>
        </w:rPr>
        <w:t>Student Number: 2029045</w:t>
      </w:r>
    </w:p>
    <w:p w14:paraId="4FEEDE42" w14:textId="30890B80" w:rsidR="00417449" w:rsidRPr="00417449" w:rsidRDefault="00417449" w:rsidP="00417449">
      <w:pPr>
        <w:spacing w:line="259" w:lineRule="auto"/>
        <w:jc w:val="center"/>
        <w:rPr>
          <w:rFonts w:ascii="Arial" w:eastAsiaTheme="minorHAnsi" w:hAnsi="Arial" w:cs="Arial"/>
          <w:b/>
          <w:bCs/>
          <w:kern w:val="0"/>
          <w:sz w:val="22"/>
          <w:szCs w:val="22"/>
          <w:lang w:eastAsia="en-US"/>
          <w14:ligatures w14:val="none"/>
        </w:rPr>
      </w:pPr>
      <w:r w:rsidRPr="00417449">
        <w:rPr>
          <w:rFonts w:ascii="Arial" w:eastAsiaTheme="minorHAnsi" w:hAnsi="Arial" w:cs="Arial"/>
          <w:b/>
          <w:bCs/>
          <w:kern w:val="0"/>
          <w:sz w:val="22"/>
          <w:szCs w:val="22"/>
          <w:lang w:eastAsia="en-US"/>
          <w14:ligatures w14:val="none"/>
        </w:rPr>
        <w:t xml:space="preserve">Lecturer Name: </w:t>
      </w:r>
      <w:r w:rsidR="000C4FD3">
        <w:rPr>
          <w:rFonts w:ascii="Arial" w:eastAsiaTheme="minorHAnsi" w:hAnsi="Arial" w:cs="Arial"/>
          <w:b/>
          <w:bCs/>
          <w:kern w:val="0"/>
          <w:sz w:val="22"/>
          <w:szCs w:val="22"/>
          <w:lang w:eastAsia="en-US"/>
          <w14:ligatures w14:val="none"/>
        </w:rPr>
        <w:t xml:space="preserve">Dr Hamdi Hussain </w:t>
      </w:r>
    </w:p>
    <w:p w14:paraId="19D16445" w14:textId="21651C4F" w:rsidR="00417449" w:rsidRPr="00417449" w:rsidRDefault="00A7549F" w:rsidP="00417449">
      <w:pPr>
        <w:spacing w:line="259" w:lineRule="auto"/>
        <w:jc w:val="center"/>
        <w:rPr>
          <w:rFonts w:ascii="Arial" w:eastAsiaTheme="minorHAnsi" w:hAnsi="Arial" w:cs="Arial"/>
          <w:b/>
          <w:bCs/>
          <w:kern w:val="0"/>
          <w:sz w:val="22"/>
          <w:szCs w:val="22"/>
          <w:lang w:eastAsia="en-US"/>
          <w14:ligatures w14:val="none"/>
        </w:rPr>
      </w:pPr>
      <w:r>
        <w:rPr>
          <w:rFonts w:ascii="Arial" w:eastAsiaTheme="minorHAnsi" w:hAnsi="Arial" w:cs="Arial"/>
          <w:b/>
          <w:bCs/>
          <w:kern w:val="0"/>
          <w:sz w:val="22"/>
          <w:szCs w:val="22"/>
          <w:lang w:eastAsia="en-US"/>
          <w14:ligatures w14:val="none"/>
        </w:rPr>
        <w:t xml:space="preserve">Module code: </w:t>
      </w:r>
      <w:r>
        <w:rPr>
          <w:rFonts w:ascii="Arial" w:eastAsia="Times New Roman" w:hAnsi="Arial" w:cs="Arial"/>
          <w:b/>
          <w:bCs/>
          <w:color w:val="000000"/>
          <w:sz w:val="17"/>
          <w:szCs w:val="17"/>
        </w:rPr>
        <w:t>LCHS7000</w:t>
      </w:r>
    </w:p>
    <w:p w14:paraId="110059D3" w14:textId="2626FA1D" w:rsidR="00417449" w:rsidRPr="00417449" w:rsidRDefault="002926EB" w:rsidP="00417449">
      <w:pPr>
        <w:spacing w:line="259" w:lineRule="auto"/>
        <w:jc w:val="center"/>
        <w:rPr>
          <w:rFonts w:ascii="Arial" w:eastAsiaTheme="minorHAnsi" w:hAnsi="Arial" w:cs="Mangal"/>
          <w:b/>
          <w:bCs/>
          <w:kern w:val="0"/>
          <w:sz w:val="22"/>
          <w:szCs w:val="15"/>
          <w:lang w:eastAsia="en-US" w:bidi="sd-Deva-IN"/>
          <w14:ligatures w14:val="none"/>
        </w:rPr>
      </w:pPr>
      <w:r>
        <w:rPr>
          <w:rFonts w:ascii="Arial" w:eastAsia="Times New Roman" w:hAnsi="Arial" w:cs="Arial"/>
          <w:b/>
          <w:bCs/>
          <w:color w:val="000000"/>
          <w:sz w:val="17"/>
          <w:szCs w:val="17"/>
          <w:shd w:val="clear" w:color="auto" w:fill="FFFFFF"/>
        </w:rPr>
        <w:t>Social Epidemiology and Public Health Development</w:t>
      </w:r>
    </w:p>
    <w:p w14:paraId="10597AFC" w14:textId="77777777" w:rsidR="00EF1973" w:rsidRDefault="00EF1973" w:rsidP="00EF1973">
      <w:pPr>
        <w:rPr>
          <w:rFonts w:ascii="Calibri" w:eastAsia="Times New Roman" w:hAnsi="Calibri" w:cs="Times New Roman"/>
          <w:b/>
          <w:bCs/>
          <w:kern w:val="0"/>
          <w:sz w:val="22"/>
          <w:szCs w:val="22"/>
          <w14:ligatures w14:val="none"/>
        </w:rPr>
      </w:pPr>
    </w:p>
    <w:p w14:paraId="6462C83B" w14:textId="77777777" w:rsidR="00EF1973" w:rsidRDefault="00EF1973">
      <w:pPr>
        <w:rPr>
          <w:rFonts w:ascii="Calibri" w:eastAsia="Times New Roman" w:hAnsi="Calibri" w:cs="Times New Roman"/>
          <w:b/>
          <w:bCs/>
          <w:kern w:val="0"/>
          <w:sz w:val="22"/>
          <w:szCs w:val="22"/>
          <w14:ligatures w14:val="none"/>
        </w:rPr>
      </w:pPr>
      <w:r>
        <w:rPr>
          <w:rFonts w:ascii="Calibri" w:eastAsia="Times New Roman" w:hAnsi="Calibri" w:cs="Times New Roman"/>
          <w:b/>
          <w:bCs/>
          <w:kern w:val="0"/>
          <w:sz w:val="22"/>
          <w:szCs w:val="22"/>
          <w14:ligatures w14:val="none"/>
        </w:rPr>
        <w:br w:type="page"/>
      </w:r>
    </w:p>
    <w:p w14:paraId="0CCC47E6" w14:textId="53CFC26E" w:rsidR="004B5693" w:rsidRPr="004B5693" w:rsidRDefault="004B5693" w:rsidP="00EF1973">
      <w:pPr>
        <w:rPr>
          <w:rFonts w:ascii="Calibri" w:eastAsia="Times New Roman"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lastRenderedPageBreak/>
        <w:t>Title</w:t>
      </w:r>
    </w:p>
    <w:p w14:paraId="507E584C" w14:textId="0AE53539"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Ethnicity and Health Inequalities in the United Kingdom</w:t>
      </w:r>
    </w:p>
    <w:p w14:paraId="2D5207FE" w14:textId="4D18E111" w:rsidR="004B5693" w:rsidRPr="004B5693" w:rsidRDefault="004B5693"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Introduction</w:t>
      </w:r>
    </w:p>
    <w:p w14:paraId="68B94CE3" w14:textId="00D36695"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Ethnicity plays a significant role in determining health outcomes and access to healthcare services in the United Kingdom. Ethnicity refers to shared cultural, linguistic, or ancestral traits that distinguish groups of people. Health inequalities are systematic, unfair differences in health status or access to care between different social groups. In the UK, individuals from ethnic minority backgrounds—particularly Black, Asian, and other </w:t>
      </w:r>
      <w:proofErr w:type="spellStart"/>
      <w:r w:rsidRPr="004B5693">
        <w:rPr>
          <w:rFonts w:ascii="Calibri" w:hAnsi="Calibri" w:cs="Times New Roman"/>
          <w:kern w:val="0"/>
          <w:sz w:val="22"/>
          <w:szCs w:val="22"/>
          <w14:ligatures w14:val="none"/>
        </w:rPr>
        <w:t>minoritised</w:t>
      </w:r>
      <w:proofErr w:type="spellEnd"/>
      <w:r w:rsidRPr="004B5693">
        <w:rPr>
          <w:rFonts w:ascii="Calibri" w:hAnsi="Calibri" w:cs="Times New Roman"/>
          <w:kern w:val="0"/>
          <w:sz w:val="22"/>
          <w:szCs w:val="22"/>
          <w14:ligatures w14:val="none"/>
        </w:rPr>
        <w:t xml:space="preserve"> ethnic groups—are more likely to experience poorer health outcomes than the White British population (Marmot et al., 2020).  These disparities arise from a combination of socioeconomic disadvantage, structural racism, cultural barriers, and limited access to healthcare services (Marmot, 2010; Robertson et al., 2021).  This analysis explores key disease and social inequality issues faced by ethnic minority groups, national responses to address these disparities, and the role of organisations working to promote equity and justice in health.</w:t>
      </w:r>
    </w:p>
    <w:p w14:paraId="2CE21A88" w14:textId="491319BA" w:rsidR="004B5693" w:rsidRPr="004B5693" w:rsidRDefault="004B5693"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Contextual Background and Underlying Factors</w:t>
      </w:r>
    </w:p>
    <w:p w14:paraId="74A34711" w14:textId="7CCEC5DE" w:rsidR="004B5693" w:rsidRPr="004B5693" w:rsidRDefault="004B5693"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1. Higher Rates of Cardiovascular Disease (CVD)</w:t>
      </w:r>
    </w:p>
    <w:p w14:paraId="5491D3BB" w14:textId="370396A8"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Cardiovascular disease remains one of the leading causes of death in the UK, but prevalence and risk are disproportionately higher among South Asian and some Black ethnic groups. Recent British Heart Foundation research shows that South Asians are almost twice as likely to develop coronary heart disease as White Europeans, partly due to higher rates of hypertension, diabetes and abdominal obesity (British Heart Foundation, 2024).  Contributing factors include genetic susceptibility, dietary patterns, sedentary lifestyles, and barriers to preventive care. Culturally tailored health promotion, community screening, and accessible lifestyle support programmes can help reduce these inequalities.</w:t>
      </w:r>
    </w:p>
    <w:p w14:paraId="05AE13C1" w14:textId="1FB7761D"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2. Increased Risk of Type 2 Diabetes</w:t>
      </w:r>
    </w:p>
    <w:p w14:paraId="268DD16C" w14:textId="7BDFF94D" w:rsidR="008B423A"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Type 2 diabetes disproportionately affects ethnic minority groups in the UK. Government-commissioned research on ethnic disparities in major causes of mortality highlights that South Asian and Black ethnic groups have a substantially higher risk of Type 2 diabetes than White groups (Ali et al., 2021).  BHF-funded work also shows that Black African, African Caribbean and South Asian groups are at higher risk of developing high blood pressure or Type 2 diabetes compared with White </w:t>
      </w:r>
      <w:r w:rsidRPr="004B5693">
        <w:rPr>
          <w:rFonts w:ascii="Calibri" w:hAnsi="Calibri" w:cs="Times New Roman"/>
          <w:kern w:val="0"/>
          <w:sz w:val="22"/>
          <w:szCs w:val="22"/>
          <w14:ligatures w14:val="none"/>
        </w:rPr>
        <w:lastRenderedPageBreak/>
        <w:t>Europeans (British Heart Foundation, 2021).  Risk factors include obesity, genetic predisposition, and socio-economic deprivation. Limited access to culturally appropriate healthcare services, as well as language barriers, contribute to under-diagnosis and poor management. Targeted screening, culturally adapted education, and peer-support programmes within communities can promote earlier diagnosis and better self-management.</w:t>
      </w:r>
    </w:p>
    <w:p w14:paraId="73EC1268" w14:textId="29A7D7F5"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3. Higher Rates of Mental Health Disorders and Detentions</w:t>
      </w:r>
    </w:p>
    <w:p w14:paraId="6D1206D5" w14:textId="5B6DF90A"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Black and minority ethnic groups are at greater risk of severe mental health problems and coercive interventions. Ethnicity facts and figures data show that Black people in England are more than three times as likely to be detained under the Mental Health Act as White people, with 228 detentions per 100,000 Black people compared to 64 per 100,000 White people in 2022/23 (NHS Digital, 2024).  Experiences of racism, migration stress, social exclusion, and a lack of culturally sensitive services all contribute (Mind, 2023).  Solutions include investing in community-based, culturally competent mental health services, improving trust between services and racialised communities, and implementing anti-racism frameworks across mental health systems.</w:t>
      </w:r>
    </w:p>
    <w:p w14:paraId="0BE6549D" w14:textId="24F7ECE5"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4. Socioeconomic Disadvantage and Poverty</w:t>
      </w:r>
    </w:p>
    <w:p w14:paraId="67CA18DF" w14:textId="4A0C1D9E"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Socioeconomic inequality is a major driver of ethnic health inequalities. The Joseph </w:t>
      </w:r>
      <w:proofErr w:type="spellStart"/>
      <w:r w:rsidRPr="004B5693">
        <w:rPr>
          <w:rFonts w:ascii="Calibri" w:hAnsi="Calibri" w:cs="Times New Roman"/>
          <w:kern w:val="0"/>
          <w:sz w:val="22"/>
          <w:szCs w:val="22"/>
          <w14:ligatures w14:val="none"/>
        </w:rPr>
        <w:t>Rowntree</w:t>
      </w:r>
      <w:proofErr w:type="spellEnd"/>
      <w:r w:rsidRPr="004B5693">
        <w:rPr>
          <w:rFonts w:ascii="Calibri" w:hAnsi="Calibri" w:cs="Times New Roman"/>
          <w:kern w:val="0"/>
          <w:sz w:val="22"/>
          <w:szCs w:val="22"/>
          <w14:ligatures w14:val="none"/>
        </w:rPr>
        <w:t xml:space="preserve"> Foundation reports that poverty rates are extremely high for some minority ethnic groups: between 2020/21 and 2022/23, around 56% of people in Bangladeshi and 49% in Pakistani households were living in poverty, compared with much lower rates in White British households (Joseph </w:t>
      </w:r>
      <w:proofErr w:type="spellStart"/>
      <w:r w:rsidRPr="004B5693">
        <w:rPr>
          <w:rFonts w:ascii="Calibri" w:hAnsi="Calibri" w:cs="Times New Roman"/>
          <w:kern w:val="0"/>
          <w:sz w:val="22"/>
          <w:szCs w:val="22"/>
          <w14:ligatures w14:val="none"/>
        </w:rPr>
        <w:t>Rowntree</w:t>
      </w:r>
      <w:proofErr w:type="spellEnd"/>
      <w:r w:rsidRPr="004B5693">
        <w:rPr>
          <w:rFonts w:ascii="Calibri" w:hAnsi="Calibri" w:cs="Times New Roman"/>
          <w:kern w:val="0"/>
          <w:sz w:val="22"/>
          <w:szCs w:val="22"/>
          <w14:ligatures w14:val="none"/>
        </w:rPr>
        <w:t xml:space="preserve"> Foundation, 2025).  Low income and insecure employment limit access to nutritious food, safe housing, and opportunities for physical activity, increasing vulnerability to chronic diseases and mental ill-health. Policies that support fair pay, secure employment, and educational opportunities are essential in tackling these inequalities.</w:t>
      </w:r>
    </w:p>
    <w:p w14:paraId="1D33B01C" w14:textId="62F7D366" w:rsidR="00AF5299"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5. Housing Inequality and Overcrowding</w:t>
      </w:r>
    </w:p>
    <w:p w14:paraId="6BD95100" w14:textId="74864826"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Poor housing conditions and overcrowding are more prevalent among ethnic minority households. Ethnicity facts and figures show that in the three years to March 2023, overcrowding rates were highest among Arab (25%), Bangladeshi (18%), and Black African (16%) households, compared with only 2% of White British households (Department for Levelling Up, Housing and Communities, 2025).  Overcrowded or damp homes increase the risk of respiratory illness, stress, infectious disease transmission and poor mental health. Addressing these inequalities requires increased </w:t>
      </w:r>
      <w:r w:rsidRPr="004B5693">
        <w:rPr>
          <w:rFonts w:ascii="Calibri" w:hAnsi="Calibri" w:cs="Times New Roman"/>
          <w:kern w:val="0"/>
          <w:sz w:val="22"/>
          <w:szCs w:val="22"/>
          <w14:ligatures w14:val="none"/>
        </w:rPr>
        <w:lastRenderedPageBreak/>
        <w:t xml:space="preserve">investment in affordable, good-quality housing and policies that prioritise </w:t>
      </w:r>
      <w:proofErr w:type="spellStart"/>
      <w:r w:rsidRPr="004B5693">
        <w:rPr>
          <w:rFonts w:ascii="Calibri" w:hAnsi="Calibri" w:cs="Times New Roman"/>
          <w:kern w:val="0"/>
          <w:sz w:val="22"/>
          <w:szCs w:val="22"/>
          <w14:ligatures w14:val="none"/>
        </w:rPr>
        <w:t>minoritised</w:t>
      </w:r>
      <w:proofErr w:type="spellEnd"/>
      <w:r w:rsidRPr="004B5693">
        <w:rPr>
          <w:rFonts w:ascii="Calibri" w:hAnsi="Calibri" w:cs="Times New Roman"/>
          <w:kern w:val="0"/>
          <w:sz w:val="22"/>
          <w:szCs w:val="22"/>
          <w14:ligatures w14:val="none"/>
        </w:rPr>
        <w:t xml:space="preserve"> families for improved accommodation</w:t>
      </w:r>
      <w:r w:rsidR="00AF5299" w:rsidRPr="00966FC2">
        <w:rPr>
          <w:rFonts w:ascii="Calibri" w:hAnsi="Calibri" w:cs="Times New Roman"/>
          <w:kern w:val="0"/>
          <w:sz w:val="22"/>
          <w:szCs w:val="22"/>
          <w14:ligatures w14:val="none"/>
        </w:rPr>
        <w:t>.</w:t>
      </w:r>
    </w:p>
    <w:p w14:paraId="666141EB" w14:textId="5E8AD07D"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6. Barriers to Accessing Healthcare</w:t>
      </w:r>
    </w:p>
    <w:p w14:paraId="4DFF43E3" w14:textId="5A6BEDDB" w:rsidR="00AF5299"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Ethnic minorities often experience barriers such as language difficulties, discrimination, and cultural insensitivity from healthcare providers. Evidence from the NHS Race and Health Observatory shows longstanding inequalities not only in outcomes but also in access to and experiences of care for Black and minority ethnic patients (Robertson et al., 2021).  These barriers discourage early engagement with services and reduce trust in the NHS. Improving interpreter services, strengthening staff training on cultural competence and anti-racism, and involving community and faith leaders in health promotion can increase access and make services more responsive.</w:t>
      </w:r>
    </w:p>
    <w:p w14:paraId="79E8993C" w14:textId="7DEB8F5B" w:rsidR="004B5693" w:rsidRPr="004B5693" w:rsidRDefault="004B5693"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National Response to Reduce Health Inequalities</w:t>
      </w:r>
    </w:p>
    <w:p w14:paraId="5D3D73F3" w14:textId="19962438" w:rsidR="00AF5299" w:rsidRPr="004B5693" w:rsidRDefault="004B5693"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1. The Marmot Reviews and Health Equity Approach</w:t>
      </w:r>
    </w:p>
    <w:p w14:paraId="695B6FDE" w14:textId="625EFECD"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The Marmot Review, Fair Society, Healthy Lives, argued that reducing health inequalities requires action on the wider social determinants of health such as early childhood, education, employment, income and housing (Marmot, 2010).  A follow-up review, Health Equity in England: The Marmot Review 10 Years On, showed that health inequalities had widened and highlighted the disproportionate impact on ethnic minority and deprived communities (Marmot et al., 2020).  These reviews have influenced national and local strategies, encouraging integrated policies across government to tackle the root causes of ethnic health inequalities.</w:t>
      </w:r>
    </w:p>
    <w:p w14:paraId="6421D43F" w14:textId="7161D71C"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2. NHS Race and Health Observatory (RHO)</w:t>
      </w:r>
    </w:p>
    <w:p w14:paraId="0534488A" w14:textId="27A3D570"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Established in 2021, the NHS Race and Health Observatory was created to identify and tackle ethnic inequities in health and healthcare across England. It conducts rapid evidence reviews, analyses routine data, and makes policy recommendations to national bodies to reduce inequalities in access, experience, and outcomes (NHS Race and Health Observatory, 2021).  Recent work has focused on maternal health, sickle cell disease, mental health and COVID-19 outcomes among Black and minority ethnic communities, supporting targeted interventions to address systemic injustice.</w:t>
      </w:r>
    </w:p>
    <w:p w14:paraId="523AFEB5" w14:textId="533FF1EB" w:rsidR="004B5693" w:rsidRPr="004B5693" w:rsidRDefault="004B5693"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Organisations that Support the Chosen Group</w:t>
      </w:r>
    </w:p>
    <w:p w14:paraId="0714C04B" w14:textId="5730A21B" w:rsidR="004B5693" w:rsidRPr="004B5693" w:rsidRDefault="004B5693"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Race Equality Foundation</w:t>
      </w:r>
    </w:p>
    <w:p w14:paraId="4221A2EF" w14:textId="77777777"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lastRenderedPageBreak/>
        <w:t>The Race Equality Foundation is a UK charity working to reduce racial inequalities in health, housing and social care. Through its Better Health programme, it develops evidence-based resources, briefings and projects to help practitioners improve service provision for Black and minority ethnic communities and embed race equality in day-to-day practice (Race Equality Foundation, 2022).  Its goals include:</w:t>
      </w:r>
    </w:p>
    <w:p w14:paraId="1F7492AD" w14:textId="77777777" w:rsidR="004B5693" w:rsidRPr="004B5693" w:rsidRDefault="004B5693" w:rsidP="004F075C">
      <w:pPr>
        <w:numPr>
          <w:ilvl w:val="0"/>
          <w:numId w:val="1"/>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Challenging structural racism and discrimination in health and social care.</w:t>
      </w:r>
    </w:p>
    <w:p w14:paraId="562BC73F" w14:textId="77777777" w:rsidR="004B5693" w:rsidRPr="004B5693" w:rsidRDefault="004B5693" w:rsidP="004F075C">
      <w:pPr>
        <w:numPr>
          <w:ilvl w:val="0"/>
          <w:numId w:val="1"/>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Supporting community-based organisations to design and deliver culturally appropriate services.</w:t>
      </w:r>
    </w:p>
    <w:p w14:paraId="33F538D7" w14:textId="0F26C4DB" w:rsidR="004B5693" w:rsidRPr="004B5693" w:rsidRDefault="004B5693" w:rsidP="004F075C">
      <w:pPr>
        <w:numPr>
          <w:ilvl w:val="0"/>
          <w:numId w:val="1"/>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Influencing national policy so that the needs of ethnic minority communities are reflected in health and housing strategies.</w:t>
      </w:r>
    </w:p>
    <w:p w14:paraId="0E981E0F" w14:textId="7990D4E1" w:rsidR="00AF5299"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By producing guidance on engagement, commissioning, and data use, the Foundation helps raise awareness of health inequalities and supports more equitable service design.</w:t>
      </w:r>
    </w:p>
    <w:p w14:paraId="46E2D5F9" w14:textId="7CC5D1BA" w:rsidR="004B5693" w:rsidRPr="004B5693" w:rsidRDefault="004B5693" w:rsidP="004F075C">
      <w:pPr>
        <w:spacing w:before="100" w:beforeAutospacing="1" w:after="100" w:afterAutospacing="1" w:line="360" w:lineRule="auto"/>
        <w:outlineLvl w:val="2"/>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Mind (National Association for Mental Health)</w:t>
      </w:r>
    </w:p>
    <w:p w14:paraId="07377F89" w14:textId="77777777"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Mind is a national mental health charity that also focuses on the impact of racism and discrimination on ethnic minority communities. Its information resource on racism and mental health explains how racial trauma, discrimination and </w:t>
      </w:r>
      <w:proofErr w:type="spellStart"/>
      <w:r w:rsidRPr="004B5693">
        <w:rPr>
          <w:rFonts w:ascii="Calibri" w:hAnsi="Calibri" w:cs="Times New Roman"/>
          <w:kern w:val="0"/>
          <w:sz w:val="22"/>
          <w:szCs w:val="22"/>
          <w14:ligatures w14:val="none"/>
        </w:rPr>
        <w:t>microaggressions</w:t>
      </w:r>
      <w:proofErr w:type="spellEnd"/>
      <w:r w:rsidRPr="004B5693">
        <w:rPr>
          <w:rFonts w:ascii="Calibri" w:hAnsi="Calibri" w:cs="Times New Roman"/>
          <w:kern w:val="0"/>
          <w:sz w:val="22"/>
          <w:szCs w:val="22"/>
          <w14:ligatures w14:val="none"/>
        </w:rPr>
        <w:t xml:space="preserve"> increase the risk of mental health problems and create barriers to seeking help (Mind, 2023).  Mind’s goals include:</w:t>
      </w:r>
    </w:p>
    <w:p w14:paraId="77246895" w14:textId="77777777" w:rsidR="004B5693" w:rsidRPr="004B5693" w:rsidRDefault="004B5693" w:rsidP="004F075C">
      <w:pPr>
        <w:numPr>
          <w:ilvl w:val="0"/>
          <w:numId w:val="2"/>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Campaigning for racial justice and anti-racist mental health services.</w:t>
      </w:r>
    </w:p>
    <w:p w14:paraId="4ACD16B6" w14:textId="77777777" w:rsidR="004B5693" w:rsidRPr="004B5693" w:rsidRDefault="004B5693" w:rsidP="004F075C">
      <w:pPr>
        <w:numPr>
          <w:ilvl w:val="0"/>
          <w:numId w:val="2"/>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Ensuring that mental health support works well for people from racialised communities.</w:t>
      </w:r>
    </w:p>
    <w:p w14:paraId="7C9486CF" w14:textId="0E7FF953" w:rsidR="004B5693" w:rsidRPr="004B5693" w:rsidRDefault="004B5693" w:rsidP="004F075C">
      <w:pPr>
        <w:numPr>
          <w:ilvl w:val="0"/>
          <w:numId w:val="2"/>
        </w:num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Co-producing policy work with people with lived experience to shape more inclusive services.</w:t>
      </w:r>
    </w:p>
    <w:p w14:paraId="742F8A7D" w14:textId="517AB929" w:rsidR="004B5693" w:rsidRPr="004B5693"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Through campaigns, training, and partnership work with community organisations, Mind helps to reduce stigma, promote culturally competent care, and advocate for fairer treatment of ethnic minority groups in the mental health system.</w:t>
      </w:r>
    </w:p>
    <w:p w14:paraId="743AFADA" w14:textId="6C1E44F7" w:rsidR="004B5693" w:rsidRPr="004B5693" w:rsidRDefault="004B5693"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4B5693">
        <w:rPr>
          <w:rFonts w:ascii="Calibri" w:eastAsia="Times New Roman" w:hAnsi="Calibri" w:cs="Times New Roman"/>
          <w:b/>
          <w:bCs/>
          <w:kern w:val="0"/>
          <w:sz w:val="22"/>
          <w:szCs w:val="22"/>
          <w14:ligatures w14:val="none"/>
        </w:rPr>
        <w:t>Conclusion</w:t>
      </w:r>
    </w:p>
    <w:p w14:paraId="15B6625A" w14:textId="77777777" w:rsidR="004B5693" w:rsidRPr="00966FC2" w:rsidRDefault="004B5693" w:rsidP="004F075C">
      <w:pPr>
        <w:spacing w:before="100" w:beforeAutospacing="1" w:after="100" w:afterAutospacing="1" w:line="360" w:lineRule="auto"/>
        <w:rPr>
          <w:rFonts w:ascii="Calibri" w:hAnsi="Calibri" w:cs="Times New Roman"/>
          <w:kern w:val="0"/>
          <w:sz w:val="22"/>
          <w:szCs w:val="22"/>
          <w14:ligatures w14:val="none"/>
        </w:rPr>
      </w:pPr>
      <w:r w:rsidRPr="004B5693">
        <w:rPr>
          <w:rFonts w:ascii="Calibri" w:hAnsi="Calibri" w:cs="Times New Roman"/>
          <w:kern w:val="0"/>
          <w:sz w:val="22"/>
          <w:szCs w:val="22"/>
          <w14:ligatures w14:val="none"/>
        </w:rPr>
        <w:t xml:space="preserve">Ethnic health inequalities in the UK are deeply rooted in social, economic and institutional factors. Ethnic minority populations experience higher risks of cardiovascular disease and Type 2 diabetes, greater exposure to poverty and overcrowded housing, and disproportionate rates of coercive mental health interventions. These inequalities are driven by structural racism, socio-economic </w:t>
      </w:r>
      <w:r w:rsidRPr="004B5693">
        <w:rPr>
          <w:rFonts w:ascii="Calibri" w:hAnsi="Calibri" w:cs="Times New Roman"/>
          <w:kern w:val="0"/>
          <w:sz w:val="22"/>
          <w:szCs w:val="22"/>
          <w14:ligatures w14:val="none"/>
        </w:rPr>
        <w:lastRenderedPageBreak/>
        <w:t>disadvantage, and barriers to accessing culturally appropriate healthcare. National initiatives such as the Marmot Reviews and the creation of the NHS Race and Health Observatory demonstrate growing recognition of these injustices and the need for system-wide change. Charities like the Race Equality Foundation and Mind play essential roles in advocacy, research, and community-based support. Ultimately, reducing ethnic health inequalities requires sustained policy action on the social determinants of health, meaningful engagement with affected communities, and a commitment across the NHS and wider society to promoting racial justice and equitable health for all.</w:t>
      </w:r>
    </w:p>
    <w:p w14:paraId="5B4F2F7A" w14:textId="1EF256C1" w:rsidR="005C6BEE" w:rsidRPr="005C6BEE" w:rsidRDefault="005C6BEE" w:rsidP="004F075C">
      <w:pPr>
        <w:spacing w:before="100" w:beforeAutospacing="1" w:after="100" w:afterAutospacing="1" w:line="360" w:lineRule="auto"/>
        <w:outlineLvl w:val="0"/>
        <w:rPr>
          <w:rFonts w:ascii="Calibri" w:eastAsia="Times New Roman" w:hAnsi="Calibri" w:cs="Times New Roman"/>
          <w:b/>
          <w:bCs/>
          <w:kern w:val="36"/>
          <w:sz w:val="22"/>
          <w:szCs w:val="22"/>
          <w14:ligatures w14:val="none"/>
        </w:rPr>
      </w:pPr>
      <w:r w:rsidRPr="005C6BEE">
        <w:rPr>
          <w:rFonts w:ascii="Calibri" w:eastAsia="Times New Roman" w:hAnsi="Calibri" w:cs="Times New Roman"/>
          <w:b/>
          <w:bCs/>
          <w:kern w:val="36"/>
          <w:sz w:val="22"/>
          <w:szCs w:val="22"/>
          <w14:ligatures w14:val="none"/>
        </w:rPr>
        <w:t>Epidemiological Analysis Report: Type 2 Diabetes in Tower Hamlets, London</w:t>
      </w:r>
    </w:p>
    <w:p w14:paraId="4D052F4A" w14:textId="51F6D9C4"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Introduction</w:t>
      </w:r>
    </w:p>
    <w:p w14:paraId="4E2292AA" w14:textId="77777777" w:rsidR="00C033C7" w:rsidRPr="00966FC2"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 xml:space="preserve">Type 2 Diabetes Mellitus (T2DM) is a long-term health condition that happens when the body cannot use insulin properly, causing high blood sugar levels (World Health </w:t>
      </w:r>
      <w:proofErr w:type="spellStart"/>
      <w:r w:rsidRPr="005C6BEE">
        <w:rPr>
          <w:rFonts w:ascii="Calibri" w:hAnsi="Calibri" w:cs="Times New Roman"/>
          <w:kern w:val="0"/>
          <w:sz w:val="22"/>
          <w:szCs w:val="22"/>
          <w14:ligatures w14:val="none"/>
        </w:rPr>
        <w:t>Organization</w:t>
      </w:r>
      <w:proofErr w:type="spellEnd"/>
      <w:r w:rsidRPr="005C6BEE">
        <w:rPr>
          <w:rFonts w:ascii="Calibri" w:hAnsi="Calibri" w:cs="Times New Roman"/>
          <w:kern w:val="0"/>
          <w:sz w:val="22"/>
          <w:szCs w:val="22"/>
          <w14:ligatures w14:val="none"/>
        </w:rPr>
        <w:t>, 2023). It is one of the most common non-communicable diseases in the world and can lead to serious health problems such as heart disease, kidney failure, and vision loss (International Diabetes Federation, 2023). It also affects people’s social and emotional wellbeing, sometimes leading to stress, disability, and financial hardship, especially among poorer communities (Public Health England, 2018).</w:t>
      </w:r>
    </w:p>
    <w:p w14:paraId="3C9F01F9" w14:textId="1F615DE6"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Across the world, around 537 million adults were living with diabetes in 2023, and this number is expected to rise to 643 million by 2030 (International Diabetes Federation, 2023). In the UK, about 4.3 million people have diabetes, and nearly 90% of these cases are Type 2 (Diabetes UK, 2024).</w:t>
      </w:r>
    </w:p>
    <w:p w14:paraId="2BE86BD9" w14:textId="755C07BC"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The London Borough of Tower Hamlets has one of the highest diabetes rates in England, with about 9.6% of adults diagnosed, compared to a national average of 7.1% (NHS Digital, 2023). Tower Hamlets has high levels of poverty, a large Bangladeshi population, and limited access to healthy food and green spaces (Tower Hamlets Council, 2023). These factors all increase the risk of Type 2 diabetes.</w:t>
      </w:r>
    </w:p>
    <w:p w14:paraId="1C27C020" w14:textId="627FD879"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This report explains how the disease affects people in Tower Hamlets, how it is monitored, and what can be done to manage and prevent it. It also discusses the strengths and weaknesses of the public health and epidemiological approaches used.</w:t>
      </w:r>
    </w:p>
    <w:p w14:paraId="3DF95195" w14:textId="5DA084F4"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Public Health Measures in Tower Hamlets (The 3 P’s)</w:t>
      </w:r>
    </w:p>
    <w:p w14:paraId="579F747D" w14:textId="72196D2A"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Public health in Tower Hamlets focuses on three main areas: Prevention, Protection, and Health Promotion (the 3 P’s).</w:t>
      </w:r>
    </w:p>
    <w:p w14:paraId="39D0B7E7" w14:textId="547DCD02"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lastRenderedPageBreak/>
        <w:t>Prevention</w:t>
      </w:r>
    </w:p>
    <w:p w14:paraId="08A2F578" w14:textId="792E9D04"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The NHS Diabetes Prevention Programme (NDPP) helps people who are at high risk of diabetes to change their lifestyle. Local GP practices identify people with slightly high blood sugar and refer them to free education sessions about healthy eating, exercise, and weight loss (NHS England, 2021).</w:t>
      </w:r>
    </w:p>
    <w:p w14:paraId="62F74BBF" w14:textId="0C4A93C0"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Protection</w:t>
      </w:r>
    </w:p>
    <w:p w14:paraId="5FBEB70C" w14:textId="2412D271"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Screening and early diagnosis are key parts of the protection strategy. GPs invite patients to have yearly diabetes reviews, checking blood sugar, cholesterol, weight, and blood pressure. In Tower Hamlets, community screening is also offered in places like mosques and community centres to reach people who do not visit GP surgeries often (Tower Hamlets Public Health, 2023).</w:t>
      </w:r>
    </w:p>
    <w:p w14:paraId="20D79CB3" w14:textId="011FFA8B"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Health Promotion</w:t>
      </w:r>
    </w:p>
    <w:p w14:paraId="3AE59669" w14:textId="44F16406" w:rsidR="00C033C7"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The Healthy Tower Hamlets campaign and community projects such as Bangladeshi Diabetes Awareness Month promote healthy eating and exercise. Local faith leaders and volunteers encourage families to take part in walking groups and cooking classes that teach how to prepare traditional foods in healthier ways (Tower Hamlets Together, 2023).</w:t>
      </w:r>
    </w:p>
    <w:p w14:paraId="2C749EF1" w14:textId="14C80680"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Key Determinants and Risk Factors</w:t>
      </w:r>
    </w:p>
    <w:p w14:paraId="1102511B" w14:textId="77777777"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Type 2 diabetes is linked to several social and lifestyle factors. In Tower Hamlets, the most important ones include:</w:t>
      </w:r>
    </w:p>
    <w:p w14:paraId="20EE2C36" w14:textId="77777777" w:rsidR="005C6BEE" w:rsidRPr="005C6BEE" w:rsidRDefault="005C6BEE" w:rsidP="004F075C">
      <w:pPr>
        <w:numPr>
          <w:ilvl w:val="0"/>
          <w:numId w:val="3"/>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Poverty and deprivation: Tower Hamlets is among the most deprived areas in England. Many residents have low incomes, which limits access to healthy foods and gym facilities (Office for National Statistics, 2023).</w:t>
      </w:r>
    </w:p>
    <w:p w14:paraId="6C22DE51" w14:textId="77777777" w:rsidR="005C6BEE" w:rsidRPr="005C6BEE" w:rsidRDefault="005C6BEE" w:rsidP="004F075C">
      <w:pPr>
        <w:numPr>
          <w:ilvl w:val="0"/>
          <w:numId w:val="3"/>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Ethnicity: People from South Asian and Black African or Caribbean backgrounds have a much higher risk of developing Type 2 diabetes compared to White people (Public Health England, 2018). This is due to both genetic and lifestyle factors.</w:t>
      </w:r>
    </w:p>
    <w:p w14:paraId="10B7CD4E" w14:textId="77777777" w:rsidR="005C6BEE" w:rsidRPr="005C6BEE" w:rsidRDefault="005C6BEE" w:rsidP="004F075C">
      <w:pPr>
        <w:numPr>
          <w:ilvl w:val="0"/>
          <w:numId w:val="3"/>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Obesity: Around 61% of adults in Tower Hamlets are overweight or obese (Office for Health Improvement and Disparities, 2023). Being overweight is one of the biggest risk factors for diabetes.</w:t>
      </w:r>
    </w:p>
    <w:p w14:paraId="764BD0D2" w14:textId="77777777" w:rsidR="005C6BEE" w:rsidRPr="005C6BEE" w:rsidRDefault="005C6BEE" w:rsidP="004F075C">
      <w:pPr>
        <w:numPr>
          <w:ilvl w:val="0"/>
          <w:numId w:val="3"/>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Lifestyle: Lack of physical activity and diets high in sugar and fat contribute to obesity and diabetes (NHS Digital, 2022).</w:t>
      </w:r>
    </w:p>
    <w:p w14:paraId="1C984DAF" w14:textId="5DF5F126" w:rsidR="005C6BEE" w:rsidRPr="005C6BEE" w:rsidRDefault="005C6BEE" w:rsidP="004F075C">
      <w:pPr>
        <w:numPr>
          <w:ilvl w:val="0"/>
          <w:numId w:val="3"/>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lastRenderedPageBreak/>
        <w:t>Cultural habits: Some traditional diets, especially in South Asian families, are high in oil and carbohydrates. Social and cultural expectations may also limit women’s ability to take part in physical activity (</w:t>
      </w:r>
      <w:proofErr w:type="spellStart"/>
      <w:r w:rsidRPr="005C6BEE">
        <w:rPr>
          <w:rFonts w:ascii="Calibri" w:hAnsi="Calibri" w:cs="Times New Roman"/>
          <w:kern w:val="0"/>
          <w:sz w:val="22"/>
          <w:szCs w:val="22"/>
          <w14:ligatures w14:val="none"/>
        </w:rPr>
        <w:t>Kandola</w:t>
      </w:r>
      <w:proofErr w:type="spellEnd"/>
      <w:r w:rsidRPr="005C6BEE">
        <w:rPr>
          <w:rFonts w:ascii="Calibri" w:hAnsi="Calibri" w:cs="Times New Roman"/>
          <w:kern w:val="0"/>
          <w:sz w:val="22"/>
          <w:szCs w:val="22"/>
          <w14:ligatures w14:val="none"/>
        </w:rPr>
        <w:t xml:space="preserve"> et al., 2021).</w:t>
      </w:r>
    </w:p>
    <w:p w14:paraId="1794A979" w14:textId="3F311C17"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Identifying and Assessing the Affected Population</w:t>
      </w:r>
    </w:p>
    <w:p w14:paraId="3D36508A" w14:textId="77777777"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Epidemiologists use data and studies to understand who is most affected by diabetes.</w:t>
      </w:r>
    </w:p>
    <w:p w14:paraId="67BC7FD8" w14:textId="77777777" w:rsidR="005C6BEE" w:rsidRPr="005C6BEE" w:rsidRDefault="005C6BEE" w:rsidP="004F075C">
      <w:pPr>
        <w:numPr>
          <w:ilvl w:val="0"/>
          <w:numId w:val="4"/>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Descriptive data: GP records show that most diabetes cases in Tower Hamlets are in adults aged 45–74, and the rates are highest among Bangladeshi men (NHS Digital, 2023).</w:t>
      </w:r>
    </w:p>
    <w:p w14:paraId="458166C6" w14:textId="77777777" w:rsidR="005C6BEE" w:rsidRPr="005C6BEE" w:rsidRDefault="005C6BEE" w:rsidP="004F075C">
      <w:pPr>
        <w:numPr>
          <w:ilvl w:val="0"/>
          <w:numId w:val="4"/>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 xml:space="preserve">Analytical studies: A study by </w:t>
      </w:r>
      <w:proofErr w:type="spellStart"/>
      <w:r w:rsidRPr="005C6BEE">
        <w:rPr>
          <w:rFonts w:ascii="Calibri" w:hAnsi="Calibri" w:cs="Times New Roman"/>
          <w:kern w:val="0"/>
          <w:sz w:val="22"/>
          <w:szCs w:val="22"/>
          <w14:ligatures w14:val="none"/>
        </w:rPr>
        <w:t>Forouhi</w:t>
      </w:r>
      <w:proofErr w:type="spellEnd"/>
      <w:r w:rsidRPr="005C6BEE">
        <w:rPr>
          <w:rFonts w:ascii="Calibri" w:hAnsi="Calibri" w:cs="Times New Roman"/>
          <w:kern w:val="0"/>
          <w:sz w:val="22"/>
          <w:szCs w:val="22"/>
          <w14:ligatures w14:val="none"/>
        </w:rPr>
        <w:t xml:space="preserve"> et al. (2019) found that South Asians in East London were twice as likely to develop diabetes as other ethnic groups, even if they had a similar body weight.</w:t>
      </w:r>
    </w:p>
    <w:p w14:paraId="7BD4DA2B" w14:textId="05C4C6E6" w:rsidR="005C6BEE" w:rsidRPr="005C6BEE" w:rsidRDefault="005C6BEE" w:rsidP="004F075C">
      <w:pPr>
        <w:numPr>
          <w:ilvl w:val="0"/>
          <w:numId w:val="4"/>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Health Needs Assessment (HNA): Tower Hamlets Public Health (2023) found gaps in diabetes education, healthy food access, and culturally appropriate support.</w:t>
      </w:r>
    </w:p>
    <w:p w14:paraId="5A2D5AB9" w14:textId="025FE3AB"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This information helps public health teams plan where to focus resources and design local interventions.</w:t>
      </w:r>
    </w:p>
    <w:p w14:paraId="715D647B" w14:textId="33ADD8AF"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Epidemiological Monitoring and Surveillance</w:t>
      </w:r>
    </w:p>
    <w:p w14:paraId="26E4B553" w14:textId="77777777"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Tower Hamlets uses several data sources to track diabetes cases and outcomes:</w:t>
      </w:r>
    </w:p>
    <w:p w14:paraId="2F0D078C" w14:textId="77777777" w:rsidR="005C6BEE" w:rsidRPr="005C6BEE" w:rsidRDefault="005C6BEE" w:rsidP="004F075C">
      <w:pPr>
        <w:numPr>
          <w:ilvl w:val="0"/>
          <w:numId w:val="5"/>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Quality and Outcomes Framework (QOF): GP data is collected yearly to monitor diagnosis, treatment, and complications (NHS Digital, 2023).</w:t>
      </w:r>
    </w:p>
    <w:p w14:paraId="21E749E5" w14:textId="77777777" w:rsidR="005C6BEE" w:rsidRPr="005C6BEE" w:rsidRDefault="005C6BEE" w:rsidP="004F075C">
      <w:pPr>
        <w:numPr>
          <w:ilvl w:val="0"/>
          <w:numId w:val="5"/>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National Diabetes Audit (NDA): Compares local diabetes care and results across England.</w:t>
      </w:r>
    </w:p>
    <w:p w14:paraId="410AAD55" w14:textId="77777777" w:rsidR="005C6BEE" w:rsidRPr="005C6BEE" w:rsidRDefault="005C6BEE" w:rsidP="004F075C">
      <w:pPr>
        <w:numPr>
          <w:ilvl w:val="0"/>
          <w:numId w:val="5"/>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Office for Health Improvement and Disparities (OHID): Publishes local diabetes profiles showing hospital admissions and mortality rates (OHID, 2023).</w:t>
      </w:r>
    </w:p>
    <w:p w14:paraId="473FC717" w14:textId="05948F10" w:rsidR="005C6BEE" w:rsidRPr="005C6BEE" w:rsidRDefault="005C6BEE" w:rsidP="004F075C">
      <w:pPr>
        <w:numPr>
          <w:ilvl w:val="0"/>
          <w:numId w:val="5"/>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Local health partnerships: “Tower Hamlets Together” combines data from GPs, hospitals, and community services to track trends and plan care (Tower Hamlets Together, 2023).</w:t>
      </w:r>
    </w:p>
    <w:p w14:paraId="5D42F3F2" w14:textId="6FA36BFB"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These systems help to see if interventions are working and identify high-risk groups that need more support.</w:t>
      </w:r>
    </w:p>
    <w:p w14:paraId="3A249356" w14:textId="6B726C33"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Public Health Impact and Consequences</w:t>
      </w:r>
    </w:p>
    <w:p w14:paraId="28352EB9" w14:textId="77777777"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Short-Term Impacts</w:t>
      </w:r>
    </w:p>
    <w:p w14:paraId="1B4E38F0" w14:textId="77777777" w:rsidR="005C6BEE" w:rsidRPr="005C6BEE" w:rsidRDefault="005C6BEE" w:rsidP="004F075C">
      <w:pPr>
        <w:numPr>
          <w:ilvl w:val="0"/>
          <w:numId w:val="6"/>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lastRenderedPageBreak/>
        <w:t>Higher demand on GPs and hospitals for check-ups, medication, and support.</w:t>
      </w:r>
    </w:p>
    <w:p w14:paraId="22EB1ED7" w14:textId="77777777" w:rsidR="005C6BEE" w:rsidRPr="005C6BEE" w:rsidRDefault="005C6BEE" w:rsidP="004F075C">
      <w:pPr>
        <w:numPr>
          <w:ilvl w:val="0"/>
          <w:numId w:val="6"/>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Reduced productivity due to time off work.</w:t>
      </w:r>
    </w:p>
    <w:p w14:paraId="0792AD3E" w14:textId="0D2C0F70" w:rsidR="005C6BEE" w:rsidRPr="005C6BEE" w:rsidRDefault="005C6BEE" w:rsidP="004F075C">
      <w:pPr>
        <w:numPr>
          <w:ilvl w:val="0"/>
          <w:numId w:val="6"/>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Stress and anxiety for people adjusting to their diagnosis.</w:t>
      </w:r>
    </w:p>
    <w:p w14:paraId="210CE52A" w14:textId="77777777"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Long-Term Consequences</w:t>
      </w:r>
    </w:p>
    <w:p w14:paraId="06C0343C" w14:textId="77777777" w:rsidR="005C6BEE" w:rsidRPr="005C6BEE" w:rsidRDefault="005C6BEE" w:rsidP="004F075C">
      <w:pPr>
        <w:numPr>
          <w:ilvl w:val="0"/>
          <w:numId w:val="7"/>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Diabetes can cause heart disease, kidney problems, nerve damage, and blindness.</w:t>
      </w:r>
    </w:p>
    <w:p w14:paraId="16A08936" w14:textId="77777777" w:rsidR="005C6BEE" w:rsidRPr="005C6BEE" w:rsidRDefault="005C6BEE" w:rsidP="004F075C">
      <w:pPr>
        <w:numPr>
          <w:ilvl w:val="0"/>
          <w:numId w:val="7"/>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People with Type 2 diabetes are 2.5 times more likely to die early (Diabetes UK, 2024).</w:t>
      </w:r>
    </w:p>
    <w:p w14:paraId="0B0FD671" w14:textId="5DD53E27" w:rsidR="005C6BEE" w:rsidRPr="005C6BEE" w:rsidRDefault="005C6BEE" w:rsidP="004F075C">
      <w:pPr>
        <w:numPr>
          <w:ilvl w:val="0"/>
          <w:numId w:val="7"/>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It costs the NHS about £10 billion a year, or around 10% of the total NHS budget (Hex et al., 2012).</w:t>
      </w:r>
    </w:p>
    <w:p w14:paraId="6615E470" w14:textId="18CD0FF2"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If action is not taken, the number of cases in Tower Hamlets could increase by 25% by 2030 (Public Health England, 2018).</w:t>
      </w:r>
    </w:p>
    <w:p w14:paraId="481BA337" w14:textId="0DE97675"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Health Intervention Programme</w:t>
      </w:r>
    </w:p>
    <w:p w14:paraId="33E53000" w14:textId="6A44E032"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A community-based Diabetes Prevention and Management Programme can help reduce diabetes rates in Tower Hamlets.</w:t>
      </w:r>
    </w:p>
    <w:p w14:paraId="1676FC90" w14:textId="6F59D8BF"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1. Community Education</w:t>
      </w:r>
    </w:p>
    <w:p w14:paraId="0CB7BD06" w14:textId="64DCF785"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Workshops in mosques and community centres can teach residents about diabetes prevention, symptoms, and healthy diets. Sessions should be offered in multiple languages such as Bengali and Somali.</w:t>
      </w:r>
    </w:p>
    <w:p w14:paraId="1A56B02C" w14:textId="0C1084F5"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2. Culturally Appropriate Exercise</w:t>
      </w:r>
    </w:p>
    <w:p w14:paraId="4BAD7643" w14:textId="70C96419"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Free or low-cost fitness classes for women and families in local parks and centres can make physical activity more inclusive.</w:t>
      </w:r>
    </w:p>
    <w:p w14:paraId="60D94A5C" w14:textId="7911FCA7"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3. Digital Support</w:t>
      </w:r>
    </w:p>
    <w:p w14:paraId="1689121D" w14:textId="6B3671F9"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Mobile phone apps can help people track blood sugar, receive reminders, and get advice from health coaches (Ali et al., 2021).</w:t>
      </w:r>
    </w:p>
    <w:p w14:paraId="4DA45815" w14:textId="5DE9BE4D"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4. Environment and Policy</w:t>
      </w:r>
    </w:p>
    <w:p w14:paraId="45E2E492" w14:textId="02C1BFDA"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lastRenderedPageBreak/>
        <w:t>Work with the council to increase access to green spaces, ban new fast-food shops near schools, and promote cycling and walking routes.</w:t>
      </w:r>
    </w:p>
    <w:p w14:paraId="1DD548E9" w14:textId="02EE15AA"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5. Evaluation</w:t>
      </w:r>
    </w:p>
    <w:p w14:paraId="1A5AD183" w14:textId="77777777"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To measure success:</w:t>
      </w:r>
    </w:p>
    <w:p w14:paraId="29245147" w14:textId="77777777" w:rsidR="005C6BEE" w:rsidRPr="005C6BEE" w:rsidRDefault="005C6BEE" w:rsidP="004F075C">
      <w:pPr>
        <w:numPr>
          <w:ilvl w:val="0"/>
          <w:numId w:val="8"/>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Collect data on participants’ blood sugar (HbA1c) and weight before and after the programme.</w:t>
      </w:r>
    </w:p>
    <w:p w14:paraId="714EDD97" w14:textId="77777777" w:rsidR="005C6BEE" w:rsidRPr="005C6BEE" w:rsidRDefault="005C6BEE" w:rsidP="004F075C">
      <w:pPr>
        <w:numPr>
          <w:ilvl w:val="0"/>
          <w:numId w:val="8"/>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Survey participants about satisfaction and barriers.</w:t>
      </w:r>
    </w:p>
    <w:p w14:paraId="55066718" w14:textId="7B017B8F" w:rsidR="005C6BEE" w:rsidRPr="005C6BEE" w:rsidRDefault="005C6BEE" w:rsidP="004F075C">
      <w:pPr>
        <w:numPr>
          <w:ilvl w:val="0"/>
          <w:numId w:val="8"/>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Use data dashboards to see if diabetes rates start to decrease over time.</w:t>
      </w:r>
    </w:p>
    <w:p w14:paraId="3619889F" w14:textId="6B0835E5"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Strengths and Weaknesses of the Epidemiological Approach</w:t>
      </w:r>
    </w:p>
    <w:p w14:paraId="0C9B1528" w14:textId="77777777"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Strengths</w:t>
      </w:r>
    </w:p>
    <w:p w14:paraId="34874765" w14:textId="77777777" w:rsidR="005C6BEE" w:rsidRPr="005C6BEE" w:rsidRDefault="005C6BEE" w:rsidP="004F075C">
      <w:pPr>
        <w:numPr>
          <w:ilvl w:val="0"/>
          <w:numId w:val="9"/>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Reliable data sources (GP records, NHS audits) provide clear evidence of trends.</w:t>
      </w:r>
    </w:p>
    <w:p w14:paraId="44CAB972" w14:textId="77777777" w:rsidR="005C6BEE" w:rsidRPr="005C6BEE" w:rsidRDefault="005C6BEE" w:rsidP="004F075C">
      <w:pPr>
        <w:numPr>
          <w:ilvl w:val="0"/>
          <w:numId w:val="9"/>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Combining numbers with local community insights gives a full picture of the problem.</w:t>
      </w:r>
    </w:p>
    <w:p w14:paraId="191CDB37" w14:textId="295989CD" w:rsidR="005C6BEE" w:rsidRPr="005C6BEE" w:rsidRDefault="005C6BEE" w:rsidP="004F075C">
      <w:pPr>
        <w:numPr>
          <w:ilvl w:val="0"/>
          <w:numId w:val="9"/>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Helps to plan services and target high-risk groups effectively.</w:t>
      </w:r>
    </w:p>
    <w:p w14:paraId="03127B24" w14:textId="77777777" w:rsidR="005C6BEE" w:rsidRPr="005C6BEE" w:rsidRDefault="005C6BEE" w:rsidP="004F075C">
      <w:pPr>
        <w:spacing w:before="100" w:beforeAutospacing="1" w:after="100" w:afterAutospacing="1" w:line="360" w:lineRule="auto"/>
        <w:outlineLvl w:val="2"/>
        <w:rPr>
          <w:rFonts w:ascii="Calibri" w:eastAsia="Times New Roman"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Weaknesses</w:t>
      </w:r>
    </w:p>
    <w:p w14:paraId="770AC35B" w14:textId="77777777" w:rsidR="005C6BEE" w:rsidRPr="005C6BEE" w:rsidRDefault="005C6BEE" w:rsidP="004F075C">
      <w:pPr>
        <w:numPr>
          <w:ilvl w:val="0"/>
          <w:numId w:val="10"/>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Not everyone is registered with a GP, especially new migrants, so some data may be missing.</w:t>
      </w:r>
    </w:p>
    <w:p w14:paraId="72F56B80" w14:textId="77777777" w:rsidR="005C6BEE" w:rsidRPr="005C6BEE" w:rsidRDefault="005C6BEE" w:rsidP="004F075C">
      <w:pPr>
        <w:numPr>
          <w:ilvl w:val="0"/>
          <w:numId w:val="10"/>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Social factors like income or cultural habits can make it hard to measure the true cause of illness.</w:t>
      </w:r>
    </w:p>
    <w:p w14:paraId="02121E86" w14:textId="6F7A872E" w:rsidR="005C6BEE" w:rsidRPr="005C6BEE" w:rsidRDefault="005C6BEE" w:rsidP="004F075C">
      <w:pPr>
        <w:numPr>
          <w:ilvl w:val="0"/>
          <w:numId w:val="10"/>
        </w:num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Changing long-term behaviours is difficult and requires consistent community involvement (</w:t>
      </w:r>
      <w:proofErr w:type="spellStart"/>
      <w:r w:rsidRPr="005C6BEE">
        <w:rPr>
          <w:rFonts w:ascii="Calibri" w:hAnsi="Calibri" w:cs="Times New Roman"/>
          <w:kern w:val="0"/>
          <w:sz w:val="22"/>
          <w:szCs w:val="22"/>
          <w14:ligatures w14:val="none"/>
        </w:rPr>
        <w:t>Kandola</w:t>
      </w:r>
      <w:proofErr w:type="spellEnd"/>
      <w:r w:rsidRPr="005C6BEE">
        <w:rPr>
          <w:rFonts w:ascii="Calibri" w:hAnsi="Calibri" w:cs="Times New Roman"/>
          <w:kern w:val="0"/>
          <w:sz w:val="22"/>
          <w:szCs w:val="22"/>
          <w14:ligatures w14:val="none"/>
        </w:rPr>
        <w:t xml:space="preserve"> et al., 2021).</w:t>
      </w:r>
    </w:p>
    <w:p w14:paraId="3686A0A5" w14:textId="2B6FC51A"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Despite these challenges, epidemiology remains essential in understanding who is affected, how they are affected, and what actions will have the biggest impact.</w:t>
      </w:r>
    </w:p>
    <w:p w14:paraId="1F487763" w14:textId="65B3B4B2" w:rsidR="005C6BEE" w:rsidRPr="005C6BEE" w:rsidRDefault="005C6BEE" w:rsidP="004F075C">
      <w:pPr>
        <w:spacing w:before="100" w:beforeAutospacing="1" w:after="100" w:afterAutospacing="1" w:line="360" w:lineRule="auto"/>
        <w:outlineLvl w:val="1"/>
        <w:rPr>
          <w:rFonts w:ascii="Calibri" w:hAnsi="Calibri" w:cs="Times New Roman"/>
          <w:b/>
          <w:bCs/>
          <w:kern w:val="0"/>
          <w:sz w:val="22"/>
          <w:szCs w:val="22"/>
          <w14:ligatures w14:val="none"/>
        </w:rPr>
      </w:pPr>
      <w:r w:rsidRPr="005C6BEE">
        <w:rPr>
          <w:rFonts w:ascii="Calibri" w:eastAsia="Times New Roman" w:hAnsi="Calibri" w:cs="Times New Roman"/>
          <w:b/>
          <w:bCs/>
          <w:kern w:val="0"/>
          <w:sz w:val="22"/>
          <w:szCs w:val="22"/>
          <w14:ligatures w14:val="none"/>
        </w:rPr>
        <w:t>Conclusion</w:t>
      </w:r>
    </w:p>
    <w:p w14:paraId="66F50987" w14:textId="73D8F81F"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t>Type 2 diabetes is a serious and growing health issue in Tower Hamlets. It is closely linked to poverty, ethnicity, and lifestyle factors. The condition causes major health problems and puts pressure on local health services. Epidemiological methods help identify the people most at risk, monitor the disease, and design effective prevention programmes.</w:t>
      </w:r>
    </w:p>
    <w:p w14:paraId="617B5E14" w14:textId="77777777" w:rsidR="005C6BEE" w:rsidRPr="005C6BEE" w:rsidRDefault="005C6BEE" w:rsidP="004F075C">
      <w:pPr>
        <w:spacing w:before="100" w:beforeAutospacing="1" w:after="100" w:afterAutospacing="1" w:line="360" w:lineRule="auto"/>
        <w:rPr>
          <w:rFonts w:ascii="Calibri" w:hAnsi="Calibri" w:cs="Times New Roman"/>
          <w:kern w:val="0"/>
          <w:sz w:val="22"/>
          <w:szCs w:val="22"/>
          <w14:ligatures w14:val="none"/>
        </w:rPr>
      </w:pPr>
      <w:r w:rsidRPr="005C6BEE">
        <w:rPr>
          <w:rFonts w:ascii="Calibri" w:hAnsi="Calibri" w:cs="Times New Roman"/>
          <w:kern w:val="0"/>
          <w:sz w:val="22"/>
          <w:szCs w:val="22"/>
          <w14:ligatures w14:val="none"/>
        </w:rPr>
        <w:lastRenderedPageBreak/>
        <w:t>Local initiatives, such as the NHS Diabetes Prevention Programme and community-led awareness campaigns, are already making progress. However, long-term success depends on tackling the wider causes of ill health—like low income, poor housing, and lack of green space. With strong local partnerships and continued public health action, Tower Hamlets can reduce the impact of Type 2 diabetes and improve quality of life for its residents.</w:t>
      </w:r>
    </w:p>
    <w:p w14:paraId="43760D39" w14:textId="754BB26F" w:rsidR="000F02EB" w:rsidRDefault="00EF1973" w:rsidP="004F075C">
      <w:pPr>
        <w:spacing w:before="100" w:beforeAutospacing="1" w:after="100" w:afterAutospacing="1" w:line="360" w:lineRule="auto"/>
        <w:rPr>
          <w:rFonts w:ascii="Calibri" w:hAnsi="Calibri" w:cs="Times New Roman"/>
          <w:kern w:val="0"/>
          <w:sz w:val="22"/>
          <w:szCs w:val="22"/>
          <w14:ligatures w14:val="none"/>
        </w:rPr>
      </w:pPr>
      <w:r>
        <w:rPr>
          <w:rFonts w:ascii="Calibri" w:hAnsi="Calibri" w:cs="Times New Roman"/>
          <w:kern w:val="0"/>
          <w:sz w:val="22"/>
          <w:szCs w:val="22"/>
          <w14:ligatures w14:val="none"/>
        </w:rPr>
        <w:t xml:space="preserve">   </w:t>
      </w:r>
    </w:p>
    <w:p w14:paraId="1FE155CC"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37F67570"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07D7261F"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59FD0F4D"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3EC877DF"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6E7412EF"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0EE65F36"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336CD63B"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0E82A42D"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05FA14BA"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3D51324F"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7E741960"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2A827253"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70410F48"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5295D5A0" w14:textId="77777777" w:rsidR="00EF1973" w:rsidRDefault="00EF1973" w:rsidP="004F075C">
      <w:pPr>
        <w:spacing w:before="100" w:beforeAutospacing="1" w:after="100" w:afterAutospacing="1" w:line="360" w:lineRule="auto"/>
        <w:rPr>
          <w:rFonts w:ascii="Calibri" w:hAnsi="Calibri" w:cs="Times New Roman"/>
          <w:kern w:val="0"/>
          <w:sz w:val="22"/>
          <w:szCs w:val="22"/>
          <w14:ligatures w14:val="none"/>
        </w:rPr>
      </w:pPr>
    </w:p>
    <w:p w14:paraId="3AEA6D60" w14:textId="77777777" w:rsidR="00D800F5" w:rsidRDefault="00D800F5" w:rsidP="00D800F5">
      <w:pPr>
        <w:rPr>
          <w:rFonts w:ascii="Calibri" w:hAnsi="Calibri" w:cs="Times New Roman"/>
          <w:kern w:val="0"/>
          <w:sz w:val="22"/>
          <w:szCs w:val="22"/>
          <w14:ligatures w14:val="none"/>
        </w:rPr>
      </w:pPr>
    </w:p>
    <w:p w14:paraId="6EAE2C90" w14:textId="1A654A91" w:rsidR="004B5693" w:rsidRPr="00D800F5" w:rsidRDefault="00A6668F" w:rsidP="00D800F5">
      <w:pPr>
        <w:rPr>
          <w:rFonts w:ascii="Calibri" w:hAnsi="Calibri"/>
          <w:sz w:val="22"/>
          <w:szCs w:val="22"/>
        </w:rPr>
      </w:pPr>
      <w:r w:rsidRPr="00A6668F">
        <w:rPr>
          <w:rFonts w:ascii="Calibri" w:hAnsi="Calibri"/>
          <w:b/>
          <w:bCs/>
          <w:sz w:val="22"/>
          <w:szCs w:val="22"/>
        </w:rPr>
        <w:lastRenderedPageBreak/>
        <w:t>Reference list:</w:t>
      </w:r>
    </w:p>
    <w:p w14:paraId="78AD8D54" w14:textId="46219175"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Ali, M.K., et al. (2021) </w:t>
      </w:r>
      <w:r w:rsidRPr="00CE0CAC">
        <w:rPr>
          <w:rFonts w:ascii="Times New Roman" w:hAnsi="Times New Roman" w:cs="Times New Roman"/>
          <w:i/>
          <w:iCs/>
          <w:kern w:val="0"/>
          <w14:ligatures w14:val="none"/>
        </w:rPr>
        <w:t>mHealth for diabetes self-management: evidence and implications for health systems. The Lancet Digital Health</w:t>
      </w:r>
      <w:r w:rsidRPr="00CE0CAC">
        <w:rPr>
          <w:rFonts w:ascii="Times New Roman" w:hAnsi="Times New Roman" w:cs="Times New Roman"/>
          <w:kern w:val="0"/>
          <w14:ligatures w14:val="none"/>
        </w:rPr>
        <w:t>, 3(1), e16–e28.</w:t>
      </w:r>
    </w:p>
    <w:p w14:paraId="5437160A" w14:textId="10D615A4"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Ali, R., et al. (2021) </w:t>
      </w:r>
      <w:r w:rsidRPr="00CE0CAC">
        <w:rPr>
          <w:rFonts w:ascii="Times New Roman" w:hAnsi="Times New Roman" w:cs="Times New Roman"/>
          <w:i/>
          <w:iCs/>
          <w:kern w:val="0"/>
          <w14:ligatures w14:val="none"/>
        </w:rPr>
        <w:t xml:space="preserve">Ethnic disparities in the major causes of mortality and their risk factors. </w:t>
      </w:r>
      <w:r w:rsidRPr="00CE0CAC">
        <w:rPr>
          <w:rFonts w:ascii="Times New Roman" w:hAnsi="Times New Roman" w:cs="Times New Roman"/>
          <w:kern w:val="0"/>
          <w14:ligatures w14:val="none"/>
        </w:rPr>
        <w:t>Commission on Race and Ethnic Disparities supporting research. Available at: https://www.gov.uk (Accessed 17 November 2025).</w:t>
      </w:r>
    </w:p>
    <w:p w14:paraId="445A3685" w14:textId="0008E9C8"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British Heart Foundation (2021) </w:t>
      </w:r>
      <w:r w:rsidRPr="00CE0CAC">
        <w:rPr>
          <w:rFonts w:ascii="Times New Roman" w:hAnsi="Times New Roman" w:cs="Times New Roman"/>
          <w:i/>
          <w:iCs/>
          <w:kern w:val="0"/>
          <w14:ligatures w14:val="none"/>
        </w:rPr>
        <w:t>How your ethnic background affects your risk of heart and circulatory diseases.</w:t>
      </w:r>
      <w:r w:rsidRPr="00CE0CAC">
        <w:rPr>
          <w:rFonts w:ascii="Times New Roman" w:hAnsi="Times New Roman" w:cs="Times New Roman"/>
          <w:kern w:val="0"/>
          <w14:ligatures w14:val="none"/>
        </w:rPr>
        <w:t xml:space="preserve"> London: British Heart Foundation.</w:t>
      </w:r>
    </w:p>
    <w:p w14:paraId="5FBA5C98" w14:textId="70FD4FC8"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British Heart Foundation (2024) </w:t>
      </w:r>
      <w:r w:rsidRPr="00CE0CAC">
        <w:rPr>
          <w:rFonts w:ascii="Times New Roman" w:hAnsi="Times New Roman" w:cs="Times New Roman"/>
          <w:i/>
          <w:iCs/>
          <w:kern w:val="0"/>
          <w14:ligatures w14:val="none"/>
        </w:rPr>
        <w:t>Diabetes and heart health.</w:t>
      </w:r>
      <w:r w:rsidRPr="00CE0CAC">
        <w:rPr>
          <w:rFonts w:ascii="Times New Roman" w:hAnsi="Times New Roman" w:cs="Times New Roman"/>
          <w:kern w:val="0"/>
          <w14:ligatures w14:val="none"/>
        </w:rPr>
        <w:t xml:space="preserve"> London: British Heart Foundation.</w:t>
      </w:r>
    </w:p>
    <w:p w14:paraId="257ADABC" w14:textId="40EA995A"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Department for Levelling Up, Housing and Communities (2025) </w:t>
      </w:r>
      <w:r w:rsidRPr="00CE0CAC">
        <w:rPr>
          <w:rFonts w:ascii="Times New Roman" w:hAnsi="Times New Roman" w:cs="Times New Roman"/>
          <w:i/>
          <w:iCs/>
          <w:kern w:val="0"/>
          <w14:ligatures w14:val="none"/>
        </w:rPr>
        <w:t>Overcrowded households – Ethnicity facts and figures.</w:t>
      </w:r>
      <w:r w:rsidRPr="00CE0CAC">
        <w:rPr>
          <w:rFonts w:ascii="Times New Roman" w:hAnsi="Times New Roman" w:cs="Times New Roman"/>
          <w:kern w:val="0"/>
          <w14:ligatures w14:val="none"/>
        </w:rPr>
        <w:t xml:space="preserve"> 30 April. Available at: https://www.ethnicity-facts-figures.service.gov.uk (Accessed 17 November 2025).</w:t>
      </w:r>
    </w:p>
    <w:p w14:paraId="51B27D06" w14:textId="0309F62E"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Diabetes UK (2024) </w:t>
      </w:r>
      <w:r w:rsidRPr="00CE0CAC">
        <w:rPr>
          <w:rFonts w:ascii="Times New Roman" w:hAnsi="Times New Roman" w:cs="Times New Roman"/>
          <w:i/>
          <w:iCs/>
          <w:kern w:val="0"/>
          <w14:ligatures w14:val="none"/>
        </w:rPr>
        <w:t>Diabetes Prevalence 2024 Report. London</w:t>
      </w:r>
      <w:r w:rsidRPr="00CE0CAC">
        <w:rPr>
          <w:rFonts w:ascii="Times New Roman" w:hAnsi="Times New Roman" w:cs="Times New Roman"/>
          <w:kern w:val="0"/>
          <w14:ligatures w14:val="none"/>
        </w:rPr>
        <w:t>: Diabetes UK.</w:t>
      </w:r>
    </w:p>
    <w:p w14:paraId="265009A1" w14:textId="3035E614"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proofErr w:type="spellStart"/>
      <w:r w:rsidRPr="00CE0CAC">
        <w:rPr>
          <w:rFonts w:ascii="Times New Roman" w:hAnsi="Times New Roman" w:cs="Times New Roman"/>
          <w:kern w:val="0"/>
          <w14:ligatures w14:val="none"/>
        </w:rPr>
        <w:t>Forouhi</w:t>
      </w:r>
      <w:proofErr w:type="spellEnd"/>
      <w:r w:rsidRPr="00CE0CAC">
        <w:rPr>
          <w:rFonts w:ascii="Times New Roman" w:hAnsi="Times New Roman" w:cs="Times New Roman"/>
          <w:kern w:val="0"/>
          <w14:ligatures w14:val="none"/>
        </w:rPr>
        <w:t xml:space="preserve">, N.G., et al. (2019) </w:t>
      </w:r>
      <w:r w:rsidRPr="00CE0CAC">
        <w:rPr>
          <w:rFonts w:ascii="Times New Roman" w:hAnsi="Times New Roman" w:cs="Times New Roman"/>
          <w:i/>
          <w:iCs/>
          <w:kern w:val="0"/>
          <w14:ligatures w14:val="none"/>
        </w:rPr>
        <w:t>Ethnicity and metabolic risk factors for Type 2 diabetes in East London</w:t>
      </w:r>
      <w:r w:rsidRPr="00CE0CAC">
        <w:rPr>
          <w:rFonts w:ascii="Times New Roman" w:hAnsi="Times New Roman" w:cs="Times New Roman"/>
          <w:kern w:val="0"/>
          <w14:ligatures w14:val="none"/>
        </w:rPr>
        <w:t xml:space="preserve">. </w:t>
      </w:r>
      <w:proofErr w:type="spellStart"/>
      <w:r w:rsidRPr="00CE0CAC">
        <w:rPr>
          <w:rFonts w:ascii="Times New Roman" w:hAnsi="Times New Roman" w:cs="Times New Roman"/>
          <w:kern w:val="0"/>
          <w14:ligatures w14:val="none"/>
        </w:rPr>
        <w:t>Diabetologia</w:t>
      </w:r>
      <w:proofErr w:type="spellEnd"/>
      <w:r w:rsidRPr="00CE0CAC">
        <w:rPr>
          <w:rFonts w:ascii="Times New Roman" w:hAnsi="Times New Roman" w:cs="Times New Roman"/>
          <w:kern w:val="0"/>
          <w14:ligatures w14:val="none"/>
        </w:rPr>
        <w:t>, 62(5), pp. 835–845.</w:t>
      </w:r>
    </w:p>
    <w:p w14:paraId="567992B0" w14:textId="1EC85CEB"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Hex, N., Bartlett, C., Wright, D., Taylor, M. and </w:t>
      </w:r>
      <w:proofErr w:type="spellStart"/>
      <w:r w:rsidRPr="00CE0CAC">
        <w:rPr>
          <w:rFonts w:ascii="Times New Roman" w:hAnsi="Times New Roman" w:cs="Times New Roman"/>
          <w:kern w:val="0"/>
          <w14:ligatures w14:val="none"/>
        </w:rPr>
        <w:t>Varley</w:t>
      </w:r>
      <w:proofErr w:type="spellEnd"/>
      <w:r w:rsidRPr="00CE0CAC">
        <w:rPr>
          <w:rFonts w:ascii="Times New Roman" w:hAnsi="Times New Roman" w:cs="Times New Roman"/>
          <w:kern w:val="0"/>
          <w14:ligatures w14:val="none"/>
        </w:rPr>
        <w:t xml:space="preserve">, D. (2012) </w:t>
      </w:r>
      <w:r w:rsidRPr="00CE0CAC">
        <w:rPr>
          <w:rFonts w:ascii="Times New Roman" w:hAnsi="Times New Roman" w:cs="Times New Roman"/>
          <w:i/>
          <w:iCs/>
          <w:kern w:val="0"/>
          <w14:ligatures w14:val="none"/>
        </w:rPr>
        <w:t>Estimating the current and future costs of Type 1 and Type 2 diabetes in the UK. Diabetic Medicine</w:t>
      </w:r>
      <w:r w:rsidRPr="00CE0CAC">
        <w:rPr>
          <w:rFonts w:ascii="Times New Roman" w:hAnsi="Times New Roman" w:cs="Times New Roman"/>
          <w:kern w:val="0"/>
          <w14:ligatures w14:val="none"/>
        </w:rPr>
        <w:t>, 29(7), pp. 855–862.</w:t>
      </w:r>
    </w:p>
    <w:p w14:paraId="605FEC7B" w14:textId="07A17113"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International Diabetes Federation (2023) </w:t>
      </w:r>
      <w:r w:rsidRPr="00CE0CAC">
        <w:rPr>
          <w:rFonts w:ascii="Times New Roman" w:hAnsi="Times New Roman" w:cs="Times New Roman"/>
          <w:i/>
          <w:iCs/>
          <w:kern w:val="0"/>
          <w14:ligatures w14:val="none"/>
        </w:rPr>
        <w:t>IDF Diabetes Atlas: 10th Edition</w:t>
      </w:r>
      <w:r w:rsidRPr="00CE0CAC">
        <w:rPr>
          <w:rFonts w:ascii="Times New Roman" w:hAnsi="Times New Roman" w:cs="Times New Roman"/>
          <w:kern w:val="0"/>
          <w14:ligatures w14:val="none"/>
        </w:rPr>
        <w:t>. Brussels: International Diabetes Federation.</w:t>
      </w:r>
    </w:p>
    <w:p w14:paraId="2A7B1D33" w14:textId="577BA73D"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Joseph </w:t>
      </w:r>
      <w:proofErr w:type="spellStart"/>
      <w:r w:rsidRPr="00CE0CAC">
        <w:rPr>
          <w:rFonts w:ascii="Times New Roman" w:hAnsi="Times New Roman" w:cs="Times New Roman"/>
          <w:kern w:val="0"/>
          <w14:ligatures w14:val="none"/>
        </w:rPr>
        <w:t>Rowntree</w:t>
      </w:r>
      <w:proofErr w:type="spellEnd"/>
      <w:r w:rsidRPr="00CE0CAC">
        <w:rPr>
          <w:rFonts w:ascii="Times New Roman" w:hAnsi="Times New Roman" w:cs="Times New Roman"/>
          <w:kern w:val="0"/>
          <w14:ligatures w14:val="none"/>
        </w:rPr>
        <w:t xml:space="preserve"> Foundation (2025) </w:t>
      </w:r>
      <w:r w:rsidRPr="00CE0CAC">
        <w:rPr>
          <w:rFonts w:ascii="Times New Roman" w:hAnsi="Times New Roman" w:cs="Times New Roman"/>
          <w:i/>
          <w:iCs/>
          <w:kern w:val="0"/>
          <w14:ligatures w14:val="none"/>
        </w:rPr>
        <w:t>UK Poverty 2025: The essential guide to understanding poverty in the UK.</w:t>
      </w:r>
      <w:r w:rsidRPr="00CE0CAC">
        <w:rPr>
          <w:rFonts w:ascii="Times New Roman" w:hAnsi="Times New Roman" w:cs="Times New Roman"/>
          <w:kern w:val="0"/>
          <w14:ligatures w14:val="none"/>
        </w:rPr>
        <w:t xml:space="preserve"> Available at: https://www.jrf.org.uk (Accessed 17 November 2025).</w:t>
      </w:r>
    </w:p>
    <w:p w14:paraId="5A991DC1" w14:textId="3DCBB7FC"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proofErr w:type="spellStart"/>
      <w:r w:rsidRPr="00CE0CAC">
        <w:rPr>
          <w:rFonts w:ascii="Times New Roman" w:hAnsi="Times New Roman" w:cs="Times New Roman"/>
          <w:kern w:val="0"/>
          <w14:ligatures w14:val="none"/>
        </w:rPr>
        <w:t>Kandola</w:t>
      </w:r>
      <w:proofErr w:type="spellEnd"/>
      <w:r w:rsidRPr="00CE0CAC">
        <w:rPr>
          <w:rFonts w:ascii="Times New Roman" w:hAnsi="Times New Roman" w:cs="Times New Roman"/>
          <w:kern w:val="0"/>
          <w14:ligatures w14:val="none"/>
        </w:rPr>
        <w:t xml:space="preserve">, K., Gill, P. and </w:t>
      </w:r>
      <w:proofErr w:type="spellStart"/>
      <w:r w:rsidRPr="00CE0CAC">
        <w:rPr>
          <w:rFonts w:ascii="Times New Roman" w:hAnsi="Times New Roman" w:cs="Times New Roman"/>
          <w:kern w:val="0"/>
          <w14:ligatures w14:val="none"/>
        </w:rPr>
        <w:t>Choudhury</w:t>
      </w:r>
      <w:proofErr w:type="spellEnd"/>
      <w:r w:rsidRPr="00CE0CAC">
        <w:rPr>
          <w:rFonts w:ascii="Times New Roman" w:hAnsi="Times New Roman" w:cs="Times New Roman"/>
          <w:kern w:val="0"/>
          <w14:ligatures w14:val="none"/>
        </w:rPr>
        <w:t xml:space="preserve">, S. (2021) </w:t>
      </w:r>
      <w:r w:rsidRPr="00CE0CAC">
        <w:rPr>
          <w:rFonts w:ascii="Times New Roman" w:hAnsi="Times New Roman" w:cs="Times New Roman"/>
          <w:i/>
          <w:iCs/>
          <w:kern w:val="0"/>
          <w14:ligatures w14:val="none"/>
        </w:rPr>
        <w:t>Cultural influences on physical activity and diet among South Asians in the UK. Public Health Nutrition</w:t>
      </w:r>
      <w:r w:rsidRPr="00CE0CAC">
        <w:rPr>
          <w:rFonts w:ascii="Times New Roman" w:hAnsi="Times New Roman" w:cs="Times New Roman"/>
          <w:kern w:val="0"/>
          <w14:ligatures w14:val="none"/>
        </w:rPr>
        <w:t>, 24(8), pp. 2184–2193.</w:t>
      </w:r>
    </w:p>
    <w:p w14:paraId="7FFCCD1D" w14:textId="4B5E1CCE"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Marmot, M. (2010) </w:t>
      </w:r>
      <w:r w:rsidRPr="00CE0CAC">
        <w:rPr>
          <w:rFonts w:ascii="Times New Roman" w:hAnsi="Times New Roman" w:cs="Times New Roman"/>
          <w:i/>
          <w:iCs/>
          <w:kern w:val="0"/>
          <w14:ligatures w14:val="none"/>
        </w:rPr>
        <w:t>Fair Society, Healthy Lives: The Marmot Review. London: Strategic Review of Health Inequalities in England</w:t>
      </w:r>
      <w:r w:rsidRPr="00CE0CAC">
        <w:rPr>
          <w:rFonts w:ascii="Times New Roman" w:hAnsi="Times New Roman" w:cs="Times New Roman"/>
          <w:kern w:val="0"/>
          <w14:ligatures w14:val="none"/>
        </w:rPr>
        <w:t xml:space="preserve"> post-2010.</w:t>
      </w:r>
    </w:p>
    <w:p w14:paraId="17FD0A2B" w14:textId="7483F801"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Marmot, M., Allen, J., Boyce, T., </w:t>
      </w:r>
      <w:proofErr w:type="spellStart"/>
      <w:r w:rsidRPr="00CE0CAC">
        <w:rPr>
          <w:rFonts w:ascii="Times New Roman" w:hAnsi="Times New Roman" w:cs="Times New Roman"/>
          <w:kern w:val="0"/>
          <w14:ligatures w14:val="none"/>
        </w:rPr>
        <w:t>Goldblatt</w:t>
      </w:r>
      <w:proofErr w:type="spellEnd"/>
      <w:r w:rsidRPr="00CE0CAC">
        <w:rPr>
          <w:rFonts w:ascii="Times New Roman" w:hAnsi="Times New Roman" w:cs="Times New Roman"/>
          <w:kern w:val="0"/>
          <w14:ligatures w14:val="none"/>
        </w:rPr>
        <w:t xml:space="preserve">, P. and Morrison, J. (2020) </w:t>
      </w:r>
      <w:r w:rsidRPr="00CE0CAC">
        <w:rPr>
          <w:rFonts w:ascii="Times New Roman" w:hAnsi="Times New Roman" w:cs="Times New Roman"/>
          <w:i/>
          <w:iCs/>
          <w:kern w:val="0"/>
          <w14:ligatures w14:val="none"/>
        </w:rPr>
        <w:t>Health Equity in England: The Marmot Review 10 Years On</w:t>
      </w:r>
      <w:r w:rsidRPr="00CE0CAC">
        <w:rPr>
          <w:rFonts w:ascii="Times New Roman" w:hAnsi="Times New Roman" w:cs="Times New Roman"/>
          <w:kern w:val="0"/>
          <w14:ligatures w14:val="none"/>
        </w:rPr>
        <w:t>. London: The Health Foundation.</w:t>
      </w:r>
    </w:p>
    <w:p w14:paraId="6574F189" w14:textId="05CE3128"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Mind (2023) </w:t>
      </w:r>
      <w:r w:rsidRPr="00CE0CAC">
        <w:rPr>
          <w:rFonts w:ascii="Times New Roman" w:hAnsi="Times New Roman" w:cs="Times New Roman"/>
          <w:i/>
          <w:iCs/>
          <w:kern w:val="0"/>
          <w14:ligatures w14:val="none"/>
        </w:rPr>
        <w:t>Racism and mental health</w:t>
      </w:r>
      <w:r w:rsidRPr="00CE0CAC">
        <w:rPr>
          <w:rFonts w:ascii="Times New Roman" w:hAnsi="Times New Roman" w:cs="Times New Roman"/>
          <w:kern w:val="0"/>
          <w14:ligatures w14:val="none"/>
        </w:rPr>
        <w:t>. London: Mind. Available at: https://www.mind.org.uk (Accessed 17 November 2025).</w:t>
      </w:r>
    </w:p>
    <w:p w14:paraId="526301DD" w14:textId="77777777"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NHS Digital (2022) </w:t>
      </w:r>
      <w:r w:rsidRPr="00CE0CAC">
        <w:rPr>
          <w:rFonts w:ascii="Times New Roman" w:hAnsi="Times New Roman" w:cs="Times New Roman"/>
          <w:i/>
          <w:iCs/>
          <w:kern w:val="0"/>
          <w14:ligatures w14:val="none"/>
        </w:rPr>
        <w:t>Quality and Outcomes Framework</w:t>
      </w:r>
      <w:r w:rsidRPr="00CE0CAC">
        <w:rPr>
          <w:rFonts w:ascii="Times New Roman" w:hAnsi="Times New Roman" w:cs="Times New Roman"/>
          <w:kern w:val="0"/>
          <w14:ligatures w14:val="none"/>
        </w:rPr>
        <w:t xml:space="preserve"> (QOF) 2021–22 Results. London: NHS Digital.</w:t>
      </w:r>
    </w:p>
    <w:p w14:paraId="3B4B671C" w14:textId="77777777"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p>
    <w:p w14:paraId="06B648C3" w14:textId="5240897F"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lastRenderedPageBreak/>
        <w:t xml:space="preserve">NHS Digital (2023) </w:t>
      </w:r>
      <w:r w:rsidRPr="00CE0CAC">
        <w:rPr>
          <w:rFonts w:ascii="Times New Roman" w:hAnsi="Times New Roman" w:cs="Times New Roman"/>
          <w:i/>
          <w:iCs/>
          <w:kern w:val="0"/>
          <w14:ligatures w14:val="none"/>
        </w:rPr>
        <w:t>National Diabetes Audit – England 2023 Summary Report</w:t>
      </w:r>
      <w:r w:rsidRPr="00CE0CAC">
        <w:rPr>
          <w:rFonts w:ascii="Times New Roman" w:hAnsi="Times New Roman" w:cs="Times New Roman"/>
          <w:kern w:val="0"/>
          <w14:ligatures w14:val="none"/>
        </w:rPr>
        <w:t>. London: NHS Digital.</w:t>
      </w:r>
    </w:p>
    <w:p w14:paraId="42DE9662" w14:textId="10E7AF4C"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NHS Digital (2024) </w:t>
      </w:r>
      <w:r w:rsidRPr="00CE0CAC">
        <w:rPr>
          <w:rFonts w:ascii="Times New Roman" w:hAnsi="Times New Roman" w:cs="Times New Roman"/>
          <w:i/>
          <w:iCs/>
          <w:kern w:val="0"/>
          <w14:ligatures w14:val="none"/>
        </w:rPr>
        <w:t>Detentions under the Mental Health Act – Ethnicity facts and figures. 1</w:t>
      </w:r>
      <w:r w:rsidRPr="00CE0CAC">
        <w:rPr>
          <w:rFonts w:ascii="Times New Roman" w:hAnsi="Times New Roman" w:cs="Times New Roman"/>
          <w:kern w:val="0"/>
          <w14:ligatures w14:val="none"/>
        </w:rPr>
        <w:t>6 August. Available at: https://www.ethnicity-facts-figures.service.gov.uk (Accessed 17 November 2025).</w:t>
      </w:r>
    </w:p>
    <w:p w14:paraId="486C7D71" w14:textId="233CA824"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NHS England (2021) </w:t>
      </w:r>
      <w:r w:rsidRPr="00CE0CAC">
        <w:rPr>
          <w:rFonts w:ascii="Times New Roman" w:hAnsi="Times New Roman" w:cs="Times New Roman"/>
          <w:i/>
          <w:iCs/>
          <w:kern w:val="0"/>
          <w14:ligatures w14:val="none"/>
        </w:rPr>
        <w:t>National Diabetes Prevention Programme Overview.</w:t>
      </w:r>
      <w:r w:rsidRPr="00CE0CAC">
        <w:rPr>
          <w:rFonts w:ascii="Times New Roman" w:hAnsi="Times New Roman" w:cs="Times New Roman"/>
          <w:kern w:val="0"/>
          <w14:ligatures w14:val="none"/>
        </w:rPr>
        <w:t xml:space="preserve"> London: NHS England.</w:t>
      </w:r>
    </w:p>
    <w:p w14:paraId="17789CE7" w14:textId="690B2306"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NHS Race and Health Observatory (Robertson, R. et al.) (2021) </w:t>
      </w:r>
      <w:r w:rsidRPr="00CE0CAC">
        <w:rPr>
          <w:rFonts w:ascii="Times New Roman" w:hAnsi="Times New Roman" w:cs="Times New Roman"/>
          <w:i/>
          <w:iCs/>
          <w:kern w:val="0"/>
          <w14:ligatures w14:val="none"/>
        </w:rPr>
        <w:t>Ethnic health inequalities and the NHS.</w:t>
      </w:r>
      <w:r w:rsidRPr="00CE0CAC">
        <w:rPr>
          <w:rFonts w:ascii="Times New Roman" w:hAnsi="Times New Roman" w:cs="Times New Roman"/>
          <w:kern w:val="0"/>
          <w14:ligatures w14:val="none"/>
        </w:rPr>
        <w:t xml:space="preserve"> London: NHS Race and Health Observatory and The King’s Fund. Available at: https://www.nhsrho.org (Accessed 17 November 2025).</w:t>
      </w:r>
    </w:p>
    <w:p w14:paraId="5EC656A3" w14:textId="6B4B94FD"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Office for Health Improvement and Disparities (2023) </w:t>
      </w:r>
      <w:r w:rsidRPr="00CE0CAC">
        <w:rPr>
          <w:rFonts w:ascii="Times New Roman" w:hAnsi="Times New Roman" w:cs="Times New Roman"/>
          <w:i/>
          <w:iCs/>
          <w:kern w:val="0"/>
          <w14:ligatures w14:val="none"/>
        </w:rPr>
        <w:t>Diabetes Profile: Tower Hamlets</w:t>
      </w:r>
      <w:r w:rsidRPr="00CE0CAC">
        <w:rPr>
          <w:rFonts w:ascii="Times New Roman" w:hAnsi="Times New Roman" w:cs="Times New Roman"/>
          <w:kern w:val="0"/>
          <w14:ligatures w14:val="none"/>
        </w:rPr>
        <w:t>. London: Office for Health Improvement and Disparities.</w:t>
      </w:r>
    </w:p>
    <w:p w14:paraId="03AB611F" w14:textId="4D9F98C2"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Office for National Statistics (2023) </w:t>
      </w:r>
      <w:r w:rsidRPr="00CE0CAC">
        <w:rPr>
          <w:rFonts w:ascii="Times New Roman" w:hAnsi="Times New Roman" w:cs="Times New Roman"/>
          <w:i/>
          <w:iCs/>
          <w:kern w:val="0"/>
          <w14:ligatures w14:val="none"/>
        </w:rPr>
        <w:t>Indices of Multiple Deprivation 2023</w:t>
      </w:r>
      <w:r w:rsidRPr="00CE0CAC">
        <w:rPr>
          <w:rFonts w:ascii="Times New Roman" w:hAnsi="Times New Roman" w:cs="Times New Roman"/>
          <w:kern w:val="0"/>
          <w14:ligatures w14:val="none"/>
        </w:rPr>
        <w:t>. London: Office for National Statistics.</w:t>
      </w:r>
    </w:p>
    <w:p w14:paraId="49E34EA5" w14:textId="7EB42510"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Public Health England (2018) </w:t>
      </w:r>
      <w:r w:rsidRPr="00CE0CAC">
        <w:rPr>
          <w:rFonts w:ascii="Times New Roman" w:hAnsi="Times New Roman" w:cs="Times New Roman"/>
          <w:i/>
          <w:iCs/>
          <w:kern w:val="0"/>
          <w14:ligatures w14:val="none"/>
        </w:rPr>
        <w:t>Health matters: preventing Type 2 diabetes.</w:t>
      </w:r>
      <w:r w:rsidRPr="00CE0CAC">
        <w:rPr>
          <w:rFonts w:ascii="Times New Roman" w:hAnsi="Times New Roman" w:cs="Times New Roman"/>
          <w:kern w:val="0"/>
          <w14:ligatures w14:val="none"/>
        </w:rPr>
        <w:t xml:space="preserve"> London: Public Health England.</w:t>
      </w:r>
    </w:p>
    <w:p w14:paraId="101941B2" w14:textId="5FFEC7CE"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Public Health England (2019) </w:t>
      </w:r>
      <w:r w:rsidRPr="00CE0CAC">
        <w:rPr>
          <w:rFonts w:ascii="Times New Roman" w:hAnsi="Times New Roman" w:cs="Times New Roman"/>
          <w:i/>
          <w:iCs/>
          <w:kern w:val="0"/>
          <w14:ligatures w14:val="none"/>
        </w:rPr>
        <w:t>Local Authority Health Profiles</w:t>
      </w:r>
      <w:r w:rsidRPr="00CE0CAC">
        <w:rPr>
          <w:rFonts w:ascii="Times New Roman" w:hAnsi="Times New Roman" w:cs="Times New Roman"/>
          <w:kern w:val="0"/>
          <w14:ligatures w14:val="none"/>
        </w:rPr>
        <w:t>. London: Public Health England.</w:t>
      </w:r>
    </w:p>
    <w:p w14:paraId="19D58FB7" w14:textId="4C440061"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Race Equality Foundation (2022) </w:t>
      </w:r>
      <w:r w:rsidRPr="00CE0CAC">
        <w:rPr>
          <w:rFonts w:ascii="Times New Roman" w:hAnsi="Times New Roman" w:cs="Times New Roman"/>
          <w:i/>
          <w:iCs/>
          <w:kern w:val="0"/>
          <w14:ligatures w14:val="none"/>
        </w:rPr>
        <w:t>Better Health project.</w:t>
      </w:r>
      <w:r w:rsidRPr="00CE0CAC">
        <w:rPr>
          <w:rFonts w:ascii="Times New Roman" w:hAnsi="Times New Roman" w:cs="Times New Roman"/>
          <w:kern w:val="0"/>
          <w14:ligatures w14:val="none"/>
        </w:rPr>
        <w:t xml:space="preserve"> London: Race Equality Foundation. Available at: https://raceequalityfoundation.org.uk (Accessed 17 November 2025).</w:t>
      </w:r>
    </w:p>
    <w:p w14:paraId="15762673" w14:textId="67CF5B35"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Tower Hamlets Council (2023) </w:t>
      </w:r>
      <w:r w:rsidRPr="00CE0CAC">
        <w:rPr>
          <w:rFonts w:ascii="Times New Roman" w:hAnsi="Times New Roman" w:cs="Times New Roman"/>
          <w:i/>
          <w:iCs/>
          <w:kern w:val="0"/>
          <w14:ligatures w14:val="none"/>
        </w:rPr>
        <w:t>Public Health Annual Report 2023.</w:t>
      </w:r>
      <w:r w:rsidRPr="00CE0CAC">
        <w:rPr>
          <w:rFonts w:ascii="Times New Roman" w:hAnsi="Times New Roman" w:cs="Times New Roman"/>
          <w:kern w:val="0"/>
          <w14:ligatures w14:val="none"/>
        </w:rPr>
        <w:t xml:space="preserve"> London: Tower Hamlets Council.</w:t>
      </w:r>
    </w:p>
    <w:p w14:paraId="55B227BB" w14:textId="18EAF585"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Tower Hamlets Public Health (2023) </w:t>
      </w:r>
      <w:r w:rsidRPr="00CE0CAC">
        <w:rPr>
          <w:rFonts w:ascii="Times New Roman" w:hAnsi="Times New Roman" w:cs="Times New Roman"/>
          <w:i/>
          <w:iCs/>
          <w:kern w:val="0"/>
          <w14:ligatures w14:val="none"/>
        </w:rPr>
        <w:t>Diabetes Health Needs Assessment.</w:t>
      </w:r>
      <w:r w:rsidRPr="00CE0CAC">
        <w:rPr>
          <w:rFonts w:ascii="Times New Roman" w:hAnsi="Times New Roman" w:cs="Times New Roman"/>
          <w:kern w:val="0"/>
          <w14:ligatures w14:val="none"/>
        </w:rPr>
        <w:t xml:space="preserve"> London: Tower Hamlets Public Health.</w:t>
      </w:r>
    </w:p>
    <w:p w14:paraId="7427CFD2" w14:textId="08D9AD10"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Tower Hamlets Together (2023) </w:t>
      </w:r>
      <w:r w:rsidRPr="00CE0CAC">
        <w:rPr>
          <w:rFonts w:ascii="Times New Roman" w:hAnsi="Times New Roman" w:cs="Times New Roman"/>
          <w:i/>
          <w:iCs/>
          <w:kern w:val="0"/>
          <w14:ligatures w14:val="none"/>
        </w:rPr>
        <w:t xml:space="preserve">Healthy Tower Hamlets Strategy. </w:t>
      </w:r>
      <w:r w:rsidRPr="00CE0CAC">
        <w:rPr>
          <w:rFonts w:ascii="Times New Roman" w:hAnsi="Times New Roman" w:cs="Times New Roman"/>
          <w:kern w:val="0"/>
          <w14:ligatures w14:val="none"/>
        </w:rPr>
        <w:t>London: Tower Hamlets Together Partnership.</w:t>
      </w:r>
    </w:p>
    <w:p w14:paraId="1B7F5A48" w14:textId="21D0E5B4"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World Health </w:t>
      </w:r>
      <w:proofErr w:type="spellStart"/>
      <w:r w:rsidRPr="00CE0CAC">
        <w:rPr>
          <w:rFonts w:ascii="Times New Roman" w:hAnsi="Times New Roman" w:cs="Times New Roman"/>
          <w:kern w:val="0"/>
          <w14:ligatures w14:val="none"/>
        </w:rPr>
        <w:t>Organization</w:t>
      </w:r>
      <w:proofErr w:type="spellEnd"/>
      <w:r w:rsidRPr="00CE0CAC">
        <w:rPr>
          <w:rFonts w:ascii="Times New Roman" w:hAnsi="Times New Roman" w:cs="Times New Roman"/>
          <w:kern w:val="0"/>
          <w14:ligatures w14:val="none"/>
        </w:rPr>
        <w:t xml:space="preserve"> (2023) </w:t>
      </w:r>
      <w:r w:rsidRPr="00CE0CAC">
        <w:rPr>
          <w:rFonts w:ascii="Times New Roman" w:hAnsi="Times New Roman" w:cs="Times New Roman"/>
          <w:i/>
          <w:iCs/>
          <w:kern w:val="0"/>
          <w14:ligatures w14:val="none"/>
        </w:rPr>
        <w:t>Global Report on Diabetes.</w:t>
      </w:r>
      <w:r w:rsidRPr="00CE0CAC">
        <w:rPr>
          <w:rFonts w:ascii="Times New Roman" w:hAnsi="Times New Roman" w:cs="Times New Roman"/>
          <w:kern w:val="0"/>
          <w14:ligatures w14:val="none"/>
        </w:rPr>
        <w:t xml:space="preserve"> Geneva: World Health </w:t>
      </w:r>
      <w:proofErr w:type="spellStart"/>
      <w:r w:rsidRPr="00CE0CAC">
        <w:rPr>
          <w:rFonts w:ascii="Times New Roman" w:hAnsi="Times New Roman" w:cs="Times New Roman"/>
          <w:kern w:val="0"/>
          <w14:ligatures w14:val="none"/>
        </w:rPr>
        <w:t>Organization</w:t>
      </w:r>
      <w:proofErr w:type="spellEnd"/>
      <w:r w:rsidRPr="00CE0CAC">
        <w:rPr>
          <w:rFonts w:ascii="Times New Roman" w:hAnsi="Times New Roman" w:cs="Times New Roman"/>
          <w:kern w:val="0"/>
          <w14:ligatures w14:val="none"/>
        </w:rPr>
        <w:t>.</w:t>
      </w:r>
    </w:p>
    <w:p w14:paraId="7FB7473B" w14:textId="77777777" w:rsidR="00CE0CAC" w:rsidRPr="00CE0CAC" w:rsidRDefault="00CE0CAC" w:rsidP="00CE0CAC">
      <w:pPr>
        <w:spacing w:before="100" w:beforeAutospacing="1" w:after="100" w:afterAutospacing="1" w:line="240" w:lineRule="auto"/>
        <w:rPr>
          <w:rFonts w:ascii="Times New Roman" w:hAnsi="Times New Roman" w:cs="Times New Roman"/>
          <w:kern w:val="0"/>
          <w14:ligatures w14:val="none"/>
        </w:rPr>
      </w:pPr>
      <w:r w:rsidRPr="00CE0CAC">
        <w:rPr>
          <w:rFonts w:ascii="Times New Roman" w:hAnsi="Times New Roman" w:cs="Times New Roman"/>
          <w:kern w:val="0"/>
          <w14:ligatures w14:val="none"/>
        </w:rPr>
        <w:t xml:space="preserve">World Obesity Federation (2023) </w:t>
      </w:r>
      <w:r w:rsidRPr="00CE0CAC">
        <w:rPr>
          <w:rFonts w:ascii="Times New Roman" w:hAnsi="Times New Roman" w:cs="Times New Roman"/>
          <w:i/>
          <w:iCs/>
          <w:kern w:val="0"/>
          <w14:ligatures w14:val="none"/>
        </w:rPr>
        <w:t>Global Atlas on Childhood Obesity</w:t>
      </w:r>
      <w:r w:rsidRPr="00CE0CAC">
        <w:rPr>
          <w:rFonts w:ascii="Times New Roman" w:hAnsi="Times New Roman" w:cs="Times New Roman"/>
          <w:kern w:val="0"/>
          <w14:ligatures w14:val="none"/>
        </w:rPr>
        <w:t>. London: World Obesity Federation.</w:t>
      </w:r>
    </w:p>
    <w:p w14:paraId="3534A2C9" w14:textId="12EAB33C" w:rsidR="00CE0CAC" w:rsidRPr="00CE0CAC" w:rsidRDefault="00CE0CAC" w:rsidP="00CE0CAC">
      <w:pPr>
        <w:spacing w:after="0" w:line="240" w:lineRule="auto"/>
        <w:rPr>
          <w:rFonts w:ascii="Times New Roman" w:eastAsia="Times New Roman" w:hAnsi="Times New Roman" w:cs="Times New Roman"/>
          <w:kern w:val="0"/>
          <w14:ligatures w14:val="none"/>
        </w:rPr>
      </w:pPr>
    </w:p>
    <w:p w14:paraId="4B40013B" w14:textId="77777777" w:rsidR="00CE0CAC" w:rsidRPr="00A6668F" w:rsidRDefault="00CE0CAC" w:rsidP="004F075C">
      <w:pPr>
        <w:spacing w:line="360" w:lineRule="auto"/>
        <w:rPr>
          <w:rFonts w:ascii="Calibri" w:hAnsi="Calibri"/>
          <w:b/>
          <w:bCs/>
          <w:sz w:val="22"/>
          <w:szCs w:val="22"/>
        </w:rPr>
      </w:pPr>
    </w:p>
    <w:sectPr w:rsidR="00CE0CAC" w:rsidRPr="00A66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E2F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422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B6F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31A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925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414C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18383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2D1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D527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485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5499690">
    <w:abstractNumId w:val="7"/>
  </w:num>
  <w:num w:numId="2" w16cid:durableId="817381893">
    <w:abstractNumId w:val="5"/>
  </w:num>
  <w:num w:numId="3" w16cid:durableId="613711089">
    <w:abstractNumId w:val="6"/>
  </w:num>
  <w:num w:numId="4" w16cid:durableId="568731626">
    <w:abstractNumId w:val="8"/>
  </w:num>
  <w:num w:numId="5" w16cid:durableId="987242167">
    <w:abstractNumId w:val="1"/>
  </w:num>
  <w:num w:numId="6" w16cid:durableId="1265653105">
    <w:abstractNumId w:val="3"/>
  </w:num>
  <w:num w:numId="7" w16cid:durableId="2013139461">
    <w:abstractNumId w:val="2"/>
  </w:num>
  <w:num w:numId="8" w16cid:durableId="1280186645">
    <w:abstractNumId w:val="0"/>
  </w:num>
  <w:num w:numId="9" w16cid:durableId="1029599947">
    <w:abstractNumId w:val="9"/>
  </w:num>
  <w:num w:numId="10" w16cid:durableId="5562098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693"/>
    <w:rsid w:val="00043372"/>
    <w:rsid w:val="0008371E"/>
    <w:rsid w:val="000B1612"/>
    <w:rsid w:val="000C4FD3"/>
    <w:rsid w:val="000F02EB"/>
    <w:rsid w:val="00186B33"/>
    <w:rsid w:val="001A4E43"/>
    <w:rsid w:val="002926EB"/>
    <w:rsid w:val="00343F23"/>
    <w:rsid w:val="003C71A0"/>
    <w:rsid w:val="00417449"/>
    <w:rsid w:val="004B5693"/>
    <w:rsid w:val="004F075C"/>
    <w:rsid w:val="005000EF"/>
    <w:rsid w:val="005B2C23"/>
    <w:rsid w:val="005C6BEE"/>
    <w:rsid w:val="00615593"/>
    <w:rsid w:val="006D6F94"/>
    <w:rsid w:val="00866CCA"/>
    <w:rsid w:val="00894CF0"/>
    <w:rsid w:val="008B423A"/>
    <w:rsid w:val="00905790"/>
    <w:rsid w:val="00966FC2"/>
    <w:rsid w:val="009C5675"/>
    <w:rsid w:val="009D2250"/>
    <w:rsid w:val="009D4DCF"/>
    <w:rsid w:val="00A4426A"/>
    <w:rsid w:val="00A50D71"/>
    <w:rsid w:val="00A6668F"/>
    <w:rsid w:val="00A7549F"/>
    <w:rsid w:val="00AF5299"/>
    <w:rsid w:val="00B504BC"/>
    <w:rsid w:val="00BE12A3"/>
    <w:rsid w:val="00C033C7"/>
    <w:rsid w:val="00CE0CAC"/>
    <w:rsid w:val="00CE5A67"/>
    <w:rsid w:val="00D411EC"/>
    <w:rsid w:val="00D800F5"/>
    <w:rsid w:val="00DA1C42"/>
    <w:rsid w:val="00E632BC"/>
    <w:rsid w:val="00ED62C2"/>
    <w:rsid w:val="00EF067B"/>
    <w:rsid w:val="00EF1973"/>
    <w:rsid w:val="00F5318A"/>
    <w:rsid w:val="00F57063"/>
    <w:rsid w:val="00F61336"/>
    <w:rsid w:val="00FB2CA8"/>
    <w:rsid w:val="00FF2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33050"/>
  <w15:chartTrackingRefBased/>
  <w15:docId w15:val="{BECA9300-E2BC-3A46-8895-AEAEAED70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5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5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693"/>
    <w:rPr>
      <w:rFonts w:eastAsiaTheme="majorEastAsia" w:cstheme="majorBidi"/>
      <w:color w:val="272727" w:themeColor="text1" w:themeTint="D8"/>
    </w:rPr>
  </w:style>
  <w:style w:type="paragraph" w:styleId="Title">
    <w:name w:val="Title"/>
    <w:basedOn w:val="Normal"/>
    <w:next w:val="Normal"/>
    <w:link w:val="TitleChar"/>
    <w:uiPriority w:val="10"/>
    <w:qFormat/>
    <w:rsid w:val="004B5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693"/>
    <w:pPr>
      <w:spacing w:before="160"/>
      <w:jc w:val="center"/>
    </w:pPr>
    <w:rPr>
      <w:i/>
      <w:iCs/>
      <w:color w:val="404040" w:themeColor="text1" w:themeTint="BF"/>
    </w:rPr>
  </w:style>
  <w:style w:type="character" w:customStyle="1" w:styleId="QuoteChar">
    <w:name w:val="Quote Char"/>
    <w:basedOn w:val="DefaultParagraphFont"/>
    <w:link w:val="Quote"/>
    <w:uiPriority w:val="29"/>
    <w:rsid w:val="004B5693"/>
    <w:rPr>
      <w:i/>
      <w:iCs/>
      <w:color w:val="404040" w:themeColor="text1" w:themeTint="BF"/>
    </w:rPr>
  </w:style>
  <w:style w:type="paragraph" w:styleId="ListParagraph">
    <w:name w:val="List Paragraph"/>
    <w:basedOn w:val="Normal"/>
    <w:uiPriority w:val="34"/>
    <w:qFormat/>
    <w:rsid w:val="004B5693"/>
    <w:pPr>
      <w:ind w:left="720"/>
      <w:contextualSpacing/>
    </w:pPr>
  </w:style>
  <w:style w:type="character" w:styleId="IntenseEmphasis">
    <w:name w:val="Intense Emphasis"/>
    <w:basedOn w:val="DefaultParagraphFont"/>
    <w:uiPriority w:val="21"/>
    <w:qFormat/>
    <w:rsid w:val="004B5693"/>
    <w:rPr>
      <w:i/>
      <w:iCs/>
      <w:color w:val="0F4761" w:themeColor="accent1" w:themeShade="BF"/>
    </w:rPr>
  </w:style>
  <w:style w:type="paragraph" w:styleId="IntenseQuote">
    <w:name w:val="Intense Quote"/>
    <w:basedOn w:val="Normal"/>
    <w:next w:val="Normal"/>
    <w:link w:val="IntenseQuoteChar"/>
    <w:uiPriority w:val="30"/>
    <w:qFormat/>
    <w:rsid w:val="004B5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693"/>
    <w:rPr>
      <w:i/>
      <w:iCs/>
      <w:color w:val="0F4761" w:themeColor="accent1" w:themeShade="BF"/>
    </w:rPr>
  </w:style>
  <w:style w:type="character" w:styleId="IntenseReference">
    <w:name w:val="Intense Reference"/>
    <w:basedOn w:val="DefaultParagraphFont"/>
    <w:uiPriority w:val="32"/>
    <w:qFormat/>
    <w:rsid w:val="004B5693"/>
    <w:rPr>
      <w:b/>
      <w:bCs/>
      <w:smallCaps/>
      <w:color w:val="0F4761" w:themeColor="accent1" w:themeShade="BF"/>
      <w:spacing w:val="5"/>
    </w:rPr>
  </w:style>
  <w:style w:type="paragraph" w:customStyle="1" w:styleId="p1">
    <w:name w:val="p1"/>
    <w:basedOn w:val="Normal"/>
    <w:rsid w:val="004B569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B5693"/>
  </w:style>
  <w:style w:type="paragraph" w:customStyle="1" w:styleId="p2">
    <w:name w:val="p2"/>
    <w:basedOn w:val="Normal"/>
    <w:rsid w:val="004B569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B5693"/>
  </w:style>
  <w:style w:type="paragraph" w:customStyle="1" w:styleId="p3">
    <w:name w:val="p3"/>
    <w:basedOn w:val="Normal"/>
    <w:rsid w:val="004B569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B5693"/>
  </w:style>
  <w:style w:type="character" w:customStyle="1" w:styleId="s4">
    <w:name w:val="s4"/>
    <w:basedOn w:val="DefaultParagraphFont"/>
    <w:rsid w:val="004B5693"/>
  </w:style>
  <w:style w:type="character" w:customStyle="1" w:styleId="apple-converted-space">
    <w:name w:val="apple-converted-space"/>
    <w:basedOn w:val="DefaultParagraphFont"/>
    <w:rsid w:val="004B5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3438</Words>
  <Characters>19597</Characters>
  <Application>Microsoft Office Word</Application>
  <DocSecurity>0</DocSecurity>
  <Lines>163</Lines>
  <Paragraphs>45</Paragraphs>
  <ScaleCrop>false</ScaleCrop>
  <Company/>
  <LinksUpToDate>false</LinksUpToDate>
  <CharactersWithSpaces>22990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3</cp:revision>
  <dcterms:created xsi:type="dcterms:W3CDTF">2025-11-17T02:06:00Z</dcterms:created>
  <dcterms:modified xsi:type="dcterms:W3CDTF">2025-11-17T02:07:00Z</dcterms:modified>
</cp:coreProperties>
</file>