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Default="00C558B0" w:rsidP="00C558B0">
      <w:pPr>
        <w:spacing w:line="360" w:lineRule="auto"/>
        <w:rPr>
          <w:rFonts w:ascii="Arial" w:hAnsi="Arial" w:cs="Arial"/>
          <w:szCs w:val="24"/>
        </w:rPr>
      </w:pPr>
    </w:p>
    <w:p w14:paraId="4CFA099C" w14:textId="77777777" w:rsidR="00C558B0" w:rsidRDefault="00C558B0" w:rsidP="00C558B0">
      <w:pPr>
        <w:tabs>
          <w:tab w:val="left" w:pos="6540"/>
        </w:tabs>
        <w:spacing w:line="360" w:lineRule="auto"/>
        <w:rPr>
          <w:rFonts w:ascii="Arial" w:hAnsi="Arial" w:cs="Arial"/>
          <w:sz w:val="28"/>
          <w:szCs w:val="28"/>
        </w:rPr>
      </w:pPr>
    </w:p>
    <w:p w14:paraId="2F4F861B" w14:textId="37BD57C3"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name</w:t>
      </w:r>
      <w:r w:rsidRPr="006524ED">
        <w:rPr>
          <w:rFonts w:ascii="Arial" w:hAnsi="Arial" w:cs="Arial"/>
          <w:sz w:val="28"/>
          <w:szCs w:val="28"/>
          <w:lang w:val="nl-NL"/>
        </w:rPr>
        <w:t>:</w:t>
      </w:r>
      <w:r w:rsidR="006B2765">
        <w:rPr>
          <w:rFonts w:ascii="Arial" w:hAnsi="Arial" w:cs="Arial"/>
          <w:sz w:val="28"/>
          <w:szCs w:val="28"/>
          <w:lang w:val="nl-NL"/>
        </w:rPr>
        <w:t xml:space="preserve"> Roman Pacek</w:t>
      </w:r>
    </w:p>
    <w:p w14:paraId="18D88AE2" w14:textId="73A0DD0C"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ID</w:t>
      </w:r>
      <w:r w:rsidRPr="006524ED">
        <w:rPr>
          <w:rFonts w:ascii="Arial" w:hAnsi="Arial" w:cs="Arial"/>
          <w:sz w:val="28"/>
          <w:szCs w:val="28"/>
          <w:lang w:val="nl-NL"/>
        </w:rPr>
        <w:t>:</w:t>
      </w:r>
      <w:r w:rsidR="006B2765">
        <w:rPr>
          <w:rFonts w:ascii="Arial" w:hAnsi="Arial" w:cs="Arial"/>
          <w:sz w:val="28"/>
          <w:szCs w:val="28"/>
          <w:lang w:val="nl-NL"/>
        </w:rPr>
        <w:t>2415805</w:t>
      </w:r>
    </w:p>
    <w:p w14:paraId="4654C81C" w14:textId="77777777" w:rsidR="00C558B0" w:rsidRPr="006524ED" w:rsidRDefault="00C558B0" w:rsidP="00C558B0">
      <w:pPr>
        <w:tabs>
          <w:tab w:val="left" w:pos="6540"/>
        </w:tabs>
        <w:spacing w:line="360" w:lineRule="auto"/>
        <w:rPr>
          <w:rFonts w:ascii="Arial" w:hAnsi="Arial" w:cs="Arial"/>
          <w:sz w:val="28"/>
          <w:szCs w:val="28"/>
          <w:lang w:val="nl-NL"/>
        </w:rPr>
      </w:pPr>
    </w:p>
    <w:p w14:paraId="3D8DA301" w14:textId="0507F6AC"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Module name</w:t>
      </w:r>
      <w:r w:rsidRPr="006524ED">
        <w:rPr>
          <w:rFonts w:ascii="Arial" w:hAnsi="Arial" w:cs="Arial"/>
          <w:sz w:val="28"/>
          <w:szCs w:val="28"/>
          <w:lang w:val="nl-NL"/>
        </w:rPr>
        <w:t xml:space="preserve">: </w:t>
      </w:r>
      <w:proofErr w:type="spellStart"/>
      <w:r w:rsidR="006B2765">
        <w:rPr>
          <w:rFonts w:ascii="Arial" w:hAnsi="Arial" w:cs="Arial"/>
          <w:sz w:val="28"/>
          <w:szCs w:val="28"/>
          <w:lang w:val="nl-NL"/>
        </w:rPr>
        <w:t>Principles</w:t>
      </w:r>
      <w:proofErr w:type="spellEnd"/>
      <w:r w:rsidR="006B2765">
        <w:rPr>
          <w:rFonts w:ascii="Arial" w:hAnsi="Arial" w:cs="Arial"/>
          <w:sz w:val="28"/>
          <w:szCs w:val="28"/>
          <w:lang w:val="nl-NL"/>
        </w:rPr>
        <w:t xml:space="preserve"> of Health </w:t>
      </w:r>
      <w:proofErr w:type="spellStart"/>
      <w:r w:rsidR="006B2765">
        <w:rPr>
          <w:rFonts w:ascii="Arial" w:hAnsi="Arial" w:cs="Arial"/>
          <w:sz w:val="28"/>
          <w:szCs w:val="28"/>
          <w:lang w:val="nl-NL"/>
        </w:rPr>
        <w:t>and</w:t>
      </w:r>
      <w:proofErr w:type="spellEnd"/>
      <w:r w:rsidR="006B2765">
        <w:rPr>
          <w:rFonts w:ascii="Arial" w:hAnsi="Arial" w:cs="Arial"/>
          <w:sz w:val="28"/>
          <w:szCs w:val="28"/>
          <w:lang w:val="nl-NL"/>
        </w:rPr>
        <w:t xml:space="preserve"> </w:t>
      </w:r>
      <w:proofErr w:type="spellStart"/>
      <w:r w:rsidR="006B2765">
        <w:rPr>
          <w:rFonts w:ascii="Arial" w:hAnsi="Arial" w:cs="Arial"/>
          <w:sz w:val="28"/>
          <w:szCs w:val="28"/>
          <w:lang w:val="nl-NL"/>
        </w:rPr>
        <w:t>Social</w:t>
      </w:r>
      <w:proofErr w:type="spellEnd"/>
      <w:r w:rsidR="006B2765">
        <w:rPr>
          <w:rFonts w:ascii="Arial" w:hAnsi="Arial" w:cs="Arial"/>
          <w:sz w:val="28"/>
          <w:szCs w:val="28"/>
          <w:lang w:val="nl-NL"/>
        </w:rPr>
        <w:t xml:space="preserve"> Care </w:t>
      </w:r>
      <w:proofErr w:type="spellStart"/>
      <w:r w:rsidR="006B2765">
        <w:rPr>
          <w:rFonts w:ascii="Arial" w:hAnsi="Arial" w:cs="Arial"/>
          <w:sz w:val="28"/>
          <w:szCs w:val="28"/>
          <w:lang w:val="nl-NL"/>
        </w:rPr>
        <w:t>Practice</w:t>
      </w:r>
      <w:proofErr w:type="spellEnd"/>
    </w:p>
    <w:p w14:paraId="7DB3261D" w14:textId="2779443F"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w:t>
      </w:r>
      <w:r w:rsidR="006B2765">
        <w:rPr>
          <w:rFonts w:ascii="Arial" w:hAnsi="Arial" w:cs="Arial"/>
          <w:sz w:val="28"/>
          <w:szCs w:val="28"/>
        </w:rPr>
        <w:t xml:space="preserve"> BMHP5016</w:t>
      </w:r>
    </w:p>
    <w:p w14:paraId="5CCA350C" w14:textId="1989D16F"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Lecturer name</w:t>
      </w:r>
      <w:r>
        <w:rPr>
          <w:rFonts w:ascii="Arial" w:hAnsi="Arial" w:cs="Arial"/>
          <w:sz w:val="28"/>
          <w:szCs w:val="28"/>
        </w:rPr>
        <w:t>:</w:t>
      </w:r>
      <w:r w:rsidR="006B2765">
        <w:rPr>
          <w:rFonts w:ascii="Arial" w:hAnsi="Arial" w:cs="Arial"/>
          <w:sz w:val="28"/>
          <w:szCs w:val="28"/>
        </w:rPr>
        <w:t xml:space="preserve"> Mark Kane</w:t>
      </w:r>
    </w:p>
    <w:p w14:paraId="5461F9C8" w14:textId="77777777" w:rsidR="00C558B0" w:rsidRDefault="00C558B0" w:rsidP="00C558B0">
      <w:pPr>
        <w:tabs>
          <w:tab w:val="left" w:pos="6540"/>
        </w:tabs>
        <w:spacing w:line="360" w:lineRule="auto"/>
        <w:rPr>
          <w:rFonts w:ascii="Arial" w:hAnsi="Arial" w:cs="Arial"/>
          <w:sz w:val="28"/>
          <w:szCs w:val="28"/>
        </w:rPr>
      </w:pPr>
    </w:p>
    <w:p w14:paraId="79C715ED" w14:textId="16914D07" w:rsidR="006D2F2D" w:rsidRPr="004A5A64" w:rsidRDefault="006D2F2D" w:rsidP="004A5A64">
      <w:pPr>
        <w:spacing w:line="360" w:lineRule="auto"/>
        <w:rPr>
          <w:sz w:val="23"/>
          <w:szCs w:val="23"/>
        </w:rPr>
      </w:pPr>
      <w:r w:rsidRPr="004A5A64">
        <w:rPr>
          <w:sz w:val="23"/>
          <w:szCs w:val="23"/>
        </w:rPr>
        <w:br w:type="page"/>
      </w:r>
    </w:p>
    <w:p w14:paraId="5D7018ED" w14:textId="77777777" w:rsidR="00014A52" w:rsidRPr="00014A52" w:rsidRDefault="00014A52" w:rsidP="003604D9">
      <w:pPr>
        <w:spacing w:before="100" w:beforeAutospacing="1" w:after="100" w:afterAutospacing="1" w:line="240" w:lineRule="auto"/>
        <w:jc w:val="center"/>
        <w:outlineLvl w:val="1"/>
        <w:rPr>
          <w:rFonts w:ascii="Arial" w:eastAsia="Times New Roman" w:hAnsi="Arial" w:cs="Arial"/>
          <w:b/>
          <w:bCs/>
          <w:sz w:val="28"/>
          <w:szCs w:val="28"/>
        </w:rPr>
      </w:pPr>
      <w:bookmarkStart w:id="0" w:name="OLE_LINK1"/>
      <w:r w:rsidRPr="00014A52">
        <w:rPr>
          <w:rFonts w:ascii="Arial" w:eastAsia="Times New Roman" w:hAnsi="Arial" w:cs="Arial"/>
          <w:b/>
          <w:bCs/>
          <w:sz w:val="28"/>
          <w:szCs w:val="28"/>
        </w:rPr>
        <w:lastRenderedPageBreak/>
        <w:t>A Critical Evaluation of the Social Model of Disability as a Foundation for Person-Centred Care in Health and Social Care Policy and Practice</w:t>
      </w:r>
    </w:p>
    <w:p w14:paraId="790652DE" w14:textId="77777777" w:rsidR="00014A52" w:rsidRDefault="00014A52" w:rsidP="004A5A64">
      <w:pPr>
        <w:spacing w:line="360" w:lineRule="auto"/>
        <w:rPr>
          <w:rFonts w:ascii="Arial" w:hAnsi="Arial" w:cs="Arial"/>
          <w:b/>
          <w:bCs/>
          <w:sz w:val="23"/>
          <w:szCs w:val="23"/>
        </w:rPr>
      </w:pPr>
    </w:p>
    <w:p w14:paraId="3735B723" w14:textId="77777777" w:rsidR="00014A52" w:rsidRDefault="00014A52" w:rsidP="004A5A64">
      <w:pPr>
        <w:spacing w:line="360" w:lineRule="auto"/>
        <w:rPr>
          <w:rFonts w:ascii="Arial" w:hAnsi="Arial" w:cs="Arial"/>
          <w:b/>
          <w:bCs/>
          <w:sz w:val="23"/>
          <w:szCs w:val="23"/>
        </w:rPr>
      </w:pPr>
    </w:p>
    <w:p w14:paraId="27DD962C" w14:textId="77777777" w:rsidR="00014A52" w:rsidRDefault="00014A52" w:rsidP="004A5A64">
      <w:pPr>
        <w:spacing w:line="360" w:lineRule="auto"/>
        <w:rPr>
          <w:rFonts w:ascii="Arial" w:hAnsi="Arial" w:cs="Arial"/>
          <w:b/>
          <w:bCs/>
          <w:sz w:val="23"/>
          <w:szCs w:val="23"/>
        </w:rPr>
      </w:pPr>
    </w:p>
    <w:p w14:paraId="1F6E2959" w14:textId="77777777" w:rsidR="00014A52" w:rsidRDefault="00014A52" w:rsidP="004A5A64">
      <w:pPr>
        <w:spacing w:line="360" w:lineRule="auto"/>
        <w:rPr>
          <w:rFonts w:ascii="Arial" w:hAnsi="Arial" w:cs="Arial"/>
          <w:b/>
          <w:bCs/>
          <w:sz w:val="23"/>
          <w:szCs w:val="23"/>
        </w:rPr>
      </w:pPr>
    </w:p>
    <w:p w14:paraId="6D01A71B" w14:textId="77777777" w:rsidR="00014A52" w:rsidRDefault="00014A52" w:rsidP="004A5A64">
      <w:pPr>
        <w:spacing w:line="360" w:lineRule="auto"/>
        <w:rPr>
          <w:rFonts w:ascii="Arial" w:hAnsi="Arial" w:cs="Arial"/>
          <w:b/>
          <w:bCs/>
          <w:sz w:val="23"/>
          <w:szCs w:val="23"/>
        </w:rPr>
      </w:pPr>
    </w:p>
    <w:p w14:paraId="5F44B964" w14:textId="603504AF" w:rsidR="00317E3D" w:rsidRDefault="006D2F2D" w:rsidP="004A5A64">
      <w:pPr>
        <w:spacing w:line="360" w:lineRule="auto"/>
        <w:rPr>
          <w:rFonts w:ascii="Arial" w:hAnsi="Arial" w:cs="Arial"/>
          <w:b/>
          <w:bCs/>
          <w:sz w:val="23"/>
          <w:szCs w:val="23"/>
        </w:rPr>
      </w:pPr>
      <w:r w:rsidRPr="004A5A64">
        <w:rPr>
          <w:rFonts w:ascii="Arial" w:hAnsi="Arial" w:cs="Arial"/>
          <w:b/>
          <w:bCs/>
          <w:sz w:val="23"/>
          <w:szCs w:val="23"/>
        </w:rPr>
        <w:t>Introduction</w:t>
      </w:r>
    </w:p>
    <w:p w14:paraId="6EB9D1E2"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Person-centred care has become a central principle within contemporary health and social care practice, emphasising dignity, autonomy, choice and respect for individuals as active participants in decisions affecting their lives. Rather than treating people as passive recipients of services, person-centred approaches seek to empower individuals and recognise their unique experiences, strengths and preferences (</w:t>
      </w:r>
      <w:proofErr w:type="spellStart"/>
      <w:r w:rsidRPr="00014A52">
        <w:rPr>
          <w:rFonts w:ascii="Arial" w:hAnsi="Arial" w:cs="Arial"/>
          <w:sz w:val="22"/>
        </w:rPr>
        <w:t>Kitwood</w:t>
      </w:r>
      <w:proofErr w:type="spellEnd"/>
      <w:r w:rsidRPr="00014A52">
        <w:rPr>
          <w:rFonts w:ascii="Arial" w:hAnsi="Arial" w:cs="Arial"/>
          <w:sz w:val="22"/>
        </w:rPr>
        <w:t>, 1997). However, person-centred care does not exist independently of wider theories concerning rights, equality and social justice. One important concept underpinning person-centred approaches is the Social Model of Disability.</w:t>
      </w:r>
    </w:p>
    <w:p w14:paraId="69B5B19A"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The Social Model of Disability emerged in response to traditional medical understandings of disability, which largely framed disability as a problem located within the individual requiring treatment, rehabilitation or cure (Oliver, 1990). In contrast, the social model argues disability is created through environmental barriers, discriminatory attitudes and exclusionary social structures. This shift from individual deficit to social oppression transformed disability theory and practice.</w:t>
      </w:r>
    </w:p>
    <w:p w14:paraId="7A6B4D5D"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 xml:space="preserve">The model is important because it challenged paternalistic and deficit-based approaches that </w:t>
      </w:r>
      <w:proofErr w:type="gramStart"/>
      <w:r w:rsidRPr="00014A52">
        <w:rPr>
          <w:rFonts w:ascii="Arial" w:hAnsi="Arial" w:cs="Arial"/>
          <w:sz w:val="22"/>
        </w:rPr>
        <w:t>often denied</w:t>
      </w:r>
      <w:proofErr w:type="gramEnd"/>
      <w:r w:rsidRPr="00014A52">
        <w:rPr>
          <w:rFonts w:ascii="Arial" w:hAnsi="Arial" w:cs="Arial"/>
          <w:sz w:val="22"/>
        </w:rPr>
        <w:t xml:space="preserve"> disabled people autonomy and control. It promoted rights, inclusion, empowerment and participation, principles closely aligned with person-centred care (Barnes and Mercer, 2010). It also influenced health and social care policy, anti-discriminatory practice and broader debates about equality.</w:t>
      </w:r>
    </w:p>
    <w:p w14:paraId="0183E29F"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 xml:space="preserve">However, despite its significance, the model has been subject to critique, particularly around its treatment of impairment, its practical implementation and its capacity to address complex </w:t>
      </w:r>
      <w:r w:rsidRPr="00014A52">
        <w:rPr>
          <w:rFonts w:ascii="Arial" w:hAnsi="Arial" w:cs="Arial"/>
          <w:sz w:val="22"/>
        </w:rPr>
        <w:lastRenderedPageBreak/>
        <w:t>lived experiences (Shakespeare, 2018). These debates are important when considering its continuing relevance in person-centred care.</w:t>
      </w:r>
    </w:p>
    <w:p w14:paraId="2DC6CB01" w14:textId="1323AE76" w:rsidR="00014A52" w:rsidRPr="003604D9" w:rsidRDefault="00014A52" w:rsidP="003604D9">
      <w:pPr>
        <w:spacing w:before="100" w:beforeAutospacing="1" w:after="100" w:afterAutospacing="1" w:line="360" w:lineRule="auto"/>
        <w:rPr>
          <w:rFonts w:ascii="Arial" w:hAnsi="Arial" w:cs="Arial"/>
          <w:sz w:val="22"/>
        </w:rPr>
      </w:pPr>
      <w:r w:rsidRPr="00014A52">
        <w:rPr>
          <w:rFonts w:ascii="Arial" w:hAnsi="Arial" w:cs="Arial"/>
          <w:sz w:val="22"/>
        </w:rPr>
        <w:t>This essay critically evaluates the development of the Social Model of Disability, explores its application in health and social care policy and practice, examines critiques and responses, and presents recommendations for strengthening its contribution to person-centred care.</w:t>
      </w:r>
    </w:p>
    <w:p w14:paraId="3E66C2CD"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The Social Model of Disability emerged during the 1970s through disability activism, particularly through the work of the Union of the Physically Impaired Against Segregation (UPIAS). UPIAS argued disabled people were oppressed not primarily by impairment, but by the ways society was organised to exclude them (UPIAS, 1976). This was a radical challenge to dominant medical understandings of disability.</w:t>
      </w:r>
    </w:p>
    <w:p w14:paraId="074BF95C" w14:textId="42B3CB4F"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 xml:space="preserve">The medical model viewed disability as resulting from bodily deficit or dysfunction requiring intervention from professionals (Barnes and Mercer, 2010). This </w:t>
      </w:r>
      <w:proofErr w:type="gramStart"/>
      <w:r w:rsidRPr="00014A52">
        <w:rPr>
          <w:rFonts w:ascii="Arial" w:hAnsi="Arial" w:cs="Arial"/>
          <w:sz w:val="22"/>
        </w:rPr>
        <w:t>often reinforced</w:t>
      </w:r>
      <w:proofErr w:type="gramEnd"/>
      <w:r w:rsidRPr="00014A52">
        <w:rPr>
          <w:rFonts w:ascii="Arial" w:hAnsi="Arial" w:cs="Arial"/>
          <w:sz w:val="22"/>
        </w:rPr>
        <w:t xml:space="preserve"> dependency and professional control. Oliver (</w:t>
      </w:r>
      <w:r w:rsidR="00C4701B">
        <w:rPr>
          <w:rFonts w:ascii="Arial" w:hAnsi="Arial" w:cs="Arial"/>
          <w:sz w:val="22"/>
        </w:rPr>
        <w:t xml:space="preserve">Olivier, </w:t>
      </w:r>
      <w:r w:rsidRPr="00014A52">
        <w:rPr>
          <w:rFonts w:ascii="Arial" w:hAnsi="Arial" w:cs="Arial"/>
          <w:sz w:val="22"/>
        </w:rPr>
        <w:t>1990), however, argued disability should be understood as social oppression created through inaccessible environments, institutional barriers and discriminatory attitudes.</w:t>
      </w:r>
    </w:p>
    <w:p w14:paraId="08A9EB75"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A wheelchair user, for example, may be impaired, but becomes disabled through steps without ramps, inaccessible transport or exclusionary attitudes. This distinction between impairment and disability was fundamental to the model’s development.</w:t>
      </w:r>
    </w:p>
    <w:p w14:paraId="79BAA158"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Oliver (1996) was particularly influential in formalising the social model, while Finkelstein (1980) also argued disability was produced by social organisation rather than individual limitations. Together, these perspectives repositioned disability as a social justice issue.</w:t>
      </w:r>
    </w:p>
    <w:p w14:paraId="07CCB5DE" w14:textId="1318C064"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 xml:space="preserve">This had major implications for person-centred care. Rather than viewing disabled people as passive recipients of support, the model aligned with values of autonomy, empowerment and participation. As </w:t>
      </w:r>
      <w:r w:rsidR="00C4701B">
        <w:rPr>
          <w:rFonts w:ascii="Arial" w:hAnsi="Arial" w:cs="Arial"/>
          <w:sz w:val="22"/>
        </w:rPr>
        <w:t xml:space="preserve">Nolan </w:t>
      </w:r>
      <w:r w:rsidR="00057C72">
        <w:rPr>
          <w:rFonts w:ascii="Arial" w:hAnsi="Arial" w:cs="Arial"/>
          <w:sz w:val="22"/>
        </w:rPr>
        <w:t>(</w:t>
      </w:r>
      <w:r w:rsidRPr="00014A52">
        <w:rPr>
          <w:rFonts w:ascii="Arial" w:hAnsi="Arial" w:cs="Arial"/>
          <w:sz w:val="22"/>
        </w:rPr>
        <w:t>Nolan et al. 2004) suggest, person-centred care requires recognising individuals as experts in their own lives, a principle strongly reflected in social model thinking.</w:t>
      </w:r>
    </w:p>
    <w:p w14:paraId="5369B3BA" w14:textId="70F2404C"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 xml:space="preserve">However, despite its emancipatory contribution, the model has been criticised. One critique is that it can underplay the significance of impairment itself. Shakespeare </w:t>
      </w:r>
      <w:r w:rsidR="007848C5">
        <w:rPr>
          <w:rFonts w:ascii="Arial" w:hAnsi="Arial" w:cs="Arial"/>
          <w:sz w:val="22"/>
        </w:rPr>
        <w:t>(</w:t>
      </w:r>
      <w:r w:rsidR="007848C5" w:rsidRPr="00014A52">
        <w:rPr>
          <w:rFonts w:ascii="Arial" w:hAnsi="Arial" w:cs="Arial"/>
          <w:sz w:val="22"/>
        </w:rPr>
        <w:t xml:space="preserve">Shakespeare </w:t>
      </w:r>
      <w:r w:rsidR="007848C5">
        <w:rPr>
          <w:rFonts w:ascii="Arial" w:hAnsi="Arial" w:cs="Arial"/>
          <w:sz w:val="22"/>
        </w:rPr>
        <w:t>,</w:t>
      </w:r>
      <w:r w:rsidRPr="00014A52">
        <w:rPr>
          <w:rFonts w:ascii="Arial" w:hAnsi="Arial" w:cs="Arial"/>
          <w:sz w:val="22"/>
        </w:rPr>
        <w:t>2018) argues that while social barriers matter, disability cannot be understood without recognising pain, chronic illness and embodied realities.</w:t>
      </w:r>
    </w:p>
    <w:p w14:paraId="1920DB9C" w14:textId="4626C50D"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lastRenderedPageBreak/>
        <w:t>Hughes and Paterson (</w:t>
      </w:r>
      <w:r w:rsidR="007848C5" w:rsidRPr="00014A52">
        <w:rPr>
          <w:rFonts w:ascii="Arial" w:hAnsi="Arial" w:cs="Arial"/>
          <w:sz w:val="22"/>
        </w:rPr>
        <w:t>Hughes and Paterson</w:t>
      </w:r>
      <w:r w:rsidR="007848C5">
        <w:rPr>
          <w:rFonts w:ascii="Arial" w:hAnsi="Arial" w:cs="Arial"/>
          <w:sz w:val="22"/>
        </w:rPr>
        <w:t>,</w:t>
      </w:r>
      <w:r w:rsidRPr="00014A52">
        <w:rPr>
          <w:rFonts w:ascii="Arial" w:hAnsi="Arial" w:cs="Arial"/>
          <w:sz w:val="22"/>
        </w:rPr>
        <w:t>1997) extend this critique, suggesting the model risks producing a “disappearing body”, where impairment experiences become neglected. This is significant because it challenges whether disability can be explained solely through social barriers.</w:t>
      </w:r>
    </w:p>
    <w:p w14:paraId="1C95BEE0" w14:textId="77A4283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Another criticism is that the model can oversimplify disability through a rigid separation between impairment and disability. Thomas (</w:t>
      </w:r>
      <w:r w:rsidR="007848C5">
        <w:rPr>
          <w:rFonts w:ascii="Arial" w:hAnsi="Arial" w:cs="Arial"/>
          <w:sz w:val="22"/>
        </w:rPr>
        <w:t>Thoman,</w:t>
      </w:r>
      <w:r w:rsidRPr="00014A52">
        <w:rPr>
          <w:rFonts w:ascii="Arial" w:hAnsi="Arial" w:cs="Arial"/>
          <w:sz w:val="22"/>
        </w:rPr>
        <w:t>2007) argues disability often arises through interactions between body, environment and social structures rather than one factor alone.</w:t>
      </w:r>
    </w:p>
    <w:p w14:paraId="37C84AA0"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The model has also been criticised for insufficient attention to intersectionality. Early formulations often paid limited attention to how disability intersects with race, class, gender and ageing (Goodley, 2017). This may restrict the model’s ability to address layered forms of inequality.</w:t>
      </w:r>
    </w:p>
    <w:p w14:paraId="19E3BF42"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Some critics also question implementation. While the model has influenced rights-based policy, translating theory into practice has often proved difficult.</w:t>
      </w:r>
    </w:p>
    <w:p w14:paraId="512D065D" w14:textId="1E2FCFA2"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However, critiques have also contributed to the model’s development. Thomas’ (</w:t>
      </w:r>
      <w:r w:rsidR="007848C5">
        <w:rPr>
          <w:rFonts w:ascii="Arial" w:hAnsi="Arial" w:cs="Arial"/>
          <w:sz w:val="22"/>
        </w:rPr>
        <w:t xml:space="preserve">Thomas, </w:t>
      </w:r>
      <w:r w:rsidRPr="00014A52">
        <w:rPr>
          <w:rFonts w:ascii="Arial" w:hAnsi="Arial" w:cs="Arial"/>
          <w:sz w:val="22"/>
        </w:rPr>
        <w:t>2007) Social Relational Model incorporated psycho-emotional impacts of oppression, while the World Health Organization’s biopsychosocial framework recognised disability as shaped by interactions between health conditions and environments (WHO, 2001).</w:t>
      </w:r>
    </w:p>
    <w:p w14:paraId="475A1140"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Rather than undermining the model, these critiques have often strengthened it through critical refinement.</w:t>
      </w:r>
    </w:p>
    <w:p w14:paraId="31724697" w14:textId="77777777" w:rsidR="00014A52" w:rsidRDefault="00014A52" w:rsidP="004A5A64">
      <w:pPr>
        <w:spacing w:line="360" w:lineRule="auto"/>
        <w:rPr>
          <w:rFonts w:ascii="Arial" w:hAnsi="Arial" w:cs="Arial"/>
          <w:b/>
          <w:bCs/>
          <w:color w:val="0070C0"/>
          <w:sz w:val="23"/>
          <w:szCs w:val="23"/>
        </w:rPr>
      </w:pPr>
    </w:p>
    <w:p w14:paraId="21C51D6C" w14:textId="77777777" w:rsidR="00014A52" w:rsidRDefault="00014A52" w:rsidP="004A5A64">
      <w:pPr>
        <w:spacing w:line="360" w:lineRule="auto"/>
        <w:rPr>
          <w:rFonts w:ascii="Arial" w:hAnsi="Arial" w:cs="Arial"/>
          <w:b/>
          <w:bCs/>
          <w:color w:val="0070C0"/>
          <w:sz w:val="23"/>
          <w:szCs w:val="23"/>
        </w:rPr>
      </w:pPr>
    </w:p>
    <w:p w14:paraId="6EA7C0F5" w14:textId="77777777" w:rsidR="00014A52" w:rsidRDefault="00014A52" w:rsidP="004A5A64">
      <w:pPr>
        <w:spacing w:line="360" w:lineRule="auto"/>
        <w:rPr>
          <w:rFonts w:ascii="Arial" w:hAnsi="Arial" w:cs="Arial"/>
          <w:b/>
          <w:bCs/>
          <w:color w:val="0070C0"/>
          <w:sz w:val="23"/>
          <w:szCs w:val="23"/>
        </w:rPr>
      </w:pPr>
    </w:p>
    <w:p w14:paraId="58272980" w14:textId="77777777" w:rsidR="00014A52" w:rsidRPr="004A5A64" w:rsidRDefault="00014A52" w:rsidP="004A5A64">
      <w:pPr>
        <w:spacing w:line="360" w:lineRule="auto"/>
        <w:rPr>
          <w:rFonts w:ascii="Arial" w:hAnsi="Arial" w:cs="Arial"/>
          <w:b/>
          <w:bCs/>
          <w:color w:val="0070C0"/>
          <w:sz w:val="23"/>
          <w:szCs w:val="23"/>
        </w:rPr>
      </w:pPr>
    </w:p>
    <w:p w14:paraId="6D46818E" w14:textId="3B0CDC22" w:rsidR="006D2F2D" w:rsidRDefault="006D2F2D" w:rsidP="004A5A64">
      <w:pPr>
        <w:spacing w:line="360" w:lineRule="auto"/>
        <w:rPr>
          <w:rFonts w:ascii="Arial" w:hAnsi="Arial" w:cs="Arial"/>
          <w:b/>
          <w:bCs/>
          <w:sz w:val="23"/>
          <w:szCs w:val="23"/>
        </w:rPr>
      </w:pPr>
      <w:r w:rsidRPr="004A5A64">
        <w:rPr>
          <w:rFonts w:ascii="Arial" w:hAnsi="Arial" w:cs="Arial"/>
          <w:b/>
          <w:bCs/>
          <w:sz w:val="23"/>
          <w:szCs w:val="23"/>
        </w:rPr>
        <w:t xml:space="preserve">Application of the </w:t>
      </w:r>
      <w:r w:rsidR="00A14675" w:rsidRPr="004A5A64">
        <w:rPr>
          <w:rFonts w:ascii="Arial" w:hAnsi="Arial" w:cs="Arial"/>
          <w:b/>
          <w:bCs/>
          <w:sz w:val="23"/>
          <w:szCs w:val="23"/>
        </w:rPr>
        <w:t>concept</w:t>
      </w:r>
      <w:r w:rsidRPr="004A5A64">
        <w:rPr>
          <w:rFonts w:ascii="Arial" w:hAnsi="Arial" w:cs="Arial"/>
          <w:b/>
          <w:bCs/>
          <w:sz w:val="23"/>
          <w:szCs w:val="23"/>
        </w:rPr>
        <w:t xml:space="preserve"> in practice</w:t>
      </w:r>
    </w:p>
    <w:p w14:paraId="16C3B32E"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The Social Model of Disability has significantly influenced health and social care policy and practice, particularly through anti-discriminatory legislation, accessibility and person-centred approaches.</w:t>
      </w:r>
    </w:p>
    <w:p w14:paraId="6CBDB79C"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lastRenderedPageBreak/>
        <w:t>One major policy influence is the Equality Act 2010, which requires reasonable adjustments and seeks to reduce barriers experienced by disabled people. This reflects social model thinking by locating responsibility within society rather than individuals.</w:t>
      </w:r>
    </w:p>
    <w:p w14:paraId="4539DBF3"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Similarly, the Care Act 2014 promotes wellbeing, independence and personalisation, reflecting principles aligned with both person-centred care and the social model (Department of Health and Social Care, 2014).</w:t>
      </w:r>
    </w:p>
    <w:p w14:paraId="57B7D1EB"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Internationally, the United Nations Convention on the Rights of Persons with Disabilities frames disability as a human rights issue and promotes inclusion, accessibility and participation (United Nations, 2006).</w:t>
      </w:r>
    </w:p>
    <w:p w14:paraId="41FCF9A4" w14:textId="7C92D5DA"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However, while policy reflects social model principles, implementation can be uneven. As Beresford (</w:t>
      </w:r>
      <w:r w:rsidR="005E14C4">
        <w:rPr>
          <w:rFonts w:ascii="Arial" w:hAnsi="Arial" w:cs="Arial"/>
          <w:sz w:val="22"/>
        </w:rPr>
        <w:t xml:space="preserve">Beresford, </w:t>
      </w:r>
      <w:r w:rsidRPr="00014A52">
        <w:rPr>
          <w:rFonts w:ascii="Arial" w:hAnsi="Arial" w:cs="Arial"/>
          <w:sz w:val="22"/>
        </w:rPr>
        <w:t>2013) argues, there can be tension between empowerment rhetoric and managerial systems that constrain genuine autonomy.</w:t>
      </w:r>
    </w:p>
    <w:p w14:paraId="2101D72E"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In practice, person-centred planning reflects social model principles through collaborative decision-making, where service users are actively involved in care planning (Nolan et al., 2004).</w:t>
      </w:r>
    </w:p>
    <w:p w14:paraId="5EA8C7F1"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Accessibility initiatives such as assistive technologies, inclusive communication and environmental adaptation also demonstrate practical application of the model.</w:t>
      </w:r>
    </w:p>
    <w:p w14:paraId="0C0B464A"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Independent living approaches, including direct payments and personal budgets, similarly reflect social model values by supporting control and choice (Glasby and Littlechild, 2016).</w:t>
      </w:r>
    </w:p>
    <w:p w14:paraId="27944147"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Co-production has also become important in practice, involving disabled people in service design and evaluation.</w:t>
      </w:r>
    </w:p>
    <w:p w14:paraId="7D9903B3"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Yet important problems remain.</w:t>
      </w:r>
    </w:p>
    <w:p w14:paraId="722FF218"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One major issue is the gap between policy ideals and lived realities. While policies may promote inclusion, resource constraints can limit genuine person-centred support.</w:t>
      </w:r>
    </w:p>
    <w:p w14:paraId="34677D87"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Funding pressures, staff shortages and bureaucratic processes may restrict choice and participation.</w:t>
      </w:r>
    </w:p>
    <w:p w14:paraId="014772CC"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Medical dominance can also persist despite social model influence. Professional-led decision making may continue to undermine autonomy.</w:t>
      </w:r>
    </w:p>
    <w:p w14:paraId="2D0BABEA"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lastRenderedPageBreak/>
        <w:t>Tokenistic participation is another concern. While service users may be consulted, consultation does not always equate to meaningful power-sharing.</w:t>
      </w:r>
    </w:p>
    <w:p w14:paraId="33CF0581" w14:textId="148465D3"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As Goodley (</w:t>
      </w:r>
      <w:r w:rsidR="005E14C4">
        <w:rPr>
          <w:rFonts w:ascii="Arial" w:hAnsi="Arial" w:cs="Arial"/>
          <w:sz w:val="22"/>
        </w:rPr>
        <w:t xml:space="preserve">Goodley, </w:t>
      </w:r>
      <w:r w:rsidRPr="00014A52">
        <w:rPr>
          <w:rFonts w:ascii="Arial" w:hAnsi="Arial" w:cs="Arial"/>
          <w:sz w:val="22"/>
        </w:rPr>
        <w:t>2017) argues, structural inequalities remain embedded in many systems, suggesting social model principles are often only partially realised.</w:t>
      </w:r>
    </w:p>
    <w:p w14:paraId="2812EE82"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This raises a critical issue: the challenge may lie less in the inadequacy of the social model itself and more in inconsistent implementation.</w:t>
      </w:r>
    </w:p>
    <w:p w14:paraId="12A02B97" w14:textId="77777777" w:rsidR="00014A52" w:rsidRDefault="00014A52" w:rsidP="004A5A64">
      <w:pPr>
        <w:spacing w:line="360" w:lineRule="auto"/>
        <w:rPr>
          <w:rFonts w:ascii="Arial" w:hAnsi="Arial" w:cs="Arial"/>
          <w:b/>
          <w:bCs/>
          <w:sz w:val="23"/>
          <w:szCs w:val="23"/>
        </w:rPr>
      </w:pPr>
    </w:p>
    <w:p w14:paraId="2B9FA1C4" w14:textId="77777777" w:rsidR="00014A52" w:rsidRDefault="00014A52" w:rsidP="004A5A64">
      <w:pPr>
        <w:spacing w:line="360" w:lineRule="auto"/>
        <w:rPr>
          <w:rFonts w:ascii="Arial" w:hAnsi="Arial" w:cs="Arial"/>
          <w:b/>
          <w:bCs/>
          <w:sz w:val="23"/>
          <w:szCs w:val="23"/>
        </w:rPr>
      </w:pPr>
    </w:p>
    <w:p w14:paraId="747B5348" w14:textId="77777777" w:rsidR="00014A52" w:rsidRDefault="00014A52" w:rsidP="004A5A64">
      <w:pPr>
        <w:spacing w:line="360" w:lineRule="auto"/>
        <w:rPr>
          <w:rFonts w:ascii="Arial" w:hAnsi="Arial" w:cs="Arial"/>
          <w:b/>
          <w:bCs/>
          <w:sz w:val="23"/>
          <w:szCs w:val="23"/>
        </w:rPr>
      </w:pPr>
    </w:p>
    <w:p w14:paraId="6677A361" w14:textId="77777777" w:rsidR="00014A52" w:rsidRPr="004A5A64" w:rsidRDefault="00014A52" w:rsidP="004A5A64">
      <w:pPr>
        <w:spacing w:line="360" w:lineRule="auto"/>
        <w:rPr>
          <w:rFonts w:ascii="Arial" w:hAnsi="Arial" w:cs="Arial"/>
          <w:b/>
          <w:bCs/>
          <w:sz w:val="23"/>
          <w:szCs w:val="23"/>
        </w:rPr>
      </w:pPr>
    </w:p>
    <w:p w14:paraId="72FFECFB" w14:textId="1B09A3F7" w:rsidR="006D2F2D" w:rsidRDefault="006D2F2D" w:rsidP="004A5A64">
      <w:pPr>
        <w:spacing w:line="360" w:lineRule="auto"/>
        <w:rPr>
          <w:rFonts w:ascii="Arial" w:hAnsi="Arial" w:cs="Arial"/>
          <w:b/>
          <w:bCs/>
          <w:sz w:val="23"/>
          <w:szCs w:val="23"/>
        </w:rPr>
      </w:pPr>
      <w:r w:rsidRPr="004A5A64">
        <w:rPr>
          <w:rFonts w:ascii="Arial" w:hAnsi="Arial" w:cs="Arial"/>
          <w:b/>
          <w:bCs/>
          <w:sz w:val="23"/>
          <w:szCs w:val="23"/>
        </w:rPr>
        <w:t>Recommendations for</w:t>
      </w:r>
      <w:r w:rsidR="003E4ED4" w:rsidRPr="004A5A64">
        <w:rPr>
          <w:rFonts w:ascii="Arial" w:hAnsi="Arial" w:cs="Arial"/>
          <w:b/>
          <w:bCs/>
          <w:sz w:val="23"/>
          <w:szCs w:val="23"/>
        </w:rPr>
        <w:t xml:space="preserve"> policy</w:t>
      </w:r>
      <w:r w:rsidRPr="004A5A64">
        <w:rPr>
          <w:rFonts w:ascii="Arial" w:hAnsi="Arial" w:cs="Arial"/>
          <w:b/>
          <w:bCs/>
          <w:sz w:val="23"/>
          <w:szCs w:val="23"/>
        </w:rPr>
        <w:t xml:space="preserve"> and practice</w:t>
      </w:r>
    </w:p>
    <w:p w14:paraId="4E0CD7F9"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Based on the discussion throughout this essay, several recommendations can be made to strengthen the contribution of the Social Model of Disability to person-centred care in health and social care policy and practice. While the model has had significant influence in promoting rights, inclusion and empowerment, challenges remain in translating these principles consistently into practice. The following recommendations focus on addressing those gaps and improving outcomes for disabled people.</w:t>
      </w:r>
    </w:p>
    <w:p w14:paraId="5DC6400D"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Firstly, co-production should be embedded as genuine power-sharing rather than tokenistic consultation. Although many services claim to involve service users in planning and decision-making, this involvement can sometimes be limited to consultation processes where disabled people have little real influence. Genuine co-production goes beyond seeking opinions; it involves disabled people working in partnership with professionals as equal contributors in designing, delivering and evaluating services (Beresford, 2013). Embedding co-production more effectively would support person-centred care by ensuring services reflect lived experience and individual priorities rather than being driven solely by professional or organisational assumptions. This could be supported through involving disabled people in policy development, service commissioning, advisory groups and leadership roles. In doing so, services would move closer to the empowerment and participation promoted by the Social Model of Disability.</w:t>
      </w:r>
    </w:p>
    <w:p w14:paraId="19940F56"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lastRenderedPageBreak/>
        <w:t>Secondly, workforce education and professional development should place stronger emphasis on disability rights, anti-oppressive practice and critical disability studies perspectives. Although many practitioners are committed to person-centred approaches, practice can still be influenced by medicalised assumptions that position disabled people as dependent or lacking capacity. Greater education in social model principles could help challenge these assumptions and promote more inclusive practice (Goodley, 2017). Training should go beyond awareness raising and include reflective learning that helps practitioners critically examine power relations, discrimination and unconscious bias. It should also support professionals to develop communication skills, collaborative decision-making approaches and understanding of reasonable adjustments. Ongoing professional development in these areas could strengthen person-centred practice by ensuring care is shaped by partnership rather than paternalism.</w:t>
      </w:r>
    </w:p>
    <w:p w14:paraId="601D1D33"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Thirdly, greater investment is needed to improve accessibility across health and social care systems. Although inclusion is often promoted at policy level, many disabled people continue to encounter barriers in physical environments, digital systems and communication processes. Inaccessible buildings, transport difficulties, poorly designed services and lack of communication support can all undermine person-centred care by limiting participation. Therefore, accessibility should be prioritised through investment in inclusive environments, assistive technologies, accessible information and universal design principles (Oliver, 1990). This may include improving physical access to services, providing information in alternative formats such as Easy Read or Braille, strengthening digital inclusion and ensuring communication support such as interpreters is available where needed. Importantly, accessibility should not be viewed as an optional adjustment but as a fundamental requirement for equitable and person-centred care.</w:t>
      </w:r>
    </w:p>
    <w:p w14:paraId="57F607E4"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 xml:space="preserve">Fourthly, policy and practice should adopt more holistic approaches that combine social model principles with recognition of impairment-related realities. While the Social Model of Disability has been crucial in challenging social barriers, critiques have highlighted the importance of recognising pain, chronic illness, fatigue and fluctuating conditions that may also affect people’s lives (Shakespeare, 2018). A more nuanced approach that acknowledges both disabling barriers and impairment-related experiences may better support genuinely person-centred care. This could involve integrating social model principles with holistic assessment approaches that consider both social inclusion and support needs. Such an approach would not weaken the social </w:t>
      </w:r>
      <w:proofErr w:type="gramStart"/>
      <w:r w:rsidRPr="00014A52">
        <w:rPr>
          <w:rFonts w:ascii="Arial" w:hAnsi="Arial" w:cs="Arial"/>
          <w:sz w:val="22"/>
        </w:rPr>
        <w:t>model, but</w:t>
      </w:r>
      <w:proofErr w:type="gramEnd"/>
      <w:r w:rsidRPr="00014A52">
        <w:rPr>
          <w:rFonts w:ascii="Arial" w:hAnsi="Arial" w:cs="Arial"/>
          <w:sz w:val="22"/>
        </w:rPr>
        <w:t xml:space="preserve"> rather reflect its continued development and responsiveness to critique. It would also better support individuals whose experiences may not fit neatly within a purely structural understanding of disability.</w:t>
      </w:r>
    </w:p>
    <w:p w14:paraId="149991EB"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lastRenderedPageBreak/>
        <w:t>Fifthly, stronger accountability measures are needed to ensure policies promoting inclusion and personalisation are implemented meaningfully rather than remaining aspirational. Although legislation such as the Care Act 2014 and Equality Act 2010 reflects social model principles, implementation can be inconsistent due to resource pressures, organisational cultures and weak monitoring mechanisms. There is therefore a need for stronger systems of accountability to ensure policy commitments translate into practice. This could involve improved monitoring of accessibility standards, stronger enforcement of equality duties and greater evaluation of whether person-centred outcomes are being achieved. Outcome measures should focus not only on service efficiency, but also on autonomy, participation and quality of life for disabled people. Strengthening accountability would help reduce the gap between policy rhetoric and lived experience.</w:t>
      </w:r>
    </w:p>
    <w:p w14:paraId="627FA0E9"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Sixthly, greater attention should be given to intersectionality within health and social care policy and practice. Traditional applications of the Social Model have been criticised for insufficiently recognising how disability intersects with other forms of inequality such as race, gender, class and ageing (Goodley, 2017). Yet these intersections can significantly shape experiences of exclusion and access to care. Person-centred care should therefore move beyond one-dimensional understandings of disability and adopt more intersectional approaches that recognise multiple and overlapping forms of disadvantage. This may involve developing more culturally responsive services, addressing structural inequalities and ensuring support is responsive to diverse experiences. Incorporating intersectionality would strengthen both social model application and person-centred care by making practice more inclusive and equitable.</w:t>
      </w:r>
    </w:p>
    <w:p w14:paraId="554D01DB"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Finally, greater investment in independent living support should remain a priority within policy and practice. One of the central aims of the Social Model of Disability has been to promote autonomy and challenge dependency. However, funding pressures and service reductions can undermine opportunities for disabled people to exercise control over their lives. Strengthening independent living support through adequate funding for personal assistance, direct payments and community-based support services would help promote the principles of choice and self-determination central to person-centred care (Glasby and Littlechild, 2016). Supporting independent living is not only a practical intervention but also a reflection of rights-based and emancipatory approaches to disability.</w:t>
      </w:r>
    </w:p>
    <w:p w14:paraId="064D0807"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 xml:space="preserve">Overall, these recommendations move beyond simple compliance with legislation and focus on achieving structural and cultural change within health and social care systems. Strengthening co-production, workforce education, accessibility, accountability, </w:t>
      </w:r>
      <w:r w:rsidRPr="00014A52">
        <w:rPr>
          <w:rFonts w:ascii="Arial" w:hAnsi="Arial" w:cs="Arial"/>
          <w:sz w:val="22"/>
        </w:rPr>
        <w:lastRenderedPageBreak/>
        <w:t>intersectionality and independent living support would help ensure the principles of the Social Model of Disability are more fully realised in practice. In doing so, these recommendations support more inclusive, empowering and genuinely person-centred approaches to care.</w:t>
      </w:r>
    </w:p>
    <w:p w14:paraId="5381A078" w14:textId="77777777" w:rsidR="00014A52" w:rsidRDefault="00014A52" w:rsidP="004A5A64">
      <w:pPr>
        <w:spacing w:line="360" w:lineRule="auto"/>
        <w:rPr>
          <w:rFonts w:ascii="Arial" w:hAnsi="Arial" w:cs="Arial"/>
          <w:b/>
          <w:bCs/>
          <w:sz w:val="23"/>
          <w:szCs w:val="23"/>
        </w:rPr>
      </w:pPr>
    </w:p>
    <w:p w14:paraId="2F1A1AE0" w14:textId="77777777" w:rsidR="00014A52" w:rsidRDefault="00014A52" w:rsidP="004A5A64">
      <w:pPr>
        <w:spacing w:line="360" w:lineRule="auto"/>
        <w:rPr>
          <w:rFonts w:ascii="Arial" w:hAnsi="Arial" w:cs="Arial"/>
          <w:b/>
          <w:bCs/>
          <w:sz w:val="23"/>
          <w:szCs w:val="23"/>
        </w:rPr>
      </w:pPr>
    </w:p>
    <w:p w14:paraId="016E07BB" w14:textId="77777777" w:rsidR="00014A52" w:rsidRPr="004A5A64" w:rsidRDefault="00014A52" w:rsidP="004A5A64">
      <w:pPr>
        <w:spacing w:line="360" w:lineRule="auto"/>
        <w:rPr>
          <w:rFonts w:ascii="Arial" w:hAnsi="Arial" w:cs="Arial"/>
          <w:b/>
          <w:bCs/>
          <w:sz w:val="23"/>
          <w:szCs w:val="23"/>
        </w:rPr>
      </w:pPr>
    </w:p>
    <w:p w14:paraId="5A4D465C" w14:textId="77777777" w:rsidR="006524ED" w:rsidRPr="004A5A64" w:rsidRDefault="006D2F2D" w:rsidP="004A5A64">
      <w:pPr>
        <w:spacing w:line="360" w:lineRule="auto"/>
        <w:rPr>
          <w:rFonts w:ascii="Arial" w:hAnsi="Arial" w:cs="Arial"/>
          <w:b/>
          <w:bCs/>
          <w:sz w:val="23"/>
          <w:szCs w:val="23"/>
        </w:rPr>
      </w:pPr>
      <w:r w:rsidRPr="004A5A64">
        <w:rPr>
          <w:rFonts w:ascii="Arial" w:hAnsi="Arial" w:cs="Arial"/>
          <w:b/>
          <w:bCs/>
          <w:sz w:val="23"/>
          <w:szCs w:val="23"/>
        </w:rPr>
        <w:t>Conclusion</w:t>
      </w:r>
    </w:p>
    <w:p w14:paraId="1CD4552B"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The Social Model of Disability has been one of the most influential concepts underpinning person-centred care because it transformed understandings of disability from individual deficit to social oppression. Its emphasis on removing barriers, promoting rights and empowering individuals aligns strongly with person-centred values.</w:t>
      </w:r>
    </w:p>
    <w:p w14:paraId="18D40161"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This essay has critically evaluated the development of the model, showing how it emerged through disability activism as a challenge to medicalised understandings of disability. It has also explored critiques concerning impairment, complexity and implementation, while recognising these critiques have contributed to the model’s evolution.</w:t>
      </w:r>
    </w:p>
    <w:p w14:paraId="1845A6E7"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The discussion has demonstrated the model’s significant influence on policy and practice, particularly through anti-discriminatory legislation, accessibility, co-production and personalised support. However, tensions remain between policy rhetoric and lived realities.</w:t>
      </w:r>
    </w:p>
    <w:p w14:paraId="4320BC64"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Overall, the Social Model of Disability remains a powerful foundation for person-centred care. However, its continuing relevance depends not on uncritical acceptance, but on continued critical development and stronger implementation within health and social care policy and practice.</w:t>
      </w:r>
    </w:p>
    <w:p w14:paraId="6191299C" w14:textId="77777777" w:rsidR="006524ED" w:rsidRPr="004A5A64" w:rsidRDefault="006524ED" w:rsidP="004A5A64">
      <w:pPr>
        <w:pStyle w:val="ListParagraph"/>
        <w:spacing w:line="360" w:lineRule="auto"/>
        <w:ind w:left="0"/>
        <w:rPr>
          <w:rFonts w:ascii="Arial" w:hAnsi="Arial" w:cs="Arial"/>
          <w:sz w:val="23"/>
          <w:szCs w:val="23"/>
        </w:rPr>
      </w:pPr>
    </w:p>
    <w:p w14:paraId="3C5AC4C5" w14:textId="77777777" w:rsidR="003E4ED4" w:rsidRDefault="003E4ED4" w:rsidP="004A5A64">
      <w:pPr>
        <w:spacing w:line="360" w:lineRule="auto"/>
        <w:rPr>
          <w:rFonts w:ascii="Arial" w:hAnsi="Arial" w:cs="Arial"/>
          <w:b/>
          <w:bCs/>
          <w:sz w:val="23"/>
          <w:szCs w:val="23"/>
        </w:rPr>
      </w:pPr>
    </w:p>
    <w:p w14:paraId="2A5120D0" w14:textId="77777777" w:rsidR="003604D9" w:rsidRDefault="003604D9" w:rsidP="004A5A64">
      <w:pPr>
        <w:spacing w:line="360" w:lineRule="auto"/>
        <w:rPr>
          <w:rFonts w:ascii="Arial" w:hAnsi="Arial" w:cs="Arial"/>
          <w:b/>
          <w:bCs/>
          <w:sz w:val="23"/>
          <w:szCs w:val="23"/>
        </w:rPr>
      </w:pPr>
    </w:p>
    <w:p w14:paraId="7D811C3F" w14:textId="77777777" w:rsidR="003604D9" w:rsidRDefault="003604D9" w:rsidP="004A5A64">
      <w:pPr>
        <w:spacing w:line="360" w:lineRule="auto"/>
        <w:rPr>
          <w:rFonts w:ascii="Arial" w:hAnsi="Arial" w:cs="Arial"/>
          <w:b/>
          <w:bCs/>
          <w:sz w:val="23"/>
          <w:szCs w:val="23"/>
        </w:rPr>
      </w:pPr>
    </w:p>
    <w:p w14:paraId="0713CC97" w14:textId="77777777" w:rsidR="003604D9" w:rsidRDefault="003604D9" w:rsidP="004A5A64">
      <w:pPr>
        <w:spacing w:line="360" w:lineRule="auto"/>
        <w:rPr>
          <w:rFonts w:ascii="Arial" w:hAnsi="Arial" w:cs="Arial"/>
          <w:b/>
          <w:bCs/>
          <w:sz w:val="23"/>
          <w:szCs w:val="23"/>
        </w:rPr>
      </w:pPr>
    </w:p>
    <w:p w14:paraId="140FEFC1" w14:textId="77777777" w:rsidR="003604D9" w:rsidRDefault="003604D9" w:rsidP="004A5A64">
      <w:pPr>
        <w:spacing w:line="360" w:lineRule="auto"/>
        <w:rPr>
          <w:rFonts w:ascii="Arial" w:hAnsi="Arial" w:cs="Arial"/>
          <w:b/>
          <w:bCs/>
          <w:sz w:val="23"/>
          <w:szCs w:val="23"/>
        </w:rPr>
      </w:pPr>
    </w:p>
    <w:p w14:paraId="7D672A4A" w14:textId="77777777" w:rsidR="003604D9" w:rsidRPr="004A5A64" w:rsidRDefault="003604D9" w:rsidP="004A5A64">
      <w:pPr>
        <w:spacing w:line="360" w:lineRule="auto"/>
        <w:rPr>
          <w:rFonts w:ascii="Arial" w:hAnsi="Arial" w:cs="Arial"/>
          <w:b/>
          <w:bCs/>
          <w:sz w:val="23"/>
          <w:szCs w:val="23"/>
        </w:rPr>
      </w:pPr>
    </w:p>
    <w:p w14:paraId="5A789721" w14:textId="6FF6B22D" w:rsidR="006D2F2D" w:rsidRPr="004A5A64" w:rsidRDefault="006D2F2D" w:rsidP="004A5A64">
      <w:pPr>
        <w:spacing w:line="360" w:lineRule="auto"/>
        <w:rPr>
          <w:rFonts w:ascii="Arial" w:hAnsi="Arial" w:cs="Arial"/>
          <w:b/>
          <w:bCs/>
          <w:sz w:val="23"/>
          <w:szCs w:val="23"/>
        </w:rPr>
      </w:pPr>
      <w:r w:rsidRPr="004A5A64">
        <w:rPr>
          <w:rFonts w:ascii="Arial" w:hAnsi="Arial" w:cs="Arial"/>
          <w:b/>
          <w:bCs/>
          <w:sz w:val="23"/>
          <w:szCs w:val="23"/>
        </w:rPr>
        <w:t>Reference</w:t>
      </w:r>
      <w:r w:rsidR="003E4ED4" w:rsidRPr="004A5A64">
        <w:rPr>
          <w:rFonts w:ascii="Arial" w:hAnsi="Arial" w:cs="Arial"/>
          <w:b/>
          <w:bCs/>
          <w:sz w:val="23"/>
          <w:szCs w:val="23"/>
        </w:rPr>
        <w:t>s</w:t>
      </w:r>
    </w:p>
    <w:bookmarkEnd w:id="0"/>
    <w:p w14:paraId="369A1113" w14:textId="4F8DE729"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 xml:space="preserve">Barnes, C. and Mercer, G. (2010) </w:t>
      </w:r>
      <w:r w:rsidRPr="00014A52">
        <w:rPr>
          <w:rFonts w:ascii="Arial" w:hAnsi="Arial" w:cs="Arial"/>
          <w:i/>
          <w:iCs/>
          <w:sz w:val="22"/>
        </w:rPr>
        <w:t>Exploring Disability.</w:t>
      </w:r>
      <w:r w:rsidRPr="00014A52">
        <w:rPr>
          <w:rFonts w:ascii="Arial" w:hAnsi="Arial" w:cs="Arial"/>
          <w:sz w:val="22"/>
        </w:rPr>
        <w:t xml:space="preserve"> Cambridge: Polity.</w:t>
      </w:r>
    </w:p>
    <w:p w14:paraId="2C8E5555"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 xml:space="preserve">Beresford, P. (2013) </w:t>
      </w:r>
      <w:r w:rsidRPr="00014A52">
        <w:rPr>
          <w:rFonts w:ascii="Arial" w:hAnsi="Arial" w:cs="Arial"/>
          <w:i/>
          <w:iCs/>
          <w:sz w:val="22"/>
        </w:rPr>
        <w:t xml:space="preserve">From Other </w:t>
      </w:r>
      <w:proofErr w:type="spellStart"/>
      <w:r w:rsidRPr="00014A52">
        <w:rPr>
          <w:rFonts w:ascii="Arial" w:hAnsi="Arial" w:cs="Arial"/>
          <w:i/>
          <w:iCs/>
          <w:sz w:val="22"/>
        </w:rPr>
        <w:t>to</w:t>
      </w:r>
      <w:proofErr w:type="spellEnd"/>
      <w:r w:rsidRPr="00014A52">
        <w:rPr>
          <w:rFonts w:ascii="Arial" w:hAnsi="Arial" w:cs="Arial"/>
          <w:i/>
          <w:iCs/>
          <w:sz w:val="22"/>
        </w:rPr>
        <w:t xml:space="preserve"> Involved.</w:t>
      </w:r>
      <w:r w:rsidRPr="00014A52">
        <w:rPr>
          <w:rFonts w:ascii="Arial" w:hAnsi="Arial" w:cs="Arial"/>
          <w:sz w:val="22"/>
        </w:rPr>
        <w:t xml:space="preserve"> Bristol: Policy Press.</w:t>
      </w:r>
    </w:p>
    <w:p w14:paraId="6B6C69EE"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 xml:space="preserve">Department of Health and Social Care (2014) </w:t>
      </w:r>
      <w:r w:rsidRPr="00014A52">
        <w:rPr>
          <w:rFonts w:ascii="Arial" w:hAnsi="Arial" w:cs="Arial"/>
          <w:i/>
          <w:iCs/>
          <w:sz w:val="22"/>
        </w:rPr>
        <w:t>Care Act 2014.</w:t>
      </w:r>
      <w:r w:rsidRPr="00014A52">
        <w:rPr>
          <w:rFonts w:ascii="Arial" w:hAnsi="Arial" w:cs="Arial"/>
          <w:sz w:val="22"/>
        </w:rPr>
        <w:t xml:space="preserve"> London: HMSO.</w:t>
      </w:r>
    </w:p>
    <w:p w14:paraId="3928B750"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 xml:space="preserve">Finkelstein, V. (1980) </w:t>
      </w:r>
      <w:r w:rsidRPr="00014A52">
        <w:rPr>
          <w:rFonts w:ascii="Arial" w:hAnsi="Arial" w:cs="Arial"/>
          <w:i/>
          <w:iCs/>
          <w:sz w:val="22"/>
        </w:rPr>
        <w:t>Attitudes and Disabled People.</w:t>
      </w:r>
      <w:r w:rsidRPr="00014A52">
        <w:rPr>
          <w:rFonts w:ascii="Arial" w:hAnsi="Arial" w:cs="Arial"/>
          <w:sz w:val="22"/>
        </w:rPr>
        <w:t xml:space="preserve"> New York: World Rehabilitation Fund.</w:t>
      </w:r>
    </w:p>
    <w:p w14:paraId="6A0D4875"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 xml:space="preserve">Glasby, J. and Littlechild, R. (2016) </w:t>
      </w:r>
      <w:r w:rsidRPr="00014A52">
        <w:rPr>
          <w:rFonts w:ascii="Arial" w:hAnsi="Arial" w:cs="Arial"/>
          <w:i/>
          <w:iCs/>
          <w:sz w:val="22"/>
        </w:rPr>
        <w:t>Direct Payments and Personal Budgets.</w:t>
      </w:r>
      <w:r w:rsidRPr="00014A52">
        <w:rPr>
          <w:rFonts w:ascii="Arial" w:hAnsi="Arial" w:cs="Arial"/>
          <w:sz w:val="22"/>
        </w:rPr>
        <w:t xml:space="preserve"> Bristol: Policy Press.</w:t>
      </w:r>
    </w:p>
    <w:p w14:paraId="1AA1ACE3"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 xml:space="preserve">Goodley, D. (2017) </w:t>
      </w:r>
      <w:r w:rsidRPr="00014A52">
        <w:rPr>
          <w:rFonts w:ascii="Arial" w:hAnsi="Arial" w:cs="Arial"/>
          <w:i/>
          <w:iCs/>
          <w:sz w:val="22"/>
        </w:rPr>
        <w:t>Disability Studies.</w:t>
      </w:r>
      <w:r w:rsidRPr="00014A52">
        <w:rPr>
          <w:rFonts w:ascii="Arial" w:hAnsi="Arial" w:cs="Arial"/>
          <w:sz w:val="22"/>
        </w:rPr>
        <w:t xml:space="preserve"> London: Sage.</w:t>
      </w:r>
    </w:p>
    <w:p w14:paraId="47724805"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 xml:space="preserve">Hughes, B. and Paterson, K. (1997) ‘The Social Model of Disability and the Disappearing Body’, </w:t>
      </w:r>
      <w:r w:rsidRPr="00014A52">
        <w:rPr>
          <w:rFonts w:ascii="Arial" w:hAnsi="Arial" w:cs="Arial"/>
          <w:i/>
          <w:iCs/>
          <w:sz w:val="22"/>
        </w:rPr>
        <w:t>Disability &amp; Society</w:t>
      </w:r>
      <w:r w:rsidRPr="00014A52">
        <w:rPr>
          <w:rFonts w:ascii="Arial" w:hAnsi="Arial" w:cs="Arial"/>
          <w:sz w:val="22"/>
        </w:rPr>
        <w:t>, 12(3), pp.325–340.</w:t>
      </w:r>
    </w:p>
    <w:p w14:paraId="0641D391" w14:textId="77777777" w:rsidR="00014A52" w:rsidRPr="00014A52" w:rsidRDefault="00014A52" w:rsidP="00014A52">
      <w:pPr>
        <w:spacing w:before="100" w:beforeAutospacing="1" w:after="100" w:afterAutospacing="1" w:line="360" w:lineRule="auto"/>
        <w:rPr>
          <w:rFonts w:ascii="Arial" w:hAnsi="Arial" w:cs="Arial"/>
          <w:sz w:val="22"/>
        </w:rPr>
      </w:pPr>
      <w:proofErr w:type="spellStart"/>
      <w:r w:rsidRPr="00014A52">
        <w:rPr>
          <w:rFonts w:ascii="Arial" w:hAnsi="Arial" w:cs="Arial"/>
          <w:sz w:val="22"/>
        </w:rPr>
        <w:t>Kitwood</w:t>
      </w:r>
      <w:proofErr w:type="spellEnd"/>
      <w:r w:rsidRPr="00014A52">
        <w:rPr>
          <w:rFonts w:ascii="Arial" w:hAnsi="Arial" w:cs="Arial"/>
          <w:sz w:val="22"/>
        </w:rPr>
        <w:t xml:space="preserve">, T. (1997) </w:t>
      </w:r>
      <w:r w:rsidRPr="00014A52">
        <w:rPr>
          <w:rFonts w:ascii="Arial" w:hAnsi="Arial" w:cs="Arial"/>
          <w:i/>
          <w:iCs/>
          <w:sz w:val="22"/>
        </w:rPr>
        <w:t>Dementia Reconsidered.</w:t>
      </w:r>
      <w:r w:rsidRPr="00014A52">
        <w:rPr>
          <w:rFonts w:ascii="Arial" w:hAnsi="Arial" w:cs="Arial"/>
          <w:sz w:val="22"/>
        </w:rPr>
        <w:t xml:space="preserve"> Buckingham: Open University Press.</w:t>
      </w:r>
    </w:p>
    <w:p w14:paraId="265E1CCC"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 xml:space="preserve">Nolan, M. et al. (2004) ‘Beyond person-centred care’, </w:t>
      </w:r>
      <w:r w:rsidRPr="00014A52">
        <w:rPr>
          <w:rFonts w:ascii="Arial" w:hAnsi="Arial" w:cs="Arial"/>
          <w:i/>
          <w:iCs/>
          <w:sz w:val="22"/>
        </w:rPr>
        <w:t>Journal of Clinical Nursing</w:t>
      </w:r>
      <w:r w:rsidRPr="00014A52">
        <w:rPr>
          <w:rFonts w:ascii="Arial" w:hAnsi="Arial" w:cs="Arial"/>
          <w:sz w:val="22"/>
        </w:rPr>
        <w:t>, 13(3a), pp.45–53.</w:t>
      </w:r>
    </w:p>
    <w:p w14:paraId="03837DA7"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 xml:space="preserve">Oliver, M. (1990) </w:t>
      </w:r>
      <w:r w:rsidRPr="00014A52">
        <w:rPr>
          <w:rFonts w:ascii="Arial" w:hAnsi="Arial" w:cs="Arial"/>
          <w:i/>
          <w:iCs/>
          <w:sz w:val="22"/>
        </w:rPr>
        <w:t>The Politics of Disablement.</w:t>
      </w:r>
      <w:r w:rsidRPr="00014A52">
        <w:rPr>
          <w:rFonts w:ascii="Arial" w:hAnsi="Arial" w:cs="Arial"/>
          <w:sz w:val="22"/>
        </w:rPr>
        <w:t xml:space="preserve"> London: Macmillan.</w:t>
      </w:r>
    </w:p>
    <w:p w14:paraId="66782457"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 xml:space="preserve">Oliver, M. (1996) </w:t>
      </w:r>
      <w:r w:rsidRPr="00014A52">
        <w:rPr>
          <w:rFonts w:ascii="Arial" w:hAnsi="Arial" w:cs="Arial"/>
          <w:i/>
          <w:iCs/>
          <w:sz w:val="22"/>
        </w:rPr>
        <w:t>Understanding Disability.</w:t>
      </w:r>
      <w:r w:rsidRPr="00014A52">
        <w:rPr>
          <w:rFonts w:ascii="Arial" w:hAnsi="Arial" w:cs="Arial"/>
          <w:sz w:val="22"/>
        </w:rPr>
        <w:t xml:space="preserve"> London: Macmillan.</w:t>
      </w:r>
    </w:p>
    <w:p w14:paraId="2A17120C"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 xml:space="preserve">Shakespeare, T. (2018) </w:t>
      </w:r>
      <w:r w:rsidRPr="00014A52">
        <w:rPr>
          <w:rFonts w:ascii="Arial" w:hAnsi="Arial" w:cs="Arial"/>
          <w:i/>
          <w:iCs/>
          <w:sz w:val="22"/>
        </w:rPr>
        <w:t>Disability: The Basics.</w:t>
      </w:r>
      <w:r w:rsidRPr="00014A52">
        <w:rPr>
          <w:rFonts w:ascii="Arial" w:hAnsi="Arial" w:cs="Arial"/>
          <w:sz w:val="22"/>
        </w:rPr>
        <w:t xml:space="preserve"> London: Routledge.</w:t>
      </w:r>
    </w:p>
    <w:p w14:paraId="521C142D"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 xml:space="preserve">Thomas, C. (2007) </w:t>
      </w:r>
      <w:r w:rsidRPr="00014A52">
        <w:rPr>
          <w:rFonts w:ascii="Arial" w:hAnsi="Arial" w:cs="Arial"/>
          <w:i/>
          <w:iCs/>
          <w:sz w:val="22"/>
        </w:rPr>
        <w:t>Sociologies of Disability.</w:t>
      </w:r>
      <w:r w:rsidRPr="00014A52">
        <w:rPr>
          <w:rFonts w:ascii="Arial" w:hAnsi="Arial" w:cs="Arial"/>
          <w:sz w:val="22"/>
        </w:rPr>
        <w:t xml:space="preserve"> Basingstoke: Palgrave.</w:t>
      </w:r>
    </w:p>
    <w:p w14:paraId="1A3ED692"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 xml:space="preserve">United Nations (2006) </w:t>
      </w:r>
      <w:r w:rsidRPr="00014A52">
        <w:rPr>
          <w:rFonts w:ascii="Arial" w:hAnsi="Arial" w:cs="Arial"/>
          <w:i/>
          <w:iCs/>
          <w:sz w:val="22"/>
        </w:rPr>
        <w:t>Convention on the Rights of Persons with Disabilities.</w:t>
      </w:r>
      <w:r w:rsidRPr="00014A52">
        <w:rPr>
          <w:rFonts w:ascii="Arial" w:hAnsi="Arial" w:cs="Arial"/>
          <w:sz w:val="22"/>
        </w:rPr>
        <w:t xml:space="preserve"> New York: United Nations.</w:t>
      </w:r>
    </w:p>
    <w:p w14:paraId="77BA58CE"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 xml:space="preserve">UPIAS (1976) </w:t>
      </w:r>
      <w:r w:rsidRPr="00014A52">
        <w:rPr>
          <w:rFonts w:ascii="Arial" w:hAnsi="Arial" w:cs="Arial"/>
          <w:i/>
          <w:iCs/>
          <w:sz w:val="22"/>
        </w:rPr>
        <w:t>Fundamental Principles of Disability.</w:t>
      </w:r>
      <w:r w:rsidRPr="00014A52">
        <w:rPr>
          <w:rFonts w:ascii="Arial" w:hAnsi="Arial" w:cs="Arial"/>
          <w:sz w:val="22"/>
        </w:rPr>
        <w:t xml:space="preserve"> London: UPIAS.</w:t>
      </w:r>
    </w:p>
    <w:p w14:paraId="42EDD8C3" w14:textId="77777777" w:rsidR="00014A52" w:rsidRPr="00014A52" w:rsidRDefault="00014A52" w:rsidP="00014A52">
      <w:pPr>
        <w:spacing w:before="100" w:beforeAutospacing="1" w:after="100" w:afterAutospacing="1" w:line="360" w:lineRule="auto"/>
        <w:rPr>
          <w:rFonts w:ascii="Arial" w:hAnsi="Arial" w:cs="Arial"/>
          <w:sz w:val="22"/>
        </w:rPr>
      </w:pPr>
      <w:r w:rsidRPr="00014A52">
        <w:rPr>
          <w:rFonts w:ascii="Arial" w:hAnsi="Arial" w:cs="Arial"/>
          <w:sz w:val="22"/>
        </w:rPr>
        <w:t xml:space="preserve">World Health Organization (2001) </w:t>
      </w:r>
      <w:r w:rsidRPr="00014A52">
        <w:rPr>
          <w:rFonts w:ascii="Arial" w:hAnsi="Arial" w:cs="Arial"/>
          <w:i/>
          <w:iCs/>
          <w:sz w:val="22"/>
        </w:rPr>
        <w:t>International Classification of Functioning, Disability and Health.</w:t>
      </w:r>
      <w:r w:rsidRPr="00014A52">
        <w:rPr>
          <w:rFonts w:ascii="Arial" w:hAnsi="Arial" w:cs="Arial"/>
          <w:sz w:val="22"/>
        </w:rPr>
        <w:t xml:space="preserve"> Geneva: WHO.</w:t>
      </w:r>
    </w:p>
    <w:p w14:paraId="5465723A" w14:textId="007D75A6" w:rsidR="00014A52" w:rsidRPr="0064581B" w:rsidRDefault="00014A52" w:rsidP="00014A52">
      <w:pPr>
        <w:spacing w:before="100" w:beforeAutospacing="1" w:after="100" w:afterAutospacing="1" w:line="240" w:lineRule="auto"/>
        <w:rPr>
          <w:rFonts w:cs="Times New Roman"/>
        </w:rPr>
      </w:pPr>
    </w:p>
    <w:p w14:paraId="3F1FD9A8" w14:textId="3371B01D" w:rsidR="004A5A64" w:rsidRPr="004A5A64" w:rsidRDefault="004A5A64" w:rsidP="004A5A64">
      <w:pPr>
        <w:spacing w:line="360" w:lineRule="auto"/>
        <w:rPr>
          <w:rFonts w:ascii="Arial" w:hAnsi="Arial" w:cs="Arial"/>
          <w:color w:val="00B0F0"/>
          <w:sz w:val="23"/>
          <w:szCs w:val="23"/>
        </w:rPr>
      </w:pPr>
    </w:p>
    <w:sectPr w:rsidR="004A5A64" w:rsidRPr="004A5A64" w:rsidSect="003604D9">
      <w:footerReference w:type="even" r:id="rId10"/>
      <w:footerReference w:type="default" r:id="rId11"/>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BF8547" w14:textId="77777777" w:rsidR="00014C79" w:rsidRDefault="00014C79" w:rsidP="00032A5B">
      <w:pPr>
        <w:spacing w:after="0" w:line="240" w:lineRule="auto"/>
      </w:pPr>
      <w:r>
        <w:separator/>
      </w:r>
    </w:p>
  </w:endnote>
  <w:endnote w:type="continuationSeparator" w:id="0">
    <w:p w14:paraId="66843D44" w14:textId="77777777" w:rsidR="00014C79" w:rsidRDefault="00014C79"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28331315"/>
      <w:docPartObj>
        <w:docPartGallery w:val="Page Numbers (Bottom of Page)"/>
        <w:docPartUnique/>
      </w:docPartObj>
    </w:sdtPr>
    <w:sdtContent>
      <w:p w14:paraId="189EA183" w14:textId="53C71CFC" w:rsidR="003604D9" w:rsidRDefault="003604D9" w:rsidP="003604D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6CC59D1" w14:textId="77777777" w:rsidR="003604D9" w:rsidRDefault="003604D9" w:rsidP="003604D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47089712"/>
      <w:docPartObj>
        <w:docPartGallery w:val="Page Numbers (Bottom of Page)"/>
        <w:docPartUnique/>
      </w:docPartObj>
    </w:sdtPr>
    <w:sdtContent>
      <w:p w14:paraId="50AFCA6C" w14:textId="3A6D069F" w:rsidR="003604D9" w:rsidRDefault="003604D9" w:rsidP="00353D7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C2CDEE3" w14:textId="77777777" w:rsidR="003604D9" w:rsidRDefault="003604D9" w:rsidP="003604D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C7974D" w14:textId="77777777" w:rsidR="00014C79" w:rsidRDefault="00014C79" w:rsidP="00032A5B">
      <w:pPr>
        <w:spacing w:after="0" w:line="240" w:lineRule="auto"/>
      </w:pPr>
      <w:r>
        <w:separator/>
      </w:r>
    </w:p>
  </w:footnote>
  <w:footnote w:type="continuationSeparator" w:id="0">
    <w:p w14:paraId="3B76049F" w14:textId="77777777" w:rsidR="00014C79" w:rsidRDefault="00014C79"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3"/>
  </w:num>
  <w:num w:numId="2" w16cid:durableId="201140407">
    <w:abstractNumId w:val="1"/>
  </w:num>
  <w:num w:numId="3" w16cid:durableId="490028398">
    <w:abstractNumId w:val="0"/>
  </w:num>
  <w:num w:numId="4" w16cid:durableId="17166586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14A52"/>
    <w:rsid w:val="00014C79"/>
    <w:rsid w:val="00032A5B"/>
    <w:rsid w:val="00057C72"/>
    <w:rsid w:val="001333C2"/>
    <w:rsid w:val="00317E3D"/>
    <w:rsid w:val="0032791E"/>
    <w:rsid w:val="003604D9"/>
    <w:rsid w:val="003E4ED4"/>
    <w:rsid w:val="004A5A64"/>
    <w:rsid w:val="0058218C"/>
    <w:rsid w:val="005E14C4"/>
    <w:rsid w:val="006524ED"/>
    <w:rsid w:val="006A3E63"/>
    <w:rsid w:val="006B2765"/>
    <w:rsid w:val="006D2F2D"/>
    <w:rsid w:val="006E1FF9"/>
    <w:rsid w:val="007848C5"/>
    <w:rsid w:val="00785886"/>
    <w:rsid w:val="007F3A6A"/>
    <w:rsid w:val="008B746D"/>
    <w:rsid w:val="009E71F3"/>
    <w:rsid w:val="00A14675"/>
    <w:rsid w:val="00BC79FE"/>
    <w:rsid w:val="00C4701B"/>
    <w:rsid w:val="00C558B0"/>
    <w:rsid w:val="00CB0D01"/>
    <w:rsid w:val="00D545BA"/>
    <w:rsid w:val="00E81204"/>
    <w:rsid w:val="00E9668F"/>
    <w:rsid w:val="00F81510"/>
    <w:rsid w:val="00FA1054"/>
    <w:rsid w:val="00FA2DAE"/>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 w:type="character" w:styleId="PageNumber">
    <w:name w:val="page number"/>
    <w:basedOn w:val="DefaultParagraphFont"/>
    <w:uiPriority w:val="99"/>
    <w:semiHidden/>
    <w:unhideWhenUsed/>
    <w:rsid w:val="003604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AD4B7E-A1F0-6D40-B6F1-5F97796F2E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11</Pages>
  <Words>2473</Words>
  <Characters>16472</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Roman Pacek (2415805)</cp:lastModifiedBy>
  <cp:revision>6</cp:revision>
  <dcterms:created xsi:type="dcterms:W3CDTF">2026-04-25T11:38:00Z</dcterms:created>
  <dcterms:modified xsi:type="dcterms:W3CDTF">2026-04-25T11:42:00Z</dcterms:modified>
</cp:coreProperties>
</file>