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1B6AB" w14:textId="77777777" w:rsidR="004D556C" w:rsidRPr="00E94748" w:rsidRDefault="004D556C" w:rsidP="004D556C">
      <w:pPr>
        <w:spacing w:before="100" w:beforeAutospacing="1" w:after="100" w:afterAutospacing="1" w:line="240" w:lineRule="auto"/>
        <w:jc w:val="center"/>
        <w:outlineLvl w:val="0"/>
        <w:rPr>
          <w:rFonts w:ascii="Arial" w:eastAsia="Times New Roman" w:hAnsi="Arial" w:cs="Arial"/>
          <w:b/>
          <w:bCs/>
          <w:kern w:val="36"/>
          <w:lang w:eastAsia="en-GB"/>
          <w14:ligatures w14:val="none"/>
        </w:rPr>
      </w:pPr>
      <w:r w:rsidRPr="00E94748">
        <w:rPr>
          <w:rFonts w:ascii="Arial" w:eastAsia="Times New Roman" w:hAnsi="Arial" w:cs="Arial"/>
          <w:b/>
          <w:bCs/>
          <w:kern w:val="36"/>
          <w:lang w:eastAsia="en-GB"/>
          <w14:ligatures w14:val="none"/>
        </w:rPr>
        <w:t>University of Wels Trinity Saint David</w:t>
      </w:r>
    </w:p>
    <w:p w14:paraId="4304EC44" w14:textId="77777777" w:rsidR="004D556C" w:rsidRDefault="004D556C" w:rsidP="004D556C">
      <w:pPr>
        <w:spacing w:before="120" w:after="120"/>
        <w:jc w:val="center"/>
        <w:rPr>
          <w:rFonts w:ascii="Arial" w:hAnsi="Arial" w:cs="Arial"/>
          <w:b/>
          <w:sz w:val="22"/>
        </w:rPr>
      </w:pPr>
      <w:r>
        <w:rPr>
          <w:rFonts w:ascii="Arial" w:hAnsi="Arial" w:cs="Arial"/>
          <w:b/>
          <w:sz w:val="22"/>
        </w:rPr>
        <w:t>Digital Skills and Research Methods</w:t>
      </w:r>
    </w:p>
    <w:p w14:paraId="2D59AD51" w14:textId="0F5C776E" w:rsidR="004D556C" w:rsidRDefault="004D556C" w:rsidP="004D556C">
      <w:pPr>
        <w:spacing w:before="100" w:beforeAutospacing="1" w:after="100" w:afterAutospacing="1" w:line="240" w:lineRule="auto"/>
        <w:jc w:val="center"/>
        <w:outlineLvl w:val="0"/>
        <w:rPr>
          <w:rFonts w:ascii="Arial" w:eastAsia="Times New Roman" w:hAnsi="Arial" w:cs="Arial"/>
          <w:b/>
          <w:bCs/>
          <w:kern w:val="36"/>
          <w:sz w:val="22"/>
          <w:lang w:eastAsia="en-GB"/>
          <w14:ligatures w14:val="none"/>
        </w:rPr>
      </w:pPr>
    </w:p>
    <w:p w14:paraId="645AC52E" w14:textId="77777777" w:rsidR="004D556C" w:rsidRDefault="004D556C" w:rsidP="004D556C">
      <w:pPr>
        <w:spacing w:before="100" w:beforeAutospacing="1" w:after="100" w:afterAutospacing="1" w:line="240" w:lineRule="auto"/>
        <w:jc w:val="center"/>
        <w:outlineLvl w:val="0"/>
        <w:rPr>
          <w:rFonts w:ascii="Arial" w:eastAsia="Times New Roman" w:hAnsi="Arial" w:cs="Arial"/>
          <w:b/>
          <w:bCs/>
          <w:kern w:val="36"/>
          <w:sz w:val="22"/>
          <w:lang w:eastAsia="en-GB"/>
          <w14:ligatures w14:val="none"/>
        </w:rPr>
      </w:pPr>
    </w:p>
    <w:p w14:paraId="094B5DDD" w14:textId="77777777" w:rsidR="004D556C" w:rsidRDefault="004D556C" w:rsidP="004D556C">
      <w:pPr>
        <w:spacing w:before="100" w:beforeAutospacing="1" w:after="100" w:afterAutospacing="1" w:line="240" w:lineRule="auto"/>
        <w:jc w:val="center"/>
        <w:outlineLvl w:val="0"/>
        <w:rPr>
          <w:rFonts w:ascii="Arial" w:eastAsia="Times New Roman" w:hAnsi="Arial" w:cs="Arial"/>
          <w:b/>
          <w:bCs/>
          <w:kern w:val="36"/>
          <w:sz w:val="22"/>
          <w:lang w:eastAsia="en-GB"/>
          <w14:ligatures w14:val="none"/>
        </w:rPr>
      </w:pPr>
    </w:p>
    <w:p w14:paraId="2B5CAD32" w14:textId="77777777" w:rsidR="004D556C" w:rsidRDefault="004D556C" w:rsidP="004D556C">
      <w:pPr>
        <w:spacing w:before="100" w:beforeAutospacing="1" w:after="100" w:afterAutospacing="1" w:line="240" w:lineRule="auto"/>
        <w:jc w:val="center"/>
        <w:outlineLvl w:val="0"/>
        <w:rPr>
          <w:rFonts w:ascii="Arial" w:eastAsia="Times New Roman" w:hAnsi="Arial" w:cs="Arial"/>
          <w:b/>
          <w:bCs/>
          <w:kern w:val="36"/>
          <w:sz w:val="22"/>
          <w:lang w:eastAsia="en-GB"/>
          <w14:ligatures w14:val="none"/>
        </w:rPr>
      </w:pPr>
    </w:p>
    <w:p w14:paraId="2D35C4A1" w14:textId="77777777" w:rsidR="004D556C" w:rsidRPr="00234F08" w:rsidRDefault="004D556C" w:rsidP="004D556C">
      <w:pPr>
        <w:rPr>
          <w:rFonts w:ascii="Arial" w:hAnsi="Arial" w:cs="Arial"/>
          <w:b/>
          <w:bCs/>
          <w:sz w:val="22"/>
        </w:rPr>
      </w:pPr>
      <w:r w:rsidRPr="00234F08">
        <w:rPr>
          <w:rFonts w:ascii="Arial" w:hAnsi="Arial" w:cs="Arial"/>
          <w:b/>
          <w:bCs/>
          <w:sz w:val="22"/>
        </w:rPr>
        <w:t>Digital Exclusion among Older Adults in UK Health and Social Care: A Research Report</w:t>
      </w:r>
    </w:p>
    <w:p w14:paraId="65F2AB4A" w14:textId="77777777" w:rsidR="004D556C" w:rsidRDefault="004D556C" w:rsidP="004D556C">
      <w:pPr>
        <w:spacing w:before="100" w:beforeAutospacing="1" w:after="100" w:afterAutospacing="1" w:line="240" w:lineRule="auto"/>
        <w:jc w:val="center"/>
        <w:outlineLvl w:val="0"/>
        <w:rPr>
          <w:rFonts w:ascii="Arial" w:eastAsia="Times New Roman" w:hAnsi="Arial" w:cs="Arial"/>
          <w:b/>
          <w:bCs/>
          <w:kern w:val="36"/>
          <w:sz w:val="22"/>
          <w:lang w:eastAsia="en-GB"/>
          <w14:ligatures w14:val="none"/>
        </w:rPr>
      </w:pPr>
    </w:p>
    <w:p w14:paraId="29A211D2" w14:textId="77777777" w:rsidR="004D556C" w:rsidRDefault="004D556C" w:rsidP="004D556C">
      <w:pPr>
        <w:spacing w:before="100" w:beforeAutospacing="1" w:after="100" w:afterAutospacing="1" w:line="240" w:lineRule="auto"/>
        <w:jc w:val="center"/>
        <w:outlineLvl w:val="0"/>
        <w:rPr>
          <w:rFonts w:ascii="Arial" w:eastAsia="Times New Roman" w:hAnsi="Arial" w:cs="Arial"/>
          <w:b/>
          <w:bCs/>
          <w:kern w:val="36"/>
          <w:sz w:val="22"/>
          <w:lang w:eastAsia="en-GB"/>
          <w14:ligatures w14:val="none"/>
        </w:rPr>
      </w:pPr>
      <w:r>
        <w:rPr>
          <w:rFonts w:ascii="Arial" w:eastAsia="Times New Roman" w:hAnsi="Arial" w:cs="Arial"/>
          <w:b/>
          <w:bCs/>
          <w:kern w:val="36"/>
          <w:sz w:val="22"/>
          <w:lang w:eastAsia="en-GB"/>
          <w14:ligatures w14:val="none"/>
        </w:rPr>
        <w:t>March 2026</w:t>
      </w:r>
    </w:p>
    <w:p w14:paraId="49927A42" w14:textId="77777777" w:rsidR="004D556C" w:rsidRDefault="004D556C" w:rsidP="004D556C">
      <w:pPr>
        <w:spacing w:before="100" w:beforeAutospacing="1" w:after="100" w:afterAutospacing="1" w:line="240" w:lineRule="auto"/>
        <w:jc w:val="center"/>
        <w:outlineLvl w:val="0"/>
        <w:rPr>
          <w:rFonts w:ascii="Arial" w:eastAsia="Times New Roman" w:hAnsi="Arial" w:cs="Arial"/>
          <w:b/>
          <w:bCs/>
          <w:kern w:val="36"/>
          <w:sz w:val="22"/>
          <w:lang w:eastAsia="en-GB"/>
          <w14:ligatures w14:val="none"/>
        </w:rPr>
      </w:pPr>
    </w:p>
    <w:p w14:paraId="13690F12" w14:textId="77777777" w:rsidR="004D556C" w:rsidRDefault="004D556C" w:rsidP="004D556C">
      <w:pPr>
        <w:spacing w:before="100" w:beforeAutospacing="1" w:after="100" w:afterAutospacing="1" w:line="240" w:lineRule="auto"/>
        <w:jc w:val="center"/>
        <w:outlineLvl w:val="0"/>
        <w:rPr>
          <w:rFonts w:ascii="Arial" w:eastAsia="Times New Roman" w:hAnsi="Arial" w:cs="Arial"/>
          <w:b/>
          <w:bCs/>
          <w:kern w:val="36"/>
          <w:sz w:val="22"/>
          <w:lang w:eastAsia="en-GB"/>
          <w14:ligatures w14:val="none"/>
        </w:rPr>
      </w:pPr>
    </w:p>
    <w:p w14:paraId="4073D7E4" w14:textId="77777777" w:rsidR="004D556C" w:rsidRDefault="004D556C" w:rsidP="004D556C">
      <w:pPr>
        <w:spacing w:before="100" w:beforeAutospacing="1" w:after="100" w:afterAutospacing="1" w:line="240" w:lineRule="auto"/>
        <w:jc w:val="center"/>
        <w:outlineLvl w:val="0"/>
        <w:rPr>
          <w:rFonts w:ascii="Arial" w:eastAsia="Times New Roman" w:hAnsi="Arial" w:cs="Arial"/>
          <w:b/>
          <w:bCs/>
          <w:kern w:val="36"/>
          <w:sz w:val="22"/>
          <w:lang w:eastAsia="en-GB"/>
          <w14:ligatures w14:val="none"/>
        </w:rPr>
      </w:pPr>
    </w:p>
    <w:p w14:paraId="372E2211" w14:textId="77777777" w:rsidR="004D556C" w:rsidRDefault="004D556C" w:rsidP="004D556C">
      <w:pPr>
        <w:spacing w:before="100" w:beforeAutospacing="1" w:after="100" w:afterAutospacing="1" w:line="240" w:lineRule="auto"/>
        <w:jc w:val="center"/>
        <w:outlineLvl w:val="0"/>
        <w:rPr>
          <w:rFonts w:ascii="Arial" w:eastAsia="Times New Roman" w:hAnsi="Arial" w:cs="Arial"/>
          <w:b/>
          <w:bCs/>
          <w:kern w:val="36"/>
          <w:sz w:val="22"/>
          <w:lang w:eastAsia="en-GB"/>
          <w14:ligatures w14:val="none"/>
        </w:rPr>
      </w:pPr>
    </w:p>
    <w:p w14:paraId="7FDDB0A7" w14:textId="77777777" w:rsidR="004D556C" w:rsidRDefault="004D556C" w:rsidP="004D556C">
      <w:pPr>
        <w:spacing w:before="100" w:beforeAutospacing="1" w:after="100" w:afterAutospacing="1" w:line="240" w:lineRule="auto"/>
        <w:jc w:val="right"/>
        <w:outlineLvl w:val="0"/>
        <w:rPr>
          <w:rFonts w:ascii="Arial" w:eastAsia="Times New Roman" w:hAnsi="Arial" w:cs="Arial"/>
          <w:b/>
          <w:bCs/>
          <w:kern w:val="36"/>
          <w:sz w:val="22"/>
          <w:lang w:eastAsia="en-GB"/>
          <w14:ligatures w14:val="none"/>
        </w:rPr>
      </w:pPr>
      <w:r>
        <w:rPr>
          <w:rFonts w:ascii="Arial" w:eastAsia="Times New Roman" w:hAnsi="Arial" w:cs="Arial"/>
          <w:b/>
          <w:bCs/>
          <w:kern w:val="36"/>
          <w:sz w:val="22"/>
          <w:lang w:eastAsia="en-GB"/>
          <w14:ligatures w14:val="none"/>
        </w:rPr>
        <w:t>Andreea-Daniela Belu - 2521415</w:t>
      </w:r>
    </w:p>
    <w:p w14:paraId="76CEE5A2" w14:textId="77777777" w:rsidR="004D556C" w:rsidRDefault="004D556C" w:rsidP="004D556C">
      <w:pPr>
        <w:spacing w:before="100" w:beforeAutospacing="1" w:after="100" w:afterAutospacing="1" w:line="240" w:lineRule="auto"/>
        <w:jc w:val="right"/>
        <w:outlineLvl w:val="0"/>
        <w:rPr>
          <w:rFonts w:ascii="Arial" w:eastAsia="Times New Roman" w:hAnsi="Arial" w:cs="Arial"/>
          <w:b/>
          <w:bCs/>
          <w:kern w:val="36"/>
          <w:sz w:val="22"/>
          <w:lang w:eastAsia="en-GB"/>
          <w14:ligatures w14:val="none"/>
        </w:rPr>
      </w:pPr>
    </w:p>
    <w:p w14:paraId="7A4C7880" w14:textId="77777777" w:rsidR="004D556C" w:rsidRDefault="004D556C" w:rsidP="004D556C">
      <w:pPr>
        <w:spacing w:before="100" w:beforeAutospacing="1" w:after="100" w:afterAutospacing="1" w:line="240" w:lineRule="auto"/>
        <w:outlineLvl w:val="0"/>
        <w:rPr>
          <w:rFonts w:ascii="Arial" w:eastAsia="Times New Roman" w:hAnsi="Arial" w:cs="Arial"/>
          <w:b/>
          <w:bCs/>
          <w:kern w:val="36"/>
          <w:sz w:val="22"/>
          <w:lang w:eastAsia="en-GB"/>
          <w14:ligatures w14:val="none"/>
        </w:rPr>
      </w:pPr>
    </w:p>
    <w:p w14:paraId="62B7C20E" w14:textId="77777777" w:rsidR="004D556C" w:rsidRDefault="004D556C" w:rsidP="004D556C">
      <w:pPr>
        <w:spacing w:before="100" w:beforeAutospacing="1" w:after="100" w:afterAutospacing="1" w:line="240" w:lineRule="auto"/>
        <w:outlineLvl w:val="0"/>
        <w:rPr>
          <w:rFonts w:ascii="Arial" w:eastAsia="Times New Roman" w:hAnsi="Arial" w:cs="Arial"/>
          <w:b/>
          <w:bCs/>
          <w:kern w:val="36"/>
          <w:sz w:val="22"/>
          <w:lang w:eastAsia="en-GB"/>
          <w14:ligatures w14:val="none"/>
        </w:rPr>
      </w:pPr>
    </w:p>
    <w:p w14:paraId="3E9C8128" w14:textId="77777777" w:rsidR="004D556C" w:rsidRDefault="004D556C" w:rsidP="004D556C">
      <w:pPr>
        <w:spacing w:before="100" w:beforeAutospacing="1" w:after="100" w:afterAutospacing="1" w:line="240" w:lineRule="auto"/>
        <w:outlineLvl w:val="0"/>
        <w:rPr>
          <w:rFonts w:ascii="Arial" w:eastAsia="Times New Roman" w:hAnsi="Arial" w:cs="Arial"/>
          <w:b/>
          <w:bCs/>
          <w:kern w:val="36"/>
          <w:sz w:val="22"/>
          <w:lang w:eastAsia="en-GB"/>
          <w14:ligatures w14:val="none"/>
        </w:rPr>
      </w:pPr>
    </w:p>
    <w:p w14:paraId="1513AEDB" w14:textId="77777777" w:rsidR="004D556C" w:rsidRDefault="004D556C" w:rsidP="004D556C">
      <w:pPr>
        <w:spacing w:before="100" w:beforeAutospacing="1" w:after="100" w:afterAutospacing="1" w:line="240" w:lineRule="auto"/>
        <w:outlineLvl w:val="0"/>
        <w:rPr>
          <w:rFonts w:ascii="Arial" w:eastAsia="Times New Roman" w:hAnsi="Arial" w:cs="Arial"/>
          <w:b/>
          <w:bCs/>
          <w:kern w:val="36"/>
          <w:sz w:val="22"/>
          <w:lang w:eastAsia="en-GB"/>
          <w14:ligatures w14:val="none"/>
        </w:rPr>
      </w:pPr>
    </w:p>
    <w:p w14:paraId="2F27BA70" w14:textId="0D60B7CC" w:rsidR="004D556C" w:rsidRDefault="004D556C" w:rsidP="004D556C">
      <w:pPr>
        <w:spacing w:before="100" w:beforeAutospacing="1" w:after="100" w:afterAutospacing="1" w:line="240" w:lineRule="auto"/>
        <w:outlineLvl w:val="0"/>
        <w:rPr>
          <w:rFonts w:ascii="Arial" w:eastAsia="Times New Roman" w:hAnsi="Arial" w:cs="Arial"/>
          <w:b/>
          <w:bCs/>
          <w:kern w:val="36"/>
          <w:sz w:val="22"/>
          <w:lang w:eastAsia="en-GB"/>
          <w14:ligatures w14:val="none"/>
        </w:rPr>
      </w:pPr>
      <w:r w:rsidRPr="0044652D">
        <w:rPr>
          <w:rFonts w:ascii="Arial" w:eastAsia="Times New Roman" w:hAnsi="Arial" w:cs="Arial"/>
          <w:b/>
          <w:bCs/>
          <w:kern w:val="36"/>
          <w:sz w:val="22"/>
          <w:lang w:eastAsia="en-GB"/>
          <w14:ligatures w14:val="none"/>
        </w:rPr>
        <w:t>LCHS400</w:t>
      </w:r>
      <w:r>
        <w:rPr>
          <w:rFonts w:ascii="Arial" w:eastAsia="Times New Roman" w:hAnsi="Arial" w:cs="Arial"/>
          <w:b/>
          <w:bCs/>
          <w:kern w:val="36"/>
          <w:sz w:val="22"/>
          <w:lang w:eastAsia="en-GB"/>
          <w14:ligatures w14:val="none"/>
        </w:rPr>
        <w:t xml:space="preserve">7 – </w:t>
      </w:r>
      <w:proofErr w:type="spellStart"/>
      <w:r>
        <w:rPr>
          <w:rFonts w:ascii="Arial" w:eastAsia="Times New Roman" w:hAnsi="Arial" w:cs="Arial"/>
          <w:b/>
          <w:bCs/>
          <w:kern w:val="36"/>
          <w:sz w:val="22"/>
          <w:lang w:eastAsia="en-GB"/>
          <w14:ligatures w14:val="none"/>
        </w:rPr>
        <w:t>Aliyuda</w:t>
      </w:r>
      <w:proofErr w:type="spellEnd"/>
      <w:r>
        <w:rPr>
          <w:rFonts w:ascii="Arial" w:eastAsia="Times New Roman" w:hAnsi="Arial" w:cs="Arial"/>
          <w:b/>
          <w:bCs/>
          <w:kern w:val="36"/>
          <w:sz w:val="22"/>
          <w:lang w:eastAsia="en-GB"/>
          <w14:ligatures w14:val="none"/>
        </w:rPr>
        <w:t xml:space="preserve"> Ali</w:t>
      </w:r>
    </w:p>
    <w:p w14:paraId="22281AFA" w14:textId="77777777" w:rsidR="004D556C" w:rsidRDefault="004D556C" w:rsidP="004D556C">
      <w:pPr>
        <w:rPr>
          <w:b/>
          <w:bCs/>
        </w:rPr>
      </w:pPr>
    </w:p>
    <w:p w14:paraId="779FBCD0" w14:textId="77777777" w:rsidR="004D556C" w:rsidRDefault="004D556C" w:rsidP="004D556C">
      <w:pPr>
        <w:rPr>
          <w:b/>
          <w:bCs/>
        </w:rPr>
      </w:pPr>
    </w:p>
    <w:p w14:paraId="0CFF9866" w14:textId="61332253" w:rsidR="00234F08" w:rsidRPr="00234F08" w:rsidRDefault="00234F08" w:rsidP="004D556C">
      <w:pPr>
        <w:spacing w:line="259" w:lineRule="auto"/>
        <w:jc w:val="left"/>
        <w:rPr>
          <w:rFonts w:ascii="Arial" w:hAnsi="Arial" w:cs="Arial"/>
          <w:b/>
          <w:bCs/>
          <w:sz w:val="22"/>
        </w:rPr>
      </w:pPr>
    </w:p>
    <w:sdt>
      <w:sdtPr>
        <w:rPr>
          <w:rFonts w:ascii="Arial" w:eastAsiaTheme="minorHAnsi" w:hAnsi="Arial" w:cs="Arial"/>
          <w:color w:val="auto"/>
          <w:kern w:val="2"/>
          <w:sz w:val="22"/>
          <w:szCs w:val="22"/>
          <w14:ligatures w14:val="standardContextual"/>
        </w:rPr>
        <w:id w:val="-812329132"/>
        <w:docPartObj>
          <w:docPartGallery w:val="Table of Contents"/>
          <w:docPartUnique/>
        </w:docPartObj>
      </w:sdtPr>
      <w:sdtEndPr>
        <w:rPr>
          <w:b/>
          <w:bCs/>
          <w:noProof/>
        </w:rPr>
      </w:sdtEndPr>
      <w:sdtContent>
        <w:p w14:paraId="66F66B25" w14:textId="6FBACBA3" w:rsidR="00234F08" w:rsidRPr="00234F08" w:rsidRDefault="00234F08">
          <w:pPr>
            <w:pStyle w:val="TOCHeading"/>
            <w:rPr>
              <w:rFonts w:ascii="Arial" w:hAnsi="Arial" w:cs="Arial"/>
              <w:b/>
              <w:color w:val="auto"/>
              <w:sz w:val="22"/>
              <w:szCs w:val="22"/>
            </w:rPr>
          </w:pPr>
          <w:r w:rsidRPr="00234F08">
            <w:rPr>
              <w:rFonts w:ascii="Arial" w:hAnsi="Arial" w:cs="Arial"/>
              <w:b/>
              <w:color w:val="auto"/>
              <w:sz w:val="22"/>
              <w:szCs w:val="22"/>
            </w:rPr>
            <w:t>CONTENTS</w:t>
          </w:r>
        </w:p>
        <w:p w14:paraId="588CA7BF" w14:textId="77777777" w:rsidR="00234F08" w:rsidRPr="00234F08" w:rsidRDefault="00234F08" w:rsidP="00234F08"/>
        <w:p w14:paraId="431BB213" w14:textId="3A3CCCD8" w:rsidR="00234F08" w:rsidRPr="00234F08" w:rsidRDefault="00234F08">
          <w:pPr>
            <w:pStyle w:val="TOC1"/>
            <w:tabs>
              <w:tab w:val="right" w:leader="dot" w:pos="9350"/>
            </w:tabs>
            <w:rPr>
              <w:rFonts w:ascii="Arial" w:eastAsiaTheme="minorEastAsia" w:hAnsi="Arial" w:cs="Arial"/>
              <w:noProof/>
              <w:kern w:val="0"/>
              <w:sz w:val="22"/>
              <w14:ligatures w14:val="none"/>
            </w:rPr>
          </w:pPr>
          <w:r w:rsidRPr="00234F08">
            <w:rPr>
              <w:rFonts w:ascii="Arial" w:hAnsi="Arial" w:cs="Arial"/>
              <w:sz w:val="22"/>
            </w:rPr>
            <w:fldChar w:fldCharType="begin"/>
          </w:r>
          <w:r w:rsidRPr="00234F08">
            <w:rPr>
              <w:rFonts w:ascii="Arial" w:hAnsi="Arial" w:cs="Arial"/>
              <w:sz w:val="22"/>
            </w:rPr>
            <w:instrText xml:space="preserve"> TOC \o "1-3" \h \z \u </w:instrText>
          </w:r>
          <w:r w:rsidRPr="00234F08">
            <w:rPr>
              <w:rFonts w:ascii="Arial" w:hAnsi="Arial" w:cs="Arial"/>
              <w:sz w:val="22"/>
            </w:rPr>
            <w:fldChar w:fldCharType="separate"/>
          </w:r>
          <w:hyperlink w:anchor="_Toc224229152" w:history="1">
            <w:r w:rsidRPr="00234F08">
              <w:rPr>
                <w:rStyle w:val="Hyperlink"/>
                <w:rFonts w:ascii="Arial" w:hAnsi="Arial" w:cs="Arial"/>
                <w:noProof/>
                <w:sz w:val="22"/>
              </w:rPr>
              <w:t>INTRODUCTION</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_Toc224229152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2</w:t>
            </w:r>
            <w:r w:rsidRPr="00234F08">
              <w:rPr>
                <w:rFonts w:ascii="Arial" w:hAnsi="Arial" w:cs="Arial"/>
                <w:noProof/>
                <w:webHidden/>
                <w:sz w:val="22"/>
              </w:rPr>
              <w:fldChar w:fldCharType="end"/>
            </w:r>
          </w:hyperlink>
        </w:p>
        <w:p w14:paraId="188B66DC" w14:textId="4DA0C2A2"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3" w:history="1">
            <w:r w:rsidRPr="00234F08">
              <w:rPr>
                <w:rStyle w:val="Hyperlink"/>
                <w:rFonts w:ascii="Arial" w:hAnsi="Arial" w:cs="Arial"/>
                <w:noProof/>
                <w:sz w:val="22"/>
              </w:rPr>
              <w:t>TASK 1: SELECTION OF A RESEARCH TOPIC</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_Toc224229153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2</w:t>
            </w:r>
            <w:r w:rsidRPr="00234F08">
              <w:rPr>
                <w:rFonts w:ascii="Arial" w:hAnsi="Arial" w:cs="Arial"/>
                <w:noProof/>
                <w:webHidden/>
                <w:sz w:val="22"/>
              </w:rPr>
              <w:fldChar w:fldCharType="end"/>
            </w:r>
          </w:hyperlink>
        </w:p>
        <w:p w14:paraId="36F5C53D" w14:textId="31397E33"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4" w:history="1">
            <w:r w:rsidRPr="00234F08">
              <w:rPr>
                <w:rStyle w:val="Hyperlink"/>
                <w:rFonts w:ascii="Arial" w:hAnsi="Arial" w:cs="Arial"/>
                <w:noProof/>
                <w:sz w:val="22"/>
              </w:rPr>
              <w:t>TASK 2: EVALUATING INFORMATION SOURCES</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_Toc224229154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3</w:t>
            </w:r>
            <w:r w:rsidRPr="00234F08">
              <w:rPr>
                <w:rFonts w:ascii="Arial" w:hAnsi="Arial" w:cs="Arial"/>
                <w:noProof/>
                <w:webHidden/>
                <w:sz w:val="22"/>
              </w:rPr>
              <w:fldChar w:fldCharType="end"/>
            </w:r>
          </w:hyperlink>
        </w:p>
        <w:p w14:paraId="0D9C7B4C" w14:textId="320EC673"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5" w:history="1">
            <w:r w:rsidRPr="00234F08">
              <w:rPr>
                <w:rStyle w:val="Hyperlink"/>
                <w:rFonts w:ascii="Arial" w:hAnsi="Arial" w:cs="Arial"/>
                <w:noProof/>
                <w:sz w:val="22"/>
              </w:rPr>
              <w:t>TASK 3: RESEARCH METHODOLOGIES</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_Toc224229155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4</w:t>
            </w:r>
            <w:r w:rsidRPr="00234F08">
              <w:rPr>
                <w:rFonts w:ascii="Arial" w:hAnsi="Arial" w:cs="Arial"/>
                <w:noProof/>
                <w:webHidden/>
                <w:sz w:val="22"/>
              </w:rPr>
              <w:fldChar w:fldCharType="end"/>
            </w:r>
          </w:hyperlink>
        </w:p>
        <w:p w14:paraId="4732C6AF" w14:textId="19A00D87"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6" w:history="1">
            <w:r w:rsidRPr="00234F08">
              <w:rPr>
                <w:rStyle w:val="Hyperlink"/>
                <w:rFonts w:ascii="Arial" w:hAnsi="Arial" w:cs="Arial"/>
                <w:noProof/>
                <w:sz w:val="22"/>
              </w:rPr>
              <w:t>TASK 4: DATA COLLECTION</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_Toc224229156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4</w:t>
            </w:r>
            <w:r w:rsidRPr="00234F08">
              <w:rPr>
                <w:rFonts w:ascii="Arial" w:hAnsi="Arial" w:cs="Arial"/>
                <w:noProof/>
                <w:webHidden/>
                <w:sz w:val="22"/>
              </w:rPr>
              <w:fldChar w:fldCharType="end"/>
            </w:r>
          </w:hyperlink>
        </w:p>
        <w:p w14:paraId="01FD0AA2" w14:textId="498B918A"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7" w:history="1">
            <w:r w:rsidRPr="00234F08">
              <w:rPr>
                <w:rStyle w:val="Hyperlink"/>
                <w:rFonts w:ascii="Arial" w:hAnsi="Arial" w:cs="Arial"/>
                <w:noProof/>
                <w:sz w:val="22"/>
              </w:rPr>
              <w:t>CONCLUSION</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_Toc224229157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5</w:t>
            </w:r>
            <w:r w:rsidRPr="00234F08">
              <w:rPr>
                <w:rFonts w:ascii="Arial" w:hAnsi="Arial" w:cs="Arial"/>
                <w:noProof/>
                <w:webHidden/>
                <w:sz w:val="22"/>
              </w:rPr>
              <w:fldChar w:fldCharType="end"/>
            </w:r>
          </w:hyperlink>
        </w:p>
        <w:p w14:paraId="638DA145" w14:textId="654D6F1E" w:rsidR="00234F08" w:rsidRPr="00234F08" w:rsidRDefault="00234F08">
          <w:pPr>
            <w:pStyle w:val="TOC1"/>
            <w:tabs>
              <w:tab w:val="right" w:leader="dot" w:pos="9350"/>
            </w:tabs>
            <w:rPr>
              <w:rFonts w:ascii="Arial" w:eastAsiaTheme="minorEastAsia" w:hAnsi="Arial" w:cs="Arial"/>
              <w:noProof/>
              <w:kern w:val="0"/>
              <w:sz w:val="22"/>
              <w14:ligatures w14:val="none"/>
            </w:rPr>
          </w:pPr>
          <w:hyperlink w:anchor="_Toc224229158" w:history="1">
            <w:r w:rsidRPr="00234F08">
              <w:rPr>
                <w:rStyle w:val="Hyperlink"/>
                <w:rFonts w:ascii="Arial" w:hAnsi="Arial" w:cs="Arial"/>
                <w:noProof/>
                <w:sz w:val="22"/>
              </w:rPr>
              <w:t>REFERENCES</w:t>
            </w:r>
            <w:r w:rsidRPr="00234F08">
              <w:rPr>
                <w:rFonts w:ascii="Arial" w:hAnsi="Arial" w:cs="Arial"/>
                <w:noProof/>
                <w:webHidden/>
                <w:sz w:val="22"/>
              </w:rPr>
              <w:tab/>
            </w:r>
            <w:r w:rsidRPr="00234F08">
              <w:rPr>
                <w:rFonts w:ascii="Arial" w:hAnsi="Arial" w:cs="Arial"/>
                <w:noProof/>
                <w:webHidden/>
                <w:sz w:val="22"/>
              </w:rPr>
              <w:fldChar w:fldCharType="begin"/>
            </w:r>
            <w:r w:rsidRPr="00234F08">
              <w:rPr>
                <w:rFonts w:ascii="Arial" w:hAnsi="Arial" w:cs="Arial"/>
                <w:noProof/>
                <w:webHidden/>
                <w:sz w:val="22"/>
              </w:rPr>
              <w:instrText xml:space="preserve"> PAGEREF _Toc224229158 \h </w:instrText>
            </w:r>
            <w:r w:rsidRPr="00234F08">
              <w:rPr>
                <w:rFonts w:ascii="Arial" w:hAnsi="Arial" w:cs="Arial"/>
                <w:noProof/>
                <w:webHidden/>
                <w:sz w:val="22"/>
              </w:rPr>
            </w:r>
            <w:r w:rsidRPr="00234F08">
              <w:rPr>
                <w:rFonts w:ascii="Arial" w:hAnsi="Arial" w:cs="Arial"/>
                <w:noProof/>
                <w:webHidden/>
                <w:sz w:val="22"/>
              </w:rPr>
              <w:fldChar w:fldCharType="separate"/>
            </w:r>
            <w:r w:rsidRPr="00234F08">
              <w:rPr>
                <w:rFonts w:ascii="Arial" w:hAnsi="Arial" w:cs="Arial"/>
                <w:noProof/>
                <w:webHidden/>
                <w:sz w:val="22"/>
              </w:rPr>
              <w:t>6</w:t>
            </w:r>
            <w:r w:rsidRPr="00234F08">
              <w:rPr>
                <w:rFonts w:ascii="Arial" w:hAnsi="Arial" w:cs="Arial"/>
                <w:noProof/>
                <w:webHidden/>
                <w:sz w:val="22"/>
              </w:rPr>
              <w:fldChar w:fldCharType="end"/>
            </w:r>
          </w:hyperlink>
        </w:p>
        <w:p w14:paraId="16796540" w14:textId="2B966133" w:rsidR="00234F08" w:rsidRPr="00234F08" w:rsidRDefault="00234F08">
          <w:pPr>
            <w:rPr>
              <w:rFonts w:ascii="Arial" w:hAnsi="Arial" w:cs="Arial"/>
              <w:sz w:val="22"/>
            </w:rPr>
          </w:pPr>
          <w:r w:rsidRPr="00234F08">
            <w:rPr>
              <w:rFonts w:ascii="Arial" w:hAnsi="Arial" w:cs="Arial"/>
              <w:b/>
              <w:bCs/>
              <w:noProof/>
              <w:sz w:val="22"/>
            </w:rPr>
            <w:fldChar w:fldCharType="end"/>
          </w:r>
        </w:p>
      </w:sdtContent>
    </w:sdt>
    <w:p w14:paraId="61A6E3B7" w14:textId="0D555F13" w:rsidR="00F63157" w:rsidRPr="00234F08" w:rsidRDefault="00234F08" w:rsidP="00234F08">
      <w:pPr>
        <w:spacing w:line="259" w:lineRule="auto"/>
        <w:jc w:val="left"/>
        <w:rPr>
          <w:rFonts w:ascii="Arial" w:hAnsi="Arial" w:cs="Arial"/>
          <w:b/>
          <w:bCs/>
          <w:sz w:val="22"/>
        </w:rPr>
      </w:pPr>
      <w:r w:rsidRPr="00234F08">
        <w:rPr>
          <w:rFonts w:ascii="Arial" w:hAnsi="Arial" w:cs="Arial"/>
          <w:b/>
          <w:bCs/>
          <w:sz w:val="22"/>
        </w:rPr>
        <w:br w:type="page"/>
      </w:r>
    </w:p>
    <w:p w14:paraId="0CC8A18E" w14:textId="49BDDA25" w:rsidR="0058519F" w:rsidRPr="00234F08" w:rsidRDefault="00234F08" w:rsidP="0058519F">
      <w:pPr>
        <w:pStyle w:val="Heading1"/>
        <w:rPr>
          <w:rFonts w:ascii="Arial" w:hAnsi="Arial" w:cs="Arial"/>
          <w:sz w:val="22"/>
          <w:szCs w:val="22"/>
        </w:rPr>
      </w:pPr>
      <w:bookmarkStart w:id="0" w:name="_Toc224229152"/>
      <w:r w:rsidRPr="00234F08">
        <w:rPr>
          <w:rFonts w:ascii="Arial" w:hAnsi="Arial" w:cs="Arial"/>
          <w:sz w:val="22"/>
          <w:szCs w:val="22"/>
        </w:rPr>
        <w:lastRenderedPageBreak/>
        <w:t>INTRODUCTION</w:t>
      </w:r>
      <w:bookmarkEnd w:id="0"/>
      <w:r w:rsidR="0058519F" w:rsidRPr="00234F08">
        <w:rPr>
          <w:rFonts w:ascii="Arial" w:hAnsi="Arial" w:cs="Arial"/>
          <w:sz w:val="22"/>
          <w:szCs w:val="22"/>
        </w:rPr>
        <w:t xml:space="preserve"> </w:t>
      </w:r>
    </w:p>
    <w:p w14:paraId="07EA7F8F" w14:textId="2E85B27F" w:rsidR="0058519F" w:rsidRPr="00234F08" w:rsidRDefault="004D556C" w:rsidP="0058519F">
      <w:pPr>
        <w:rPr>
          <w:rFonts w:ascii="Arial" w:hAnsi="Arial" w:cs="Arial"/>
          <w:sz w:val="22"/>
        </w:rPr>
      </w:pPr>
      <w:r w:rsidRPr="00234F08">
        <w:rPr>
          <w:rFonts w:ascii="Arial" w:hAnsi="Arial" w:cs="Arial"/>
          <w:sz w:val="22"/>
        </w:rPr>
        <w:t>Digitalization</w:t>
      </w:r>
      <w:r w:rsidR="003137DC" w:rsidRPr="00234F08">
        <w:rPr>
          <w:rFonts w:ascii="Arial" w:hAnsi="Arial" w:cs="Arial"/>
          <w:sz w:val="22"/>
        </w:rPr>
        <w:t xml:space="preserve"> of health and social care in the United Kingdom has produced significant efficiency </w:t>
      </w:r>
      <w:r w:rsidRPr="00234F08">
        <w:rPr>
          <w:rFonts w:ascii="Arial" w:hAnsi="Arial" w:cs="Arial"/>
          <w:sz w:val="22"/>
        </w:rPr>
        <w:t>benefits but</w:t>
      </w:r>
      <w:r w:rsidR="003137DC" w:rsidRPr="00234F08">
        <w:rPr>
          <w:rFonts w:ascii="Arial" w:hAnsi="Arial" w:cs="Arial"/>
          <w:sz w:val="22"/>
        </w:rPr>
        <w:t xml:space="preserve"> has also simultaneously created a structural issue that has not been adequately dealt with, namely the systematic </w:t>
      </w:r>
      <w:r w:rsidRPr="00234F08">
        <w:rPr>
          <w:rFonts w:ascii="Arial" w:hAnsi="Arial" w:cs="Arial"/>
          <w:sz w:val="22"/>
        </w:rPr>
        <w:t>marginalization</w:t>
      </w:r>
      <w:r w:rsidR="003137DC" w:rsidRPr="00234F08">
        <w:rPr>
          <w:rFonts w:ascii="Arial" w:hAnsi="Arial" w:cs="Arial"/>
          <w:sz w:val="22"/>
        </w:rPr>
        <w:t xml:space="preserve"> of older adults by the services that they rely on as a core part of their lives. Digital exclusion is the inability to use or </w:t>
      </w:r>
      <w:r w:rsidR="00C75E68" w:rsidRPr="00234F08">
        <w:rPr>
          <w:rFonts w:ascii="Arial" w:hAnsi="Arial" w:cs="Arial"/>
          <w:sz w:val="22"/>
        </w:rPr>
        <w:t>utilize</w:t>
      </w:r>
      <w:r w:rsidR="003137DC" w:rsidRPr="00234F08">
        <w:rPr>
          <w:rFonts w:ascii="Arial" w:hAnsi="Arial" w:cs="Arial"/>
          <w:sz w:val="22"/>
        </w:rPr>
        <w:t xml:space="preserve"> digital technologies, due to a combination of linked barriers of motivation, affordability, accessibility, and ability </w:t>
      </w:r>
      <w:r w:rsidR="00B045F8" w:rsidRPr="00234F08">
        <w:rPr>
          <w:rFonts w:ascii="Arial" w:hAnsi="Arial" w:cs="Arial"/>
          <w:sz w:val="22"/>
        </w:rPr>
        <w:t>c</w:t>
      </w:r>
      <w:r w:rsidR="003137DC" w:rsidRPr="00234F08">
        <w:rPr>
          <w:rFonts w:ascii="Arial" w:hAnsi="Arial" w:cs="Arial"/>
          <w:sz w:val="22"/>
        </w:rPr>
        <w:t xml:space="preserve">. As the NHS Long Term Plan has made digital-first care delivery a central part of care delivery in England, this exclusion has become a major cause of health inequity </w:t>
      </w:r>
      <w:r w:rsidR="00EA66A6" w:rsidRPr="00234F08">
        <w:rPr>
          <w:rFonts w:ascii="Arial" w:hAnsi="Arial" w:cs="Arial"/>
          <w:sz w:val="22"/>
        </w:rPr>
        <w:fldChar w:fldCharType="begin" w:fldLock="1"/>
      </w:r>
      <w:r w:rsidR="00B045F8" w:rsidRPr="00234F08">
        <w:rPr>
          <w:rFonts w:ascii="Arial" w:hAnsi="Arial" w:cs="Arial"/>
          <w:sz w:val="22"/>
        </w:rPr>
        <w:instrText>ADDIN CSL_CITATION {"citationItems":[{"id":"ITEM-1","itemData":{"author":[{"dropping-particle":"","family":"NHS","given":"","non-dropping-particle":"","parse-names":false,"suffix":""}],"id":"ITEM-1","issue":"July","issued":{"date-parts":[["2025"]]},"number-of-pages":"1-167","title":"10 Year Health Plan for England: Fit For the Future","type":"report"},"uris":["http://www.mendeley.com/documents/?uuid=4af2bd18-1078-4f4a-924a-4764ae414b08"]},{"id":"ITEM-2","itemData":{"DOI":"10.2196/80000","ISSN":"2561-7605","abstract":"Background: Older adults with chronic diseases are key beneficiaries of digital health technologies, yet adoption remains inconsistent, particularly in rural areas and among certain demographic groups, such as older women. Objective: This systematic review aimed to identify barriers to and facilitators of digital health adoption among older adults with chronic diseases, with particular attention to rural-urban differences, co-design, and equity-relevant factors. Methods: This updated review built on a previously published review by extending the search to include PsycArticles, Scopus, Web of Science, and PubMed databases for studies published between April 2022 and September 2024. Gray literature from August 2021 onward was also included. Studies were eligible if they reported barriers to or facilitators of digital health adoption among adults aged ≥60 years with chronic diseases. Findings were mapped to the capability, opportunity, and motivation–behavior model and analyzed using the PROGRESS-Plus (place of residence; race, ethnicity, culture, and language; occupation; gender and sex; religion; education; socioeconomic status; and social capital–plus) equity framework. Quality was assessed using the Mixed Methods Appraisal Tool, and all results are reported in line with the PRISMA (Preferred Reporting Items for Systematic Reviews and Meta-Analyses) guidelines. Results: In total, 12 studies from the original review were retained, with 17 new peer-reviewed studies added, yielding a total of 29 studies in addition to 30 documents identified in the gray literature search. Barriers included limited digital literacy and physical and cognitive challenges (capability); infrastructural deficits and usability challenges (opportunity); and privacy concerns, mistrust, and high satisfaction with existing care (motivation). Facilitators included tailored training and accessible design (capability), health care provider endorsement and hybrid care models (opportunity), and recognition of digital health benefits (motivation). Health care providers emerged as both facilitators and barriers, positively influencing adoption when engaged and trained but hindering it when lacking confidence or involvement. Comparative analysis of rural and urban contexts was limited by inconsistent reporting of equity-relevant variables. However, gray literature suggested that rural users face additional infrastructural challenges but express higher satisfaction with local care, potentiall…","author":[{"dropping-particle":"","family":"Hepburn","given":"Jennifer","non-dropping-particle":"","parse-names":false,"suffix":""},{"dropping-particle":"","family":"Williams","given":"Lynn","non-dropping-particle":"","parse-names":false,"suffix":""},{"dropping-particle":"","family":"McCann","given":"Lisa","non-dropping-particle":"","parse-names":false,"suffix":""}],"container-title":"JMIR Aging","id":"ITEM-2","issued":{"date-parts":[["2025"]]},"page":"e80000","title":"Barriers to and Facilitators of Digital Health Technology Adoption Among Older Adults With Chronic Diseases: Updated Systematic Review","type":"article-journal","volume":"8"},"uris":["http://www.mendeley.com/documents/?uuid=90f1c9b0-2f84-4d1f-b2b3-b98a999d318b"]}],"mendeley":{"formattedCitation":"(Hepburn, Williams and McCann, 2025; NHS, 2025)","plainTextFormattedCitation":"(Hepburn, Williams and McCann, 2025; NHS, 2025)","previouslyFormattedCitation":"(Hepburn, Williams and McCann, 2025; NHS, 2025)"},"properties":{"noteIndex":0},"schema":"https://github.com/citation-style-language/schema/raw/master/csl-citation.json"}</w:instrText>
      </w:r>
      <w:r w:rsidR="00EA66A6" w:rsidRPr="00234F08">
        <w:rPr>
          <w:rFonts w:ascii="Arial" w:hAnsi="Arial" w:cs="Arial"/>
          <w:sz w:val="22"/>
        </w:rPr>
        <w:fldChar w:fldCharType="separate"/>
      </w:r>
      <w:r w:rsidR="00EA66A6" w:rsidRPr="00234F08">
        <w:rPr>
          <w:rFonts w:ascii="Arial" w:hAnsi="Arial" w:cs="Arial"/>
          <w:noProof/>
          <w:sz w:val="22"/>
        </w:rPr>
        <w:t>(Hepburn, Williams and McCann, 2025; NHS, 2025)</w:t>
      </w:r>
      <w:r w:rsidR="00EA66A6" w:rsidRPr="00234F08">
        <w:rPr>
          <w:rFonts w:ascii="Arial" w:hAnsi="Arial" w:cs="Arial"/>
          <w:sz w:val="22"/>
        </w:rPr>
        <w:fldChar w:fldCharType="end"/>
      </w:r>
      <w:r w:rsidR="003137DC" w:rsidRPr="00234F08">
        <w:rPr>
          <w:rFonts w:ascii="Arial" w:hAnsi="Arial" w:cs="Arial"/>
          <w:sz w:val="22"/>
        </w:rPr>
        <w:t>. This report reviews the pertinent literature, suggests a research methodology, and determines an appropriate data collection approach</w:t>
      </w:r>
      <w:r w:rsidR="0058519F" w:rsidRPr="00234F08">
        <w:rPr>
          <w:rFonts w:ascii="Arial" w:hAnsi="Arial" w:cs="Arial"/>
          <w:sz w:val="22"/>
        </w:rPr>
        <w:t>.</w:t>
      </w:r>
    </w:p>
    <w:p w14:paraId="2A8D6831" w14:textId="35CFDE33" w:rsidR="0058519F" w:rsidRPr="00234F08" w:rsidRDefault="00234F08" w:rsidP="0058519F">
      <w:pPr>
        <w:pStyle w:val="Heading1"/>
        <w:rPr>
          <w:rFonts w:ascii="Arial" w:hAnsi="Arial" w:cs="Arial"/>
          <w:sz w:val="22"/>
          <w:szCs w:val="22"/>
        </w:rPr>
      </w:pPr>
      <w:bookmarkStart w:id="1" w:name="_Toc224229153"/>
      <w:r w:rsidRPr="00234F08">
        <w:rPr>
          <w:rFonts w:ascii="Arial" w:hAnsi="Arial" w:cs="Arial"/>
          <w:sz w:val="22"/>
          <w:szCs w:val="22"/>
        </w:rPr>
        <w:t xml:space="preserve">TASK 1: SELECTION OF </w:t>
      </w:r>
      <w:r w:rsidR="00C75E68" w:rsidRPr="00234F08">
        <w:rPr>
          <w:rFonts w:ascii="Arial" w:hAnsi="Arial" w:cs="Arial"/>
          <w:sz w:val="22"/>
          <w:szCs w:val="22"/>
        </w:rPr>
        <w:t>RESEARCH</w:t>
      </w:r>
      <w:r w:rsidRPr="00234F08">
        <w:rPr>
          <w:rFonts w:ascii="Arial" w:hAnsi="Arial" w:cs="Arial"/>
          <w:sz w:val="22"/>
          <w:szCs w:val="22"/>
        </w:rPr>
        <w:t xml:space="preserve"> TOPIC</w:t>
      </w:r>
      <w:bookmarkEnd w:id="1"/>
      <w:r w:rsidRPr="00234F08">
        <w:rPr>
          <w:rFonts w:ascii="Arial" w:hAnsi="Arial" w:cs="Arial"/>
          <w:sz w:val="22"/>
          <w:szCs w:val="22"/>
        </w:rPr>
        <w:t xml:space="preserve"> </w:t>
      </w:r>
    </w:p>
    <w:p w14:paraId="776264FB" w14:textId="1D574460" w:rsidR="003137DC" w:rsidRPr="00234F08" w:rsidRDefault="003137DC" w:rsidP="003137DC">
      <w:pPr>
        <w:rPr>
          <w:rFonts w:ascii="Arial" w:hAnsi="Arial" w:cs="Arial"/>
          <w:sz w:val="22"/>
        </w:rPr>
      </w:pPr>
      <w:r w:rsidRPr="00234F08">
        <w:rPr>
          <w:rFonts w:ascii="Arial" w:hAnsi="Arial" w:cs="Arial"/>
          <w:sz w:val="22"/>
        </w:rPr>
        <w:t xml:space="preserve">Digital exclusion in health and social care is a </w:t>
      </w:r>
      <w:r w:rsidR="00C75E68" w:rsidRPr="00234F08">
        <w:rPr>
          <w:rFonts w:ascii="Arial" w:hAnsi="Arial" w:cs="Arial"/>
          <w:sz w:val="22"/>
        </w:rPr>
        <w:t>conceptualized</w:t>
      </w:r>
      <w:r w:rsidRPr="00234F08">
        <w:rPr>
          <w:rFonts w:ascii="Arial" w:hAnsi="Arial" w:cs="Arial"/>
          <w:sz w:val="22"/>
        </w:rPr>
        <w:t xml:space="preserve"> phenomenon where people cannot take advantage of the opportunities that digital technologies potentially have to offer due to cumulative deficits in motivation, accessibility, ability, and affordability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{"citationItems":[{"id":"ITEM-1","itemData":{"DOI":"10.2196/70377","ISSN":"2561-7605 (Electronic)","PMID":"41468583","abstract":"BACKGROUND: Older adults make up the largest proportion of nonusers of the  internet. With the increasing digitalization of services, it is important to identify what interventions are effective at reducing digital exclusion in older adults. OBJECTIVE: We aimed to identify what evidence exists on the effectiveness of interventions to address digital exclusion in older adults. METHODS: This rapid review assessed the effectiveness of interventions to address digital exclusion in older adults aged 60 years or older. Searches were conducted in November 2023 across a range of databases and used supplementary search methods. Searches were limited to comparative studies published from 2018 onward in English. Data were analyzed using a narrative synthesis approach. RESULTS: A total of 21 studies were included that aimed to increase a range of digital literacy skills. Sample sizes ranged from 5 to 381. Intervention approaches varied considerably and were often multicomponent and undertaken in a variety of settings. There is evidence to suggest that a range of interventions can reduce physical, personal, and perceptual barriers and improve older adults' skills, knowledge, digital literacy, and perceived self-efficacy, reduce technophobia, and increase use of technology. Importantly, findings indicated improvements among a range of subpopulations, including those living in rural areas, at risk of social isolation, who are homebound, of lower socioeconomic groups, and individuals with visual impairment. To achieve improved and sustained digital inclusion in older adults, evidence suggests it may be important to ensure structural barriers, such as access to the internet and affordability of devices, are removed. However, all studies contained methodological limitations and may not be adequately powered to determine effectiveness. CONCLUSIONS: The evidence shows the potential benefits of interventions aimed at improving a range of digital skills and increasing technology use in older adults, which could help to address digital exclusion. The findings of this rapid review can inform the development and delivery of future interventions. However, it is important to consider the context in which the included interventions were used and the lack of certainty of the findings. This review also identified a lack of high-quality evidence, as all studies identified contained methodological limitations and may not have been adequately powered to determine effectiveness. In addi…","author":[{"dropping-particle":"","family":"Wale","given":"Alesha","non-dropping-particle":"","parse-names":false,"suffix":""},{"dropping-particle":"","family":"Everitt","given":"Jordan","non-dropping-particle":"","parse-names":false,"suffix":""},{"dropping-particle":"","family":"Ayres","given":"Toby","non-dropping-particle":"","parse-names":false,"suffix":""},{"dropping-particle":"","family":"Okolie","given":"Chukwudi","non-dropping-particle":"","parse-names":false,"suffix":""},{"dropping-particle":"","family":"Morgan","given":"Helen E","non-dropping-particle":"","parse-names":false,"suffix":""},{"dropping-particle":"","family":"Shaw","given":"Hannah","non-dropping-particle":"","parse-names":false,"suffix":""},{"dropping-particle":"","family":"Cooper","given":"Alison","non-dropping-particle":"","parse-names":false,"suffix":""},{"dropping-particle":"","family":"Edwards","given":"Adrian","non-dropping-particle":"","parse-names":false,"suffix":""},{"dropping-particle":"","family":"Lewis","given":"Ruth","non-dropping-particle":"","parse-names":false,"suffix":""}],"container-title":"JMIR aging","id":"ITEM-1","issued":{"date-parts":[["2025","12"]]},"language":"eng","page":"e70377","publisher-place":"Canada","title":"Effectiveness of Interventions for Addressing Digital Exclusion in Older Adults  in the Social Care Domain: Rapid Review.","type":"article-journal","volume":"8"},"uris":["http://www.mendeley.com/documents/?uuid=8943d745-2a3d-47f7-b4a3-9844424765b8"]}],"mendeley":{"formattedCitation":"(Wale &lt;i&gt;et al.&lt;/i&gt;, 2025)","plainTextFormattedCitation":"(Wale et al., 2025)","previouslyFormattedCitation":"(Wale &lt;i&gt;et al.&lt;/i&gt;, 2025)"},"properties":{"noteIndex":0},"schema":"https://github.com/citation-style-language/schema/raw/master/csl-citation.json"}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 xml:space="preserve">(Wale </w:t>
      </w:r>
      <w:r w:rsidR="00B045F8" w:rsidRPr="00234F08">
        <w:rPr>
          <w:rFonts w:ascii="Arial" w:hAnsi="Arial" w:cs="Arial"/>
          <w:i/>
          <w:noProof/>
          <w:sz w:val="22"/>
        </w:rPr>
        <w:t>et al.</w:t>
      </w:r>
      <w:r w:rsidR="00B045F8" w:rsidRPr="00234F08">
        <w:rPr>
          <w:rFonts w:ascii="Arial" w:hAnsi="Arial" w:cs="Arial"/>
          <w:noProof/>
          <w:sz w:val="22"/>
        </w:rPr>
        <w:t>, 2025)</w:t>
      </w:r>
      <w:r w:rsidR="00B045F8" w:rsidRPr="00234F08">
        <w:rPr>
          <w:rFonts w:ascii="Arial" w:hAnsi="Arial" w:cs="Arial"/>
          <w:sz w:val="22"/>
        </w:rPr>
        <w:fldChar w:fldCharType="end"/>
      </w:r>
      <w:r w:rsidRPr="00234F08">
        <w:rPr>
          <w:rFonts w:ascii="Arial" w:hAnsi="Arial" w:cs="Arial"/>
          <w:sz w:val="22"/>
        </w:rPr>
        <w:t xml:space="preserve">. Older adults are the age group most affected and disproportionately in the United Kingdom.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{"citationItems":[{"id":"ITEM-1","itemData":{"author":[{"dropping-particle":"","family":"AgeUK","given":"","non-dropping-particle":"","parse-names":false,"suffix":""}],"id":"ITEM-1","issue":"March","issued":{"date-parts":[["2024"]]},"title":"Offline and Overlooked: Digital exclusion and its impact on older people","type":"report"},"uris":["http://www.mendeley.com/documents/?uuid=555490ba-029d-49c6-b4fa-9928628550e6"]}],"mendeley":{"formattedCitation":"(AgeUK, 2024)","manualFormatting":"Age UK (2024)","plainTextFormattedCitation":"(AgeUK, 2024)","previouslyFormattedCitation":"(AgeUK, 2024)"},"properties":{"noteIndex":0},"schema":"https://github.com/citation-style-language/schema/raw/master/csl-citation.json"}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Age UK (2024)</w:t>
      </w:r>
      <w:r w:rsidR="00B045F8" w:rsidRPr="00234F08">
        <w:rPr>
          <w:rFonts w:ascii="Arial" w:hAnsi="Arial" w:cs="Arial"/>
          <w:sz w:val="22"/>
        </w:rPr>
        <w:fldChar w:fldCharType="end"/>
      </w:r>
      <w:r w:rsidRPr="00234F08">
        <w:rPr>
          <w:rFonts w:ascii="Arial" w:hAnsi="Arial" w:cs="Arial"/>
          <w:sz w:val="22"/>
        </w:rPr>
        <w:t xml:space="preserve"> estimates that approximately six million aged 65 years and over are either unable to use the internet safely and successfully or have never been online at all the figure that has far-reaching consequences on the provision of health and social care as the growing emphasis on digital channels as the point of access to GP appointments, prescription management, and personal care records.</w:t>
      </w:r>
    </w:p>
    <w:p w14:paraId="79B94D8A" w14:textId="0E414EB8" w:rsidR="003137DC" w:rsidRPr="00234F08" w:rsidRDefault="003137DC" w:rsidP="003137DC">
      <w:pPr>
        <w:rPr>
          <w:rFonts w:ascii="Arial" w:hAnsi="Arial" w:cs="Arial"/>
          <w:sz w:val="22"/>
        </w:rPr>
      </w:pPr>
      <w:r w:rsidRPr="00234F08">
        <w:rPr>
          <w:rFonts w:ascii="Arial" w:hAnsi="Arial" w:cs="Arial"/>
          <w:sz w:val="22"/>
        </w:rPr>
        <w:t xml:space="preserve">This issue is particularly acute when considered in the context of policy. The NHS has a statutory obligation to </w:t>
      </w:r>
      <w:r w:rsidR="00C75E68" w:rsidRPr="00234F08">
        <w:rPr>
          <w:rFonts w:ascii="Arial" w:hAnsi="Arial" w:cs="Arial"/>
          <w:sz w:val="22"/>
        </w:rPr>
        <w:t>minimize</w:t>
      </w:r>
      <w:r w:rsidRPr="00234F08">
        <w:rPr>
          <w:rFonts w:ascii="Arial" w:hAnsi="Arial" w:cs="Arial"/>
          <w:sz w:val="22"/>
        </w:rPr>
        <w:t xml:space="preserve"> disparities in health service provision, which is enshrined in the Health and Care Act of 2022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DOI":"10.1192/bjb.2018.71","author":[{"dropping-particle":"","family":"Johnson","given":"Katherine","non-dropping-particle":"","parse-names":false,"suffix":""},{"dropping-particle":"","family":"Boland","given":"Billy","non-dropping-particle":"","parse-names":false,"suffix":""}],"container-title":"BJPsych Bulletin","id":"ITEM-1","issue":"1","issued":{"date-parts":[["2019"]]},"page":"38-42","title":"Adult Safeguarding under the Care Act 2014","type":"article-journal","volume":"43"},"uris":["http://www.mendeley.com/documents/?uuid=0d4a3bb0-6f85-4473-b41f-3c4387b9d636"]}],"mendeley":{"formattedCitation":"(Johnson and Boland, 2019)","plainTextFormattedCitation":"(Johnson and Boland, 2019)","previouslyFormattedCitation":"(Johnson and Boland, 2019)"},"properties":{"noteIndex":0},"schema":"https://github.com/citation-style-language/schema/raw/master/csl-citation.json"}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(Johnson and Boland, 2019)</w:t>
      </w:r>
      <w:r w:rsidR="00B045F8" w:rsidRPr="00234F08">
        <w:rPr>
          <w:rFonts w:ascii="Arial" w:hAnsi="Arial" w:cs="Arial"/>
          <w:sz w:val="22"/>
        </w:rPr>
        <w:fldChar w:fldCharType="end"/>
      </w:r>
      <w:r w:rsidRPr="00234F08">
        <w:rPr>
          <w:rFonts w:ascii="Arial" w:hAnsi="Arial" w:cs="Arial"/>
          <w:sz w:val="22"/>
        </w:rPr>
        <w:t xml:space="preserve">; and at the same time, its digital-first transformation strategy systematically presupposes online aptitude as a norm. This structural contradiction puts older non-digital populations in compounding </w:t>
      </w:r>
      <w:r w:rsidR="00C75E68" w:rsidRPr="00234F08">
        <w:rPr>
          <w:rFonts w:ascii="Arial" w:hAnsi="Arial" w:cs="Arial"/>
          <w:sz w:val="22"/>
        </w:rPr>
        <w:t>disadvantages</w:t>
      </w:r>
      <w:r w:rsidRPr="00234F08">
        <w:rPr>
          <w:rFonts w:ascii="Arial" w:hAnsi="Arial" w:cs="Arial"/>
          <w:sz w:val="22"/>
        </w:rPr>
        <w:t xml:space="preserve"> not due to intentional marginalization but due to institutional ignorance of the circumstances that make it possible to be digital. Digital exclusion is a complicated social phenomenon despite the growing </w:t>
      </w:r>
      <w:r w:rsidR="00C75E68" w:rsidRPr="00234F08">
        <w:rPr>
          <w:rFonts w:ascii="Arial" w:hAnsi="Arial" w:cs="Arial"/>
          <w:sz w:val="22"/>
        </w:rPr>
        <w:t>digitalization</w:t>
      </w:r>
      <w:r w:rsidRPr="00234F08">
        <w:rPr>
          <w:rFonts w:ascii="Arial" w:hAnsi="Arial" w:cs="Arial"/>
          <w:sz w:val="22"/>
        </w:rPr>
        <w:t xml:space="preserve"> of the world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{"citationItems":[{"id":"ITEM-1","itemData":{"DOI":"https://doi.org/10.1016/j.ijnurstu.2025.105082","ISSN":"0020-7489","abstract":"Background The intersection of aging and digitalization is a distinctive feature of this new era. While digitalization brings convenience, it also forces older people to use tools that did not exist during their formative or working years. Understanding digital exclusion in older adults, the primary demographic affected, is essential to better support integration into the digital society, particularly in enhancing digital healthcare services' usability, continuity, and precision. Objective This study aims to conduct a scoping review of digital exclusion to better understand its current state in older adults. Methods The scoping review followed a five-stage framework and the PRISMA-ScR checklist statement. We systematically searched PubMed, CINAHL Plus with Full Text, Academic Search Complete, ACM digital library, Web of Science, and ProQuest from the earliest available date to May 2024. Results A total of 39 articles were included in the scoping review. The attributes of digital exclusion were identified as resource exclusion, skills exclusion, and motivational exclusion. Contributing factors were categorized into three domains: sociodemographic characteristics, physiological conditions, and psychological states. The consequences of digital exclusion were separated into social exclusion and technology anxiety. Intervention strategies included accessibility, ability, and willingness, aligning with the attributes of digital exclusion in older adults. Conclusions The findings of this scoping review contribute to understanding and clarifying digital exclusion in older adults. Digital exclusion is a prevalent, complex, multi-causal, and multidimensional phenomenon that predisposes individuals to social exclusion. Identifying attributes, contributing factors, and consequences can guide digital product developers, sociologists, and geriatric clinicians in addressing digital exclusion in older adults to improve their mental and physical well-being. Future research should focus more on empirical studies to deepen our understanding of digital exclusion in older adults. Tweetable abstract: The definition of digital exclusion is inconsistent. Further clarification of contributing factors, developing measurement tools, and formulating interventions for digital exclusion in older adults can contribute to achieving consensus on the concept.","author":[{"dropping-particle":"","family":"Ge","given":"Hui","non-dropping-particle":"","parse-names":false,"suffix":""},{"dropping-particle":"","family":"Li","given":"Jiashuai","non-dropping-particle":"","parse-names":false,"suffix":""},{"dropping-particle":"","family":"Hu","given":"Huiling","non-dropping-particle":"","parse-names":false,"suffix":""},{"dropping-particle":"","family":"Feng","given":"Tingting","non-dropping-particle":"","parse-names":false,"suffix":""},{"dropping-particle":"","family":"Wu","given":"Xue","non-dropping-particle":"","parse-names":false,"suffix":""}],"container-title":"International Journal of Nursing Studies","id":"ITEM-1","issued":{"date-parts":[["2025"]]},"page":"105082","title":"Digital exclusion in older adults: A scoping review","type":"article-journal","volume":"168"},"uris":["http://www.mendeley.com/documents/?uuid=c4126baf-4154-4b08-8637-ec7f556cdefe"]}],"mendeley":{"formattedCitation":"(Ge &lt;i&gt;et al.&lt;/i&gt;, 2025)","plainTextFormattedCitation":"(Ge et al., 2025)","previouslyFormattedCitation":"(Ge &lt;i&gt;et al.&lt;/i&gt;, 2025)"},"properties":{"noteIndex":0},"schema":"https://github.com/citation-style-language/schema/raw/master/csl-citation.json"}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 xml:space="preserve">(Ge </w:t>
      </w:r>
      <w:r w:rsidR="00B045F8" w:rsidRPr="00234F08">
        <w:rPr>
          <w:rFonts w:ascii="Arial" w:hAnsi="Arial" w:cs="Arial"/>
          <w:i/>
          <w:noProof/>
          <w:sz w:val="22"/>
        </w:rPr>
        <w:t>et al.</w:t>
      </w:r>
      <w:r w:rsidR="00B045F8" w:rsidRPr="00234F08">
        <w:rPr>
          <w:rFonts w:ascii="Arial" w:hAnsi="Arial" w:cs="Arial"/>
          <w:noProof/>
          <w:sz w:val="22"/>
        </w:rPr>
        <w:t>, 2025)</w:t>
      </w:r>
      <w:r w:rsidR="00B045F8" w:rsidRPr="00234F08">
        <w:rPr>
          <w:rFonts w:ascii="Arial" w:hAnsi="Arial" w:cs="Arial"/>
          <w:sz w:val="22"/>
        </w:rPr>
        <w:fldChar w:fldCharType="end"/>
      </w:r>
      <w:r w:rsidRPr="00234F08">
        <w:rPr>
          <w:rFonts w:ascii="Arial" w:hAnsi="Arial" w:cs="Arial"/>
          <w:sz w:val="22"/>
        </w:rPr>
        <w:t>, and the increasing tension between efficiency-focused policy requirements and the reality of working with a disproportionately offline population.</w:t>
      </w:r>
    </w:p>
    <w:p w14:paraId="27B0D141" w14:textId="03DFF0D3" w:rsidR="0058519F" w:rsidRPr="00234F08" w:rsidRDefault="003137DC" w:rsidP="003137DC">
      <w:pPr>
        <w:rPr>
          <w:rFonts w:ascii="Arial" w:hAnsi="Arial" w:cs="Arial"/>
          <w:b/>
          <w:bCs/>
          <w:sz w:val="22"/>
        </w:rPr>
      </w:pPr>
      <w:r w:rsidRPr="00234F08">
        <w:rPr>
          <w:rFonts w:ascii="Arial" w:hAnsi="Arial" w:cs="Arial"/>
          <w:sz w:val="22"/>
        </w:rPr>
        <w:t xml:space="preserve">The topic was chosen due to a high level of academic interest in the changing nature of digital technology in terms of equity in public services- a subject of direct interest in future professional </w:t>
      </w:r>
      <w:r w:rsidR="00C75E68" w:rsidRPr="00234F08">
        <w:rPr>
          <w:rFonts w:ascii="Arial" w:hAnsi="Arial" w:cs="Arial"/>
          <w:sz w:val="22"/>
        </w:rPr>
        <w:t>practice</w:t>
      </w:r>
      <w:r w:rsidRPr="00234F08">
        <w:rPr>
          <w:rFonts w:ascii="Arial" w:hAnsi="Arial" w:cs="Arial"/>
          <w:sz w:val="22"/>
        </w:rPr>
        <w:t xml:space="preserve"> in health and social care policy, commissioning or service design. Knowing digital exclusion provides an essential understanding of how systems unintentionally reproduce </w:t>
      </w:r>
      <w:r w:rsidRPr="00234F08">
        <w:rPr>
          <w:rFonts w:ascii="Arial" w:hAnsi="Arial" w:cs="Arial"/>
          <w:sz w:val="22"/>
        </w:rPr>
        <w:lastRenderedPageBreak/>
        <w:t xml:space="preserve">inequality, and how practitioners can use this knowledge to argue in </w:t>
      </w:r>
      <w:r w:rsidR="00C75E68" w:rsidRPr="00234F08">
        <w:rPr>
          <w:rFonts w:ascii="Arial" w:hAnsi="Arial" w:cs="Arial"/>
          <w:sz w:val="22"/>
        </w:rPr>
        <w:t>favor</w:t>
      </w:r>
      <w:r w:rsidRPr="00234F08">
        <w:rPr>
          <w:rFonts w:ascii="Arial" w:hAnsi="Arial" w:cs="Arial"/>
          <w:sz w:val="22"/>
        </w:rPr>
        <w:t xml:space="preserve"> of more inclusive systems of service delivery</w:t>
      </w:r>
      <w:r w:rsidR="0058519F" w:rsidRPr="00234F08">
        <w:rPr>
          <w:rFonts w:ascii="Arial" w:hAnsi="Arial" w:cs="Arial"/>
          <w:sz w:val="22"/>
        </w:rPr>
        <w:t>.</w:t>
      </w:r>
    </w:p>
    <w:p w14:paraId="4A4D82BC" w14:textId="1FBA98FB" w:rsidR="00234F08" w:rsidRPr="00234F08" w:rsidRDefault="00234F08" w:rsidP="00234F08">
      <w:pPr>
        <w:pStyle w:val="Heading1"/>
        <w:rPr>
          <w:rFonts w:ascii="Arial" w:hAnsi="Arial" w:cs="Arial"/>
          <w:sz w:val="22"/>
          <w:szCs w:val="22"/>
        </w:rPr>
      </w:pPr>
      <w:bookmarkStart w:id="2" w:name="_Toc224229154"/>
      <w:r w:rsidRPr="00234F08">
        <w:rPr>
          <w:rFonts w:ascii="Arial" w:hAnsi="Arial" w:cs="Arial"/>
          <w:sz w:val="22"/>
          <w:szCs w:val="22"/>
        </w:rPr>
        <w:t>TASK 2: EVALUATING INFORMATION SOURCES</w:t>
      </w:r>
      <w:bookmarkEnd w:id="2"/>
    </w:p>
    <w:p w14:paraId="589F5FA3" w14:textId="7CA02610" w:rsidR="003137DC" w:rsidRPr="00234F08" w:rsidRDefault="001059A5" w:rsidP="003137DC">
      <w:pPr>
        <w:rPr>
          <w:rFonts w:ascii="Arial" w:hAnsi="Arial" w:cs="Arial"/>
          <w:sz w:val="22"/>
        </w:rPr>
      </w:pPr>
      <w:r w:rsidRPr="00234F08">
        <w:rPr>
          <w:rFonts w:ascii="Arial" w:hAnsi="Arial" w:cs="Arial"/>
          <w:sz w:val="22"/>
        </w:rPr>
        <w:fldChar w:fldCharType="begin" w:fldLock="1"/>
      </w:r>
      <w:r w:rsidR="00994876" w:rsidRPr="00234F08">
        <w:rPr>
          <w:rFonts w:ascii="Arial" w:hAnsi="Arial" w:cs="Arial"/>
          <w:sz w:val="22"/>
        </w:rPr>
        <w:instrText>ADDIN CSL_CITATION {"citationItems":[{"id":"ITEM-1","itemData":{"author":[{"dropping-particle":"","family":"NHS","given":"","non-dropping-particle":"","parse-names":false,"suffix":""}],"id":"ITEM-1","issue":"July","issued":{"date-parts":[["2025"]]},"number-of-pages":"1-167","title":"10 Year Health Plan for England: Fit For the Future","type":"report"},"uris":["http://www.mendeley.com/documents/?uuid=4af2bd18-1078-4f4a-924a-4764ae414b08"]}],"mendeley":{"formattedCitation":"(NHS, 2025)","manualFormatting":"NHS (2025)","plainTextFormattedCitation":"(NHS, 2025)"},"properties":{"noteIndex":0},"schema":"https://github.com/citation-style-language/schema/raw/master/csl-citation.json"}</w:instrText>
      </w:r>
      <w:r w:rsidRPr="00234F08">
        <w:rPr>
          <w:rFonts w:ascii="Arial" w:hAnsi="Arial" w:cs="Arial"/>
          <w:sz w:val="22"/>
        </w:rPr>
        <w:fldChar w:fldCharType="separate"/>
      </w:r>
      <w:r w:rsidRPr="00234F08">
        <w:rPr>
          <w:rFonts w:ascii="Arial" w:hAnsi="Arial" w:cs="Arial"/>
          <w:noProof/>
          <w:sz w:val="22"/>
        </w:rPr>
        <w:t>NHS (2025)</w:t>
      </w:r>
      <w:r w:rsidRPr="00234F08">
        <w:rPr>
          <w:rFonts w:ascii="Arial" w:hAnsi="Arial" w:cs="Arial"/>
          <w:sz w:val="22"/>
        </w:rPr>
        <w:fldChar w:fldCharType="end"/>
      </w:r>
      <w:r w:rsidRPr="00234F08">
        <w:rPr>
          <w:rFonts w:ascii="Arial" w:hAnsi="Arial" w:cs="Arial"/>
          <w:sz w:val="22"/>
        </w:rPr>
        <w:t xml:space="preserve"> </w:t>
      </w:r>
      <w:r w:rsidR="003137DC" w:rsidRPr="00234F08">
        <w:rPr>
          <w:rFonts w:ascii="Arial" w:hAnsi="Arial" w:cs="Arial"/>
          <w:sz w:val="22"/>
        </w:rPr>
        <w:t xml:space="preserve">is a policy document that forms the basis and authoritative voice on a 10-year strategic plan to reshape the delivery of health services in England in which the digital infrastructure is the key mechanism. The plan is determined to ensure that a digital front door to the health service is created, the NHS App is extended, and the patients are </w:t>
      </w:r>
      <w:r w:rsidR="00C75E68" w:rsidRPr="00234F08">
        <w:rPr>
          <w:rFonts w:ascii="Arial" w:hAnsi="Arial" w:cs="Arial"/>
          <w:sz w:val="22"/>
        </w:rPr>
        <w:t>provided with</w:t>
      </w:r>
      <w:r w:rsidR="003137DC" w:rsidRPr="00234F08">
        <w:rPr>
          <w:rFonts w:ascii="Arial" w:hAnsi="Arial" w:cs="Arial"/>
          <w:sz w:val="22"/>
        </w:rPr>
        <w:t xml:space="preserve"> access to care remotely as a default means of engagement. Being a major source of government, its power and scope of the institution is a strength that renders it indispensable in </w:t>
      </w:r>
      <w:r w:rsidR="00C75E68" w:rsidRPr="00234F08">
        <w:rPr>
          <w:rFonts w:ascii="Arial" w:hAnsi="Arial" w:cs="Arial"/>
          <w:sz w:val="22"/>
        </w:rPr>
        <w:t>contextualizing</w:t>
      </w:r>
      <w:r w:rsidR="003137DC" w:rsidRPr="00234F08">
        <w:rPr>
          <w:rFonts w:ascii="Arial" w:hAnsi="Arial" w:cs="Arial"/>
          <w:sz w:val="22"/>
        </w:rPr>
        <w:t xml:space="preserve"> the policy pressures that are leading to digital-first care. Nevertheless, the Plan makes digital transformation appear as an unproven advantage, with only cursory attention to the inequalities that such transformation can enhance among offline communities.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{"citationItems":[{"id":"ITEM-1","itemData":{"DOI":"10.3399/bjgp20X713837","ISSN":"1478-5242 (Electronic)","PMID":"33243917","author":[{"dropping-particle":"","family":"Neve","given":"Georgina","non-dropping-particle":"","parse-names":false,"suffix":""},{"dropping-particle":"","family":"Fyfe","given":"Molly","non-dropping-particle":"","parse-names":false,"suffix":""},{"dropping-particle":"","family":"Hayhoe","given":"Benedict","non-dropping-particle":"","parse-names":false,"suffix":""},{"dropping-particle":"","family":"Kumar","given":"Sonia","non-dropping-particle":"","parse-names":false,"suffix":""}],"container-title":"The British journal of general practice : the journal of the Royal College of  General Practitioners","id":"ITEM-1","issue":"701","issued":{"date-parts":[["2020","12"]]},"language":"eng","page":"609-610","publisher-place":"England","title":"Digital health in primary care: risks and recommendations.","type":"article-journal","volume":"70"},"uris":["http://www.mendeley.com/documents/?uuid=3ff69b18-7bc8-47ca-8458-ed34ce40673b"]}],"mendeley":{"formattedCitation":"(Neve &lt;i&gt;et al.&lt;/i&gt;, 2020)","manualFormatting":"Neve et al. (2020)","plainTextFormattedCitation":"(Neve et al., 2020)","previouslyFormattedCitation":"(Neve &lt;i&gt;et al.&lt;/i&gt;, 2020)"},"properties":{"noteIndex":0},"schema":"https://github.com/citation-style-language/schema/raw/master/csl-citation.json"}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 xml:space="preserve">Neve </w:t>
      </w:r>
      <w:r w:rsidR="00B045F8" w:rsidRPr="00234F08">
        <w:rPr>
          <w:rFonts w:ascii="Arial" w:hAnsi="Arial" w:cs="Arial"/>
          <w:i/>
          <w:noProof/>
          <w:sz w:val="22"/>
        </w:rPr>
        <w:t>et al.</w:t>
      </w:r>
      <w:r w:rsidR="00B045F8" w:rsidRPr="00234F08">
        <w:rPr>
          <w:rFonts w:ascii="Arial" w:hAnsi="Arial" w:cs="Arial"/>
          <w:noProof/>
          <w:sz w:val="22"/>
        </w:rPr>
        <w:t xml:space="preserve"> (2020)</w:t>
      </w:r>
      <w:r w:rsidR="00B045F8" w:rsidRPr="00234F08">
        <w:rPr>
          <w:rFonts w:ascii="Arial" w:hAnsi="Arial" w:cs="Arial"/>
          <w:sz w:val="22"/>
        </w:rPr>
        <w:fldChar w:fldCharType="end"/>
      </w:r>
      <w:r w:rsidR="003137DC" w:rsidRPr="00234F08">
        <w:rPr>
          <w:rFonts w:ascii="Arial" w:hAnsi="Arial" w:cs="Arial"/>
          <w:sz w:val="22"/>
        </w:rPr>
        <w:t xml:space="preserve"> observe that the digital transformation threatens to deepen existing health inequalities in case inclusion is not made a structural priority which the ambitions of the Plan have not been responsive enough</w:t>
      </w:r>
      <w:r w:rsidR="00FA1417" w:rsidRPr="00234F08">
        <w:rPr>
          <w:rFonts w:ascii="Arial" w:hAnsi="Arial" w:cs="Arial"/>
          <w:sz w:val="22"/>
        </w:rPr>
        <w:t>.</w:t>
      </w:r>
    </w:p>
    <w:p w14:paraId="22BB267B" w14:textId="102EB7A9" w:rsidR="003137DC" w:rsidRPr="00234F08" w:rsidRDefault="00B045F8" w:rsidP="003137DC">
      <w:pPr>
        <w:rPr>
          <w:rFonts w:ascii="Arial" w:hAnsi="Arial" w:cs="Arial"/>
          <w:sz w:val="22"/>
        </w:rPr>
      </w:pPr>
      <w:r w:rsidRPr="00234F08">
        <w:rPr>
          <w:rFonts w:ascii="Arial" w:hAnsi="Arial" w:cs="Arial"/>
          <w:sz w:val="22"/>
        </w:rPr>
        <w:fldChar w:fldCharType="begin" w:fldLock="1"/>
      </w:r>
      <w:r w:rsidRPr="00234F08">
        <w:rPr>
          <w:rFonts w:ascii="Arial" w:hAnsi="Arial" w:cs="Arial"/>
          <w:sz w:val="22"/>
        </w:rPr>
        <w:instrText>ADDIN CSL_CITATION {"citationItems":[{"id":"ITEM-1","itemData":{"DOI":"10.2196/70377","ISSN":"2561-7605 (Electronic)","PMID":"41468583","abstract":"BACKGROUND: Older adults make up the largest proportion of nonusers of the  internet. With the increasing digitalization of services, it is important to identify what interventions are effective at reducing digital exclusion in older adults. OBJECTIVE: We aimed to identify what evidence exists on the effectiveness of interventions to address digital exclusion in older adults. METHODS: This rapid review assessed the effectiveness of interventions to address digital exclusion in older adults aged 60 years or older. Searches were conducted in November 2023 across a range of databases and used supplementary search methods. Searches were limited to comparative studies published from 2018 onward in English. Data were analyzed using a narrative synthesis approach. RESULTS: A total of 21 studies were included that aimed to increase a range of digital literacy skills. Sample sizes ranged from 5 to 381. Intervention approaches varied considerably and were often multicomponent and undertaken in a variety of settings. There is evidence to suggest that a range of interventions can reduce physical, personal, and perceptual barriers and improve older adults' skills, knowledge, digital literacy, and perceived self-efficacy, reduce technophobia, and increase use of technology. Importantly, findings indicated improvements among a range of subpopulations, including those living in rural areas, at risk of social isolation, who are homebound, of lower socioeconomic groups, and individuals with visual impairment. To achieve improved and sustained digital inclusion in older adults, evidence suggests it may be important to ensure structural barriers, such as access to the internet and affordability of devices, are removed. However, all studies contained methodological limitations and may not be adequately powered to determine effectiveness. CONCLUSIONS: The evidence shows the potential benefits of interventions aimed at improving a range of digital skills and increasing technology use in older adults, which could help to address digital exclusion. The findings of this rapid review can inform the development and delivery of future interventions. However, it is important to consider the context in which the included interventions were used and the lack of certainty of the findings. This review also identified a lack of high-quality evidence, as all studies identified contained methodological limitations and may not have been adequately powered to determine effectiveness. In addi…","author":[{"dropping-particle":"","family":"Wale","given":"Alesha","non-dropping-particle":"","parse-names":false,"suffix":""},{"dropping-particle":"","family":"Everitt","given":"Jordan","non-dropping-particle":"","parse-names":false,"suffix":""},{"dropping-particle":"","family":"Ayres","given":"Toby","non-dropping-particle":"","parse-names":false,"suffix":""},{"dropping-particle":"","family":"Okolie","given":"Chukwudi","non-dropping-particle":"","parse-names":false,"suffix":""},{"dropping-particle":"","family":"Morgan","given":"Helen E","non-dropping-particle":"","parse-names":false,"suffix":""},{"dropping-particle":"","family":"Shaw","given":"Hannah","non-dropping-particle":"","parse-names":false,"suffix":""},{"dropping-particle":"","family":"Cooper","given":"Alison","non-dropping-particle":"","parse-names":false,"suffix":""},{"dropping-particle":"","family":"Edwards","given":"Adrian","non-dropping-particle":"","parse-names":false,"suffix":""},{"dropping-particle":"","family":"Lewis","given":"Ruth","non-dropping-particle":"","parse-names":false,"suffix":""}],"container-title":"JMIR aging","id":"ITEM-1","issued":{"date-parts":[["2025","12"]]},"language":"eng","page":"e70377","publisher-place":"Canada","title":"Effectiveness of Interventions for Addressing Digital Exclusion in Older Adults  in the Social Care Domain: Rapid Review.","type":"article-journal","volume":"8"},"uris":["http://www.mendeley.com/documents/?uuid=8943d745-2a3d-47f7-b4a3-9844424765b8"]}],"mendeley":{"formattedCitation":"(Wale &lt;i&gt;et al.&lt;/i&gt;, 2025)","manualFormatting":"Wale et al. (2025)","plainTextFormattedCitation":"(Wale et al., 2025)","previouslyFormattedCitation":"(Wale &lt;i&gt;et al.&lt;/i&gt;, 2025)"},"properties":{"noteIndex":0},"schema":"https://github.com/citation-style-language/schema/raw/master/csl-citation.json"}</w:instrText>
      </w:r>
      <w:r w:rsidRPr="00234F08">
        <w:rPr>
          <w:rFonts w:ascii="Arial" w:hAnsi="Arial" w:cs="Arial"/>
          <w:sz w:val="22"/>
        </w:rPr>
        <w:fldChar w:fldCharType="separate"/>
      </w:r>
      <w:r w:rsidRPr="00234F08">
        <w:rPr>
          <w:rFonts w:ascii="Arial" w:hAnsi="Arial" w:cs="Arial"/>
          <w:noProof/>
          <w:sz w:val="22"/>
        </w:rPr>
        <w:t xml:space="preserve">Wale </w:t>
      </w:r>
      <w:r w:rsidRPr="00234F08">
        <w:rPr>
          <w:rFonts w:ascii="Arial" w:hAnsi="Arial" w:cs="Arial"/>
          <w:i/>
          <w:noProof/>
          <w:sz w:val="22"/>
        </w:rPr>
        <w:t>et al.</w:t>
      </w:r>
      <w:r w:rsidRPr="00234F08">
        <w:rPr>
          <w:rFonts w:ascii="Arial" w:hAnsi="Arial" w:cs="Arial"/>
          <w:noProof/>
          <w:sz w:val="22"/>
        </w:rPr>
        <w:t xml:space="preserve"> (2025)</w:t>
      </w:r>
      <w:r w:rsidRPr="00234F08">
        <w:rPr>
          <w:rFonts w:ascii="Arial" w:hAnsi="Arial" w:cs="Arial"/>
          <w:sz w:val="22"/>
        </w:rPr>
        <w:fldChar w:fldCharType="end"/>
      </w:r>
      <w:r w:rsidR="003137DC" w:rsidRPr="00234F08">
        <w:rPr>
          <w:rFonts w:ascii="Arial" w:hAnsi="Arial" w:cs="Arial"/>
          <w:sz w:val="22"/>
        </w:rPr>
        <w:t xml:space="preserve"> is the most up to date and methodologically sound source of information on digital inclusion interventions among older adults. Based on systematic database searches and grey literature, the review finds older adults to comprise the greatest percentage of non-internet users in the UK, and effective intervention identification is a research priority of high urgency. Its power is in evidence-synthesis methodology and open admissions that most of the identified interventions did not have sufficient statistical power to establish effectiveness</w:t>
      </w:r>
      <w:r w:rsidRPr="00234F08">
        <w:rPr>
          <w:rFonts w:ascii="Arial" w:hAnsi="Arial" w:cs="Arial"/>
          <w:sz w:val="22"/>
        </w:rPr>
        <w:t xml:space="preserve">, </w:t>
      </w:r>
      <w:r w:rsidR="003137DC" w:rsidRPr="00234F08">
        <w:rPr>
          <w:rFonts w:ascii="Arial" w:hAnsi="Arial" w:cs="Arial"/>
          <w:sz w:val="22"/>
        </w:rPr>
        <w:t xml:space="preserve">a self-critical transparency, which is a sign of scholarly </w:t>
      </w:r>
      <w:r w:rsidR="00C75E68" w:rsidRPr="00234F08">
        <w:rPr>
          <w:rFonts w:ascii="Arial" w:hAnsi="Arial" w:cs="Arial"/>
          <w:sz w:val="22"/>
        </w:rPr>
        <w:t>rigor</w:t>
      </w:r>
      <w:r w:rsidR="003137DC" w:rsidRPr="00234F08">
        <w:rPr>
          <w:rFonts w:ascii="Arial" w:hAnsi="Arial" w:cs="Arial"/>
          <w:sz w:val="22"/>
        </w:rPr>
        <w:t xml:space="preserve">. One of the limitations is, though, that the rapid review format is more breadth-focused, which is why subtle contextual aspects might be </w:t>
      </w:r>
      <w:r w:rsidR="00C75E68" w:rsidRPr="00234F08">
        <w:rPr>
          <w:rFonts w:ascii="Arial" w:hAnsi="Arial" w:cs="Arial"/>
          <w:sz w:val="22"/>
        </w:rPr>
        <w:t>under researched</w:t>
      </w:r>
      <w:r w:rsidR="003137DC" w:rsidRPr="00234F08">
        <w:rPr>
          <w:rFonts w:ascii="Arial" w:hAnsi="Arial" w:cs="Arial"/>
          <w:sz w:val="22"/>
        </w:rPr>
        <w:t>.</w:t>
      </w:r>
    </w:p>
    <w:p w14:paraId="21E3BE1D" w14:textId="2ADDDFC4" w:rsidR="00CB53FB" w:rsidRPr="00234F08" w:rsidRDefault="00B045F8" w:rsidP="003137DC">
      <w:pPr>
        <w:rPr>
          <w:rFonts w:ascii="Arial" w:hAnsi="Arial" w:cs="Arial"/>
          <w:sz w:val="22"/>
        </w:rPr>
      </w:pPr>
      <w:r w:rsidRPr="00234F08">
        <w:rPr>
          <w:rFonts w:ascii="Arial" w:hAnsi="Arial" w:cs="Arial"/>
          <w:sz w:val="22"/>
        </w:rPr>
        <w:fldChar w:fldCharType="begin" w:fldLock="1"/>
      </w:r>
      <w:r w:rsidRPr="00234F08">
        <w:rPr>
          <w:rFonts w:ascii="Arial" w:hAnsi="Arial" w:cs="Arial"/>
          <w:sz w:val="22"/>
        </w:rPr>
        <w:instrText>ADDIN CSL_CITATION {"citationItems":[{"id":"ITEM-1","itemData":{"DOI":"10.1177/1755738019885398","ISBN":"9781447312628","ISSN":"1755-7380","author":[{"dropping-particle":"","family":"Age UK","given":"","non-dropping-particle":"","parse-names":false,"suffix":""}],"container-title":"A Companion to Criminal Justice, Mental Health &amp; Risk","id":"ITEM-1","issue":"February","issued":{"date-parts":[["2025"]]},"title":"Deprivation of liberty safeguards","type":"report"},"uris":["http://www.mendeley.com/documents/?uuid=277b7a94-0262-452a-b403-10c72d1406d4"]}],"mendeley":{"formattedCitation":"(Age UK, 2025)","manualFormatting":"Age UK (2025)","plainTextFormattedCitation":"(Age UK, 2025)","previouslyFormattedCitation":"(Age UK, 2025)"},"properties":{"noteIndex":0},"schema":"https://github.com/citation-style-language/schema/raw/master/csl-citation.json"}</w:instrText>
      </w:r>
      <w:r w:rsidRPr="00234F08">
        <w:rPr>
          <w:rFonts w:ascii="Arial" w:hAnsi="Arial" w:cs="Arial"/>
          <w:sz w:val="22"/>
        </w:rPr>
        <w:fldChar w:fldCharType="separate"/>
      </w:r>
      <w:r w:rsidRPr="00234F08">
        <w:rPr>
          <w:rFonts w:ascii="Arial" w:hAnsi="Arial" w:cs="Arial"/>
          <w:noProof/>
          <w:sz w:val="22"/>
        </w:rPr>
        <w:t>Age UK (2025)</w:t>
      </w:r>
      <w:r w:rsidRPr="00234F08">
        <w:rPr>
          <w:rFonts w:ascii="Arial" w:hAnsi="Arial" w:cs="Arial"/>
          <w:sz w:val="22"/>
        </w:rPr>
        <w:fldChar w:fldCharType="end"/>
      </w:r>
      <w:r w:rsidRPr="00234F08">
        <w:rPr>
          <w:rFonts w:ascii="Arial" w:hAnsi="Arial" w:cs="Arial"/>
          <w:sz w:val="22"/>
        </w:rPr>
        <w:t xml:space="preserve"> </w:t>
      </w:r>
      <w:r w:rsidR="003137DC" w:rsidRPr="00234F08">
        <w:rPr>
          <w:rFonts w:ascii="Arial" w:hAnsi="Arial" w:cs="Arial"/>
          <w:sz w:val="22"/>
        </w:rPr>
        <w:t xml:space="preserve">is an authoritative source of information in the policy and practice circles. The main strength of it is the ability to convert </w:t>
      </w:r>
      <w:r w:rsidR="00C75E68" w:rsidRPr="00234F08">
        <w:rPr>
          <w:rFonts w:ascii="Arial" w:hAnsi="Arial" w:cs="Arial"/>
          <w:sz w:val="22"/>
        </w:rPr>
        <w:t>complicated</w:t>
      </w:r>
      <w:r w:rsidR="003137DC" w:rsidRPr="00234F08">
        <w:rPr>
          <w:rFonts w:ascii="Arial" w:hAnsi="Arial" w:cs="Arial"/>
          <w:sz w:val="22"/>
        </w:rPr>
        <w:t xml:space="preserve"> statistical evidence into practical policy suggestions that can be implemented directly in </w:t>
      </w:r>
      <w:r w:rsidR="00C75E68" w:rsidRPr="00234F08">
        <w:rPr>
          <w:rFonts w:ascii="Arial" w:hAnsi="Arial" w:cs="Arial"/>
          <w:sz w:val="22"/>
        </w:rPr>
        <w:t>health</w:t>
      </w:r>
      <w:r w:rsidR="003137DC" w:rsidRPr="00234F08">
        <w:rPr>
          <w:rFonts w:ascii="Arial" w:hAnsi="Arial" w:cs="Arial"/>
          <w:sz w:val="22"/>
        </w:rPr>
        <w:t xml:space="preserve"> and social care. Nonetheless, as an advocacy </w:t>
      </w:r>
      <w:r w:rsidR="00C75E68" w:rsidRPr="00234F08">
        <w:rPr>
          <w:rFonts w:ascii="Arial" w:hAnsi="Arial" w:cs="Arial"/>
          <w:sz w:val="22"/>
        </w:rPr>
        <w:t>organization</w:t>
      </w:r>
      <w:r w:rsidR="003137DC" w:rsidRPr="00234F08">
        <w:rPr>
          <w:rFonts w:ascii="Arial" w:hAnsi="Arial" w:cs="Arial"/>
          <w:sz w:val="22"/>
        </w:rPr>
        <w:t xml:space="preserve"> document, its framing can be </w:t>
      </w:r>
      <w:r w:rsidR="00C75E68" w:rsidRPr="00234F08">
        <w:rPr>
          <w:rFonts w:ascii="Arial" w:hAnsi="Arial" w:cs="Arial"/>
          <w:sz w:val="22"/>
        </w:rPr>
        <w:t>overemphasized</w:t>
      </w:r>
      <w:r w:rsidR="003137DC" w:rsidRPr="00234F08">
        <w:rPr>
          <w:rFonts w:ascii="Arial" w:hAnsi="Arial" w:cs="Arial"/>
          <w:sz w:val="22"/>
        </w:rPr>
        <w:t xml:space="preserve"> on barriers at the cost of successful inclusion outcomes, which creates a selection bias in the presentation of evidence. In all three sources, a uniform gap can be observed: older adults with Black, Asian, and minority ethnic backgrounds are still seriously under-represented in studies of digital exclusion, and the interaction of ethnicity and age to access healthcare is not well </w:t>
      </w:r>
      <w:r w:rsidR="00C75E68" w:rsidRPr="00234F08">
        <w:rPr>
          <w:rFonts w:ascii="Arial" w:hAnsi="Arial" w:cs="Arial"/>
          <w:sz w:val="22"/>
        </w:rPr>
        <w:t>theorized</w:t>
      </w:r>
      <w:r w:rsidR="003137DC" w:rsidRPr="00234F08">
        <w:rPr>
          <w:rFonts w:ascii="Arial" w:hAnsi="Arial" w:cs="Arial"/>
          <w:sz w:val="22"/>
        </w:rPr>
        <w:t xml:space="preserve">. Moreover, </w:t>
      </w:r>
      <w:r w:rsidRPr="00234F08">
        <w:rPr>
          <w:rFonts w:ascii="Arial" w:hAnsi="Arial" w:cs="Arial"/>
          <w:sz w:val="22"/>
        </w:rPr>
        <w:fldChar w:fldCharType="begin" w:fldLock="1"/>
      </w:r>
      <w:r w:rsidRPr="00234F08">
        <w:rPr>
          <w:rFonts w:ascii="Arial" w:hAnsi="Arial" w:cs="Arial"/>
          <w:sz w:val="22"/>
        </w:rPr>
        <w:instrText>ADDIN CSL_CITATION {"citationItems":[{"id":"ITEM-1","itemData":{"DOI":"10.2196/70377","ISSN":"2561-7605 (Electronic)","PMID":"41468583","abstract":"BACKGROUND: Older adults make up the largest proportion of nonusers of the  internet. With the increasing digitalization of services, it is important to identify what interventions are effective at reducing digital exclusion in older adults. OBJECTIVE: We aimed to identify what evidence exists on the effectiveness of interventions to address digital exclusion in older adults. METHODS: This rapid review assessed the effectiveness of interventions to address digital exclusion in older adults aged 60 years or older. Searches were conducted in November 2023 across a range of databases and used supplementary search methods. Searches were limited to comparative studies published from 2018 onward in English. Data were analyzed using a narrative synthesis approach. RESULTS: A total of 21 studies were included that aimed to increase a range of digital literacy skills. Sample sizes ranged from 5 to 381. Intervention approaches varied considerably and were often multicomponent and undertaken in a variety of settings. There is evidence to suggest that a range of interventions can reduce physical, personal, and perceptual barriers and improve older adults' skills, knowledge, digital literacy, and perceived self-efficacy, reduce technophobia, and increase use of technology. Importantly, findings indicated improvements among a range of subpopulations, including those living in rural areas, at risk of social isolation, who are homebound, of lower socioeconomic groups, and individuals with visual impairment. To achieve improved and sustained digital inclusion in older adults, evidence suggests it may be important to ensure structural barriers, such as access to the internet and affordability of devices, are removed. However, all studies contained methodological limitations and may not be adequately powered to determine effectiveness. CONCLUSIONS: The evidence shows the potential benefits of interventions aimed at improving a range of digital skills and increasing technology use in older adults, which could help to address digital exclusion. The findings of this rapid review can inform the development and delivery of future interventions. However, it is important to consider the context in which the included interventions were used and the lack of certainty of the findings. This review also identified a lack of high-quality evidence, as all studies identified contained methodological limitations and may not have been adequately powered to determine effectiveness. In addi…","author":[{"dropping-particle":"","family":"Wale","given":"Alesha","non-dropping-particle":"","parse-names":false,"suffix":""},{"dropping-particle":"","family":"Everitt","given":"Jordan","non-dropping-particle":"","parse-names":false,"suffix":""},{"dropping-particle":"","family":"Ayres","given":"Toby","non-dropping-particle":"","parse-names":false,"suffix":""},{"dropping-particle":"","family":"Okolie","given":"Chukwudi","non-dropping-particle":"","parse-names":false,"suffix":""},{"dropping-particle":"","family":"Morgan","given":"Helen E","non-dropping-particle":"","parse-names":false,"suffix":""},{"dropping-particle":"","family":"Shaw","given":"Hannah","non-dropping-particle":"","parse-names":false,"suffix":""},{"dropping-particle":"","family":"Cooper","given":"Alison","non-dropping-particle":"","parse-names":false,"suffix":""},{"dropping-particle":"","family":"Edwards","given":"Adrian","non-dropping-particle":"","parse-names":false,"suffix":""},{"dropping-particle":"","family":"Lewis","given":"Ruth","non-dropping-particle":"","parse-names":false,"suffix":""}],"container-title":"JMIR aging","id":"ITEM-1","issued":{"date-parts":[["2025","12"]]},"language":"eng","page":"e70377","publisher-place":"Canada","title":"Effectiveness of Interventions for Addressing Digital Exclusion in Older Adults  in the Social Care Domain: Rapid Review.","type":"article-journal","volume":"8"},"uris":["http://www.mendeley.com/documents/?uuid=8943d745-2a3d-47f7-b4a3-9844424765b8"]}],"mendeley":{"formattedCitation":"(Wale &lt;i&gt;et al.&lt;/i&gt;, 2025)","manualFormatting":"Wale et al. (2025)","plainTextFormattedCitation":"(Wale et al., 2025)","previouslyFormattedCitation":"(Wale &lt;i&gt;et al.&lt;/i&gt;, 2025)"},"properties":{"noteIndex":0},"schema":"https://github.com/citation-style-language/schema/raw/master/csl-citation.json"}</w:instrText>
      </w:r>
      <w:r w:rsidRPr="00234F08">
        <w:rPr>
          <w:rFonts w:ascii="Arial" w:hAnsi="Arial" w:cs="Arial"/>
          <w:sz w:val="22"/>
        </w:rPr>
        <w:fldChar w:fldCharType="separate"/>
      </w:r>
      <w:r w:rsidRPr="00234F08">
        <w:rPr>
          <w:rFonts w:ascii="Arial" w:hAnsi="Arial" w:cs="Arial"/>
          <w:noProof/>
          <w:sz w:val="22"/>
        </w:rPr>
        <w:t xml:space="preserve">Wale </w:t>
      </w:r>
      <w:r w:rsidRPr="00234F08">
        <w:rPr>
          <w:rFonts w:ascii="Arial" w:hAnsi="Arial" w:cs="Arial"/>
          <w:i/>
          <w:noProof/>
          <w:sz w:val="22"/>
        </w:rPr>
        <w:t>et al.</w:t>
      </w:r>
      <w:r w:rsidRPr="00234F08">
        <w:rPr>
          <w:rFonts w:ascii="Arial" w:hAnsi="Arial" w:cs="Arial"/>
          <w:noProof/>
          <w:sz w:val="22"/>
        </w:rPr>
        <w:t xml:space="preserve"> (2025)</w:t>
      </w:r>
      <w:r w:rsidRPr="00234F08">
        <w:rPr>
          <w:rFonts w:ascii="Arial" w:hAnsi="Arial" w:cs="Arial"/>
          <w:sz w:val="22"/>
        </w:rPr>
        <w:fldChar w:fldCharType="end"/>
      </w:r>
      <w:r w:rsidRPr="00234F08">
        <w:rPr>
          <w:rFonts w:ascii="Arial" w:hAnsi="Arial" w:cs="Arial"/>
          <w:sz w:val="22"/>
        </w:rPr>
        <w:t xml:space="preserve"> noted</w:t>
      </w:r>
      <w:r w:rsidR="003137DC" w:rsidRPr="00234F08">
        <w:rPr>
          <w:rFonts w:ascii="Arial" w:hAnsi="Arial" w:cs="Arial"/>
          <w:sz w:val="22"/>
        </w:rPr>
        <w:t>, the role of informal carers in mediating digital access to older adults has been given little systematic focus, which future studies should immediately fill in</w:t>
      </w:r>
      <w:r w:rsidR="00CB53FB" w:rsidRPr="00234F08">
        <w:rPr>
          <w:rFonts w:ascii="Arial" w:hAnsi="Arial" w:cs="Arial"/>
          <w:sz w:val="22"/>
        </w:rPr>
        <w:t>.</w:t>
      </w:r>
    </w:p>
    <w:p w14:paraId="6F134395" w14:textId="416B2E43" w:rsidR="00093CA6" w:rsidRPr="00234F08" w:rsidRDefault="00234F08" w:rsidP="00234F08">
      <w:pPr>
        <w:pStyle w:val="Heading1"/>
        <w:rPr>
          <w:rFonts w:ascii="Arial" w:hAnsi="Arial" w:cs="Arial"/>
          <w:sz w:val="22"/>
          <w:szCs w:val="22"/>
        </w:rPr>
      </w:pPr>
      <w:bookmarkStart w:id="3" w:name="_Toc224229155"/>
      <w:r w:rsidRPr="00234F08">
        <w:rPr>
          <w:rFonts w:ascii="Arial" w:hAnsi="Arial" w:cs="Arial"/>
          <w:sz w:val="22"/>
          <w:szCs w:val="22"/>
        </w:rPr>
        <w:lastRenderedPageBreak/>
        <w:t>TASK 3: RESEARCH METHODOLOGIES</w:t>
      </w:r>
      <w:bookmarkEnd w:id="3"/>
    </w:p>
    <w:p w14:paraId="40044DA4" w14:textId="58A80E4D" w:rsidR="00F4158E" w:rsidRPr="00234F08" w:rsidRDefault="00F4158E" w:rsidP="00F4158E">
      <w:pPr>
        <w:rPr>
          <w:rFonts w:ascii="Arial" w:hAnsi="Arial" w:cs="Arial"/>
          <w:sz w:val="22"/>
        </w:rPr>
      </w:pPr>
      <w:r w:rsidRPr="00234F08">
        <w:rPr>
          <w:rFonts w:ascii="Arial" w:hAnsi="Arial" w:cs="Arial"/>
          <w:sz w:val="22"/>
        </w:rPr>
        <w:t xml:space="preserve">Research methodology refers to the systematic approach to designing, conducting, and </w:t>
      </w:r>
      <w:r w:rsidR="00C75E68" w:rsidRPr="00234F08">
        <w:rPr>
          <w:rFonts w:ascii="Arial" w:hAnsi="Arial" w:cs="Arial"/>
          <w:sz w:val="22"/>
        </w:rPr>
        <w:t>analyzing</w:t>
      </w:r>
      <w:r w:rsidRPr="00234F08">
        <w:rPr>
          <w:rFonts w:ascii="Arial" w:hAnsi="Arial" w:cs="Arial"/>
          <w:sz w:val="22"/>
        </w:rPr>
        <w:t xml:space="preserve"> a study </w:t>
      </w:r>
      <w:r w:rsidR="00B045F8" w:rsidRPr="00234F08">
        <w:rPr>
          <w:rFonts w:ascii="Arial" w:hAnsi="Arial" w:cs="Arial"/>
          <w:sz w:val="22"/>
        </w:rPr>
        <w:fldChar w:fldCharType="begin" w:fldLock="1"/>
      </w:r>
      <w:r w:rsidR="00594635" w:rsidRPr="00234F08">
        <w:rPr>
          <w:rFonts w:ascii="Arial" w:hAnsi="Arial" w:cs="Arial"/>
          <w:sz w:val="22"/>
        </w:rPr>
        <w:instrText>ADDIN CSL_CITATION {"citationItems":[{"id":"ITEM-1","itemData":{"ISBN":"100317292X","author":[{"dropping-particle":"","family":"Silverman","given":"Robert Mark","non-dropping-particle":"","parse-names":false,"suffix":""},{"dropping-particle":"","family":"Patterson","given":"Kelly","non-dropping-particle":"","parse-names":false,"suffix":""}],"id":"ITEM-1","issued":{"date-parts":[["2021"]]},"publisher":"Routledge","title":"Qualitative research methods for community development","type":"book"},"uris":["http://www.mendeley.com/documents/?uuid=22cdd13f-3261-4ef1-bdae-5e37b9659d5f"]}],"mendeley":{"formattedCitation":"(Silverman and Patterson, 2021)","plainTextFormattedCitation":"(Silverman and Patterson, 2021)","previouslyFormattedCitation":"(Silverman and Patterson, 2021)"},"properties":{"noteIndex":0},"schema":"https://github.com/citation-style-language/schema/raw/master/csl-citation.json"}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(Silverman and Patterson, 2021)</w:t>
      </w:r>
      <w:r w:rsidR="00B045F8" w:rsidRPr="00234F08">
        <w:rPr>
          <w:rFonts w:ascii="Arial" w:hAnsi="Arial" w:cs="Arial"/>
          <w:sz w:val="22"/>
        </w:rPr>
        <w:fldChar w:fldCharType="end"/>
      </w:r>
      <w:r w:rsidRPr="00234F08">
        <w:rPr>
          <w:rFonts w:ascii="Arial" w:hAnsi="Arial" w:cs="Arial"/>
          <w:sz w:val="22"/>
        </w:rPr>
        <w:t xml:space="preserve">. In health and social care research, three main paradigms are identified. Quantitative research involves the use of numeric information and statistical testing to determine variables applied to large populations, such as the percentage of adults aged 65 and above who have never used an NHS online service. Qualitative research produces data that cannot be quantified, discovering the depths of experiences and perceptions by using techniques like interviews and focus groups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DOI":"10.15577/jmt.2015.02.01.4","ISBN":"9780300110562","author":[{"dropping-particle":"","family":"Park","given":"Jeongeun","non-dropping-particle":"","parse-names":false,"suffix":""},{"dropping-particle":"","family":"Park","given":"Minhye","non-dropping-particle":"","parse-names":false,"suffix":""}],"container-title":"Journal of Marketing Thought","id":"ITEM-1","issue":"1","issued":{"date-parts":[["2016"]]},"page":"1 - 7","title":"Qualitative versus Quantitative Research Methods: Discovery or Justification?","type":"article-journal","volume":"3"},"uris":["http://www.mendeley.com/documents/?uuid=12fa6cb9-9d99-4b17-9891-73d326338103"]}],"mendeley":{"formattedCitation":"(Park and Park, 2016)","plainTextFormattedCitation":"(Park and Park, 2016)","previouslyFormattedCitation":"(Park and Park, 2016)"},"properties":{"noteIndex":0},"schema":"https://github.com/citation-style-language/schema/raw/master/csl-citation.json"}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(Park and Park, 2016)</w:t>
      </w:r>
      <w:r w:rsidR="00B045F8" w:rsidRPr="00234F08">
        <w:rPr>
          <w:rFonts w:ascii="Arial" w:hAnsi="Arial" w:cs="Arial"/>
          <w:sz w:val="22"/>
        </w:rPr>
        <w:fldChar w:fldCharType="end"/>
      </w:r>
      <w:r w:rsidRPr="00234F08">
        <w:rPr>
          <w:rFonts w:ascii="Arial" w:hAnsi="Arial" w:cs="Arial"/>
          <w:sz w:val="22"/>
        </w:rPr>
        <w:t xml:space="preserve">. Mixed-methods studies combine both paradigms in one study and rely on their strengths to generate more detailed and context-based results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{"citationItems":[{"id":"ITEM-1","itemData":{"author":[{"dropping-particle":"","family":"Creswell","given":"John W","non-dropping-particle":"","parse-names":false,"suffix":""},{"dropping-particle":"","family":"Creswell","given":"J David","non-dropping-particle":"","parse-names":false,"suffix":""}],"edition":"6","id":"ITEM-1","issued":{"date-parts":[["2023"]]},"publisher":"Sage PP  - Los Angeles","title":"Research Design: Qualitative, Quantitative &amp; Mixed Methods Approaches","type":"book"},"uris":["http://www.mendeley.com/documents/?uuid=ccc7e982-fa07-49f0-b6dd-3c0deb2700af"]}],"mendeley":{"formattedCitation":"(Creswell and Creswell, 2023)","plainTextFormattedCitation":"(Creswell and Creswell, 2023)","previouslyFormattedCitation":"(Creswell and Creswell, 2023)"},"properties":{"noteIndex":0},"schema":"https://github.com/citation-style-language/schema/raw/master/csl-citation.json"}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(Creswell and Creswell, 2023)</w:t>
      </w:r>
      <w:r w:rsidR="00B045F8" w:rsidRPr="00234F08">
        <w:rPr>
          <w:rFonts w:ascii="Arial" w:hAnsi="Arial" w:cs="Arial"/>
          <w:sz w:val="22"/>
        </w:rPr>
        <w:fldChar w:fldCharType="end"/>
      </w:r>
      <w:r w:rsidRPr="00234F08">
        <w:rPr>
          <w:rFonts w:ascii="Arial" w:hAnsi="Arial" w:cs="Arial"/>
          <w:sz w:val="22"/>
        </w:rPr>
        <w:t>.</w:t>
      </w:r>
    </w:p>
    <w:p w14:paraId="440D67BC" w14:textId="51EAB355" w:rsidR="00093CA6" w:rsidRPr="00234F08" w:rsidRDefault="00F4158E" w:rsidP="00F4158E">
      <w:pPr>
        <w:rPr>
          <w:rFonts w:ascii="Arial" w:hAnsi="Arial" w:cs="Arial"/>
          <w:sz w:val="22"/>
        </w:rPr>
      </w:pPr>
      <w:r w:rsidRPr="00234F08">
        <w:rPr>
          <w:rFonts w:ascii="Arial" w:hAnsi="Arial" w:cs="Arial"/>
          <w:sz w:val="22"/>
        </w:rPr>
        <w:t xml:space="preserve">In the current study, the best and justifiable methodology is a qualitative approach. Semi-structured interviews are especially effective at revealing more about complex, context-specific phenomena </w:t>
      </w:r>
      <w:r w:rsidR="00B045F8" w:rsidRPr="00234F08">
        <w:rPr>
          <w:rFonts w:ascii="Arial" w:hAnsi="Arial" w:cs="Arial"/>
          <w:sz w:val="22"/>
        </w:rPr>
        <w:fldChar w:fldCharType="begin" w:fldLock="1"/>
      </w:r>
      <w:r w:rsidR="00B045F8" w:rsidRPr="00234F08">
        <w:rPr>
          <w:rFonts w:ascii="Arial" w:hAnsi="Arial" w:cs="Arial"/>
          <w:sz w:val="22"/>
        </w:rPr>
        <w:instrText>ADDIN CSL_CITATION {"citationItems":[{"id":"ITEM-1","itemData":{"ISBN":"100317292X","author":[{"dropping-particle":"","family":"Silverman","given":"Robert Mark","non-dropping-particle":"","parse-names":false,"suffix":""},{"dropping-particle":"","family":"Patterson","given":"Kelly","non-dropping-particle":"","parse-names":false,"suffix":""}],"id":"ITEM-1","issued":{"date-parts":[["2021"]]},"publisher":"Routledge","title":"Qualitative research methods for community development","type":"book"},"uris":["http://www.mendeley.com/documents/?uuid=22cdd13f-3261-4ef1-bdae-5e37b9659d5f"]}],"mendeley":{"formattedCitation":"(Silverman and Patterson, 2021)","plainTextFormattedCitation":"(Silverman and Patterson, 2021)","previouslyFormattedCitation":"(Silverman and Patterson, 2021)"},"properties":{"noteIndex":0},"schema":"https://github.com/citation-style-language/schema/raw/master/csl-citation.json"}</w:instrText>
      </w:r>
      <w:r w:rsidR="00B045F8" w:rsidRPr="00234F08">
        <w:rPr>
          <w:rFonts w:ascii="Arial" w:hAnsi="Arial" w:cs="Arial"/>
          <w:sz w:val="22"/>
        </w:rPr>
        <w:fldChar w:fldCharType="separate"/>
      </w:r>
      <w:r w:rsidR="00B045F8" w:rsidRPr="00234F08">
        <w:rPr>
          <w:rFonts w:ascii="Arial" w:hAnsi="Arial" w:cs="Arial"/>
          <w:noProof/>
          <w:sz w:val="22"/>
        </w:rPr>
        <w:t>(Silverman and Patterson, 2021)</w:t>
      </w:r>
      <w:r w:rsidR="00B045F8" w:rsidRPr="00234F08">
        <w:rPr>
          <w:rFonts w:ascii="Arial" w:hAnsi="Arial" w:cs="Arial"/>
          <w:sz w:val="22"/>
        </w:rPr>
        <w:fldChar w:fldCharType="end"/>
      </w:r>
      <w:r w:rsidRPr="00234F08">
        <w:rPr>
          <w:rFonts w:ascii="Arial" w:hAnsi="Arial" w:cs="Arial"/>
          <w:sz w:val="22"/>
        </w:rPr>
        <w:t xml:space="preserve">, and digital exclusion is an exact phenomenon, predisposed by personal life experience, cognitive ability, and emotional interactions with technology. The quantitative approaches, although useful in defining the extent of exclusion, are insufficient to describe the causes of disengagement in older adults with digital health systems. </w:t>
      </w:r>
      <w:r w:rsidR="00594635" w:rsidRPr="00234F08">
        <w:rPr>
          <w:rFonts w:ascii="Arial" w:hAnsi="Arial" w:cs="Arial"/>
          <w:sz w:val="22"/>
        </w:rPr>
        <w:fldChar w:fldCharType="begin" w:fldLock="1"/>
      </w:r>
      <w:r w:rsidR="00594635" w:rsidRPr="00234F08">
        <w:rPr>
          <w:rFonts w:ascii="Arial" w:hAnsi="Arial" w:cs="Arial"/>
          <w:sz w:val="22"/>
        </w:rPr>
        <w:instrText>ADDIN CSL_CITATION {"citationItems":[{"id":"ITEM-1","itemData":{"DOI":"10.1186/s44247-025-00163-7","ISSN":"2731-684X","abstract":"Older persons’ use of digital technology is becoming more prominent due to society’s heavy reliance on mobile and web applications. A positive attitude has been detected among older persons regarding the use of mobile solutions. Digital technology is increasingly used in the provision of health and social care, which can help older persons continue to be independent, and in turn can contribute to older persons’ overall well-being and sense of safety. However, current digital technology has been found to be difficult for older persons. Additional explorations into older persons’ experiences using digital technology are therefore relevant.","author":[{"dropping-particle":"","family":"Emmesjö","given":"Lina","non-dropping-particle":"","parse-names":false,"suffix":""},{"dropping-particle":"","family":"Hallgren","given":"Jenny","non-dropping-particle":"","parse-names":false,"suffix":""},{"dropping-particle":"","family":"Gillsjö","given":"Catharina","non-dropping-particle":"","parse-names":false,"suffix":""}],"container-title":"BMC Digital Health","id":"ITEM-1","issue":"1","issued":{"date-parts":[["2025"]]},"page":"24","title":"Older adults’ digital technology experiences: a qualitative study","type":"article-journal","volume":"3"},"uris":["http://www.mendeley.com/documents/?uuid=c167c0d9-2ca7-4c33-834c-dd9d8b6f15b8"]}],"mendeley":{"formattedCitation":"(Emmesjö, Hallgren and Gillsjö, 2025)","manualFormatting":"Emmesjö, Hallgren and Gillsjö (2025)","plainTextFormattedCitation":"(Emmesjö, Hallgren and Gillsjö, 2025)","previouslyFormattedCitation":"(Emmesjö, Hallgren and Gillsjö, 2025)"},"properties":{"noteIndex":0},"schema":"https://github.com/citation-style-language/schema/raw/master/csl-citation.json"}</w:instrText>
      </w:r>
      <w:r w:rsidR="00594635" w:rsidRPr="00234F08">
        <w:rPr>
          <w:rFonts w:ascii="Arial" w:hAnsi="Arial" w:cs="Arial"/>
          <w:sz w:val="22"/>
        </w:rPr>
        <w:fldChar w:fldCharType="separate"/>
      </w:r>
      <w:r w:rsidR="00594635" w:rsidRPr="00234F08">
        <w:rPr>
          <w:rFonts w:ascii="Arial" w:hAnsi="Arial" w:cs="Arial"/>
          <w:noProof/>
          <w:sz w:val="22"/>
        </w:rPr>
        <w:t>Emmesjö, Hallgren and Gillsjö (2025)</w:t>
      </w:r>
      <w:r w:rsidR="00594635" w:rsidRPr="00234F08">
        <w:rPr>
          <w:rFonts w:ascii="Arial" w:hAnsi="Arial" w:cs="Arial"/>
          <w:sz w:val="22"/>
        </w:rPr>
        <w:fldChar w:fldCharType="end"/>
      </w:r>
      <w:r w:rsidRPr="00234F08">
        <w:rPr>
          <w:rFonts w:ascii="Arial" w:hAnsi="Arial" w:cs="Arial"/>
          <w:sz w:val="22"/>
        </w:rPr>
        <w:t xml:space="preserve"> show that the resistance of older adults to digital health is complex in its functional, psychological, and identity-based nature, which is a reality that requires the interpretive richness of a qualitative inquiry</w:t>
      </w:r>
      <w:r w:rsidR="00093CA6" w:rsidRPr="00234F08">
        <w:rPr>
          <w:rFonts w:ascii="Arial" w:hAnsi="Arial" w:cs="Arial"/>
          <w:sz w:val="22"/>
        </w:rPr>
        <w:t>.</w:t>
      </w:r>
    </w:p>
    <w:p w14:paraId="515180F2" w14:textId="62F33FD5" w:rsidR="00093CA6" w:rsidRPr="00234F08" w:rsidRDefault="00234F08" w:rsidP="00234F08">
      <w:pPr>
        <w:pStyle w:val="Heading1"/>
        <w:rPr>
          <w:rFonts w:ascii="Arial" w:hAnsi="Arial" w:cs="Arial"/>
          <w:sz w:val="22"/>
          <w:szCs w:val="22"/>
        </w:rPr>
      </w:pPr>
      <w:bookmarkStart w:id="4" w:name="_Toc224229156"/>
      <w:r w:rsidRPr="00234F08">
        <w:rPr>
          <w:rFonts w:ascii="Arial" w:hAnsi="Arial" w:cs="Arial"/>
          <w:sz w:val="22"/>
          <w:szCs w:val="22"/>
        </w:rPr>
        <w:t>TASK 4: DATA COLLECTION</w:t>
      </w:r>
      <w:bookmarkEnd w:id="4"/>
    </w:p>
    <w:p w14:paraId="561D30BC" w14:textId="11D3322A" w:rsidR="00F4158E" w:rsidRPr="00234F08" w:rsidRDefault="00F4158E" w:rsidP="00F4158E">
      <w:pPr>
        <w:rPr>
          <w:rFonts w:ascii="Arial" w:hAnsi="Arial" w:cs="Arial"/>
          <w:sz w:val="22"/>
        </w:rPr>
      </w:pPr>
      <w:r w:rsidRPr="00234F08">
        <w:rPr>
          <w:rFonts w:ascii="Arial" w:hAnsi="Arial" w:cs="Arial"/>
          <w:sz w:val="22"/>
        </w:rPr>
        <w:t xml:space="preserve">Primary data is defined as information that is collected by the researcher directly to serve the purposes of the research study, and secondary data is the information collected by others to serve other purposes and then to be reused in the new analysis </w:t>
      </w:r>
      <w:r w:rsidR="00594635" w:rsidRPr="00234F08">
        <w:rPr>
          <w:rFonts w:ascii="Arial" w:hAnsi="Arial" w:cs="Arial"/>
          <w:sz w:val="22"/>
        </w:rPr>
        <w:fldChar w:fldCharType="begin" w:fldLock="1"/>
      </w:r>
      <w:r w:rsidR="00534278" w:rsidRPr="00234F08">
        <w:rPr>
          <w:rFonts w:ascii="Arial" w:hAnsi="Arial" w:cs="Arial"/>
          <w:sz w:val="22"/>
        </w:rPr>
        <w:instrText>ADDIN CSL_CITATION {"citationItems":[{"id":"ITEM-1","itemData":{"author":[{"dropping-particle":"","family":"Creswell","given":"John W","non-dropping-particle":"","parse-names":false,"suffix":""},{"dropping-particle":"","family":"Creswell","given":"J David","non-dropping-particle":"","parse-names":false,"suffix":""}],"edition":"6","id":"ITEM-1","issued":{"date-parts":[["2023"]]},"publisher":"Sage PP  - Los Angeles","title":"Research Design: Qualitative, Quantitative &amp; Mixed Methods Approaches","type":"book"},"uris":["http://www.mendeley.com/documents/?uuid=ccc7e982-fa07-49f0-b6dd-3c0deb2700af"]}],"mendeley":{"formattedCitation":"(Creswell and Creswell, 2023)","plainTextFormattedCitation":"(Creswell and Creswell, 2023)","previouslyFormattedCitation":"(Creswell and Creswell, 2023)"},"properties":{"noteIndex":0},"schema":"https://github.com/citation-style-language/schema/raw/master/csl-citation.json"}</w:instrText>
      </w:r>
      <w:r w:rsidR="00594635" w:rsidRPr="00234F08">
        <w:rPr>
          <w:rFonts w:ascii="Arial" w:hAnsi="Arial" w:cs="Arial"/>
          <w:sz w:val="22"/>
        </w:rPr>
        <w:fldChar w:fldCharType="separate"/>
      </w:r>
      <w:r w:rsidR="00594635" w:rsidRPr="00234F08">
        <w:rPr>
          <w:rFonts w:ascii="Arial" w:hAnsi="Arial" w:cs="Arial"/>
          <w:noProof/>
          <w:sz w:val="22"/>
        </w:rPr>
        <w:t>(Creswell and Creswell, 2023)</w:t>
      </w:r>
      <w:r w:rsidR="00594635" w:rsidRPr="00234F08">
        <w:rPr>
          <w:rFonts w:ascii="Arial" w:hAnsi="Arial" w:cs="Arial"/>
          <w:sz w:val="22"/>
        </w:rPr>
        <w:fldChar w:fldCharType="end"/>
      </w:r>
      <w:r w:rsidRPr="00234F08">
        <w:rPr>
          <w:rFonts w:ascii="Arial" w:hAnsi="Arial" w:cs="Arial"/>
          <w:sz w:val="22"/>
        </w:rPr>
        <w:t>. The sources of secondary data in health and social care may be NHS Digital datasets or Age UK population surveys, but the primary data may be collected by creating original interviews or observations of service users or staff.</w:t>
      </w:r>
    </w:p>
    <w:p w14:paraId="0896F5A2" w14:textId="351C4E8B" w:rsidR="00F4158E" w:rsidRPr="00234F08" w:rsidRDefault="00F4158E" w:rsidP="00F4158E">
      <w:pPr>
        <w:rPr>
          <w:rFonts w:ascii="Arial" w:hAnsi="Arial" w:cs="Arial"/>
          <w:sz w:val="22"/>
        </w:rPr>
      </w:pPr>
      <w:r w:rsidRPr="00234F08">
        <w:rPr>
          <w:rFonts w:ascii="Arial" w:hAnsi="Arial" w:cs="Arial"/>
          <w:sz w:val="22"/>
        </w:rPr>
        <w:t xml:space="preserve">In this case, semi-structured interviews with aged </w:t>
      </w:r>
      <w:r w:rsidR="00C75E68" w:rsidRPr="00234F08">
        <w:rPr>
          <w:rFonts w:ascii="Arial" w:hAnsi="Arial" w:cs="Arial"/>
          <w:sz w:val="22"/>
        </w:rPr>
        <w:t>people</w:t>
      </w:r>
      <w:r w:rsidRPr="00234F08">
        <w:rPr>
          <w:rFonts w:ascii="Arial" w:hAnsi="Arial" w:cs="Arial"/>
          <w:sz w:val="22"/>
        </w:rPr>
        <w:t xml:space="preserve"> (65 years and above) are the most appropriate primary data collection method. The current secondary data fails to sufficiently represent the subjective, situated experience of digital exclusion in NHS service access, and </w:t>
      </w:r>
      <w:r w:rsidR="00594635" w:rsidRPr="00234F08">
        <w:rPr>
          <w:rFonts w:ascii="Arial" w:hAnsi="Arial" w:cs="Arial"/>
          <w:sz w:val="22"/>
        </w:rPr>
        <w:fldChar w:fldCharType="begin" w:fldLock="1"/>
      </w:r>
      <w:r w:rsidR="00594635" w:rsidRPr="00234F08">
        <w:rPr>
          <w:rFonts w:ascii="Arial" w:hAnsi="Arial" w:cs="Arial"/>
          <w:sz w:val="22"/>
        </w:rPr>
        <w:instrText>ADDIN CSL_CITATION {"citationItems":[{"id":"ITEM-1","itemData":{"DOI":"10.2196/70377","ISSN":"2561-7605 (Electronic)","PMID":"41468583","abstract":"BACKGROUND: Older adults make up the largest proportion of nonusers of the  internet. With the increasing digitalization of services, it is important to identify what interventions are effective at reducing digital exclusion in older adults. OBJECTIVE: We aimed to identify what evidence exists on the effectiveness of interventions to address digital exclusion in older adults. METHODS: This rapid review assessed the effectiveness of interventions to address digital exclusion in older adults aged 60 years or older. Searches were conducted in November 2023 across a range of databases and used supplementary search methods. Searches were limited to comparative studies published from 2018 onward in English. Data were analyzed using a narrative synthesis approach. RESULTS: A total of 21 studies were included that aimed to increase a range of digital literacy skills. Sample sizes ranged from 5 to 381. Intervention approaches varied considerably and were often multicomponent and undertaken in a variety of settings. There is evidence to suggest that a range of interventions can reduce physical, personal, and perceptual barriers and improve older adults' skills, knowledge, digital literacy, and perceived self-efficacy, reduce technophobia, and increase use of technology. Importantly, findings indicated improvements among a range of subpopulations, including those living in rural areas, at risk of social isolation, who are homebound, of lower socioeconomic groups, and individuals with visual impairment. To achieve improved and sustained digital inclusion in older adults, evidence suggests it may be important to ensure structural barriers, such as access to the internet and affordability of devices, are removed. However, all studies contained methodological limitations and may not be adequately powered to determine effectiveness. CONCLUSIONS: The evidence shows the potential benefits of interventions aimed at improving a range of digital skills and increasing technology use in older adults, which could help to address digital exclusion. The findings of this rapid review can inform the development and delivery of future interventions. However, it is important to consider the context in which the included interventions were used and the lack of certainty of the findings. This review also identified a lack of high-quality evidence, as all studies identified contained methodological limitations and may not have been adequately powered to determine effectiveness. In addi…","author":[{"dropping-particle":"","family":"Wale","given":"Alesha","non-dropping-particle":"","parse-names":false,"suffix":""},{"dropping-particle":"","family":"Everitt","given":"Jordan","non-dropping-particle":"","parse-names":false,"suffix":""},{"dropping-particle":"","family":"Ayres","given":"Toby","non-dropping-particle":"","parse-names":false,"suffix":""},{"dropping-particle":"","family":"Okolie","given":"Chukwudi","non-dropping-particle":"","parse-names":false,"suffix":""},{"dropping-particle":"","family":"Morgan","given":"Helen E","non-dropping-particle":"","parse-names":false,"suffix":""},{"dropping-particle":"","family":"Shaw","given":"Hannah","non-dropping-particle":"","parse-names":false,"suffix":""},{"dropping-particle":"","family":"Cooper","given":"Alison","non-dropping-particle":"","parse-names":false,"suffix":""},{"dropping-particle":"","family":"Edwards","given":"Adrian","non-dropping-particle":"","parse-names":false,"suffix":""},{"dropping-particle":"","family":"Lewis","given":"Ruth","non-dropping-particle":"","parse-names":false,"suffix":""}],"container-title":"JMIR aging","id":"ITEM-1","issued":{"date-parts":[["2025","12"]]},"language":"eng","page":"e70377","publisher-place":"Canada","title":"Effectiveness of Interventions for Addressing Digital Exclusion in Older Adults  in the Social Care Domain: Rapid Review.","type":"article-journal","volume":"8"},"uris":["http://www.mendeley.com/documents/?uuid=8943d745-2a3d-47f7-b4a3-9844424765b8"]}],"mendeley":{"formattedCitation":"(Wale &lt;i&gt;et al.&lt;/i&gt;, 2025)","manualFormatting":"Wale et al. (2025)","plainTextFormattedCitation":"(Wale et al., 2025)","previouslyFormattedCitation":"(Wale &lt;i&gt;et al.&lt;/i&gt;, 2025)"},"properties":{"noteIndex":0},"schema":"https://github.com/citation-style-language/schema/raw/master/csl-citation.json"}</w:instrText>
      </w:r>
      <w:r w:rsidR="00594635" w:rsidRPr="00234F08">
        <w:rPr>
          <w:rFonts w:ascii="Arial" w:hAnsi="Arial" w:cs="Arial"/>
          <w:sz w:val="22"/>
        </w:rPr>
        <w:fldChar w:fldCharType="separate"/>
      </w:r>
      <w:r w:rsidR="00594635" w:rsidRPr="00234F08">
        <w:rPr>
          <w:rFonts w:ascii="Arial" w:hAnsi="Arial" w:cs="Arial"/>
          <w:noProof/>
          <w:sz w:val="22"/>
        </w:rPr>
        <w:t xml:space="preserve">Wale </w:t>
      </w:r>
      <w:r w:rsidR="00594635" w:rsidRPr="00234F08">
        <w:rPr>
          <w:rFonts w:ascii="Arial" w:hAnsi="Arial" w:cs="Arial"/>
          <w:i/>
          <w:noProof/>
          <w:sz w:val="22"/>
        </w:rPr>
        <w:t>et al.</w:t>
      </w:r>
      <w:r w:rsidR="00594635" w:rsidRPr="00234F08">
        <w:rPr>
          <w:rFonts w:ascii="Arial" w:hAnsi="Arial" w:cs="Arial"/>
          <w:noProof/>
          <w:sz w:val="22"/>
        </w:rPr>
        <w:t xml:space="preserve"> (2025)</w:t>
      </w:r>
      <w:r w:rsidR="00594635" w:rsidRPr="00234F08">
        <w:rPr>
          <w:rFonts w:ascii="Arial" w:hAnsi="Arial" w:cs="Arial"/>
          <w:sz w:val="22"/>
        </w:rPr>
        <w:fldChar w:fldCharType="end"/>
      </w:r>
      <w:r w:rsidRPr="00234F08">
        <w:rPr>
          <w:rFonts w:ascii="Arial" w:hAnsi="Arial" w:cs="Arial"/>
          <w:sz w:val="22"/>
        </w:rPr>
        <w:t xml:space="preserve"> clearly state that this is a major shortcoming of the current evidence base. Semi-structured interviews are flexible but have the thematic consistency, allowing the participants to describe experiences in their words </w:t>
      </w:r>
      <w:r w:rsidR="00594635" w:rsidRPr="00234F08">
        <w:rPr>
          <w:rFonts w:ascii="Arial" w:hAnsi="Arial" w:cs="Arial"/>
          <w:sz w:val="22"/>
        </w:rPr>
        <w:fldChar w:fldCharType="begin" w:fldLock="1"/>
      </w:r>
      <w:r w:rsidR="00594635" w:rsidRPr="00234F08">
        <w:rPr>
          <w:rFonts w:ascii="Arial" w:hAnsi="Arial" w:cs="Arial"/>
          <w:sz w:val="22"/>
        </w:rPr>
        <w:instrText>ADDIN CSL_CITATION {"citationItems":[{"id":"ITEM-1","itemData":{"ISBN":"100317292X","author":[{"dropping-particle":"","family":"Silverman","given":"Robert Mark","non-dropping-particle":"","parse-names":false,"suffix":""},{"dropping-particle":"","family":"Patterson","given":"Kelly","non-dropping-particle":"","parse-names":false,"suffix":""}],"id":"ITEM-1","issued":{"date-parts":[["2021"]]},"publisher":"Routledge","title":"Qualitative research methods for community development","type":"book"},"uris":["http://www.mendeley.com/documents/?uuid=22cdd13f-3261-4ef1-bdae-5e37b9659d5f"]}],"mendeley":{"formattedCitation":"(Silverman and Patterson, 2021)","plainTextFormattedCitation":"(Silverman and Patterson, 2021)","previouslyFormattedCitation":"(Silverman and Patterson, 2021)"},"properties":{"noteIndex":0},"schema":"https://github.com/citation-style-language/schema/raw/master/csl-citation.json"}</w:instrText>
      </w:r>
      <w:r w:rsidR="00594635" w:rsidRPr="00234F08">
        <w:rPr>
          <w:rFonts w:ascii="Arial" w:hAnsi="Arial" w:cs="Arial"/>
          <w:sz w:val="22"/>
        </w:rPr>
        <w:fldChar w:fldCharType="separate"/>
      </w:r>
      <w:r w:rsidR="00594635" w:rsidRPr="00234F08">
        <w:rPr>
          <w:rFonts w:ascii="Arial" w:hAnsi="Arial" w:cs="Arial"/>
          <w:noProof/>
          <w:sz w:val="22"/>
        </w:rPr>
        <w:t>(Silverman and Patterson, 2021)</w:t>
      </w:r>
      <w:r w:rsidR="00594635" w:rsidRPr="00234F08">
        <w:rPr>
          <w:rFonts w:ascii="Arial" w:hAnsi="Arial" w:cs="Arial"/>
          <w:sz w:val="22"/>
        </w:rPr>
        <w:fldChar w:fldCharType="end"/>
      </w:r>
      <w:r w:rsidRPr="00234F08">
        <w:rPr>
          <w:rFonts w:ascii="Arial" w:hAnsi="Arial" w:cs="Arial"/>
          <w:sz w:val="22"/>
        </w:rPr>
        <w:t>.</w:t>
      </w:r>
    </w:p>
    <w:p w14:paraId="28E6E412" w14:textId="3D2D94A0" w:rsidR="00093CA6" w:rsidRPr="00234F08" w:rsidRDefault="00F4158E" w:rsidP="00F4158E">
      <w:pPr>
        <w:rPr>
          <w:rFonts w:ascii="Arial" w:hAnsi="Arial" w:cs="Arial"/>
          <w:sz w:val="22"/>
        </w:rPr>
      </w:pPr>
      <w:r w:rsidRPr="00234F08">
        <w:rPr>
          <w:rFonts w:ascii="Arial" w:hAnsi="Arial" w:cs="Arial"/>
          <w:sz w:val="22"/>
        </w:rPr>
        <w:lastRenderedPageBreak/>
        <w:t xml:space="preserve">This is the main benefit of such an approach: the richness and contextual specificity of the </w:t>
      </w:r>
      <w:r w:rsidR="00C75E68" w:rsidRPr="00234F08">
        <w:rPr>
          <w:rFonts w:ascii="Arial" w:hAnsi="Arial" w:cs="Arial"/>
          <w:sz w:val="22"/>
        </w:rPr>
        <w:t>data produced</w:t>
      </w:r>
      <w:r w:rsidRPr="00234F08">
        <w:rPr>
          <w:rFonts w:ascii="Arial" w:hAnsi="Arial" w:cs="Arial"/>
          <w:sz w:val="22"/>
        </w:rPr>
        <w:t xml:space="preserve">, which allows authentic participant voice. Nevertheless, some difficulties are to be considered: the small samples could restrict the generalizability of the results; researcher bias presents a threat to the validity; and recruiting older adults with cognitive frailty or isolation begs significant questions regarding capacity, consent, and protection </w:t>
      </w:r>
      <w:r w:rsidR="00594635" w:rsidRPr="00234F08">
        <w:rPr>
          <w:rFonts w:ascii="Arial" w:hAnsi="Arial" w:cs="Arial"/>
          <w:sz w:val="22"/>
        </w:rPr>
        <w:fldChar w:fldCharType="begin" w:fldLock="1"/>
      </w:r>
      <w:r w:rsidR="00594635" w:rsidRPr="00234F08">
        <w:rPr>
          <w:rFonts w:ascii="Arial" w:hAnsi="Arial" w:cs="Arial"/>
          <w:sz w:val="22"/>
        </w:rPr>
        <w:instrText>ADDIN CSL_CITATION {"citationItems":[{"id":"ITEM-1","itemData":{"DOI":"10.1186/s44247-025-00163-7","ISSN":"2731-684X","abstract":"Older persons’ use of digital technology is becoming more prominent due to society’s heavy reliance on mobile and web applications. A positive attitude has been detected among older persons regarding the use of mobile solutions. Digital technology is increasingly used in the provision of health and social care, which can help older persons continue to be independent, and in turn can contribute to older persons’ overall well-being and sense of safety. However, current digital technology has been found to be difficult for older persons. Additional explorations into older persons’ experiences using digital technology are therefore relevant.","author":[{"dropping-particle":"","family":"Emmesjö","given":"Lina","non-dropping-particle":"","parse-names":false,"suffix":""},{"dropping-particle":"","family":"Hallgren","given":"Jenny","non-dropping-particle":"","parse-names":false,"suffix":""},{"dropping-particle":"","family":"Gillsjö","given":"Catharina","non-dropping-particle":"","parse-names":false,"suffix":""}],"container-title":"BMC Digital Health","id":"ITEM-1","issue":"1","issued":{"date-parts":[["2025"]]},"page":"24","title":"Older adults’ digital technology experiences: a qualitative study","type":"article-journal","volume":"3"},"uris":["http://www.mendeley.com/documents/?uuid=c167c0d9-2ca7-4c33-834c-dd9d8b6f15b8"]}],"mendeley":{"formattedCitation":"(Emmesjö, Hallgren and Gillsjö, 2025)","plainTextFormattedCitation":"(Emmesjö, Hallgren and Gillsjö, 2025)","previouslyFormattedCitation":"(Emmesjö, Hallgren and Gillsjö, 2025)"},"properties":{"noteIndex":0},"schema":"https://github.com/citation-style-language/schema/raw/master/csl-citation.json"}</w:instrText>
      </w:r>
      <w:r w:rsidR="00594635" w:rsidRPr="00234F08">
        <w:rPr>
          <w:rFonts w:ascii="Arial" w:hAnsi="Arial" w:cs="Arial"/>
          <w:sz w:val="22"/>
        </w:rPr>
        <w:fldChar w:fldCharType="separate"/>
      </w:r>
      <w:r w:rsidR="00594635" w:rsidRPr="00234F08">
        <w:rPr>
          <w:rFonts w:ascii="Arial" w:hAnsi="Arial" w:cs="Arial"/>
          <w:noProof/>
          <w:sz w:val="22"/>
        </w:rPr>
        <w:t>(Emmesjö, Hallgren and Gillsjö, 2025)</w:t>
      </w:r>
      <w:r w:rsidR="00594635" w:rsidRPr="00234F08">
        <w:rPr>
          <w:rFonts w:ascii="Arial" w:hAnsi="Arial" w:cs="Arial"/>
          <w:sz w:val="22"/>
        </w:rPr>
        <w:fldChar w:fldCharType="end"/>
      </w:r>
      <w:r w:rsidR="00093CA6" w:rsidRPr="00234F08">
        <w:rPr>
          <w:rFonts w:ascii="Arial" w:hAnsi="Arial" w:cs="Arial"/>
          <w:sz w:val="22"/>
        </w:rPr>
        <w:t>.</w:t>
      </w:r>
    </w:p>
    <w:p w14:paraId="65FCE541" w14:textId="6B3AEE4B" w:rsidR="00093CA6" w:rsidRPr="00234F08" w:rsidRDefault="00234F08" w:rsidP="00234F08">
      <w:pPr>
        <w:pStyle w:val="Heading1"/>
        <w:rPr>
          <w:rFonts w:ascii="Arial" w:hAnsi="Arial" w:cs="Arial"/>
          <w:sz w:val="22"/>
          <w:szCs w:val="22"/>
        </w:rPr>
      </w:pPr>
      <w:bookmarkStart w:id="5" w:name="_Toc224229157"/>
      <w:r w:rsidRPr="00234F08">
        <w:rPr>
          <w:rFonts w:ascii="Arial" w:hAnsi="Arial" w:cs="Arial"/>
          <w:sz w:val="22"/>
          <w:szCs w:val="22"/>
        </w:rPr>
        <w:t>CONCLUSION</w:t>
      </w:r>
      <w:bookmarkEnd w:id="5"/>
    </w:p>
    <w:p w14:paraId="65D53C49" w14:textId="606FA070" w:rsidR="00534278" w:rsidRPr="00234F08" w:rsidRDefault="00F4158E" w:rsidP="00093CA6">
      <w:pPr>
        <w:rPr>
          <w:rFonts w:ascii="Arial" w:hAnsi="Arial" w:cs="Arial"/>
          <w:sz w:val="22"/>
        </w:rPr>
      </w:pPr>
      <w:r w:rsidRPr="00234F08">
        <w:rPr>
          <w:rFonts w:ascii="Arial" w:hAnsi="Arial" w:cs="Arial"/>
          <w:sz w:val="22"/>
        </w:rPr>
        <w:t xml:space="preserve">Digital exclusion in older adults is one of the most acute and under-represented equity issues in the contemporary health and social care context in the UK. This report has outlined the magnitude and importance of the problem, critically assessed three major pieces of evidence, and supported the argument that a qualitative, primary data approach is the best model to explore it in a meaningful way. Age, lack of digital literacy, and </w:t>
      </w:r>
      <w:r w:rsidR="00C75E68" w:rsidRPr="00234F08">
        <w:rPr>
          <w:rFonts w:ascii="Arial" w:hAnsi="Arial" w:cs="Arial"/>
          <w:sz w:val="22"/>
        </w:rPr>
        <w:t>institutionalized</w:t>
      </w:r>
      <w:r w:rsidRPr="00234F08">
        <w:rPr>
          <w:rFonts w:ascii="Arial" w:hAnsi="Arial" w:cs="Arial"/>
          <w:sz w:val="22"/>
        </w:rPr>
        <w:t xml:space="preserve"> digital-first policy will interact to increase inequality among one of the most vulnerable groups in society. More rigorous, participant-</w:t>
      </w:r>
      <w:r w:rsidR="00C75E68" w:rsidRPr="00234F08">
        <w:rPr>
          <w:rFonts w:ascii="Arial" w:hAnsi="Arial" w:cs="Arial"/>
          <w:sz w:val="22"/>
        </w:rPr>
        <w:t>centered</w:t>
      </w:r>
      <w:r w:rsidRPr="00234F08">
        <w:rPr>
          <w:rFonts w:ascii="Arial" w:hAnsi="Arial" w:cs="Arial"/>
          <w:sz w:val="22"/>
        </w:rPr>
        <w:t xml:space="preserve"> studies, especially those that give a voice to underrepresented older adults, are necessary, however, to ensure that health and social care services can continue to be truly accessible to all.</w:t>
      </w:r>
    </w:p>
    <w:p w14:paraId="2AAD5578" w14:textId="77777777" w:rsidR="00534278" w:rsidRPr="00234F08" w:rsidRDefault="00534278">
      <w:pPr>
        <w:spacing w:line="259" w:lineRule="auto"/>
        <w:jc w:val="left"/>
        <w:rPr>
          <w:rFonts w:ascii="Arial" w:hAnsi="Arial" w:cs="Arial"/>
          <w:sz w:val="22"/>
        </w:rPr>
      </w:pPr>
      <w:r w:rsidRPr="00234F08">
        <w:rPr>
          <w:rFonts w:ascii="Arial" w:hAnsi="Arial" w:cs="Arial"/>
          <w:sz w:val="22"/>
        </w:rPr>
        <w:br w:type="page"/>
      </w:r>
    </w:p>
    <w:p w14:paraId="2B44D55F" w14:textId="676E8F30" w:rsidR="007C5767" w:rsidRPr="00234F08" w:rsidRDefault="00234F08" w:rsidP="00234F08">
      <w:pPr>
        <w:pStyle w:val="Heading1"/>
        <w:rPr>
          <w:rFonts w:ascii="Arial" w:hAnsi="Arial" w:cs="Arial"/>
          <w:sz w:val="22"/>
          <w:szCs w:val="22"/>
        </w:rPr>
      </w:pPr>
      <w:bookmarkStart w:id="6" w:name="_Toc224229158"/>
      <w:r w:rsidRPr="00234F08">
        <w:rPr>
          <w:rFonts w:ascii="Arial" w:hAnsi="Arial" w:cs="Arial"/>
          <w:sz w:val="22"/>
          <w:szCs w:val="22"/>
        </w:rPr>
        <w:lastRenderedPageBreak/>
        <w:t>REFERENCES</w:t>
      </w:r>
      <w:bookmarkEnd w:id="6"/>
    </w:p>
    <w:p w14:paraId="79BE6893" w14:textId="7588D32D" w:rsidR="001059A5" w:rsidRPr="00234F08" w:rsidRDefault="00534278"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sz w:val="22"/>
        </w:rPr>
        <w:fldChar w:fldCharType="begin" w:fldLock="1"/>
      </w:r>
      <w:r w:rsidRPr="00234F08">
        <w:rPr>
          <w:rFonts w:ascii="Arial" w:hAnsi="Arial" w:cs="Arial"/>
          <w:sz w:val="22"/>
        </w:rPr>
        <w:instrText xml:space="preserve">ADDIN Mendeley Bibliography CSL_BIBLIOGRAPHY </w:instrText>
      </w:r>
      <w:r w:rsidRPr="00234F08">
        <w:rPr>
          <w:rFonts w:ascii="Arial" w:hAnsi="Arial" w:cs="Arial"/>
          <w:sz w:val="22"/>
        </w:rPr>
        <w:fldChar w:fldCharType="separate"/>
      </w:r>
      <w:r w:rsidR="001059A5" w:rsidRPr="00234F08">
        <w:rPr>
          <w:rFonts w:ascii="Arial" w:hAnsi="Arial" w:cs="Arial"/>
          <w:noProof/>
          <w:kern w:val="0"/>
          <w:sz w:val="22"/>
        </w:rPr>
        <w:t xml:space="preserve">Age UK (2025) </w:t>
      </w:r>
      <w:r w:rsidR="001059A5" w:rsidRPr="00234F08">
        <w:rPr>
          <w:rFonts w:ascii="Arial" w:hAnsi="Arial" w:cs="Arial"/>
          <w:i/>
          <w:iCs/>
          <w:noProof/>
          <w:kern w:val="0"/>
          <w:sz w:val="22"/>
        </w:rPr>
        <w:t>Deprivation of liberty safeguards</w:t>
      </w:r>
      <w:r w:rsidR="001059A5" w:rsidRPr="00234F08">
        <w:rPr>
          <w:rFonts w:ascii="Arial" w:hAnsi="Arial" w:cs="Arial"/>
          <w:noProof/>
          <w:kern w:val="0"/>
          <w:sz w:val="22"/>
        </w:rPr>
        <w:t xml:space="preserve">, </w:t>
      </w:r>
      <w:r w:rsidR="001059A5" w:rsidRPr="00234F08">
        <w:rPr>
          <w:rFonts w:ascii="Arial" w:hAnsi="Arial" w:cs="Arial"/>
          <w:i/>
          <w:iCs/>
          <w:noProof/>
          <w:kern w:val="0"/>
          <w:sz w:val="22"/>
        </w:rPr>
        <w:t>A Companion to Criminal Justice, Mental Health &amp; Risk</w:t>
      </w:r>
      <w:r w:rsidR="001059A5" w:rsidRPr="00234F08">
        <w:rPr>
          <w:rFonts w:ascii="Arial" w:hAnsi="Arial" w:cs="Arial"/>
          <w:noProof/>
          <w:kern w:val="0"/>
          <w:sz w:val="22"/>
        </w:rPr>
        <w:t>. Available at: https://doi.org/10.1177/1755738019885398.</w:t>
      </w:r>
    </w:p>
    <w:p w14:paraId="18BED0F5"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AgeUK (2024) </w:t>
      </w:r>
      <w:r w:rsidRPr="00234F08">
        <w:rPr>
          <w:rFonts w:ascii="Arial" w:hAnsi="Arial" w:cs="Arial"/>
          <w:i/>
          <w:iCs/>
          <w:noProof/>
          <w:kern w:val="0"/>
          <w:sz w:val="22"/>
        </w:rPr>
        <w:t>Offline and Overlooked: Digital exclusion and its impact on older people</w:t>
      </w:r>
      <w:r w:rsidRPr="00234F08">
        <w:rPr>
          <w:rFonts w:ascii="Arial" w:hAnsi="Arial" w:cs="Arial"/>
          <w:noProof/>
          <w:kern w:val="0"/>
          <w:sz w:val="22"/>
        </w:rPr>
        <w:t>.</w:t>
      </w:r>
    </w:p>
    <w:p w14:paraId="6B62FCBA"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Creswell, J.W. and Creswell, J.D. (2023) </w:t>
      </w:r>
      <w:r w:rsidRPr="00234F08">
        <w:rPr>
          <w:rFonts w:ascii="Arial" w:hAnsi="Arial" w:cs="Arial"/>
          <w:i/>
          <w:iCs/>
          <w:noProof/>
          <w:kern w:val="0"/>
          <w:sz w:val="22"/>
        </w:rPr>
        <w:t>Research Design: Qualitative, Quantitative &amp; Mixed Methods Approaches</w:t>
      </w:r>
      <w:r w:rsidRPr="00234F08">
        <w:rPr>
          <w:rFonts w:ascii="Arial" w:hAnsi="Arial" w:cs="Arial"/>
          <w:noProof/>
          <w:kern w:val="0"/>
          <w:sz w:val="22"/>
        </w:rPr>
        <w:t>. 6th edn. Sage PP  - Los Angeles.</w:t>
      </w:r>
    </w:p>
    <w:p w14:paraId="4F864E7A"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Emmesjö, L., Hallgren, J. and Gillsjö, C. (2025) ‘Older adults’ digital technology experiences: a qualitative study’, </w:t>
      </w:r>
      <w:r w:rsidRPr="00234F08">
        <w:rPr>
          <w:rFonts w:ascii="Arial" w:hAnsi="Arial" w:cs="Arial"/>
          <w:i/>
          <w:iCs/>
          <w:noProof/>
          <w:kern w:val="0"/>
          <w:sz w:val="22"/>
        </w:rPr>
        <w:t>BMC Digital Health</w:t>
      </w:r>
      <w:r w:rsidRPr="00234F08">
        <w:rPr>
          <w:rFonts w:ascii="Arial" w:hAnsi="Arial" w:cs="Arial"/>
          <w:noProof/>
          <w:kern w:val="0"/>
          <w:sz w:val="22"/>
        </w:rPr>
        <w:t>, 3(1), p. 24. Available at: https://doi.org/10.1186/s44247-025-00163-7.</w:t>
      </w:r>
    </w:p>
    <w:p w14:paraId="6E7D6F2A"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Ge, H. </w:t>
      </w:r>
      <w:r w:rsidRPr="00234F08">
        <w:rPr>
          <w:rFonts w:ascii="Arial" w:hAnsi="Arial" w:cs="Arial"/>
          <w:i/>
          <w:iCs/>
          <w:noProof/>
          <w:kern w:val="0"/>
          <w:sz w:val="22"/>
        </w:rPr>
        <w:t>et al.</w:t>
      </w:r>
      <w:r w:rsidRPr="00234F08">
        <w:rPr>
          <w:rFonts w:ascii="Arial" w:hAnsi="Arial" w:cs="Arial"/>
          <w:noProof/>
          <w:kern w:val="0"/>
          <w:sz w:val="22"/>
        </w:rPr>
        <w:t xml:space="preserve"> (2025) ‘Digital exclusion in older adults: A scoping review’, </w:t>
      </w:r>
      <w:r w:rsidRPr="00234F08">
        <w:rPr>
          <w:rFonts w:ascii="Arial" w:hAnsi="Arial" w:cs="Arial"/>
          <w:i/>
          <w:iCs/>
          <w:noProof/>
          <w:kern w:val="0"/>
          <w:sz w:val="22"/>
        </w:rPr>
        <w:t>International Journal of Nursing Studies</w:t>
      </w:r>
      <w:r w:rsidRPr="00234F08">
        <w:rPr>
          <w:rFonts w:ascii="Arial" w:hAnsi="Arial" w:cs="Arial"/>
          <w:noProof/>
          <w:kern w:val="0"/>
          <w:sz w:val="22"/>
        </w:rPr>
        <w:t>, 168, p. 105082. Available at: https://doi.org/https://doi.org/10.1016/j.ijnurstu.2025.105082.</w:t>
      </w:r>
    </w:p>
    <w:p w14:paraId="5D1E9E16"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Hepburn, J., Williams, L. and McCann, L. (2025) ‘Barriers to and Facilitators of Digital Health Technology Adoption Among Older Adults With Chronic Diseases: Updated Systematic Review’, </w:t>
      </w:r>
      <w:r w:rsidRPr="00234F08">
        <w:rPr>
          <w:rFonts w:ascii="Arial" w:hAnsi="Arial" w:cs="Arial"/>
          <w:i/>
          <w:iCs/>
          <w:noProof/>
          <w:kern w:val="0"/>
          <w:sz w:val="22"/>
        </w:rPr>
        <w:t>JMIR Aging</w:t>
      </w:r>
      <w:r w:rsidRPr="00234F08">
        <w:rPr>
          <w:rFonts w:ascii="Arial" w:hAnsi="Arial" w:cs="Arial"/>
          <w:noProof/>
          <w:kern w:val="0"/>
          <w:sz w:val="22"/>
        </w:rPr>
        <w:t>, 8, p. e80000. Available at: https://doi.org/10.2196/80000.</w:t>
      </w:r>
    </w:p>
    <w:p w14:paraId="7AA38755"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Johnson, K. and Boland, B. (2019) ‘Adult Safeguarding under the Care Act 2014’, </w:t>
      </w:r>
      <w:r w:rsidRPr="00234F08">
        <w:rPr>
          <w:rFonts w:ascii="Arial" w:hAnsi="Arial" w:cs="Arial"/>
          <w:i/>
          <w:iCs/>
          <w:noProof/>
          <w:kern w:val="0"/>
          <w:sz w:val="22"/>
        </w:rPr>
        <w:t>BJPsych Bulletin</w:t>
      </w:r>
      <w:r w:rsidRPr="00234F08">
        <w:rPr>
          <w:rFonts w:ascii="Arial" w:hAnsi="Arial" w:cs="Arial"/>
          <w:noProof/>
          <w:kern w:val="0"/>
          <w:sz w:val="22"/>
        </w:rPr>
        <w:t>, 43(1), pp. 38–42. Available at: https://doi.org/10.1192/bjb.2018.71.</w:t>
      </w:r>
    </w:p>
    <w:p w14:paraId="6E8BC3CF"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Neve, G. </w:t>
      </w:r>
      <w:r w:rsidRPr="00234F08">
        <w:rPr>
          <w:rFonts w:ascii="Arial" w:hAnsi="Arial" w:cs="Arial"/>
          <w:i/>
          <w:iCs/>
          <w:noProof/>
          <w:kern w:val="0"/>
          <w:sz w:val="22"/>
        </w:rPr>
        <w:t>et al.</w:t>
      </w:r>
      <w:r w:rsidRPr="00234F08">
        <w:rPr>
          <w:rFonts w:ascii="Arial" w:hAnsi="Arial" w:cs="Arial"/>
          <w:noProof/>
          <w:kern w:val="0"/>
          <w:sz w:val="22"/>
        </w:rPr>
        <w:t xml:space="preserve"> (2020) ‘Digital health in primary care: risks and recommendations.’, </w:t>
      </w:r>
      <w:r w:rsidRPr="00234F08">
        <w:rPr>
          <w:rFonts w:ascii="Arial" w:hAnsi="Arial" w:cs="Arial"/>
          <w:i/>
          <w:iCs/>
          <w:noProof/>
          <w:kern w:val="0"/>
          <w:sz w:val="22"/>
        </w:rPr>
        <w:t>The British journal of general practice : the journal of the Royal College of  General Practitioners</w:t>
      </w:r>
      <w:r w:rsidRPr="00234F08">
        <w:rPr>
          <w:rFonts w:ascii="Arial" w:hAnsi="Arial" w:cs="Arial"/>
          <w:noProof/>
          <w:kern w:val="0"/>
          <w:sz w:val="22"/>
        </w:rPr>
        <w:t>, 70(701), pp. 609–610. Available at: https://doi.org/10.3399/bjgp20X713837.</w:t>
      </w:r>
    </w:p>
    <w:p w14:paraId="02E3C6D4"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NHS (2025) </w:t>
      </w:r>
      <w:r w:rsidRPr="00234F08">
        <w:rPr>
          <w:rFonts w:ascii="Arial" w:hAnsi="Arial" w:cs="Arial"/>
          <w:i/>
          <w:iCs/>
          <w:noProof/>
          <w:kern w:val="0"/>
          <w:sz w:val="22"/>
        </w:rPr>
        <w:t>10 Year Health Plan for England: Fit For the Future</w:t>
      </w:r>
      <w:r w:rsidRPr="00234F08">
        <w:rPr>
          <w:rFonts w:ascii="Arial" w:hAnsi="Arial" w:cs="Arial"/>
          <w:noProof/>
          <w:kern w:val="0"/>
          <w:sz w:val="22"/>
        </w:rPr>
        <w:t>. Available at: https://www.gov.uk/government/publications/10-year-health-plan-for-england-fit-for-the-future.</w:t>
      </w:r>
    </w:p>
    <w:p w14:paraId="774F5268"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Park, J. and Park, M. (2016) ‘Qualitative versus Quantitative Research Methods: Discovery or Justification?’, </w:t>
      </w:r>
      <w:r w:rsidRPr="00234F08">
        <w:rPr>
          <w:rFonts w:ascii="Arial" w:hAnsi="Arial" w:cs="Arial"/>
          <w:i/>
          <w:iCs/>
          <w:noProof/>
          <w:kern w:val="0"/>
          <w:sz w:val="22"/>
        </w:rPr>
        <w:t>Journal of Marketing Thought</w:t>
      </w:r>
      <w:r w:rsidRPr="00234F08">
        <w:rPr>
          <w:rFonts w:ascii="Arial" w:hAnsi="Arial" w:cs="Arial"/>
          <w:noProof/>
          <w:kern w:val="0"/>
          <w:sz w:val="22"/>
        </w:rPr>
        <w:t>, 3(1), pp. 1–7. Available at: https://doi.org/10.15577/jmt.2015.02.01.4.</w:t>
      </w:r>
    </w:p>
    <w:p w14:paraId="3919641C" w14:textId="77777777" w:rsidR="001059A5" w:rsidRPr="00234F08" w:rsidRDefault="001059A5" w:rsidP="00994876">
      <w:pPr>
        <w:widowControl w:val="0"/>
        <w:autoSpaceDE w:val="0"/>
        <w:autoSpaceDN w:val="0"/>
        <w:adjustRightInd w:val="0"/>
        <w:spacing w:line="240" w:lineRule="auto"/>
        <w:jc w:val="left"/>
        <w:rPr>
          <w:rFonts w:ascii="Arial" w:hAnsi="Arial" w:cs="Arial"/>
          <w:noProof/>
          <w:kern w:val="0"/>
          <w:sz w:val="22"/>
        </w:rPr>
      </w:pPr>
      <w:r w:rsidRPr="00234F08">
        <w:rPr>
          <w:rFonts w:ascii="Arial" w:hAnsi="Arial" w:cs="Arial"/>
          <w:noProof/>
          <w:kern w:val="0"/>
          <w:sz w:val="22"/>
        </w:rPr>
        <w:t xml:space="preserve">Silverman, R.M. and Patterson, K. (2021) </w:t>
      </w:r>
      <w:r w:rsidRPr="00234F08">
        <w:rPr>
          <w:rFonts w:ascii="Arial" w:hAnsi="Arial" w:cs="Arial"/>
          <w:i/>
          <w:iCs/>
          <w:noProof/>
          <w:kern w:val="0"/>
          <w:sz w:val="22"/>
        </w:rPr>
        <w:t>Qualitative research methods for community development</w:t>
      </w:r>
      <w:r w:rsidRPr="00234F08">
        <w:rPr>
          <w:rFonts w:ascii="Arial" w:hAnsi="Arial" w:cs="Arial"/>
          <w:noProof/>
          <w:kern w:val="0"/>
          <w:sz w:val="22"/>
        </w:rPr>
        <w:t>. Routledge.</w:t>
      </w:r>
    </w:p>
    <w:p w14:paraId="1E224830" w14:textId="77777777" w:rsidR="001059A5" w:rsidRPr="00234F08" w:rsidRDefault="001059A5" w:rsidP="00994876">
      <w:pPr>
        <w:widowControl w:val="0"/>
        <w:autoSpaceDE w:val="0"/>
        <w:autoSpaceDN w:val="0"/>
        <w:adjustRightInd w:val="0"/>
        <w:spacing w:line="240" w:lineRule="auto"/>
        <w:jc w:val="left"/>
        <w:rPr>
          <w:rFonts w:ascii="Arial" w:hAnsi="Arial" w:cs="Arial"/>
          <w:noProof/>
          <w:sz w:val="22"/>
        </w:rPr>
      </w:pPr>
      <w:r w:rsidRPr="00234F08">
        <w:rPr>
          <w:rFonts w:ascii="Arial" w:hAnsi="Arial" w:cs="Arial"/>
          <w:noProof/>
          <w:kern w:val="0"/>
          <w:sz w:val="22"/>
        </w:rPr>
        <w:t xml:space="preserve">Wale, A. </w:t>
      </w:r>
      <w:r w:rsidRPr="00234F08">
        <w:rPr>
          <w:rFonts w:ascii="Arial" w:hAnsi="Arial" w:cs="Arial"/>
          <w:i/>
          <w:iCs/>
          <w:noProof/>
          <w:kern w:val="0"/>
          <w:sz w:val="22"/>
        </w:rPr>
        <w:t>et al.</w:t>
      </w:r>
      <w:r w:rsidRPr="00234F08">
        <w:rPr>
          <w:rFonts w:ascii="Arial" w:hAnsi="Arial" w:cs="Arial"/>
          <w:noProof/>
          <w:kern w:val="0"/>
          <w:sz w:val="22"/>
        </w:rPr>
        <w:t xml:space="preserve"> (2025) ‘Effectiveness of Interventions for Addressing Digital Exclusion in Older Adults  in the Social Care Domain: Rapid Review.’, </w:t>
      </w:r>
      <w:r w:rsidRPr="00234F08">
        <w:rPr>
          <w:rFonts w:ascii="Arial" w:hAnsi="Arial" w:cs="Arial"/>
          <w:i/>
          <w:iCs/>
          <w:noProof/>
          <w:kern w:val="0"/>
          <w:sz w:val="22"/>
        </w:rPr>
        <w:t>JMIR aging</w:t>
      </w:r>
      <w:r w:rsidRPr="00234F08">
        <w:rPr>
          <w:rFonts w:ascii="Arial" w:hAnsi="Arial" w:cs="Arial"/>
          <w:noProof/>
          <w:kern w:val="0"/>
          <w:sz w:val="22"/>
        </w:rPr>
        <w:t>, 8, p. e70377. Available at: https://doi.org/10.2196/70377.</w:t>
      </w:r>
    </w:p>
    <w:p w14:paraId="0EED44F9" w14:textId="793E9516" w:rsidR="00534278" w:rsidRPr="00234F08" w:rsidRDefault="00534278" w:rsidP="00994876">
      <w:pPr>
        <w:spacing w:line="240" w:lineRule="auto"/>
        <w:jc w:val="left"/>
        <w:rPr>
          <w:rFonts w:ascii="Arial" w:hAnsi="Arial" w:cs="Arial"/>
          <w:sz w:val="22"/>
        </w:rPr>
      </w:pPr>
      <w:r w:rsidRPr="00234F08">
        <w:rPr>
          <w:rFonts w:ascii="Arial" w:hAnsi="Arial" w:cs="Arial"/>
          <w:sz w:val="22"/>
        </w:rPr>
        <w:fldChar w:fldCharType="end"/>
      </w:r>
    </w:p>
    <w:sectPr w:rsidR="00534278" w:rsidRPr="00234F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5767"/>
    <w:rsid w:val="00085EC5"/>
    <w:rsid w:val="00093CA6"/>
    <w:rsid w:val="001059A5"/>
    <w:rsid w:val="00137160"/>
    <w:rsid w:val="001852B6"/>
    <w:rsid w:val="00234F08"/>
    <w:rsid w:val="00262F6D"/>
    <w:rsid w:val="00275D61"/>
    <w:rsid w:val="002905C6"/>
    <w:rsid w:val="0030244F"/>
    <w:rsid w:val="003137DC"/>
    <w:rsid w:val="00410355"/>
    <w:rsid w:val="004D556C"/>
    <w:rsid w:val="00502FB6"/>
    <w:rsid w:val="00534278"/>
    <w:rsid w:val="00561313"/>
    <w:rsid w:val="0058519F"/>
    <w:rsid w:val="00594635"/>
    <w:rsid w:val="005F5D97"/>
    <w:rsid w:val="00745705"/>
    <w:rsid w:val="007C5767"/>
    <w:rsid w:val="007D0297"/>
    <w:rsid w:val="0087381C"/>
    <w:rsid w:val="008A31EA"/>
    <w:rsid w:val="00967CB9"/>
    <w:rsid w:val="00994876"/>
    <w:rsid w:val="009E2ACC"/>
    <w:rsid w:val="00AC058F"/>
    <w:rsid w:val="00B045F8"/>
    <w:rsid w:val="00B450C4"/>
    <w:rsid w:val="00BD014B"/>
    <w:rsid w:val="00C75E68"/>
    <w:rsid w:val="00CB53FB"/>
    <w:rsid w:val="00D35DA7"/>
    <w:rsid w:val="00D44D1C"/>
    <w:rsid w:val="00D635C8"/>
    <w:rsid w:val="00EA66A6"/>
    <w:rsid w:val="00F4158E"/>
    <w:rsid w:val="00F63157"/>
    <w:rsid w:val="00FA1417"/>
    <w:rsid w:val="00FB40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639D8"/>
  <w15:chartTrackingRefBased/>
  <w15:docId w15:val="{6FD481C2-F5A0-48AE-9621-2D5B74F66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5C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34F08"/>
    <w:pPr>
      <w:keepNext/>
      <w:keepLines/>
      <w:spacing w:before="240" w:after="0"/>
      <w:outlineLvl w:val="0"/>
    </w:pPr>
    <w:rPr>
      <w:rFonts w:eastAsiaTheme="majorEastAsia" w:cstheme="majorBidi"/>
      <w:b/>
      <w:szCs w:val="32"/>
    </w:rPr>
  </w:style>
  <w:style w:type="paragraph" w:styleId="Heading2">
    <w:name w:val="heading 2"/>
    <w:link w:val="Heading2Char"/>
    <w:autoRedefine/>
    <w:uiPriority w:val="9"/>
    <w:unhideWhenUsed/>
    <w:qFormat/>
    <w:rsid w:val="00085EC5"/>
    <w:pPr>
      <w:spacing w:after="0" w:line="240" w:lineRule="auto"/>
      <w:jc w:val="center"/>
      <w:outlineLvl w:val="1"/>
    </w:pPr>
    <w:rPr>
      <w:rFonts w:ascii="Times New Roman" w:eastAsia="Times New Roman" w:hAnsi="Times New Roman" w:cs="Times New Roman"/>
      <w:b/>
      <w:kern w:val="0"/>
      <w:sz w:val="24"/>
      <w:szCs w:val="26"/>
      <w14:ligatures w14:val="none"/>
    </w:rPr>
  </w:style>
  <w:style w:type="paragraph" w:styleId="Heading3">
    <w:name w:val="heading 3"/>
    <w:basedOn w:val="Normal"/>
    <w:next w:val="Normal"/>
    <w:link w:val="Heading3Char"/>
    <w:autoRedefine/>
    <w:qFormat/>
    <w:rsid w:val="00137160"/>
    <w:pPr>
      <w:keepNext/>
      <w:keepLines/>
      <w:spacing w:before="40" w:after="0"/>
      <w:outlineLvl w:val="2"/>
    </w:pPr>
    <w:rPr>
      <w:rFonts w:eastAsia="Calibri" w:cs="Calibri"/>
      <w:b/>
      <w:szCs w:val="24"/>
    </w:rPr>
  </w:style>
  <w:style w:type="paragraph" w:styleId="Heading4">
    <w:name w:val="heading 4"/>
    <w:aliases w:val="List of Figures"/>
    <w:basedOn w:val="Normal"/>
    <w:link w:val="Heading4Char"/>
    <w:autoRedefine/>
    <w:qFormat/>
    <w:rsid w:val="007D0297"/>
    <w:pPr>
      <w:spacing w:line="240" w:lineRule="auto"/>
      <w:outlineLvl w:val="3"/>
    </w:pPr>
    <w:rPr>
      <w:sz w:val="20"/>
    </w:rPr>
  </w:style>
  <w:style w:type="paragraph" w:styleId="Heading5">
    <w:name w:val="heading 5"/>
    <w:basedOn w:val="Normal"/>
    <w:next w:val="Normal"/>
    <w:link w:val="Heading5Char"/>
    <w:uiPriority w:val="9"/>
    <w:semiHidden/>
    <w:unhideWhenUsed/>
    <w:qFormat/>
    <w:rsid w:val="007C5767"/>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7C576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576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576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576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F08"/>
    <w:rPr>
      <w:rFonts w:ascii="Times New Roman" w:eastAsiaTheme="majorEastAsia" w:hAnsi="Times New Roman" w:cstheme="majorBidi"/>
      <w:b/>
      <w:sz w:val="24"/>
      <w:szCs w:val="32"/>
    </w:rPr>
  </w:style>
  <w:style w:type="character" w:customStyle="1" w:styleId="Heading4Char">
    <w:name w:val="Heading 4 Char"/>
    <w:aliases w:val="List of Figures Char"/>
    <w:basedOn w:val="DefaultParagraphFont"/>
    <w:link w:val="Heading4"/>
    <w:rsid w:val="007D0297"/>
    <w:rPr>
      <w:rFonts w:ascii="Times New Roman" w:hAnsi="Times New Roman"/>
      <w:sz w:val="20"/>
    </w:rPr>
  </w:style>
  <w:style w:type="character" w:customStyle="1" w:styleId="Heading2Char">
    <w:name w:val="Heading 2 Char"/>
    <w:basedOn w:val="DefaultParagraphFont"/>
    <w:link w:val="Heading2"/>
    <w:uiPriority w:val="9"/>
    <w:rsid w:val="00085EC5"/>
    <w:rPr>
      <w:rFonts w:ascii="Times New Roman" w:eastAsia="Times New Roman" w:hAnsi="Times New Roman" w:cs="Times New Roman"/>
      <w:b/>
      <w:kern w:val="0"/>
      <w:sz w:val="24"/>
      <w:szCs w:val="26"/>
      <w14:ligatures w14:val="none"/>
    </w:rPr>
  </w:style>
  <w:style w:type="character" w:customStyle="1" w:styleId="Heading3Char">
    <w:name w:val="Heading 3 Char"/>
    <w:basedOn w:val="DefaultParagraphFont"/>
    <w:link w:val="Heading3"/>
    <w:rsid w:val="00137160"/>
    <w:rPr>
      <w:rFonts w:ascii="Times New Roman" w:eastAsia="Calibri" w:hAnsi="Times New Roman" w:cs="Calibri"/>
      <w:b/>
      <w:sz w:val="24"/>
      <w:szCs w:val="24"/>
    </w:rPr>
  </w:style>
  <w:style w:type="paragraph" w:customStyle="1" w:styleId="ListofTables">
    <w:name w:val="List of Tables"/>
    <w:basedOn w:val="Normal"/>
    <w:link w:val="ListofTablesChar"/>
    <w:autoRedefine/>
    <w:qFormat/>
    <w:rsid w:val="00410355"/>
    <w:pPr>
      <w:spacing w:after="0"/>
    </w:pPr>
    <w:rPr>
      <w:b/>
      <w:sz w:val="20"/>
    </w:rPr>
  </w:style>
  <w:style w:type="character" w:customStyle="1" w:styleId="ListofTablesChar">
    <w:name w:val="List of Tables Char"/>
    <w:basedOn w:val="DefaultParagraphFont"/>
    <w:link w:val="ListofTables"/>
    <w:rsid w:val="00410355"/>
    <w:rPr>
      <w:rFonts w:ascii="Times New Roman" w:hAnsi="Times New Roman"/>
      <w:b/>
      <w:sz w:val="20"/>
    </w:rPr>
  </w:style>
  <w:style w:type="character" w:customStyle="1" w:styleId="Heading5Char">
    <w:name w:val="Heading 5 Char"/>
    <w:basedOn w:val="DefaultParagraphFont"/>
    <w:link w:val="Heading5"/>
    <w:uiPriority w:val="9"/>
    <w:semiHidden/>
    <w:rsid w:val="007C5767"/>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7C576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C576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C576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C576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C57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7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76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7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767"/>
    <w:pPr>
      <w:spacing w:before="160"/>
      <w:jc w:val="center"/>
    </w:pPr>
    <w:rPr>
      <w:i/>
      <w:iCs/>
      <w:color w:val="404040" w:themeColor="text1" w:themeTint="BF"/>
    </w:rPr>
  </w:style>
  <w:style w:type="character" w:customStyle="1" w:styleId="QuoteChar">
    <w:name w:val="Quote Char"/>
    <w:basedOn w:val="DefaultParagraphFont"/>
    <w:link w:val="Quote"/>
    <w:uiPriority w:val="29"/>
    <w:rsid w:val="007C5767"/>
    <w:rPr>
      <w:rFonts w:ascii="Times New Roman" w:hAnsi="Times New Roman"/>
      <w:i/>
      <w:iCs/>
      <w:color w:val="404040" w:themeColor="text1" w:themeTint="BF"/>
      <w:sz w:val="24"/>
    </w:rPr>
  </w:style>
  <w:style w:type="paragraph" w:styleId="ListParagraph">
    <w:name w:val="List Paragraph"/>
    <w:basedOn w:val="Normal"/>
    <w:uiPriority w:val="34"/>
    <w:qFormat/>
    <w:rsid w:val="007C5767"/>
    <w:pPr>
      <w:ind w:left="720"/>
      <w:contextualSpacing/>
    </w:pPr>
  </w:style>
  <w:style w:type="character" w:styleId="IntenseEmphasis">
    <w:name w:val="Intense Emphasis"/>
    <w:basedOn w:val="DefaultParagraphFont"/>
    <w:uiPriority w:val="21"/>
    <w:qFormat/>
    <w:rsid w:val="007C5767"/>
    <w:rPr>
      <w:i/>
      <w:iCs/>
      <w:color w:val="2E74B5" w:themeColor="accent1" w:themeShade="BF"/>
    </w:rPr>
  </w:style>
  <w:style w:type="paragraph" w:styleId="IntenseQuote">
    <w:name w:val="Intense Quote"/>
    <w:basedOn w:val="Normal"/>
    <w:next w:val="Normal"/>
    <w:link w:val="IntenseQuoteChar"/>
    <w:uiPriority w:val="30"/>
    <w:qFormat/>
    <w:rsid w:val="007C576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C5767"/>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7C5767"/>
    <w:rPr>
      <w:b/>
      <w:bCs/>
      <w:smallCaps/>
      <w:color w:val="2E74B5" w:themeColor="accent1" w:themeShade="BF"/>
      <w:spacing w:val="5"/>
    </w:rPr>
  </w:style>
  <w:style w:type="character" w:styleId="Hyperlink">
    <w:name w:val="Hyperlink"/>
    <w:basedOn w:val="DefaultParagraphFont"/>
    <w:uiPriority w:val="99"/>
    <w:unhideWhenUsed/>
    <w:rsid w:val="0058519F"/>
    <w:rPr>
      <w:color w:val="0563C1" w:themeColor="hyperlink"/>
      <w:u w:val="single"/>
    </w:rPr>
  </w:style>
  <w:style w:type="character" w:customStyle="1" w:styleId="UnresolvedMention1">
    <w:name w:val="Unresolved Mention1"/>
    <w:basedOn w:val="DefaultParagraphFont"/>
    <w:uiPriority w:val="99"/>
    <w:semiHidden/>
    <w:unhideWhenUsed/>
    <w:rsid w:val="0058519F"/>
    <w:rPr>
      <w:color w:val="605E5C"/>
      <w:shd w:val="clear" w:color="auto" w:fill="E1DFDD"/>
    </w:rPr>
  </w:style>
  <w:style w:type="paragraph" w:styleId="TOCHeading">
    <w:name w:val="TOC Heading"/>
    <w:basedOn w:val="Heading1"/>
    <w:next w:val="Normal"/>
    <w:uiPriority w:val="39"/>
    <w:unhideWhenUsed/>
    <w:qFormat/>
    <w:rsid w:val="00234F08"/>
    <w:pPr>
      <w:spacing w:line="259" w:lineRule="auto"/>
      <w:jc w:val="left"/>
      <w:outlineLvl w:val="9"/>
    </w:pPr>
    <w:rPr>
      <w:rFonts w:asciiTheme="majorHAnsi" w:hAnsiTheme="majorHAnsi"/>
      <w:b w:val="0"/>
      <w:color w:val="2E74B5" w:themeColor="accent1" w:themeShade="BF"/>
      <w:kern w:val="0"/>
      <w:sz w:val="32"/>
      <w14:ligatures w14:val="none"/>
    </w:rPr>
  </w:style>
  <w:style w:type="paragraph" w:styleId="TOC1">
    <w:name w:val="toc 1"/>
    <w:basedOn w:val="Normal"/>
    <w:next w:val="Normal"/>
    <w:autoRedefine/>
    <w:uiPriority w:val="39"/>
    <w:unhideWhenUsed/>
    <w:rsid w:val="00234F0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936187">
      <w:bodyDiv w:val="1"/>
      <w:marLeft w:val="0"/>
      <w:marRight w:val="0"/>
      <w:marTop w:val="0"/>
      <w:marBottom w:val="0"/>
      <w:divBdr>
        <w:top w:val="none" w:sz="0" w:space="0" w:color="auto"/>
        <w:left w:val="none" w:sz="0" w:space="0" w:color="auto"/>
        <w:bottom w:val="none" w:sz="0" w:space="0" w:color="auto"/>
        <w:right w:val="none" w:sz="0" w:space="0" w:color="auto"/>
      </w:divBdr>
    </w:div>
    <w:div w:id="149103453">
      <w:bodyDiv w:val="1"/>
      <w:marLeft w:val="0"/>
      <w:marRight w:val="0"/>
      <w:marTop w:val="0"/>
      <w:marBottom w:val="0"/>
      <w:divBdr>
        <w:top w:val="none" w:sz="0" w:space="0" w:color="auto"/>
        <w:left w:val="none" w:sz="0" w:space="0" w:color="auto"/>
        <w:bottom w:val="none" w:sz="0" w:space="0" w:color="auto"/>
        <w:right w:val="none" w:sz="0" w:space="0" w:color="auto"/>
      </w:divBdr>
    </w:div>
    <w:div w:id="220142553">
      <w:bodyDiv w:val="1"/>
      <w:marLeft w:val="0"/>
      <w:marRight w:val="0"/>
      <w:marTop w:val="0"/>
      <w:marBottom w:val="0"/>
      <w:divBdr>
        <w:top w:val="none" w:sz="0" w:space="0" w:color="auto"/>
        <w:left w:val="none" w:sz="0" w:space="0" w:color="auto"/>
        <w:bottom w:val="none" w:sz="0" w:space="0" w:color="auto"/>
        <w:right w:val="none" w:sz="0" w:space="0" w:color="auto"/>
      </w:divBdr>
    </w:div>
    <w:div w:id="464196980">
      <w:bodyDiv w:val="1"/>
      <w:marLeft w:val="0"/>
      <w:marRight w:val="0"/>
      <w:marTop w:val="0"/>
      <w:marBottom w:val="0"/>
      <w:divBdr>
        <w:top w:val="none" w:sz="0" w:space="0" w:color="auto"/>
        <w:left w:val="none" w:sz="0" w:space="0" w:color="auto"/>
        <w:bottom w:val="none" w:sz="0" w:space="0" w:color="auto"/>
        <w:right w:val="none" w:sz="0" w:space="0" w:color="auto"/>
      </w:divBdr>
    </w:div>
    <w:div w:id="613095674">
      <w:bodyDiv w:val="1"/>
      <w:marLeft w:val="0"/>
      <w:marRight w:val="0"/>
      <w:marTop w:val="0"/>
      <w:marBottom w:val="0"/>
      <w:divBdr>
        <w:top w:val="none" w:sz="0" w:space="0" w:color="auto"/>
        <w:left w:val="none" w:sz="0" w:space="0" w:color="auto"/>
        <w:bottom w:val="none" w:sz="0" w:space="0" w:color="auto"/>
        <w:right w:val="none" w:sz="0" w:space="0" w:color="auto"/>
      </w:divBdr>
    </w:div>
    <w:div w:id="635064806">
      <w:bodyDiv w:val="1"/>
      <w:marLeft w:val="0"/>
      <w:marRight w:val="0"/>
      <w:marTop w:val="0"/>
      <w:marBottom w:val="0"/>
      <w:divBdr>
        <w:top w:val="none" w:sz="0" w:space="0" w:color="auto"/>
        <w:left w:val="none" w:sz="0" w:space="0" w:color="auto"/>
        <w:bottom w:val="none" w:sz="0" w:space="0" w:color="auto"/>
        <w:right w:val="none" w:sz="0" w:space="0" w:color="auto"/>
      </w:divBdr>
    </w:div>
    <w:div w:id="1396972581">
      <w:bodyDiv w:val="1"/>
      <w:marLeft w:val="0"/>
      <w:marRight w:val="0"/>
      <w:marTop w:val="0"/>
      <w:marBottom w:val="0"/>
      <w:divBdr>
        <w:top w:val="none" w:sz="0" w:space="0" w:color="auto"/>
        <w:left w:val="none" w:sz="0" w:space="0" w:color="auto"/>
        <w:bottom w:val="none" w:sz="0" w:space="0" w:color="auto"/>
        <w:right w:val="none" w:sz="0" w:space="0" w:color="auto"/>
      </w:divBdr>
    </w:div>
    <w:div w:id="1449354731">
      <w:bodyDiv w:val="1"/>
      <w:marLeft w:val="0"/>
      <w:marRight w:val="0"/>
      <w:marTop w:val="0"/>
      <w:marBottom w:val="0"/>
      <w:divBdr>
        <w:top w:val="none" w:sz="0" w:space="0" w:color="auto"/>
        <w:left w:val="none" w:sz="0" w:space="0" w:color="auto"/>
        <w:bottom w:val="none" w:sz="0" w:space="0" w:color="auto"/>
        <w:right w:val="none" w:sz="0" w:space="0" w:color="auto"/>
      </w:divBdr>
      <w:divsChild>
        <w:div w:id="1905797065">
          <w:marLeft w:val="0"/>
          <w:marRight w:val="0"/>
          <w:marTop w:val="0"/>
          <w:marBottom w:val="0"/>
          <w:divBdr>
            <w:top w:val="none" w:sz="0" w:space="0" w:color="auto"/>
            <w:left w:val="none" w:sz="0" w:space="0" w:color="auto"/>
            <w:bottom w:val="none" w:sz="0" w:space="0" w:color="auto"/>
            <w:right w:val="none" w:sz="0" w:space="0" w:color="auto"/>
          </w:divBdr>
          <w:divsChild>
            <w:div w:id="1310014561">
              <w:marLeft w:val="0"/>
              <w:marRight w:val="0"/>
              <w:marTop w:val="0"/>
              <w:marBottom w:val="0"/>
              <w:divBdr>
                <w:top w:val="none" w:sz="0" w:space="0" w:color="auto"/>
                <w:left w:val="none" w:sz="0" w:space="0" w:color="auto"/>
                <w:bottom w:val="none" w:sz="0" w:space="0" w:color="auto"/>
                <w:right w:val="none" w:sz="0" w:space="0" w:color="auto"/>
              </w:divBdr>
            </w:div>
          </w:divsChild>
        </w:div>
        <w:div w:id="2040280551">
          <w:marLeft w:val="0"/>
          <w:marRight w:val="0"/>
          <w:marTop w:val="0"/>
          <w:marBottom w:val="0"/>
          <w:divBdr>
            <w:top w:val="none" w:sz="0" w:space="0" w:color="auto"/>
            <w:left w:val="none" w:sz="0" w:space="0" w:color="auto"/>
            <w:bottom w:val="none" w:sz="0" w:space="0" w:color="auto"/>
            <w:right w:val="none" w:sz="0" w:space="0" w:color="auto"/>
          </w:divBdr>
          <w:divsChild>
            <w:div w:id="1510758666">
              <w:marLeft w:val="0"/>
              <w:marRight w:val="0"/>
              <w:marTop w:val="0"/>
              <w:marBottom w:val="0"/>
              <w:divBdr>
                <w:top w:val="none" w:sz="0" w:space="0" w:color="auto"/>
                <w:left w:val="none" w:sz="0" w:space="0" w:color="auto"/>
                <w:bottom w:val="none" w:sz="0" w:space="0" w:color="auto"/>
                <w:right w:val="none" w:sz="0" w:space="0" w:color="auto"/>
              </w:divBdr>
            </w:div>
          </w:divsChild>
        </w:div>
        <w:div w:id="1343699783">
          <w:marLeft w:val="0"/>
          <w:marRight w:val="0"/>
          <w:marTop w:val="0"/>
          <w:marBottom w:val="0"/>
          <w:divBdr>
            <w:top w:val="none" w:sz="0" w:space="0" w:color="auto"/>
            <w:left w:val="none" w:sz="0" w:space="0" w:color="auto"/>
            <w:bottom w:val="none" w:sz="0" w:space="0" w:color="auto"/>
            <w:right w:val="none" w:sz="0" w:space="0" w:color="auto"/>
          </w:divBdr>
          <w:divsChild>
            <w:div w:id="57292923">
              <w:marLeft w:val="0"/>
              <w:marRight w:val="0"/>
              <w:marTop w:val="0"/>
              <w:marBottom w:val="0"/>
              <w:divBdr>
                <w:top w:val="none" w:sz="0" w:space="0" w:color="auto"/>
                <w:left w:val="none" w:sz="0" w:space="0" w:color="auto"/>
                <w:bottom w:val="none" w:sz="0" w:space="0" w:color="auto"/>
                <w:right w:val="none" w:sz="0" w:space="0" w:color="auto"/>
              </w:divBdr>
            </w:div>
          </w:divsChild>
        </w:div>
        <w:div w:id="857039432">
          <w:marLeft w:val="0"/>
          <w:marRight w:val="0"/>
          <w:marTop w:val="0"/>
          <w:marBottom w:val="0"/>
          <w:divBdr>
            <w:top w:val="none" w:sz="0" w:space="0" w:color="auto"/>
            <w:left w:val="none" w:sz="0" w:space="0" w:color="auto"/>
            <w:bottom w:val="none" w:sz="0" w:space="0" w:color="auto"/>
            <w:right w:val="none" w:sz="0" w:space="0" w:color="auto"/>
          </w:divBdr>
          <w:divsChild>
            <w:div w:id="987781598">
              <w:marLeft w:val="0"/>
              <w:marRight w:val="0"/>
              <w:marTop w:val="0"/>
              <w:marBottom w:val="0"/>
              <w:divBdr>
                <w:top w:val="none" w:sz="0" w:space="0" w:color="auto"/>
                <w:left w:val="none" w:sz="0" w:space="0" w:color="auto"/>
                <w:bottom w:val="none" w:sz="0" w:space="0" w:color="auto"/>
                <w:right w:val="none" w:sz="0" w:space="0" w:color="auto"/>
              </w:divBdr>
            </w:div>
          </w:divsChild>
        </w:div>
        <w:div w:id="1228682483">
          <w:marLeft w:val="0"/>
          <w:marRight w:val="0"/>
          <w:marTop w:val="0"/>
          <w:marBottom w:val="0"/>
          <w:divBdr>
            <w:top w:val="none" w:sz="0" w:space="0" w:color="auto"/>
            <w:left w:val="none" w:sz="0" w:space="0" w:color="auto"/>
            <w:bottom w:val="none" w:sz="0" w:space="0" w:color="auto"/>
            <w:right w:val="none" w:sz="0" w:space="0" w:color="auto"/>
          </w:divBdr>
          <w:divsChild>
            <w:div w:id="133521303">
              <w:marLeft w:val="0"/>
              <w:marRight w:val="0"/>
              <w:marTop w:val="0"/>
              <w:marBottom w:val="0"/>
              <w:divBdr>
                <w:top w:val="none" w:sz="0" w:space="0" w:color="auto"/>
                <w:left w:val="none" w:sz="0" w:space="0" w:color="auto"/>
                <w:bottom w:val="none" w:sz="0" w:space="0" w:color="auto"/>
                <w:right w:val="none" w:sz="0" w:space="0" w:color="auto"/>
              </w:divBdr>
            </w:div>
          </w:divsChild>
        </w:div>
        <w:div w:id="1573850748">
          <w:marLeft w:val="0"/>
          <w:marRight w:val="0"/>
          <w:marTop w:val="0"/>
          <w:marBottom w:val="0"/>
          <w:divBdr>
            <w:top w:val="none" w:sz="0" w:space="0" w:color="auto"/>
            <w:left w:val="none" w:sz="0" w:space="0" w:color="auto"/>
            <w:bottom w:val="none" w:sz="0" w:space="0" w:color="auto"/>
            <w:right w:val="none" w:sz="0" w:space="0" w:color="auto"/>
          </w:divBdr>
          <w:divsChild>
            <w:div w:id="1633167135">
              <w:marLeft w:val="0"/>
              <w:marRight w:val="0"/>
              <w:marTop w:val="0"/>
              <w:marBottom w:val="0"/>
              <w:divBdr>
                <w:top w:val="none" w:sz="0" w:space="0" w:color="auto"/>
                <w:left w:val="none" w:sz="0" w:space="0" w:color="auto"/>
                <w:bottom w:val="none" w:sz="0" w:space="0" w:color="auto"/>
                <w:right w:val="none" w:sz="0" w:space="0" w:color="auto"/>
              </w:divBdr>
            </w:div>
          </w:divsChild>
        </w:div>
        <w:div w:id="2082171731">
          <w:marLeft w:val="0"/>
          <w:marRight w:val="0"/>
          <w:marTop w:val="0"/>
          <w:marBottom w:val="0"/>
          <w:divBdr>
            <w:top w:val="none" w:sz="0" w:space="0" w:color="auto"/>
            <w:left w:val="none" w:sz="0" w:space="0" w:color="auto"/>
            <w:bottom w:val="none" w:sz="0" w:space="0" w:color="auto"/>
            <w:right w:val="none" w:sz="0" w:space="0" w:color="auto"/>
          </w:divBdr>
          <w:divsChild>
            <w:div w:id="1146051257">
              <w:marLeft w:val="0"/>
              <w:marRight w:val="0"/>
              <w:marTop w:val="0"/>
              <w:marBottom w:val="0"/>
              <w:divBdr>
                <w:top w:val="none" w:sz="0" w:space="0" w:color="auto"/>
                <w:left w:val="none" w:sz="0" w:space="0" w:color="auto"/>
                <w:bottom w:val="none" w:sz="0" w:space="0" w:color="auto"/>
                <w:right w:val="none" w:sz="0" w:space="0" w:color="auto"/>
              </w:divBdr>
            </w:div>
          </w:divsChild>
        </w:div>
        <w:div w:id="1599438202">
          <w:marLeft w:val="0"/>
          <w:marRight w:val="0"/>
          <w:marTop w:val="0"/>
          <w:marBottom w:val="0"/>
          <w:divBdr>
            <w:top w:val="none" w:sz="0" w:space="0" w:color="auto"/>
            <w:left w:val="none" w:sz="0" w:space="0" w:color="auto"/>
            <w:bottom w:val="none" w:sz="0" w:space="0" w:color="auto"/>
            <w:right w:val="none" w:sz="0" w:space="0" w:color="auto"/>
          </w:divBdr>
          <w:divsChild>
            <w:div w:id="74670009">
              <w:marLeft w:val="0"/>
              <w:marRight w:val="0"/>
              <w:marTop w:val="0"/>
              <w:marBottom w:val="0"/>
              <w:divBdr>
                <w:top w:val="none" w:sz="0" w:space="0" w:color="auto"/>
                <w:left w:val="none" w:sz="0" w:space="0" w:color="auto"/>
                <w:bottom w:val="none" w:sz="0" w:space="0" w:color="auto"/>
                <w:right w:val="none" w:sz="0" w:space="0" w:color="auto"/>
              </w:divBdr>
            </w:div>
          </w:divsChild>
        </w:div>
        <w:div w:id="1841771860">
          <w:marLeft w:val="0"/>
          <w:marRight w:val="0"/>
          <w:marTop w:val="0"/>
          <w:marBottom w:val="0"/>
          <w:divBdr>
            <w:top w:val="none" w:sz="0" w:space="0" w:color="auto"/>
            <w:left w:val="none" w:sz="0" w:space="0" w:color="auto"/>
            <w:bottom w:val="none" w:sz="0" w:space="0" w:color="auto"/>
            <w:right w:val="none" w:sz="0" w:space="0" w:color="auto"/>
          </w:divBdr>
          <w:divsChild>
            <w:div w:id="1314220602">
              <w:marLeft w:val="0"/>
              <w:marRight w:val="0"/>
              <w:marTop w:val="0"/>
              <w:marBottom w:val="0"/>
              <w:divBdr>
                <w:top w:val="none" w:sz="0" w:space="0" w:color="auto"/>
                <w:left w:val="none" w:sz="0" w:space="0" w:color="auto"/>
                <w:bottom w:val="none" w:sz="0" w:space="0" w:color="auto"/>
                <w:right w:val="none" w:sz="0" w:space="0" w:color="auto"/>
              </w:divBdr>
            </w:div>
          </w:divsChild>
        </w:div>
        <w:div w:id="71855464">
          <w:marLeft w:val="0"/>
          <w:marRight w:val="0"/>
          <w:marTop w:val="0"/>
          <w:marBottom w:val="0"/>
          <w:divBdr>
            <w:top w:val="none" w:sz="0" w:space="0" w:color="auto"/>
            <w:left w:val="none" w:sz="0" w:space="0" w:color="auto"/>
            <w:bottom w:val="none" w:sz="0" w:space="0" w:color="auto"/>
            <w:right w:val="none" w:sz="0" w:space="0" w:color="auto"/>
          </w:divBdr>
          <w:divsChild>
            <w:div w:id="2023700841">
              <w:marLeft w:val="0"/>
              <w:marRight w:val="0"/>
              <w:marTop w:val="0"/>
              <w:marBottom w:val="0"/>
              <w:divBdr>
                <w:top w:val="none" w:sz="0" w:space="0" w:color="auto"/>
                <w:left w:val="none" w:sz="0" w:space="0" w:color="auto"/>
                <w:bottom w:val="none" w:sz="0" w:space="0" w:color="auto"/>
                <w:right w:val="none" w:sz="0" w:space="0" w:color="auto"/>
              </w:divBdr>
            </w:div>
          </w:divsChild>
        </w:div>
        <w:div w:id="981076721">
          <w:marLeft w:val="0"/>
          <w:marRight w:val="0"/>
          <w:marTop w:val="0"/>
          <w:marBottom w:val="0"/>
          <w:divBdr>
            <w:top w:val="none" w:sz="0" w:space="0" w:color="auto"/>
            <w:left w:val="none" w:sz="0" w:space="0" w:color="auto"/>
            <w:bottom w:val="none" w:sz="0" w:space="0" w:color="auto"/>
            <w:right w:val="none" w:sz="0" w:space="0" w:color="auto"/>
          </w:divBdr>
          <w:divsChild>
            <w:div w:id="1284077604">
              <w:marLeft w:val="0"/>
              <w:marRight w:val="0"/>
              <w:marTop w:val="0"/>
              <w:marBottom w:val="0"/>
              <w:divBdr>
                <w:top w:val="none" w:sz="0" w:space="0" w:color="auto"/>
                <w:left w:val="none" w:sz="0" w:space="0" w:color="auto"/>
                <w:bottom w:val="none" w:sz="0" w:space="0" w:color="auto"/>
                <w:right w:val="none" w:sz="0" w:space="0" w:color="auto"/>
              </w:divBdr>
            </w:div>
          </w:divsChild>
        </w:div>
        <w:div w:id="1458766302">
          <w:marLeft w:val="0"/>
          <w:marRight w:val="0"/>
          <w:marTop w:val="0"/>
          <w:marBottom w:val="0"/>
          <w:divBdr>
            <w:top w:val="none" w:sz="0" w:space="0" w:color="auto"/>
            <w:left w:val="none" w:sz="0" w:space="0" w:color="auto"/>
            <w:bottom w:val="none" w:sz="0" w:space="0" w:color="auto"/>
            <w:right w:val="none" w:sz="0" w:space="0" w:color="auto"/>
          </w:divBdr>
          <w:divsChild>
            <w:div w:id="1095637616">
              <w:marLeft w:val="0"/>
              <w:marRight w:val="0"/>
              <w:marTop w:val="0"/>
              <w:marBottom w:val="0"/>
              <w:divBdr>
                <w:top w:val="none" w:sz="0" w:space="0" w:color="auto"/>
                <w:left w:val="none" w:sz="0" w:space="0" w:color="auto"/>
                <w:bottom w:val="none" w:sz="0" w:space="0" w:color="auto"/>
                <w:right w:val="none" w:sz="0" w:space="0" w:color="auto"/>
              </w:divBdr>
            </w:div>
          </w:divsChild>
        </w:div>
        <w:div w:id="1908689110">
          <w:marLeft w:val="0"/>
          <w:marRight w:val="0"/>
          <w:marTop w:val="0"/>
          <w:marBottom w:val="0"/>
          <w:divBdr>
            <w:top w:val="none" w:sz="0" w:space="0" w:color="auto"/>
            <w:left w:val="none" w:sz="0" w:space="0" w:color="auto"/>
            <w:bottom w:val="none" w:sz="0" w:space="0" w:color="auto"/>
            <w:right w:val="none" w:sz="0" w:space="0" w:color="auto"/>
          </w:divBdr>
          <w:divsChild>
            <w:div w:id="77097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483730">
      <w:bodyDiv w:val="1"/>
      <w:marLeft w:val="0"/>
      <w:marRight w:val="0"/>
      <w:marTop w:val="0"/>
      <w:marBottom w:val="0"/>
      <w:divBdr>
        <w:top w:val="none" w:sz="0" w:space="0" w:color="auto"/>
        <w:left w:val="none" w:sz="0" w:space="0" w:color="auto"/>
        <w:bottom w:val="none" w:sz="0" w:space="0" w:color="auto"/>
        <w:right w:val="none" w:sz="0" w:space="0" w:color="auto"/>
      </w:divBdr>
    </w:div>
    <w:div w:id="1529946780">
      <w:bodyDiv w:val="1"/>
      <w:marLeft w:val="0"/>
      <w:marRight w:val="0"/>
      <w:marTop w:val="0"/>
      <w:marBottom w:val="0"/>
      <w:divBdr>
        <w:top w:val="none" w:sz="0" w:space="0" w:color="auto"/>
        <w:left w:val="none" w:sz="0" w:space="0" w:color="auto"/>
        <w:bottom w:val="none" w:sz="0" w:space="0" w:color="auto"/>
        <w:right w:val="none" w:sz="0" w:space="0" w:color="auto"/>
      </w:divBdr>
    </w:div>
    <w:div w:id="1633051201">
      <w:bodyDiv w:val="1"/>
      <w:marLeft w:val="0"/>
      <w:marRight w:val="0"/>
      <w:marTop w:val="0"/>
      <w:marBottom w:val="0"/>
      <w:divBdr>
        <w:top w:val="none" w:sz="0" w:space="0" w:color="auto"/>
        <w:left w:val="none" w:sz="0" w:space="0" w:color="auto"/>
        <w:bottom w:val="none" w:sz="0" w:space="0" w:color="auto"/>
        <w:right w:val="none" w:sz="0" w:space="0" w:color="auto"/>
      </w:divBdr>
      <w:divsChild>
        <w:div w:id="1244489441">
          <w:marLeft w:val="0"/>
          <w:marRight w:val="0"/>
          <w:marTop w:val="0"/>
          <w:marBottom w:val="0"/>
          <w:divBdr>
            <w:top w:val="none" w:sz="0" w:space="0" w:color="auto"/>
            <w:left w:val="none" w:sz="0" w:space="0" w:color="auto"/>
            <w:bottom w:val="none" w:sz="0" w:space="0" w:color="auto"/>
            <w:right w:val="none" w:sz="0" w:space="0" w:color="auto"/>
          </w:divBdr>
          <w:divsChild>
            <w:div w:id="1479879725">
              <w:marLeft w:val="0"/>
              <w:marRight w:val="0"/>
              <w:marTop w:val="0"/>
              <w:marBottom w:val="0"/>
              <w:divBdr>
                <w:top w:val="none" w:sz="0" w:space="0" w:color="auto"/>
                <w:left w:val="none" w:sz="0" w:space="0" w:color="auto"/>
                <w:bottom w:val="none" w:sz="0" w:space="0" w:color="auto"/>
                <w:right w:val="none" w:sz="0" w:space="0" w:color="auto"/>
              </w:divBdr>
            </w:div>
          </w:divsChild>
        </w:div>
        <w:div w:id="31075629">
          <w:marLeft w:val="0"/>
          <w:marRight w:val="0"/>
          <w:marTop w:val="0"/>
          <w:marBottom w:val="0"/>
          <w:divBdr>
            <w:top w:val="none" w:sz="0" w:space="0" w:color="auto"/>
            <w:left w:val="none" w:sz="0" w:space="0" w:color="auto"/>
            <w:bottom w:val="none" w:sz="0" w:space="0" w:color="auto"/>
            <w:right w:val="none" w:sz="0" w:space="0" w:color="auto"/>
          </w:divBdr>
          <w:divsChild>
            <w:div w:id="1827278575">
              <w:marLeft w:val="0"/>
              <w:marRight w:val="0"/>
              <w:marTop w:val="0"/>
              <w:marBottom w:val="0"/>
              <w:divBdr>
                <w:top w:val="none" w:sz="0" w:space="0" w:color="auto"/>
                <w:left w:val="none" w:sz="0" w:space="0" w:color="auto"/>
                <w:bottom w:val="none" w:sz="0" w:space="0" w:color="auto"/>
                <w:right w:val="none" w:sz="0" w:space="0" w:color="auto"/>
              </w:divBdr>
            </w:div>
          </w:divsChild>
        </w:div>
        <w:div w:id="1518469913">
          <w:marLeft w:val="0"/>
          <w:marRight w:val="0"/>
          <w:marTop w:val="0"/>
          <w:marBottom w:val="0"/>
          <w:divBdr>
            <w:top w:val="none" w:sz="0" w:space="0" w:color="auto"/>
            <w:left w:val="none" w:sz="0" w:space="0" w:color="auto"/>
            <w:bottom w:val="none" w:sz="0" w:space="0" w:color="auto"/>
            <w:right w:val="none" w:sz="0" w:space="0" w:color="auto"/>
          </w:divBdr>
          <w:divsChild>
            <w:div w:id="698891384">
              <w:marLeft w:val="0"/>
              <w:marRight w:val="0"/>
              <w:marTop w:val="0"/>
              <w:marBottom w:val="0"/>
              <w:divBdr>
                <w:top w:val="none" w:sz="0" w:space="0" w:color="auto"/>
                <w:left w:val="none" w:sz="0" w:space="0" w:color="auto"/>
                <w:bottom w:val="none" w:sz="0" w:space="0" w:color="auto"/>
                <w:right w:val="none" w:sz="0" w:space="0" w:color="auto"/>
              </w:divBdr>
            </w:div>
          </w:divsChild>
        </w:div>
        <w:div w:id="1305084259">
          <w:marLeft w:val="0"/>
          <w:marRight w:val="0"/>
          <w:marTop w:val="0"/>
          <w:marBottom w:val="0"/>
          <w:divBdr>
            <w:top w:val="none" w:sz="0" w:space="0" w:color="auto"/>
            <w:left w:val="none" w:sz="0" w:space="0" w:color="auto"/>
            <w:bottom w:val="none" w:sz="0" w:space="0" w:color="auto"/>
            <w:right w:val="none" w:sz="0" w:space="0" w:color="auto"/>
          </w:divBdr>
          <w:divsChild>
            <w:div w:id="1312250625">
              <w:marLeft w:val="0"/>
              <w:marRight w:val="0"/>
              <w:marTop w:val="0"/>
              <w:marBottom w:val="0"/>
              <w:divBdr>
                <w:top w:val="none" w:sz="0" w:space="0" w:color="auto"/>
                <w:left w:val="none" w:sz="0" w:space="0" w:color="auto"/>
                <w:bottom w:val="none" w:sz="0" w:space="0" w:color="auto"/>
                <w:right w:val="none" w:sz="0" w:space="0" w:color="auto"/>
              </w:divBdr>
            </w:div>
          </w:divsChild>
        </w:div>
        <w:div w:id="838892093">
          <w:marLeft w:val="0"/>
          <w:marRight w:val="0"/>
          <w:marTop w:val="0"/>
          <w:marBottom w:val="0"/>
          <w:divBdr>
            <w:top w:val="none" w:sz="0" w:space="0" w:color="auto"/>
            <w:left w:val="none" w:sz="0" w:space="0" w:color="auto"/>
            <w:bottom w:val="none" w:sz="0" w:space="0" w:color="auto"/>
            <w:right w:val="none" w:sz="0" w:space="0" w:color="auto"/>
          </w:divBdr>
          <w:divsChild>
            <w:div w:id="1105617301">
              <w:marLeft w:val="0"/>
              <w:marRight w:val="0"/>
              <w:marTop w:val="0"/>
              <w:marBottom w:val="0"/>
              <w:divBdr>
                <w:top w:val="none" w:sz="0" w:space="0" w:color="auto"/>
                <w:left w:val="none" w:sz="0" w:space="0" w:color="auto"/>
                <w:bottom w:val="none" w:sz="0" w:space="0" w:color="auto"/>
                <w:right w:val="none" w:sz="0" w:space="0" w:color="auto"/>
              </w:divBdr>
            </w:div>
          </w:divsChild>
        </w:div>
        <w:div w:id="1202867185">
          <w:marLeft w:val="0"/>
          <w:marRight w:val="0"/>
          <w:marTop w:val="0"/>
          <w:marBottom w:val="0"/>
          <w:divBdr>
            <w:top w:val="none" w:sz="0" w:space="0" w:color="auto"/>
            <w:left w:val="none" w:sz="0" w:space="0" w:color="auto"/>
            <w:bottom w:val="none" w:sz="0" w:space="0" w:color="auto"/>
            <w:right w:val="none" w:sz="0" w:space="0" w:color="auto"/>
          </w:divBdr>
          <w:divsChild>
            <w:div w:id="843394630">
              <w:marLeft w:val="0"/>
              <w:marRight w:val="0"/>
              <w:marTop w:val="0"/>
              <w:marBottom w:val="0"/>
              <w:divBdr>
                <w:top w:val="none" w:sz="0" w:space="0" w:color="auto"/>
                <w:left w:val="none" w:sz="0" w:space="0" w:color="auto"/>
                <w:bottom w:val="none" w:sz="0" w:space="0" w:color="auto"/>
                <w:right w:val="none" w:sz="0" w:space="0" w:color="auto"/>
              </w:divBdr>
            </w:div>
          </w:divsChild>
        </w:div>
        <w:div w:id="153185205">
          <w:marLeft w:val="0"/>
          <w:marRight w:val="0"/>
          <w:marTop w:val="0"/>
          <w:marBottom w:val="0"/>
          <w:divBdr>
            <w:top w:val="none" w:sz="0" w:space="0" w:color="auto"/>
            <w:left w:val="none" w:sz="0" w:space="0" w:color="auto"/>
            <w:bottom w:val="none" w:sz="0" w:space="0" w:color="auto"/>
            <w:right w:val="none" w:sz="0" w:space="0" w:color="auto"/>
          </w:divBdr>
          <w:divsChild>
            <w:div w:id="1824464271">
              <w:marLeft w:val="0"/>
              <w:marRight w:val="0"/>
              <w:marTop w:val="0"/>
              <w:marBottom w:val="0"/>
              <w:divBdr>
                <w:top w:val="none" w:sz="0" w:space="0" w:color="auto"/>
                <w:left w:val="none" w:sz="0" w:space="0" w:color="auto"/>
                <w:bottom w:val="none" w:sz="0" w:space="0" w:color="auto"/>
                <w:right w:val="none" w:sz="0" w:space="0" w:color="auto"/>
              </w:divBdr>
            </w:div>
          </w:divsChild>
        </w:div>
        <w:div w:id="1441607612">
          <w:marLeft w:val="0"/>
          <w:marRight w:val="0"/>
          <w:marTop w:val="0"/>
          <w:marBottom w:val="0"/>
          <w:divBdr>
            <w:top w:val="none" w:sz="0" w:space="0" w:color="auto"/>
            <w:left w:val="none" w:sz="0" w:space="0" w:color="auto"/>
            <w:bottom w:val="none" w:sz="0" w:space="0" w:color="auto"/>
            <w:right w:val="none" w:sz="0" w:space="0" w:color="auto"/>
          </w:divBdr>
          <w:divsChild>
            <w:div w:id="557396397">
              <w:marLeft w:val="0"/>
              <w:marRight w:val="0"/>
              <w:marTop w:val="0"/>
              <w:marBottom w:val="0"/>
              <w:divBdr>
                <w:top w:val="none" w:sz="0" w:space="0" w:color="auto"/>
                <w:left w:val="none" w:sz="0" w:space="0" w:color="auto"/>
                <w:bottom w:val="none" w:sz="0" w:space="0" w:color="auto"/>
                <w:right w:val="none" w:sz="0" w:space="0" w:color="auto"/>
              </w:divBdr>
            </w:div>
          </w:divsChild>
        </w:div>
        <w:div w:id="304624956">
          <w:marLeft w:val="0"/>
          <w:marRight w:val="0"/>
          <w:marTop w:val="0"/>
          <w:marBottom w:val="0"/>
          <w:divBdr>
            <w:top w:val="none" w:sz="0" w:space="0" w:color="auto"/>
            <w:left w:val="none" w:sz="0" w:space="0" w:color="auto"/>
            <w:bottom w:val="none" w:sz="0" w:space="0" w:color="auto"/>
            <w:right w:val="none" w:sz="0" w:space="0" w:color="auto"/>
          </w:divBdr>
          <w:divsChild>
            <w:div w:id="1136214164">
              <w:marLeft w:val="0"/>
              <w:marRight w:val="0"/>
              <w:marTop w:val="0"/>
              <w:marBottom w:val="0"/>
              <w:divBdr>
                <w:top w:val="none" w:sz="0" w:space="0" w:color="auto"/>
                <w:left w:val="none" w:sz="0" w:space="0" w:color="auto"/>
                <w:bottom w:val="none" w:sz="0" w:space="0" w:color="auto"/>
                <w:right w:val="none" w:sz="0" w:space="0" w:color="auto"/>
              </w:divBdr>
            </w:div>
          </w:divsChild>
        </w:div>
        <w:div w:id="313074075">
          <w:marLeft w:val="0"/>
          <w:marRight w:val="0"/>
          <w:marTop w:val="0"/>
          <w:marBottom w:val="0"/>
          <w:divBdr>
            <w:top w:val="none" w:sz="0" w:space="0" w:color="auto"/>
            <w:left w:val="none" w:sz="0" w:space="0" w:color="auto"/>
            <w:bottom w:val="none" w:sz="0" w:space="0" w:color="auto"/>
            <w:right w:val="none" w:sz="0" w:space="0" w:color="auto"/>
          </w:divBdr>
          <w:divsChild>
            <w:div w:id="1725375614">
              <w:marLeft w:val="0"/>
              <w:marRight w:val="0"/>
              <w:marTop w:val="0"/>
              <w:marBottom w:val="0"/>
              <w:divBdr>
                <w:top w:val="none" w:sz="0" w:space="0" w:color="auto"/>
                <w:left w:val="none" w:sz="0" w:space="0" w:color="auto"/>
                <w:bottom w:val="none" w:sz="0" w:space="0" w:color="auto"/>
                <w:right w:val="none" w:sz="0" w:space="0" w:color="auto"/>
              </w:divBdr>
            </w:div>
          </w:divsChild>
        </w:div>
        <w:div w:id="485435014">
          <w:marLeft w:val="0"/>
          <w:marRight w:val="0"/>
          <w:marTop w:val="0"/>
          <w:marBottom w:val="0"/>
          <w:divBdr>
            <w:top w:val="none" w:sz="0" w:space="0" w:color="auto"/>
            <w:left w:val="none" w:sz="0" w:space="0" w:color="auto"/>
            <w:bottom w:val="none" w:sz="0" w:space="0" w:color="auto"/>
            <w:right w:val="none" w:sz="0" w:space="0" w:color="auto"/>
          </w:divBdr>
          <w:divsChild>
            <w:div w:id="1007365094">
              <w:marLeft w:val="0"/>
              <w:marRight w:val="0"/>
              <w:marTop w:val="0"/>
              <w:marBottom w:val="0"/>
              <w:divBdr>
                <w:top w:val="none" w:sz="0" w:space="0" w:color="auto"/>
                <w:left w:val="none" w:sz="0" w:space="0" w:color="auto"/>
                <w:bottom w:val="none" w:sz="0" w:space="0" w:color="auto"/>
                <w:right w:val="none" w:sz="0" w:space="0" w:color="auto"/>
              </w:divBdr>
            </w:div>
          </w:divsChild>
        </w:div>
        <w:div w:id="771121694">
          <w:marLeft w:val="0"/>
          <w:marRight w:val="0"/>
          <w:marTop w:val="0"/>
          <w:marBottom w:val="0"/>
          <w:divBdr>
            <w:top w:val="none" w:sz="0" w:space="0" w:color="auto"/>
            <w:left w:val="none" w:sz="0" w:space="0" w:color="auto"/>
            <w:bottom w:val="none" w:sz="0" w:space="0" w:color="auto"/>
            <w:right w:val="none" w:sz="0" w:space="0" w:color="auto"/>
          </w:divBdr>
          <w:divsChild>
            <w:div w:id="152449185">
              <w:marLeft w:val="0"/>
              <w:marRight w:val="0"/>
              <w:marTop w:val="0"/>
              <w:marBottom w:val="0"/>
              <w:divBdr>
                <w:top w:val="none" w:sz="0" w:space="0" w:color="auto"/>
                <w:left w:val="none" w:sz="0" w:space="0" w:color="auto"/>
                <w:bottom w:val="none" w:sz="0" w:space="0" w:color="auto"/>
                <w:right w:val="none" w:sz="0" w:space="0" w:color="auto"/>
              </w:divBdr>
            </w:div>
          </w:divsChild>
        </w:div>
        <w:div w:id="1801145949">
          <w:marLeft w:val="0"/>
          <w:marRight w:val="0"/>
          <w:marTop w:val="0"/>
          <w:marBottom w:val="0"/>
          <w:divBdr>
            <w:top w:val="none" w:sz="0" w:space="0" w:color="auto"/>
            <w:left w:val="none" w:sz="0" w:space="0" w:color="auto"/>
            <w:bottom w:val="none" w:sz="0" w:space="0" w:color="auto"/>
            <w:right w:val="none" w:sz="0" w:space="0" w:color="auto"/>
          </w:divBdr>
          <w:divsChild>
            <w:div w:id="127016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644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E00121-172F-4903-9AFE-ED598C8B2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7842</Words>
  <Characters>44702</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Andreea-Daniela Belu (2521415)</cp:lastModifiedBy>
  <cp:revision>3</cp:revision>
  <dcterms:created xsi:type="dcterms:W3CDTF">2026-03-12T16:33:00Z</dcterms:created>
  <dcterms:modified xsi:type="dcterms:W3CDTF">2026-03-23T20:35:00Z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6th/7th edition</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12th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9th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http://www.zotero.org/styles/oscola</vt:lpwstr>
  </property>
  <property fmtid="{D5CDD505-2E9C-101B-9397-08002B2CF9AE}" pid="21" name="Mendeley Recent Style Name 9_1">
    <vt:lpwstr>OSCOLA (Oxford University Standard for Citation of Legal Authorities)</vt:lpwstr>
  </property>
  <property fmtid="{D5CDD505-2E9C-101B-9397-08002B2CF9AE}" pid="22" name="Mendeley Citation Style_1">
    <vt:lpwstr>http://www.zotero.org/styles/harvard-cite-them-right</vt:lpwstr>
  </property>
  <property fmtid="{D5CDD505-2E9C-101B-9397-08002B2CF9AE}" pid="23" name="Mendeley Document_1">
    <vt:lpwstr>True</vt:lpwstr>
  </property>
  <property fmtid="{D5CDD505-2E9C-101B-9397-08002B2CF9AE}" pid="24" name="Mendeley Unique User Id_1">
    <vt:lpwstr>f0960cc9-a3cc-319e-ac2a-f9ce876435fb</vt:lpwstr>
  </property>
</Properties>
</file>