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9751207"/>
        <w:docPartObj>
          <w:docPartGallery w:val="Cover Pages"/>
          <w:docPartUnique/>
        </w:docPartObj>
      </w:sdtPr>
      <w:sdtEndPr/>
      <w:sdtContent>
        <w:p w14:paraId="2ED8002E" w14:textId="569A2F55" w:rsidR="005A71D9" w:rsidRDefault="005A71D9">
          <w:r>
            <w:rPr>
              <w:noProof/>
            </w:rPr>
            <mc:AlternateContent>
              <mc:Choice Requires="wpg">
                <w:drawing>
                  <wp:anchor distT="0" distB="0" distL="114300" distR="114300" simplePos="0" relativeHeight="251662336" behindDoc="0" locked="0" layoutInCell="1" allowOverlap="1" wp14:anchorId="2F8BADEB" wp14:editId="1C9BD59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26250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15E6EDB" wp14:editId="3ECF8F5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0D42AB4" w14:textId="7FC3541F" w:rsidR="005A71D9" w:rsidRDefault="005A71D9">
                                    <w:pPr>
                                      <w:pStyle w:val="NoSpacing"/>
                                      <w:jc w:val="right"/>
                                      <w:rPr>
                                        <w:color w:val="595959" w:themeColor="text1" w:themeTint="A6"/>
                                        <w:sz w:val="28"/>
                                        <w:szCs w:val="28"/>
                                      </w:rPr>
                                    </w:pPr>
                                    <w:r>
                                      <w:rPr>
                                        <w:color w:val="595959" w:themeColor="text1" w:themeTint="A6"/>
                                        <w:sz w:val="28"/>
                                        <w:szCs w:val="28"/>
                                      </w:rPr>
                                      <w:t>Sam</w:t>
                                    </w:r>
                                    <w:r w:rsidR="00294E87">
                                      <w:rPr>
                                        <w:color w:val="595959" w:themeColor="text1" w:themeTint="A6"/>
                                        <w:sz w:val="28"/>
                                        <w:szCs w:val="28"/>
                                      </w:rPr>
                                      <w:t>antha</w:t>
                                    </w:r>
                                    <w:r>
                                      <w:rPr>
                                        <w:color w:val="595959" w:themeColor="text1" w:themeTint="A6"/>
                                        <w:sz w:val="28"/>
                                        <w:szCs w:val="28"/>
                                      </w:rPr>
                                      <w:t xml:space="preserve"> Gregory</w:t>
                                    </w:r>
                                  </w:p>
                                </w:sdtContent>
                              </w:sdt>
                              <w:p w14:paraId="0677014D" w14:textId="1BE4D90F" w:rsidR="005A71D9" w:rsidRDefault="00666F50">
                                <w:pPr>
                                  <w:pStyle w:val="NoSpacing"/>
                                  <w:jc w:val="right"/>
                                  <w:rPr>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94E87" w:rsidRPr="00294E87">
                                      <w:rPr>
                                        <w:rFonts w:ascii="Times New Roman" w:hAnsi="Times New Roman" w:cs="Times New Roman"/>
                                        <w:color w:val="595959" w:themeColor="text1" w:themeTint="A6"/>
                                        <w:sz w:val="18"/>
                                        <w:szCs w:val="18"/>
                                      </w:rPr>
                                      <w:t>2111919@student.uwtsd.ac.uk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15E6ED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0D42AB4" w14:textId="7FC3541F" w:rsidR="005A71D9" w:rsidRDefault="005A71D9">
                              <w:pPr>
                                <w:pStyle w:val="NoSpacing"/>
                                <w:jc w:val="right"/>
                                <w:rPr>
                                  <w:color w:val="595959" w:themeColor="text1" w:themeTint="A6"/>
                                  <w:sz w:val="28"/>
                                  <w:szCs w:val="28"/>
                                </w:rPr>
                              </w:pPr>
                              <w:r>
                                <w:rPr>
                                  <w:color w:val="595959" w:themeColor="text1" w:themeTint="A6"/>
                                  <w:sz w:val="28"/>
                                  <w:szCs w:val="28"/>
                                </w:rPr>
                                <w:t>Sam</w:t>
                              </w:r>
                              <w:r w:rsidR="00294E87">
                                <w:rPr>
                                  <w:color w:val="595959" w:themeColor="text1" w:themeTint="A6"/>
                                  <w:sz w:val="28"/>
                                  <w:szCs w:val="28"/>
                                </w:rPr>
                                <w:t>antha</w:t>
                              </w:r>
                              <w:r>
                                <w:rPr>
                                  <w:color w:val="595959" w:themeColor="text1" w:themeTint="A6"/>
                                  <w:sz w:val="28"/>
                                  <w:szCs w:val="28"/>
                                </w:rPr>
                                <w:t xml:space="preserve"> Gregory</w:t>
                              </w:r>
                            </w:p>
                          </w:sdtContent>
                        </w:sdt>
                        <w:p w14:paraId="0677014D" w14:textId="1BE4D90F" w:rsidR="005A71D9" w:rsidRDefault="00666F50">
                          <w:pPr>
                            <w:pStyle w:val="NoSpacing"/>
                            <w:jc w:val="right"/>
                            <w:rPr>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94E87" w:rsidRPr="00294E87">
                                <w:rPr>
                                  <w:rFonts w:ascii="Times New Roman" w:hAnsi="Times New Roman" w:cs="Times New Roman"/>
                                  <w:color w:val="595959" w:themeColor="text1" w:themeTint="A6"/>
                                  <w:sz w:val="18"/>
                                  <w:szCs w:val="18"/>
                                </w:rPr>
                                <w:t>2111919@student.uwtsd.ac.uk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BBAD6E5" wp14:editId="09D2E45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Cs/>
                                  </w:rPr>
                                  <w:alias w:val="Abstract"/>
                                  <w:tag w:val=""/>
                                  <w:id w:val="767364218"/>
                                  <w:showingPlcHdr/>
                                  <w:dataBinding w:prefixMappings="xmlns:ns0='http://schemas.microsoft.com/office/2006/coverPageProps' " w:xpath="/ns0:CoverPageProperties[1]/ns0:Abstract[1]" w:storeItemID="{55AF091B-3C7A-41E3-B477-F2FDAA23CFDA}"/>
                                  <w:text w:multiLine="1"/>
                                </w:sdtPr>
                                <w:sdtEndPr/>
                                <w:sdtContent>
                                  <w:p w14:paraId="7BEF3233" w14:textId="347127DC" w:rsidR="00294E87" w:rsidRDefault="00294E87" w:rsidP="00294E87">
                                    <w:pPr>
                                      <w:pStyle w:val="NoSpacing"/>
                                      <w:jc w:val="right"/>
                                      <w:rPr>
                                        <w:color w:val="595959" w:themeColor="text1" w:themeTint="A6"/>
                                        <w:sz w:val="20"/>
                                        <w:szCs w:val="20"/>
                                      </w:rPr>
                                    </w:pPr>
                                    <w:r>
                                      <w:rPr>
                                        <w:rFonts w:ascii="Arial" w:hAnsi="Arial" w:cs="Arial"/>
                                        <w:bCs/>
                                      </w:rPr>
                                      <w:t xml:space="preserve">     </w:t>
                                    </w:r>
                                  </w:p>
                                </w:sdtContent>
                              </w:sdt>
                              <w:sdt>
                                <w:sdtPr>
                                  <w:rPr>
                                    <w:rFonts w:ascii="Arial" w:hAnsi="Arial" w:cs="Arial"/>
                                    <w:bCs/>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56C67D1" w14:textId="12BD95AC" w:rsidR="005A71D9" w:rsidRDefault="00A44F40" w:rsidP="00294E87">
                                    <w:pPr>
                                      <w:pStyle w:val="NoSpacing"/>
                                      <w:jc w:val="right"/>
                                      <w:rPr>
                                        <w:color w:val="595959" w:themeColor="text1" w:themeTint="A6"/>
                                        <w:sz w:val="20"/>
                                        <w:szCs w:val="20"/>
                                      </w:rPr>
                                    </w:pPr>
                                    <w:r>
                                      <w:rPr>
                                        <w:rFonts w:ascii="Arial" w:hAnsi="Arial" w:cs="Arial"/>
                                        <w:bCs/>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BBAD6E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ascii="Arial" w:hAnsi="Arial" w:cs="Arial"/>
                              <w:bCs/>
                            </w:rPr>
                            <w:alias w:val="Abstract"/>
                            <w:tag w:val=""/>
                            <w:id w:val="767364218"/>
                            <w:showingPlcHdr/>
                            <w:dataBinding w:prefixMappings="xmlns:ns0='http://schemas.microsoft.com/office/2006/coverPageProps' " w:xpath="/ns0:CoverPageProperties[1]/ns0:Abstract[1]" w:storeItemID="{55AF091B-3C7A-41E3-B477-F2FDAA23CFDA}"/>
                            <w:text w:multiLine="1"/>
                          </w:sdtPr>
                          <w:sdtEndPr/>
                          <w:sdtContent>
                            <w:p w14:paraId="7BEF3233" w14:textId="347127DC" w:rsidR="00294E87" w:rsidRDefault="00294E87" w:rsidP="00294E87">
                              <w:pPr>
                                <w:pStyle w:val="NoSpacing"/>
                                <w:jc w:val="right"/>
                                <w:rPr>
                                  <w:color w:val="595959" w:themeColor="text1" w:themeTint="A6"/>
                                  <w:sz w:val="20"/>
                                  <w:szCs w:val="20"/>
                                </w:rPr>
                              </w:pPr>
                              <w:r>
                                <w:rPr>
                                  <w:rFonts w:ascii="Arial" w:hAnsi="Arial" w:cs="Arial"/>
                                  <w:bCs/>
                                </w:rPr>
                                <w:t xml:space="preserve">     </w:t>
                              </w:r>
                            </w:p>
                          </w:sdtContent>
                        </w:sdt>
                        <w:sdt>
                          <w:sdtPr>
                            <w:rPr>
                              <w:rFonts w:ascii="Arial" w:hAnsi="Arial" w:cs="Arial"/>
                              <w:bCs/>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56C67D1" w14:textId="12BD95AC" w:rsidR="005A71D9" w:rsidRDefault="00A44F40" w:rsidP="00294E87">
                              <w:pPr>
                                <w:pStyle w:val="NoSpacing"/>
                                <w:jc w:val="right"/>
                                <w:rPr>
                                  <w:color w:val="595959" w:themeColor="text1" w:themeTint="A6"/>
                                  <w:sz w:val="20"/>
                                  <w:szCs w:val="20"/>
                                </w:rPr>
                              </w:pPr>
                              <w:r>
                                <w:rPr>
                                  <w:rFonts w:ascii="Arial" w:hAnsi="Arial" w:cs="Arial"/>
                                  <w:bCs/>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A8D91B9" wp14:editId="241C5D0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0A6B82" w14:textId="70512DF5" w:rsidR="005A71D9" w:rsidRDefault="00666F5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71D9">
                                      <w:rPr>
                                        <w:caps/>
                                        <w:color w:val="4472C4" w:themeColor="accent1"/>
                                        <w:sz w:val="64"/>
                                        <w:szCs w:val="64"/>
                                      </w:rPr>
                                      <w:t>Corporate Governance in Policing</w:t>
                                    </w:r>
                                  </w:sdtContent>
                                </w:sdt>
                              </w:p>
                              <w:sdt>
                                <w:sdtPr>
                                  <w:rPr>
                                    <w:rFonts w:ascii="Arial" w:eastAsia="Times New Roman" w:hAnsi="Arial" w:cs="Arial"/>
                                    <w:b/>
                                    <w:bCs/>
                                    <w:sz w:val="24"/>
                                    <w:szCs w:val="24"/>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CB61EC" w14:textId="2C4D403C" w:rsidR="005A71D9" w:rsidRDefault="00E9541C">
                                    <w:pPr>
                                      <w:jc w:val="right"/>
                                      <w:rPr>
                                        <w:smallCaps/>
                                        <w:color w:val="404040" w:themeColor="text1" w:themeTint="BF"/>
                                        <w:sz w:val="36"/>
                                        <w:szCs w:val="36"/>
                                      </w:rPr>
                                    </w:pPr>
                                    <w:r>
                                      <w:rPr>
                                        <w:rFonts w:ascii="Arial" w:eastAsia="Times New Roman" w:hAnsi="Arial" w:cs="Arial"/>
                                        <w:b/>
                                        <w:bCs/>
                                        <w:sz w:val="24"/>
                                        <w:szCs w:val="24"/>
                                        <w:lang w:eastAsia="en-GB"/>
                                      </w:rPr>
                                      <w:t>The Governance Challenges of 21st Century Policing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8D91B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C0A6B82" w14:textId="70512DF5" w:rsidR="005A71D9" w:rsidRDefault="00666F5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71D9">
                                <w:rPr>
                                  <w:caps/>
                                  <w:color w:val="4472C4" w:themeColor="accent1"/>
                                  <w:sz w:val="64"/>
                                  <w:szCs w:val="64"/>
                                </w:rPr>
                                <w:t>Corporate Governance in Policing</w:t>
                              </w:r>
                            </w:sdtContent>
                          </w:sdt>
                        </w:p>
                        <w:sdt>
                          <w:sdtPr>
                            <w:rPr>
                              <w:rFonts w:ascii="Arial" w:eastAsia="Times New Roman" w:hAnsi="Arial" w:cs="Arial"/>
                              <w:b/>
                              <w:bCs/>
                              <w:sz w:val="24"/>
                              <w:szCs w:val="24"/>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CB61EC" w14:textId="2C4D403C" w:rsidR="005A71D9" w:rsidRDefault="00E9541C">
                              <w:pPr>
                                <w:jc w:val="right"/>
                                <w:rPr>
                                  <w:smallCaps/>
                                  <w:color w:val="404040" w:themeColor="text1" w:themeTint="BF"/>
                                  <w:sz w:val="36"/>
                                  <w:szCs w:val="36"/>
                                </w:rPr>
                              </w:pPr>
                              <w:r>
                                <w:rPr>
                                  <w:rFonts w:ascii="Arial" w:eastAsia="Times New Roman" w:hAnsi="Arial" w:cs="Arial"/>
                                  <w:b/>
                                  <w:bCs/>
                                  <w:sz w:val="24"/>
                                  <w:szCs w:val="24"/>
                                  <w:lang w:eastAsia="en-GB"/>
                                </w:rPr>
                                <w:t>The Governance Challenges of 21st Century Policing</w:t>
                              </w:r>
                            </w:p>
                          </w:sdtContent>
                        </w:sdt>
                      </w:txbxContent>
                    </v:textbox>
                    <w10:wrap type="square" anchorx="page" anchory="page"/>
                  </v:shape>
                </w:pict>
              </mc:Fallback>
            </mc:AlternateContent>
          </w:r>
        </w:p>
        <w:p w14:paraId="4B68FEB6" w14:textId="6F2A4C21" w:rsidR="005A71D9" w:rsidRDefault="005A71D9">
          <w:r>
            <w:br w:type="page"/>
          </w:r>
        </w:p>
      </w:sdtContent>
    </w:sdt>
    <w:p w14:paraId="2881BC31" w14:textId="6744AB55" w:rsidR="00A44F40"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lastRenderedPageBreak/>
        <w:t>To evaluate the challenges of governance within 21</w:t>
      </w:r>
      <w:r w:rsidRPr="00A51D93">
        <w:rPr>
          <w:rFonts w:ascii="Arial" w:eastAsia="Arial" w:hAnsi="Arial" w:cs="Arial"/>
          <w:sz w:val="24"/>
          <w:szCs w:val="24"/>
          <w:vertAlign w:val="superscript"/>
        </w:rPr>
        <w:t>st</w:t>
      </w:r>
      <w:r w:rsidRPr="00A51D93">
        <w:rPr>
          <w:rFonts w:ascii="Arial" w:eastAsia="Arial" w:hAnsi="Arial" w:cs="Arial"/>
          <w:sz w:val="24"/>
          <w:szCs w:val="24"/>
        </w:rPr>
        <w:t xml:space="preserve"> century policing, it would enhance our understanding if we </w:t>
      </w:r>
      <w:r w:rsidR="002426CB" w:rsidRPr="00A51D93">
        <w:rPr>
          <w:rFonts w:ascii="Arial" w:eastAsia="Arial" w:hAnsi="Arial" w:cs="Arial"/>
          <w:sz w:val="24"/>
          <w:szCs w:val="24"/>
        </w:rPr>
        <w:t xml:space="preserve">identified </w:t>
      </w:r>
      <w:r w:rsidRPr="00A51D93">
        <w:rPr>
          <w:rFonts w:ascii="Arial" w:eastAsia="Arial" w:hAnsi="Arial" w:cs="Arial"/>
          <w:sz w:val="24"/>
          <w:szCs w:val="24"/>
        </w:rPr>
        <w:t xml:space="preserve">the origins and meanings of governance.  </w:t>
      </w:r>
    </w:p>
    <w:p w14:paraId="244BFF77" w14:textId="77777777" w:rsidR="00535FF0" w:rsidRDefault="00535FF0" w:rsidP="002A7A64">
      <w:pPr>
        <w:spacing w:line="480" w:lineRule="auto"/>
        <w:rPr>
          <w:rFonts w:ascii="Arial" w:eastAsia="Arial" w:hAnsi="Arial" w:cs="Arial"/>
          <w:sz w:val="24"/>
          <w:szCs w:val="24"/>
        </w:rPr>
      </w:pPr>
    </w:p>
    <w:p w14:paraId="141D733A" w14:textId="5AACCF13" w:rsidR="00A44F40" w:rsidRDefault="00666F50" w:rsidP="002A7A64">
      <w:pPr>
        <w:spacing w:line="480" w:lineRule="auto"/>
        <w:rPr>
          <w:rFonts w:ascii="Arial" w:eastAsia="Arial" w:hAnsi="Arial" w:cs="Arial"/>
          <w:sz w:val="24"/>
          <w:szCs w:val="24"/>
        </w:rPr>
      </w:pPr>
      <w:sdt>
        <w:sdtPr>
          <w:rPr>
            <w:rFonts w:ascii="Arial" w:eastAsia="Arial" w:hAnsi="Arial" w:cs="Arial"/>
            <w:sz w:val="24"/>
            <w:szCs w:val="24"/>
          </w:rPr>
          <w:id w:val="-1204396544"/>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Cad02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(Cadbury, 2002)</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explains the origins of governance stem back to the early 1600s, </w:t>
      </w:r>
      <w:bookmarkStart w:id="0" w:name="_Int_D3MUCFj9"/>
      <w:r w:rsidR="00A44F40" w:rsidRPr="00A51D93">
        <w:rPr>
          <w:rFonts w:ascii="Arial" w:eastAsia="Arial" w:hAnsi="Arial" w:cs="Arial"/>
          <w:sz w:val="24"/>
          <w:szCs w:val="24"/>
        </w:rPr>
        <w:t>following the</w:t>
      </w:r>
      <w:bookmarkEnd w:id="0"/>
      <w:r w:rsidR="00A44F40" w:rsidRPr="00A51D93">
        <w:rPr>
          <w:rFonts w:ascii="Arial" w:eastAsia="Arial" w:hAnsi="Arial" w:cs="Arial"/>
          <w:sz w:val="24"/>
          <w:szCs w:val="24"/>
        </w:rPr>
        <w:t xml:space="preserve"> granting of a Royal Charter to the Company of Merchants of </w:t>
      </w:r>
      <w:bookmarkStart w:id="1" w:name="_Int_UAxv3gRo"/>
      <w:r w:rsidR="00A44F40" w:rsidRPr="00A51D93">
        <w:rPr>
          <w:rFonts w:ascii="Arial" w:eastAsia="Arial" w:hAnsi="Arial" w:cs="Arial"/>
          <w:sz w:val="24"/>
          <w:szCs w:val="24"/>
        </w:rPr>
        <w:t>London</w:t>
      </w:r>
      <w:bookmarkEnd w:id="1"/>
      <w:r w:rsidR="00A44F40" w:rsidRPr="00A51D93">
        <w:rPr>
          <w:rFonts w:ascii="Arial" w:eastAsia="Arial" w:hAnsi="Arial" w:cs="Arial"/>
          <w:sz w:val="24"/>
          <w:szCs w:val="24"/>
        </w:rPr>
        <w:t>, trading into the East Indies.  The East India Company was governed by a Court of Directors</w:t>
      </w:r>
      <w:r w:rsidR="001371A1" w:rsidRPr="00A51D93">
        <w:rPr>
          <w:rFonts w:ascii="Arial" w:eastAsia="Arial" w:hAnsi="Arial" w:cs="Arial"/>
          <w:sz w:val="24"/>
          <w:szCs w:val="24"/>
        </w:rPr>
        <w:t>,</w:t>
      </w:r>
      <w:r w:rsidR="00A44F40" w:rsidRPr="00A51D93">
        <w:rPr>
          <w:rFonts w:ascii="Arial" w:eastAsia="Arial" w:hAnsi="Arial" w:cs="Arial"/>
          <w:sz w:val="24"/>
          <w:szCs w:val="24"/>
        </w:rPr>
        <w:t xml:space="preserve"> who were also referred to as Committees, leading to some confusion.   </w:t>
      </w:r>
    </w:p>
    <w:p w14:paraId="3678746A" w14:textId="77777777" w:rsidR="00535FF0" w:rsidRDefault="00535FF0" w:rsidP="002A7A64">
      <w:pPr>
        <w:spacing w:line="480" w:lineRule="auto"/>
        <w:rPr>
          <w:rFonts w:ascii="Arial" w:eastAsia="Arial" w:hAnsi="Arial" w:cs="Arial"/>
          <w:sz w:val="24"/>
          <w:szCs w:val="24"/>
        </w:rPr>
      </w:pPr>
    </w:p>
    <w:p w14:paraId="48DA403A" w14:textId="44AC03EC" w:rsidR="00A44F40" w:rsidRPr="00A51D93" w:rsidRDefault="00666F50" w:rsidP="002A7A64">
      <w:pPr>
        <w:spacing w:line="480" w:lineRule="auto"/>
        <w:rPr>
          <w:rFonts w:ascii="Arial" w:eastAsia="Arial" w:hAnsi="Arial" w:cs="Arial"/>
          <w:sz w:val="24"/>
          <w:szCs w:val="24"/>
        </w:rPr>
      </w:pPr>
      <w:sdt>
        <w:sdtPr>
          <w:rPr>
            <w:rFonts w:ascii="Arial" w:eastAsia="Arial" w:hAnsi="Arial" w:cs="Arial"/>
            <w:sz w:val="24"/>
            <w:szCs w:val="24"/>
          </w:rPr>
          <w:id w:val="151420795"/>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Mer16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(Meredith, et al., 2016)</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w:t>
      </w:r>
      <w:r w:rsidR="00722A5F" w:rsidRPr="00A51D93">
        <w:rPr>
          <w:rFonts w:ascii="Arial" w:eastAsia="Arial" w:hAnsi="Arial" w:cs="Arial"/>
          <w:sz w:val="24"/>
          <w:szCs w:val="24"/>
        </w:rPr>
        <w:t xml:space="preserve">explain </w:t>
      </w:r>
      <w:r w:rsidR="00A44F40" w:rsidRPr="00A51D93">
        <w:rPr>
          <w:rFonts w:ascii="Arial" w:eastAsia="Arial" w:hAnsi="Arial" w:cs="Arial"/>
          <w:sz w:val="24"/>
          <w:szCs w:val="24"/>
        </w:rPr>
        <w:t xml:space="preserve">governance derives from the Greek </w:t>
      </w:r>
      <w:r w:rsidR="0002485C" w:rsidRPr="00A51D93">
        <w:rPr>
          <w:rFonts w:ascii="Arial" w:eastAsia="Arial" w:hAnsi="Arial" w:cs="Arial"/>
          <w:sz w:val="24"/>
          <w:szCs w:val="24"/>
        </w:rPr>
        <w:t>“</w:t>
      </w:r>
      <w:proofErr w:type="spellStart"/>
      <w:r w:rsidR="00A44F40" w:rsidRPr="00A51D93">
        <w:rPr>
          <w:rFonts w:ascii="Arial" w:eastAsia="Arial" w:hAnsi="Arial" w:cs="Arial"/>
          <w:sz w:val="24"/>
          <w:szCs w:val="24"/>
        </w:rPr>
        <w:t>Kybernan</w:t>
      </w:r>
      <w:proofErr w:type="spellEnd"/>
      <w:r w:rsidR="00A44F40" w:rsidRPr="00A51D93">
        <w:rPr>
          <w:rFonts w:ascii="Arial" w:eastAsia="Arial" w:hAnsi="Arial" w:cs="Arial"/>
          <w:sz w:val="24"/>
          <w:szCs w:val="24"/>
        </w:rPr>
        <w:t xml:space="preserve"> (to steer) and </w:t>
      </w:r>
      <w:proofErr w:type="spellStart"/>
      <w:r w:rsidR="00A44F40" w:rsidRPr="00A51D93">
        <w:rPr>
          <w:rFonts w:ascii="Arial" w:eastAsia="Arial" w:hAnsi="Arial" w:cs="Arial"/>
          <w:sz w:val="24"/>
          <w:szCs w:val="24"/>
        </w:rPr>
        <w:t>Kybernetes</w:t>
      </w:r>
      <w:proofErr w:type="spellEnd"/>
      <w:r w:rsidR="00A44F40" w:rsidRPr="00A51D93">
        <w:rPr>
          <w:rFonts w:ascii="Arial" w:eastAsia="Arial" w:hAnsi="Arial" w:cs="Arial"/>
          <w:sz w:val="24"/>
          <w:szCs w:val="24"/>
        </w:rPr>
        <w:t xml:space="preserve"> (pilot or helmsmen)</w:t>
      </w:r>
      <w:r w:rsidR="0002485C" w:rsidRPr="00A51D93">
        <w:rPr>
          <w:rFonts w:ascii="Arial" w:eastAsia="Arial" w:hAnsi="Arial" w:cs="Arial"/>
          <w:sz w:val="24"/>
          <w:szCs w:val="24"/>
        </w:rPr>
        <w:t>”</w:t>
      </w:r>
      <w:r w:rsidR="00A44F40" w:rsidRPr="00A51D93">
        <w:rPr>
          <w:rFonts w:ascii="Arial" w:eastAsia="Arial" w:hAnsi="Arial" w:cs="Arial"/>
          <w:sz w:val="24"/>
          <w:szCs w:val="24"/>
        </w:rPr>
        <w:t xml:space="preserve"> which signifies an organisation would steer itself.  </w:t>
      </w:r>
      <w:r w:rsidR="00E37BB8" w:rsidRPr="00A51D93">
        <w:rPr>
          <w:rFonts w:ascii="Arial" w:eastAsia="Arial" w:hAnsi="Arial" w:cs="Arial"/>
          <w:sz w:val="24"/>
          <w:szCs w:val="24"/>
        </w:rPr>
        <w:t xml:space="preserve">Also, </w:t>
      </w:r>
      <w:r w:rsidR="00A44F40" w:rsidRPr="00A51D93">
        <w:rPr>
          <w:rFonts w:ascii="Arial" w:eastAsia="Arial" w:hAnsi="Arial" w:cs="Arial"/>
          <w:sz w:val="24"/>
          <w:szCs w:val="24"/>
        </w:rPr>
        <w:t xml:space="preserve">they identify how much more difficult this would become when more people are involved in the leadership and there are more hands used to steer, highlighting the potential for conflict.     </w:t>
      </w:r>
    </w:p>
    <w:p w14:paraId="77DEC7D6" w14:textId="77777777" w:rsidR="00A44F40" w:rsidRPr="00A51D93" w:rsidRDefault="00A44F40" w:rsidP="002A7A64">
      <w:pPr>
        <w:spacing w:line="480" w:lineRule="auto"/>
        <w:rPr>
          <w:rFonts w:ascii="Arial" w:eastAsia="Arial" w:hAnsi="Arial" w:cs="Arial"/>
          <w:sz w:val="24"/>
          <w:szCs w:val="24"/>
        </w:rPr>
      </w:pPr>
    </w:p>
    <w:p w14:paraId="38A5439F" w14:textId="073E848B" w:rsidR="00A44F40" w:rsidRPr="00A51D93" w:rsidRDefault="00666F50" w:rsidP="002A7A64">
      <w:pPr>
        <w:spacing w:line="480" w:lineRule="auto"/>
        <w:rPr>
          <w:rFonts w:ascii="Arial" w:eastAsia="Arial" w:hAnsi="Arial" w:cs="Arial"/>
          <w:sz w:val="24"/>
          <w:szCs w:val="24"/>
        </w:rPr>
      </w:pPr>
      <w:sdt>
        <w:sdtPr>
          <w:rPr>
            <w:rFonts w:ascii="Arial" w:eastAsia="Arial" w:hAnsi="Arial" w:cs="Arial"/>
            <w:sz w:val="24"/>
            <w:szCs w:val="24"/>
          </w:rPr>
          <w:id w:val="-1099566548"/>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Ans221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(Ansell &amp; Torfing, 2022)</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describe governance as being a “</w:t>
      </w:r>
      <w:r w:rsidR="00A44F40" w:rsidRPr="00A51D93">
        <w:rPr>
          <w:rFonts w:ascii="Arial" w:eastAsia="Arial" w:hAnsi="Arial" w:cs="Arial"/>
          <w:i/>
          <w:iCs/>
          <w:sz w:val="24"/>
          <w:szCs w:val="24"/>
        </w:rPr>
        <w:t>fashionable and frequently”</w:t>
      </w:r>
      <w:r w:rsidR="00A44F40" w:rsidRPr="00A51D93">
        <w:rPr>
          <w:rFonts w:ascii="Arial" w:eastAsia="Arial" w:hAnsi="Arial" w:cs="Arial"/>
          <w:sz w:val="24"/>
          <w:szCs w:val="24"/>
        </w:rPr>
        <w:t xml:space="preserve"> used term within today’s society, alluding to this term being used to identify a control structure of power holding accountability, such as government; whilst </w:t>
      </w:r>
      <w:sdt>
        <w:sdtPr>
          <w:rPr>
            <w:rFonts w:ascii="Arial" w:eastAsia="Arial" w:hAnsi="Arial" w:cs="Arial"/>
            <w:sz w:val="24"/>
            <w:szCs w:val="24"/>
          </w:rPr>
          <w:id w:val="-645665065"/>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Chh08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(Chhotray &amp; Stoker, 2008)</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describe governance as the process in which decisions are made collectively, effectively, and legitimately.  </w:t>
      </w:r>
    </w:p>
    <w:p w14:paraId="76311B67" w14:textId="77777777" w:rsidR="009247A0" w:rsidRPr="00A51D93" w:rsidRDefault="009247A0" w:rsidP="002A7A64">
      <w:pPr>
        <w:spacing w:line="480" w:lineRule="auto"/>
        <w:rPr>
          <w:rFonts w:ascii="Arial" w:eastAsia="Arial" w:hAnsi="Arial" w:cs="Arial"/>
          <w:sz w:val="24"/>
          <w:szCs w:val="24"/>
        </w:rPr>
      </w:pPr>
    </w:p>
    <w:p w14:paraId="371FED60" w14:textId="774ADD2A" w:rsidR="00A44F40" w:rsidRPr="00A51D93" w:rsidRDefault="00A44F40" w:rsidP="002A7A64">
      <w:pPr>
        <w:spacing w:line="480" w:lineRule="auto"/>
        <w:rPr>
          <w:rFonts w:ascii="Arial" w:eastAsia="Arial" w:hAnsi="Arial" w:cs="Arial"/>
          <w:i/>
          <w:iCs/>
          <w:sz w:val="24"/>
          <w:szCs w:val="24"/>
        </w:rPr>
      </w:pPr>
      <w:r w:rsidRPr="00A51D93">
        <w:rPr>
          <w:rFonts w:ascii="Arial" w:eastAsia="Arial" w:hAnsi="Arial" w:cs="Arial"/>
          <w:sz w:val="24"/>
          <w:szCs w:val="24"/>
        </w:rPr>
        <w:t xml:space="preserve">Governance is relevant and applicable in several settings and various circumstances, to include that of corporate or business settings, as well as political organisations.  What remains is the fundamental meaning of governance, as alluded </w:t>
      </w:r>
      <w:r w:rsidRPr="00A51D93">
        <w:rPr>
          <w:rFonts w:ascii="Arial" w:eastAsia="Arial" w:hAnsi="Arial" w:cs="Arial"/>
          <w:sz w:val="24"/>
          <w:szCs w:val="24"/>
        </w:rPr>
        <w:lastRenderedPageBreak/>
        <w:t xml:space="preserve">to by </w:t>
      </w:r>
      <w:sdt>
        <w:sdtPr>
          <w:rPr>
            <w:rFonts w:ascii="Arial" w:eastAsia="Arial" w:hAnsi="Arial" w:cs="Arial"/>
            <w:sz w:val="24"/>
            <w:szCs w:val="24"/>
          </w:rPr>
          <w:id w:val="-2136482790"/>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CITATION Cad02 \p 1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(Cadbury, 2002, p. 1)</w:t>
          </w:r>
          <w:r w:rsidRPr="00A51D93">
            <w:rPr>
              <w:rFonts w:ascii="Arial" w:eastAsia="Arial" w:hAnsi="Arial" w:cs="Arial"/>
              <w:sz w:val="24"/>
              <w:szCs w:val="24"/>
            </w:rPr>
            <w:fldChar w:fldCharType="end"/>
          </w:r>
        </w:sdtContent>
      </w:sdt>
      <w:r w:rsidRPr="00A51D93">
        <w:rPr>
          <w:rFonts w:ascii="Arial" w:eastAsia="Arial" w:hAnsi="Arial" w:cs="Arial"/>
          <w:sz w:val="24"/>
          <w:szCs w:val="24"/>
        </w:rPr>
        <w:t>, who describes governance as “</w:t>
      </w:r>
      <w:r w:rsidRPr="00A51D93">
        <w:rPr>
          <w:rFonts w:ascii="Arial" w:eastAsia="Arial" w:hAnsi="Arial" w:cs="Arial"/>
          <w:i/>
          <w:iCs/>
          <w:sz w:val="24"/>
          <w:szCs w:val="24"/>
        </w:rPr>
        <w:t>the system by which companies are directed and controlled”.</w:t>
      </w:r>
    </w:p>
    <w:p w14:paraId="5EE241B5" w14:textId="77777777" w:rsidR="00A44F40" w:rsidRPr="00A51D93" w:rsidRDefault="00A44F40" w:rsidP="002A7A64">
      <w:pPr>
        <w:spacing w:line="480" w:lineRule="auto"/>
        <w:rPr>
          <w:rFonts w:ascii="Arial" w:eastAsia="Arial" w:hAnsi="Arial" w:cs="Arial"/>
          <w:sz w:val="24"/>
          <w:szCs w:val="24"/>
        </w:rPr>
      </w:pPr>
    </w:p>
    <w:p w14:paraId="28FFA1AF" w14:textId="7E15AB0A" w:rsidR="00A44F40" w:rsidRPr="00A51D93" w:rsidRDefault="00A44F40" w:rsidP="002A7A64">
      <w:pPr>
        <w:spacing w:line="480" w:lineRule="auto"/>
        <w:rPr>
          <w:rFonts w:ascii="Arial" w:hAnsi="Arial" w:cs="Arial"/>
          <w:sz w:val="24"/>
          <w:szCs w:val="24"/>
        </w:rPr>
      </w:pPr>
      <w:r w:rsidRPr="00A51D93">
        <w:rPr>
          <w:rFonts w:ascii="Arial" w:eastAsia="Arial" w:hAnsi="Arial" w:cs="Arial"/>
          <w:sz w:val="24"/>
          <w:szCs w:val="24"/>
        </w:rPr>
        <w:t>Through time, governance has evolved</w:t>
      </w:r>
      <w:r w:rsidR="0077324C" w:rsidRPr="00A51D93">
        <w:rPr>
          <w:rFonts w:ascii="Arial" w:eastAsia="Arial" w:hAnsi="Arial" w:cs="Arial"/>
          <w:sz w:val="24"/>
          <w:szCs w:val="24"/>
        </w:rPr>
        <w:t xml:space="preserve">, with </w:t>
      </w:r>
      <w:r w:rsidRPr="00A51D93">
        <w:rPr>
          <w:rFonts w:ascii="Arial" w:eastAsia="Arial" w:hAnsi="Arial" w:cs="Arial"/>
          <w:sz w:val="24"/>
          <w:szCs w:val="24"/>
        </w:rPr>
        <w:t xml:space="preserve">similarities to be drawn between these beginnings and those that are relevant today.  </w:t>
      </w:r>
      <w:sdt>
        <w:sdtPr>
          <w:rPr>
            <w:rFonts w:ascii="Arial" w:eastAsia="Arial" w:hAnsi="Arial" w:cs="Arial"/>
            <w:sz w:val="24"/>
            <w:szCs w:val="24"/>
          </w:rPr>
          <w:id w:val="1654410485"/>
          <w:citation/>
        </w:sdtPr>
        <w:sdtEndPr/>
        <w:sdtContent>
          <w:r w:rsidRPr="00A51D93">
            <w:rPr>
              <w:rFonts w:ascii="Arial" w:eastAsia="Arial" w:hAnsi="Arial" w:cs="Arial"/>
              <w:sz w:val="24"/>
              <w:szCs w:val="24"/>
            </w:rPr>
            <w:fldChar w:fldCharType="begin"/>
          </w:r>
          <w:r w:rsidRPr="00A51D93">
            <w:rPr>
              <w:rFonts w:ascii="Arial" w:hAnsi="Arial" w:cs="Arial"/>
              <w:sz w:val="24"/>
              <w:szCs w:val="24"/>
            </w:rPr>
            <w:instrText xml:space="preserve"> CITATION Bou16 \l 2057 </w:instrText>
          </w:r>
          <w:r w:rsidRPr="00A51D93">
            <w:rPr>
              <w:rFonts w:ascii="Arial" w:eastAsia="Arial" w:hAnsi="Arial" w:cs="Arial"/>
              <w:sz w:val="24"/>
              <w:szCs w:val="24"/>
            </w:rPr>
            <w:fldChar w:fldCharType="separate"/>
          </w:r>
          <w:r w:rsidR="008E5EA8" w:rsidRPr="00A51D93">
            <w:rPr>
              <w:rFonts w:ascii="Arial" w:hAnsi="Arial" w:cs="Arial"/>
              <w:noProof/>
              <w:sz w:val="24"/>
              <w:szCs w:val="24"/>
            </w:rPr>
            <w:t>(Bouvaird &amp; Loeffler, 2016)</w:t>
          </w:r>
          <w:r w:rsidRPr="00A51D93">
            <w:rPr>
              <w:rFonts w:ascii="Arial" w:eastAsia="Arial" w:hAnsi="Arial" w:cs="Arial"/>
              <w:sz w:val="24"/>
              <w:szCs w:val="24"/>
            </w:rPr>
            <w:fldChar w:fldCharType="end"/>
          </w:r>
        </w:sdtContent>
      </w:sdt>
      <w:r w:rsidRPr="00A51D93">
        <w:rPr>
          <w:rFonts w:ascii="Arial" w:hAnsi="Arial" w:cs="Arial"/>
          <w:sz w:val="24"/>
          <w:szCs w:val="24"/>
        </w:rPr>
        <w:t xml:space="preserve">  </w:t>
      </w:r>
    </w:p>
    <w:p w14:paraId="71EA83BF" w14:textId="77777777" w:rsidR="00A44F40" w:rsidRPr="00A51D93" w:rsidRDefault="00A44F40" w:rsidP="002A7A64">
      <w:pPr>
        <w:spacing w:line="480" w:lineRule="auto"/>
        <w:rPr>
          <w:rFonts w:ascii="Arial" w:eastAsia="Arial" w:hAnsi="Arial" w:cs="Arial"/>
          <w:i/>
          <w:iCs/>
          <w:sz w:val="24"/>
          <w:szCs w:val="24"/>
        </w:rPr>
      </w:pPr>
    </w:p>
    <w:p w14:paraId="4CCD3A09" w14:textId="2B0FADB3"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In addition to the basic understanding of the term governance, one can identify this term with </w:t>
      </w:r>
      <w:bookmarkStart w:id="2" w:name="_Int_UI7Z2zh6"/>
      <w:r w:rsidRPr="00A51D93">
        <w:rPr>
          <w:rFonts w:ascii="Arial" w:eastAsia="Arial" w:hAnsi="Arial" w:cs="Arial"/>
          <w:sz w:val="24"/>
          <w:szCs w:val="24"/>
        </w:rPr>
        <w:t>several</w:t>
      </w:r>
      <w:bookmarkEnd w:id="2"/>
      <w:r w:rsidRPr="00A51D93">
        <w:rPr>
          <w:rFonts w:ascii="Arial" w:eastAsia="Arial" w:hAnsi="Arial" w:cs="Arial"/>
          <w:sz w:val="24"/>
          <w:szCs w:val="24"/>
        </w:rPr>
        <w:t xml:space="preserve"> pre-fixes, such as public governance, corporate governance, global governance and so on.  </w:t>
      </w:r>
      <w:sdt>
        <w:sdtPr>
          <w:rPr>
            <w:rFonts w:ascii="Arial" w:eastAsia="Arial" w:hAnsi="Arial" w:cs="Arial"/>
            <w:sz w:val="24"/>
            <w:szCs w:val="24"/>
          </w:rPr>
          <w:id w:val="-1673406226"/>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Ans221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(Ansell &amp; Torfing,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identify the phrase ‘new governance’ as being the most recent buzz word used during reforms within the public sector.   Whilst some areas of governance are provided with a prefix, this generally assists in identifying a genre of the governance, </w:t>
      </w:r>
      <w:r w:rsidR="00963369" w:rsidRPr="00A51D93">
        <w:rPr>
          <w:rFonts w:ascii="Arial" w:eastAsia="Arial" w:hAnsi="Arial" w:cs="Arial"/>
          <w:sz w:val="24"/>
          <w:szCs w:val="24"/>
        </w:rPr>
        <w:t xml:space="preserve">with </w:t>
      </w:r>
      <w:r w:rsidRPr="00A51D93">
        <w:rPr>
          <w:rFonts w:ascii="Arial" w:eastAsia="Arial" w:hAnsi="Arial" w:cs="Arial"/>
          <w:sz w:val="24"/>
          <w:szCs w:val="24"/>
        </w:rPr>
        <w:t xml:space="preserve">the </w:t>
      </w:r>
      <w:bookmarkStart w:id="3" w:name="_Int_92vIGSdf"/>
      <w:r w:rsidRPr="00A51D93">
        <w:rPr>
          <w:rFonts w:ascii="Arial" w:eastAsia="Arial" w:hAnsi="Arial" w:cs="Arial"/>
          <w:sz w:val="24"/>
          <w:szCs w:val="24"/>
        </w:rPr>
        <w:t>overall</w:t>
      </w:r>
      <w:bookmarkEnd w:id="3"/>
      <w:r w:rsidRPr="00A51D93">
        <w:rPr>
          <w:rFonts w:ascii="Arial" w:eastAsia="Arial" w:hAnsi="Arial" w:cs="Arial"/>
          <w:sz w:val="24"/>
          <w:szCs w:val="24"/>
        </w:rPr>
        <w:t xml:space="preserve"> meaning of direction remain</w:t>
      </w:r>
      <w:r w:rsidR="00B157BE" w:rsidRPr="00A51D93">
        <w:rPr>
          <w:rFonts w:ascii="Arial" w:eastAsia="Arial" w:hAnsi="Arial" w:cs="Arial"/>
          <w:sz w:val="24"/>
          <w:szCs w:val="24"/>
        </w:rPr>
        <w:t>ing</w:t>
      </w:r>
      <w:r w:rsidRPr="00A51D93">
        <w:rPr>
          <w:rFonts w:ascii="Arial" w:eastAsia="Arial" w:hAnsi="Arial" w:cs="Arial"/>
          <w:sz w:val="24"/>
          <w:szCs w:val="24"/>
        </w:rPr>
        <w:t>.</w:t>
      </w:r>
    </w:p>
    <w:p w14:paraId="78384AA6" w14:textId="77777777" w:rsidR="00A44F40" w:rsidRPr="00A51D93" w:rsidRDefault="00A44F40" w:rsidP="002A7A64">
      <w:pPr>
        <w:spacing w:line="480" w:lineRule="auto"/>
        <w:rPr>
          <w:rFonts w:ascii="Arial" w:eastAsia="Arial" w:hAnsi="Arial" w:cs="Arial"/>
          <w:sz w:val="24"/>
          <w:szCs w:val="24"/>
        </w:rPr>
      </w:pPr>
    </w:p>
    <w:p w14:paraId="2294CB47" w14:textId="6632FF53"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From academic literature there are several definitions of governance, with </w:t>
      </w:r>
      <w:sdt>
        <w:sdtPr>
          <w:rPr>
            <w:rFonts w:ascii="Arial" w:eastAsia="Arial" w:hAnsi="Arial" w:cs="Arial"/>
            <w:sz w:val="24"/>
            <w:szCs w:val="24"/>
          </w:rPr>
          <w:id w:val="-119746177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Mar14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(Marks, 2014)</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describing it as the overall method in which an organisation manages and controls its affairs.  Whilst </w:t>
      </w:r>
      <w:sdt>
        <w:sdtPr>
          <w:rPr>
            <w:rFonts w:ascii="Arial" w:eastAsia="Arial" w:hAnsi="Arial" w:cs="Arial"/>
            <w:sz w:val="24"/>
            <w:szCs w:val="24"/>
          </w:rPr>
          <w:id w:val="1797264613"/>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Wei10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(Weiss &amp; Thakur, 2010)</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explain governance to be a decisive arrangement of directions or norms that guarantee direction outside of what naturally takes place.  Further, when considering the domestic setting, governance is often beyond government, suggesting that, in addition to the authority held, there remains a shared objective.  </w:t>
      </w:r>
      <w:sdt>
        <w:sdtPr>
          <w:rPr>
            <w:rFonts w:ascii="Arial" w:eastAsia="Arial" w:hAnsi="Arial" w:cs="Arial"/>
            <w:sz w:val="24"/>
            <w:szCs w:val="24"/>
          </w:rPr>
          <w:id w:val="2103679234"/>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Bev03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(Bevir &amp; Rhodes, 2003)</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go on to explain governance as a method of informing general changes in practices</w:t>
      </w:r>
      <w:r w:rsidR="000B2FA3" w:rsidRPr="00A51D93">
        <w:rPr>
          <w:rFonts w:ascii="Arial" w:eastAsia="Arial" w:hAnsi="Arial" w:cs="Arial"/>
          <w:sz w:val="24"/>
          <w:szCs w:val="24"/>
        </w:rPr>
        <w:t>.  H</w:t>
      </w:r>
      <w:r w:rsidRPr="00A51D93">
        <w:rPr>
          <w:rFonts w:ascii="Arial" w:eastAsia="Arial" w:hAnsi="Arial" w:cs="Arial"/>
          <w:sz w:val="24"/>
          <w:szCs w:val="24"/>
        </w:rPr>
        <w:t>owever</w:t>
      </w:r>
      <w:r w:rsidR="006B0E0A" w:rsidRPr="00A51D93">
        <w:rPr>
          <w:rFonts w:ascii="Arial" w:eastAsia="Arial" w:hAnsi="Arial" w:cs="Arial"/>
          <w:sz w:val="24"/>
          <w:szCs w:val="24"/>
        </w:rPr>
        <w:t>,</w:t>
      </w:r>
      <w:r w:rsidRPr="00A51D93">
        <w:rPr>
          <w:rFonts w:ascii="Arial" w:eastAsia="Arial" w:hAnsi="Arial" w:cs="Arial"/>
          <w:sz w:val="24"/>
          <w:szCs w:val="24"/>
        </w:rPr>
        <w:t xml:space="preserve"> when this is related to government, they identify the assumption that those following such direction understand the cause, for example, voting and the concept of voting.  </w:t>
      </w:r>
    </w:p>
    <w:p w14:paraId="414717C4" w14:textId="77777777" w:rsidR="00A44F40" w:rsidRPr="00A51D93" w:rsidRDefault="00A44F40" w:rsidP="002A7A64">
      <w:pPr>
        <w:spacing w:line="480" w:lineRule="auto"/>
        <w:rPr>
          <w:rFonts w:ascii="Arial" w:eastAsia="Arial" w:hAnsi="Arial" w:cs="Arial"/>
          <w:sz w:val="24"/>
          <w:szCs w:val="24"/>
        </w:rPr>
      </w:pPr>
    </w:p>
    <w:p w14:paraId="5F67A426" w14:textId="36A8818F"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This assumption is addressed by </w:t>
      </w:r>
      <w:sdt>
        <w:sdtPr>
          <w:rPr>
            <w:rFonts w:ascii="Arial" w:eastAsia="Arial" w:hAnsi="Arial" w:cs="Arial"/>
            <w:sz w:val="24"/>
            <w:szCs w:val="24"/>
          </w:rPr>
          <w:id w:val="-1343630315"/>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CITATION Jug19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(Jugdev, 2019)</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who </w:t>
      </w:r>
      <w:r w:rsidR="00285510" w:rsidRPr="00A51D93">
        <w:rPr>
          <w:rFonts w:ascii="Arial" w:eastAsia="Arial" w:hAnsi="Arial" w:cs="Arial"/>
          <w:sz w:val="24"/>
          <w:szCs w:val="24"/>
        </w:rPr>
        <w:t xml:space="preserve">refers </w:t>
      </w:r>
      <w:r w:rsidRPr="00A51D93">
        <w:rPr>
          <w:rFonts w:ascii="Arial" w:eastAsia="Arial" w:hAnsi="Arial" w:cs="Arial"/>
          <w:sz w:val="24"/>
          <w:szCs w:val="24"/>
        </w:rPr>
        <w:t xml:space="preserve">to governance and governmentality being confused.  These are differentiated by governance being seen as a </w:t>
      </w:r>
      <w:r w:rsidR="003F376D" w:rsidRPr="00A51D93">
        <w:rPr>
          <w:rFonts w:ascii="Arial" w:eastAsia="Arial" w:hAnsi="Arial" w:cs="Arial"/>
          <w:sz w:val="24"/>
          <w:szCs w:val="24"/>
        </w:rPr>
        <w:t>regulated</w:t>
      </w:r>
      <w:r w:rsidRPr="00A51D93">
        <w:rPr>
          <w:rFonts w:ascii="Arial" w:eastAsia="Arial" w:hAnsi="Arial" w:cs="Arial"/>
          <w:sz w:val="24"/>
          <w:szCs w:val="24"/>
        </w:rPr>
        <w:t xml:space="preserve"> </w:t>
      </w:r>
      <w:r w:rsidR="003F376D" w:rsidRPr="00A51D93">
        <w:rPr>
          <w:rFonts w:ascii="Arial" w:eastAsia="Arial" w:hAnsi="Arial" w:cs="Arial"/>
          <w:sz w:val="24"/>
          <w:szCs w:val="24"/>
        </w:rPr>
        <w:t>structure</w:t>
      </w:r>
      <w:r w:rsidRPr="00A51D93">
        <w:rPr>
          <w:rFonts w:ascii="Arial" w:eastAsia="Arial" w:hAnsi="Arial" w:cs="Arial"/>
          <w:sz w:val="24"/>
          <w:szCs w:val="24"/>
        </w:rPr>
        <w:t xml:space="preserve"> of controls, with a set of </w:t>
      </w:r>
      <w:r w:rsidR="002A7A64" w:rsidRPr="00A51D93">
        <w:rPr>
          <w:rFonts w:ascii="Arial" w:eastAsia="Arial" w:hAnsi="Arial" w:cs="Arial"/>
          <w:sz w:val="24"/>
          <w:szCs w:val="24"/>
        </w:rPr>
        <w:t xml:space="preserve">processes, both </w:t>
      </w:r>
      <w:r w:rsidRPr="00A51D93">
        <w:rPr>
          <w:rFonts w:ascii="Arial" w:eastAsia="Arial" w:hAnsi="Arial" w:cs="Arial"/>
          <w:sz w:val="24"/>
          <w:szCs w:val="24"/>
        </w:rPr>
        <w:t>formal and informal</w:t>
      </w:r>
      <w:r w:rsidR="002A7A64" w:rsidRPr="00A51D93">
        <w:rPr>
          <w:rFonts w:ascii="Arial" w:eastAsia="Arial" w:hAnsi="Arial" w:cs="Arial"/>
          <w:sz w:val="24"/>
          <w:szCs w:val="24"/>
        </w:rPr>
        <w:t xml:space="preserve">, </w:t>
      </w:r>
      <w:r w:rsidRPr="00A51D93">
        <w:rPr>
          <w:rFonts w:ascii="Arial" w:eastAsia="Arial" w:hAnsi="Arial" w:cs="Arial"/>
          <w:sz w:val="24"/>
          <w:szCs w:val="24"/>
        </w:rPr>
        <w:t>to steer people across boundaries within organisations.   This is explained further when alluding to governmentality having more to do with culture</w:t>
      </w:r>
      <w:r w:rsidR="00B6314D" w:rsidRPr="00A51D93">
        <w:rPr>
          <w:rFonts w:ascii="Arial" w:eastAsia="Arial" w:hAnsi="Arial" w:cs="Arial"/>
          <w:sz w:val="24"/>
          <w:szCs w:val="24"/>
        </w:rPr>
        <w:t xml:space="preserve"> </w:t>
      </w:r>
      <w:r w:rsidRPr="00A51D93">
        <w:rPr>
          <w:rFonts w:ascii="Arial" w:eastAsia="Arial" w:hAnsi="Arial" w:cs="Arial"/>
          <w:sz w:val="24"/>
          <w:szCs w:val="24"/>
        </w:rPr>
        <w:t xml:space="preserve">and the mindset of people concerned.  </w:t>
      </w:r>
    </w:p>
    <w:p w14:paraId="26113FDD" w14:textId="77777777" w:rsidR="00A44F40" w:rsidRPr="00A51D93" w:rsidRDefault="00A44F40" w:rsidP="002A7A64">
      <w:pPr>
        <w:spacing w:line="480" w:lineRule="auto"/>
        <w:rPr>
          <w:rFonts w:ascii="Arial" w:eastAsia="Arial" w:hAnsi="Arial" w:cs="Arial"/>
          <w:sz w:val="24"/>
          <w:szCs w:val="24"/>
        </w:rPr>
      </w:pPr>
    </w:p>
    <w:p w14:paraId="7ECBD700" w14:textId="29EC4B54"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However, </w:t>
      </w:r>
      <w:sdt>
        <w:sdtPr>
          <w:rPr>
            <w:rFonts w:ascii="Arial" w:eastAsia="Arial" w:hAnsi="Arial" w:cs="Arial"/>
            <w:sz w:val="24"/>
            <w:szCs w:val="24"/>
          </w:rPr>
          <w:id w:val="-209424768"/>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Ans221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(Ansell &amp; Torfing,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highlight that having these readily available definitions and strategies can be problematic as, due to their very nature, they remain open to various interpretations or, alternatively, are limited due to a narrow definition.  </w:t>
      </w:r>
    </w:p>
    <w:p w14:paraId="722DD013" w14:textId="77777777" w:rsidR="007827B5" w:rsidRPr="00A51D93" w:rsidRDefault="007827B5" w:rsidP="002A7A64">
      <w:pPr>
        <w:spacing w:line="480" w:lineRule="auto"/>
        <w:rPr>
          <w:rFonts w:ascii="Arial" w:eastAsia="Arial" w:hAnsi="Arial" w:cs="Arial"/>
          <w:sz w:val="24"/>
          <w:szCs w:val="24"/>
        </w:rPr>
      </w:pPr>
    </w:p>
    <w:p w14:paraId="1FA7184B" w14:textId="3FA0438F"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Members of an organisation do not always hold a conscious awareness of culture; however, culture </w:t>
      </w:r>
      <w:r w:rsidR="00350963" w:rsidRPr="00A51D93">
        <w:rPr>
          <w:rFonts w:ascii="Arial" w:eastAsia="Arial" w:hAnsi="Arial" w:cs="Arial"/>
          <w:sz w:val="24"/>
          <w:szCs w:val="24"/>
        </w:rPr>
        <w:t xml:space="preserve">can have </w:t>
      </w:r>
      <w:r w:rsidRPr="00A51D93">
        <w:rPr>
          <w:rFonts w:ascii="Arial" w:eastAsia="Arial" w:hAnsi="Arial" w:cs="Arial"/>
          <w:sz w:val="24"/>
          <w:szCs w:val="24"/>
        </w:rPr>
        <w:t xml:space="preserve">an insidious impact on workforce behaviours and is often borne from leadership and governance within an organisation.  As </w:t>
      </w:r>
      <w:sdt>
        <w:sdtPr>
          <w:rPr>
            <w:rFonts w:ascii="Arial" w:eastAsia="Arial" w:hAnsi="Arial" w:cs="Arial"/>
            <w:sz w:val="24"/>
            <w:szCs w:val="24"/>
          </w:rPr>
          <w:id w:val="1757935703"/>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CITATION Mul19 \p 564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(Mullins &amp; McLean, 2019, p. 564)</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explains, put simply, culture can be described as “</w:t>
      </w:r>
      <w:r w:rsidRPr="00A51D93">
        <w:rPr>
          <w:rFonts w:ascii="Arial" w:eastAsia="Arial" w:hAnsi="Arial" w:cs="Arial"/>
          <w:i/>
          <w:iCs/>
          <w:sz w:val="24"/>
          <w:szCs w:val="24"/>
        </w:rPr>
        <w:t>how things are done around here”</w:t>
      </w:r>
      <w:r w:rsidRPr="00A51D93">
        <w:rPr>
          <w:rFonts w:ascii="Arial" w:eastAsia="Arial" w:hAnsi="Arial" w:cs="Arial"/>
          <w:sz w:val="24"/>
          <w:szCs w:val="24"/>
        </w:rPr>
        <w:t xml:space="preserve">.   </w:t>
      </w:r>
      <w:sdt>
        <w:sdtPr>
          <w:rPr>
            <w:rFonts w:ascii="Arial" w:eastAsia="Arial" w:hAnsi="Arial" w:cs="Arial"/>
            <w:sz w:val="24"/>
            <w:szCs w:val="24"/>
          </w:rPr>
          <w:id w:val="-402904126"/>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Atk90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(Atkinson, 1990)</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goes on to explain that organisation culture indicates the inherent expectations regarding the way in which work is performed, </w:t>
      </w:r>
      <w:proofErr w:type="gramStart"/>
      <w:r w:rsidRPr="00A51D93">
        <w:rPr>
          <w:rFonts w:ascii="Arial" w:eastAsia="Arial" w:hAnsi="Arial" w:cs="Arial"/>
          <w:sz w:val="24"/>
          <w:szCs w:val="24"/>
        </w:rPr>
        <w:t>i.e.</w:t>
      </w:r>
      <w:proofErr w:type="gramEnd"/>
      <w:r w:rsidRPr="00A51D93">
        <w:rPr>
          <w:rFonts w:ascii="Arial" w:eastAsia="Arial" w:hAnsi="Arial" w:cs="Arial"/>
          <w:sz w:val="24"/>
          <w:szCs w:val="24"/>
        </w:rPr>
        <w:t xml:space="preserve"> the boundaries of accountability, together with what is encouraged as acceptable and likewise, discouraged.  </w:t>
      </w:r>
    </w:p>
    <w:p w14:paraId="685BAC04" w14:textId="77777777" w:rsidR="00A44F40" w:rsidRPr="00A51D93" w:rsidRDefault="00A44F40" w:rsidP="002A7A64">
      <w:pPr>
        <w:spacing w:line="480" w:lineRule="auto"/>
        <w:rPr>
          <w:rFonts w:ascii="Arial" w:eastAsia="Arial" w:hAnsi="Arial" w:cs="Arial"/>
          <w:sz w:val="24"/>
          <w:szCs w:val="24"/>
        </w:rPr>
      </w:pPr>
    </w:p>
    <w:p w14:paraId="1FE30D31" w14:textId="0BEE1654" w:rsidR="00A44F40" w:rsidRPr="00A51D93" w:rsidRDefault="00666F50" w:rsidP="002A7A64">
      <w:pPr>
        <w:spacing w:line="480" w:lineRule="auto"/>
        <w:rPr>
          <w:rFonts w:ascii="Arial" w:eastAsia="Arial" w:hAnsi="Arial" w:cs="Arial"/>
          <w:sz w:val="24"/>
          <w:szCs w:val="24"/>
        </w:rPr>
      </w:pPr>
      <w:sdt>
        <w:sdtPr>
          <w:rPr>
            <w:rFonts w:ascii="Arial" w:eastAsia="Arial" w:hAnsi="Arial" w:cs="Arial"/>
            <w:sz w:val="24"/>
            <w:szCs w:val="24"/>
          </w:rPr>
          <w:id w:val="1189564874"/>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Alv13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(Alvesson, 2013)</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w:t>
      </w:r>
      <w:r w:rsidR="008864DD" w:rsidRPr="00A51D93">
        <w:rPr>
          <w:rFonts w:ascii="Arial" w:eastAsia="Arial" w:hAnsi="Arial" w:cs="Arial"/>
          <w:sz w:val="24"/>
          <w:szCs w:val="24"/>
        </w:rPr>
        <w:t>states that</w:t>
      </w:r>
      <w:r w:rsidR="00A44F40" w:rsidRPr="00A51D93">
        <w:rPr>
          <w:rFonts w:ascii="Arial" w:eastAsia="Arial" w:hAnsi="Arial" w:cs="Arial"/>
          <w:sz w:val="24"/>
          <w:szCs w:val="24"/>
        </w:rPr>
        <w:t xml:space="preserve">, although the most senior managers may hold a robust familiarity of the implication of culture, often, there lies a dearth of greater understanding of how the organisation and its members perform in relation to culture, and </w:t>
      </w:r>
      <w:r w:rsidR="009B6D1E" w:rsidRPr="00A51D93">
        <w:rPr>
          <w:rFonts w:ascii="Arial" w:eastAsia="Arial" w:hAnsi="Arial" w:cs="Arial"/>
          <w:sz w:val="24"/>
          <w:szCs w:val="24"/>
        </w:rPr>
        <w:t xml:space="preserve">control over it is rarely achieved.  </w:t>
      </w:r>
      <w:r w:rsidR="00A44F40" w:rsidRPr="00A51D93">
        <w:rPr>
          <w:rFonts w:ascii="Arial" w:eastAsia="Arial" w:hAnsi="Arial" w:cs="Arial"/>
          <w:sz w:val="24"/>
          <w:szCs w:val="24"/>
        </w:rPr>
        <w:t>Such awareness and understanding of culture, will vary between managements and organisations.</w:t>
      </w:r>
      <w:r w:rsidR="006B1102" w:rsidRPr="00A51D93">
        <w:rPr>
          <w:rFonts w:ascii="Arial" w:eastAsia="Arial" w:hAnsi="Arial" w:cs="Arial"/>
          <w:sz w:val="24"/>
          <w:szCs w:val="24"/>
        </w:rPr>
        <w:t xml:space="preserve">  </w:t>
      </w:r>
      <w:r w:rsidR="00A44F40" w:rsidRPr="00A51D93">
        <w:rPr>
          <w:rFonts w:ascii="Arial" w:eastAsia="Arial" w:hAnsi="Arial" w:cs="Arial"/>
          <w:sz w:val="24"/>
          <w:szCs w:val="24"/>
        </w:rPr>
        <w:t xml:space="preserve">As </w:t>
      </w:r>
      <w:sdt>
        <w:sdtPr>
          <w:rPr>
            <w:rFonts w:ascii="Arial" w:eastAsia="Arial" w:hAnsi="Arial" w:cs="Arial"/>
            <w:sz w:val="24"/>
            <w:szCs w:val="24"/>
          </w:rPr>
          <w:id w:val="-550690074"/>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Yuk20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(Yuki &amp; Gardener, 2020)</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suggest, culture is based upon the common principles and standards of members, but leaders may strengthen them or change them.  </w:t>
      </w:r>
      <w:sdt>
        <w:sdtPr>
          <w:rPr>
            <w:rFonts w:ascii="Arial" w:eastAsia="Arial" w:hAnsi="Arial" w:cs="Arial"/>
            <w:sz w:val="24"/>
            <w:szCs w:val="24"/>
          </w:rPr>
          <w:id w:val="28929473"/>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Sch17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(Schein &amp; Schein, 2017)</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argue that these changes can be done positively</w:t>
      </w:r>
      <w:r w:rsidR="00D5548C" w:rsidRPr="00A51D93">
        <w:rPr>
          <w:rFonts w:ascii="Arial" w:eastAsia="Arial" w:hAnsi="Arial" w:cs="Arial"/>
          <w:sz w:val="24"/>
          <w:szCs w:val="24"/>
        </w:rPr>
        <w:t>.  Ho</w:t>
      </w:r>
      <w:r w:rsidR="00A44F40" w:rsidRPr="00A51D93">
        <w:rPr>
          <w:rFonts w:ascii="Arial" w:eastAsia="Arial" w:hAnsi="Arial" w:cs="Arial"/>
          <w:sz w:val="24"/>
          <w:szCs w:val="24"/>
        </w:rPr>
        <w:t>wever</w:t>
      </w:r>
      <w:r w:rsidR="00D5548C" w:rsidRPr="00A51D93">
        <w:rPr>
          <w:rFonts w:ascii="Arial" w:eastAsia="Arial" w:hAnsi="Arial" w:cs="Arial"/>
          <w:sz w:val="24"/>
          <w:szCs w:val="24"/>
        </w:rPr>
        <w:t>,</w:t>
      </w:r>
      <w:r w:rsidR="00A44F40" w:rsidRPr="00A51D93">
        <w:rPr>
          <w:rFonts w:ascii="Arial" w:eastAsia="Arial" w:hAnsi="Arial" w:cs="Arial"/>
          <w:sz w:val="24"/>
          <w:szCs w:val="24"/>
        </w:rPr>
        <w:t xml:space="preserve"> for this to work, the changes must be agreed and shared by all involved, internal and external.    If a change is made for one’s own goal, then this will encourage closure of ranks and resistance from within </w:t>
      </w:r>
      <w:sdt>
        <w:sdtPr>
          <w:rPr>
            <w:rFonts w:ascii="Arial" w:eastAsia="Arial" w:hAnsi="Arial" w:cs="Arial"/>
            <w:sz w:val="24"/>
            <w:szCs w:val="24"/>
          </w:rPr>
          <w:id w:val="1706833583"/>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 CITATION Alv13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(Alvesson, 2013)</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w:t>
      </w:r>
    </w:p>
    <w:p w14:paraId="647DCE51" w14:textId="77777777" w:rsidR="00A44F40" w:rsidRPr="00A51D93" w:rsidRDefault="00A44F40" w:rsidP="002A7A64">
      <w:pPr>
        <w:spacing w:line="480" w:lineRule="auto"/>
        <w:rPr>
          <w:rFonts w:ascii="Arial" w:eastAsia="Arial" w:hAnsi="Arial" w:cs="Arial"/>
          <w:sz w:val="24"/>
          <w:szCs w:val="24"/>
        </w:rPr>
      </w:pPr>
    </w:p>
    <w:p w14:paraId="4960D823" w14:textId="16A97D6B"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The same principles stand when discussing governance within policing, as</w:t>
      </w:r>
      <w:r w:rsidR="00966B94" w:rsidRPr="00A51D93">
        <w:rPr>
          <w:rFonts w:ascii="Arial" w:eastAsia="Arial" w:hAnsi="Arial" w:cs="Arial"/>
          <w:sz w:val="24"/>
          <w:szCs w:val="24"/>
        </w:rPr>
        <w:t xml:space="preserve"> referred to </w:t>
      </w:r>
      <w:r w:rsidRPr="00A51D93">
        <w:rPr>
          <w:rFonts w:ascii="Arial" w:eastAsia="Arial" w:hAnsi="Arial" w:cs="Arial"/>
          <w:sz w:val="24"/>
          <w:szCs w:val="24"/>
        </w:rPr>
        <w:t xml:space="preserve">by </w:t>
      </w:r>
      <w:sdt>
        <w:sdtPr>
          <w:rPr>
            <w:rFonts w:ascii="Arial" w:eastAsia="Arial" w:hAnsi="Arial" w:cs="Arial"/>
            <w:sz w:val="24"/>
            <w:szCs w:val="24"/>
          </w:rPr>
          <w:id w:val="-91323450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Bea07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(Beare &amp; Murray, 2007)</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who suggest this raised the question regarding the management of the police, together with our awareness of both the independence of the police as well as the culpability for their actions.  </w:t>
      </w:r>
    </w:p>
    <w:p w14:paraId="235080F9" w14:textId="77777777" w:rsidR="00A44F40" w:rsidRPr="00A51D93" w:rsidRDefault="00A44F40" w:rsidP="002A7A64">
      <w:pPr>
        <w:spacing w:line="480" w:lineRule="auto"/>
        <w:rPr>
          <w:rFonts w:ascii="Arial" w:eastAsia="Arial" w:hAnsi="Arial" w:cs="Arial"/>
          <w:sz w:val="24"/>
          <w:szCs w:val="24"/>
        </w:rPr>
      </w:pPr>
    </w:p>
    <w:p w14:paraId="62708428" w14:textId="78EB4990"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When exploring governance and policing, it </w:t>
      </w:r>
      <w:r w:rsidR="006002F0" w:rsidRPr="00A51D93">
        <w:rPr>
          <w:rFonts w:ascii="Arial" w:eastAsia="Arial" w:hAnsi="Arial" w:cs="Arial"/>
          <w:sz w:val="24"/>
          <w:szCs w:val="24"/>
        </w:rPr>
        <w:t xml:space="preserve">is </w:t>
      </w:r>
      <w:r w:rsidRPr="00A51D93">
        <w:rPr>
          <w:rFonts w:ascii="Arial" w:eastAsia="Arial" w:hAnsi="Arial" w:cs="Arial"/>
          <w:sz w:val="24"/>
          <w:szCs w:val="24"/>
        </w:rPr>
        <w:t>wise to also focus on both legitimacy and effectiveness, known within policing as policing by consent.  Referring to the creation of policing in 1829, the term the ‘</w:t>
      </w:r>
      <w:proofErr w:type="spellStart"/>
      <w:r w:rsidRPr="00A51D93">
        <w:rPr>
          <w:rFonts w:ascii="Arial" w:eastAsia="Arial" w:hAnsi="Arial" w:cs="Arial"/>
          <w:sz w:val="24"/>
          <w:szCs w:val="24"/>
        </w:rPr>
        <w:t>Peelian</w:t>
      </w:r>
      <w:proofErr w:type="spellEnd"/>
      <w:r w:rsidRPr="00A51D93">
        <w:rPr>
          <w:rFonts w:ascii="Arial" w:eastAsia="Arial" w:hAnsi="Arial" w:cs="Arial"/>
          <w:sz w:val="24"/>
          <w:szCs w:val="24"/>
        </w:rPr>
        <w:t xml:space="preserve"> Principles’ are often referred to</w:t>
      </w:r>
      <w:r w:rsidR="000B490F" w:rsidRPr="00A51D93">
        <w:rPr>
          <w:rFonts w:ascii="Arial" w:eastAsia="Arial" w:hAnsi="Arial" w:cs="Arial"/>
          <w:sz w:val="24"/>
          <w:szCs w:val="24"/>
        </w:rPr>
        <w:t>.  H</w:t>
      </w:r>
      <w:r w:rsidRPr="00A51D93">
        <w:rPr>
          <w:rFonts w:ascii="Arial" w:eastAsia="Arial" w:hAnsi="Arial" w:cs="Arial"/>
          <w:sz w:val="24"/>
          <w:szCs w:val="24"/>
        </w:rPr>
        <w:t>owever</w:t>
      </w:r>
      <w:r w:rsidR="000B490F" w:rsidRPr="00A51D93">
        <w:rPr>
          <w:rFonts w:ascii="Arial" w:eastAsia="Arial" w:hAnsi="Arial" w:cs="Arial"/>
          <w:sz w:val="24"/>
          <w:szCs w:val="24"/>
        </w:rPr>
        <w:t>,</w:t>
      </w:r>
      <w:r w:rsidR="009B3EFF" w:rsidRPr="00A51D93">
        <w:rPr>
          <w:rFonts w:ascii="Arial" w:eastAsia="Arial" w:hAnsi="Arial" w:cs="Arial"/>
          <w:sz w:val="24"/>
          <w:szCs w:val="24"/>
        </w:rPr>
        <w:t xml:space="preserve"> as</w:t>
      </w:r>
      <w:r w:rsidRPr="00A51D93">
        <w:rPr>
          <w:rFonts w:ascii="Arial" w:eastAsia="Arial" w:hAnsi="Arial" w:cs="Arial"/>
          <w:sz w:val="24"/>
          <w:szCs w:val="24"/>
        </w:rPr>
        <w:t xml:space="preserve"> discussed by </w:t>
      </w:r>
      <w:sdt>
        <w:sdtPr>
          <w:rPr>
            <w:rFonts w:ascii="Arial" w:eastAsia="Arial" w:hAnsi="Arial" w:cs="Arial"/>
            <w:sz w:val="24"/>
            <w:szCs w:val="24"/>
          </w:rPr>
          <w:id w:val="-328984878"/>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Def12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(Home Office, 2012)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the probability of original governance came from the first Commissioners of the Police of the Metropolis.  It was they who instigated governance, as well as culture, within police by devising nine ‘General Instructions’ to every new officer.    The formulation of the Police Service and the </w:t>
      </w:r>
      <w:r w:rsidRPr="00A51D93">
        <w:rPr>
          <w:rFonts w:ascii="Arial" w:eastAsia="Arial" w:hAnsi="Arial" w:cs="Arial"/>
          <w:sz w:val="24"/>
          <w:szCs w:val="24"/>
        </w:rPr>
        <w:lastRenderedPageBreak/>
        <w:t xml:space="preserve">issue of these instructions were based upon a vision of the then Home Secretary, Sir Robert Peel, of policing by consent.  The </w:t>
      </w:r>
      <w:r w:rsidR="000B6EE4" w:rsidRPr="00A51D93">
        <w:rPr>
          <w:rFonts w:ascii="Arial" w:eastAsia="Arial" w:hAnsi="Arial" w:cs="Arial"/>
          <w:sz w:val="24"/>
          <w:szCs w:val="24"/>
        </w:rPr>
        <w:t xml:space="preserve">purpose </w:t>
      </w:r>
      <w:r w:rsidRPr="00A51D93">
        <w:rPr>
          <w:rFonts w:ascii="Arial" w:eastAsia="Arial" w:hAnsi="Arial" w:cs="Arial"/>
          <w:sz w:val="24"/>
          <w:szCs w:val="24"/>
        </w:rPr>
        <w:t xml:space="preserve">of this was </w:t>
      </w:r>
      <w:r w:rsidR="000B6EE4" w:rsidRPr="00A51D93">
        <w:rPr>
          <w:rFonts w:ascii="Arial" w:eastAsia="Arial" w:hAnsi="Arial" w:cs="Arial"/>
          <w:sz w:val="24"/>
          <w:szCs w:val="24"/>
        </w:rPr>
        <w:t xml:space="preserve">to ensure </w:t>
      </w:r>
      <w:r w:rsidRPr="00A51D93">
        <w:rPr>
          <w:rFonts w:ascii="Arial" w:eastAsia="Arial" w:hAnsi="Arial" w:cs="Arial"/>
          <w:sz w:val="24"/>
          <w:szCs w:val="24"/>
        </w:rPr>
        <w:t xml:space="preserve">officers </w:t>
      </w:r>
      <w:r w:rsidR="000B6EE4" w:rsidRPr="00A51D93">
        <w:rPr>
          <w:rFonts w:ascii="Arial" w:eastAsia="Arial" w:hAnsi="Arial" w:cs="Arial"/>
          <w:sz w:val="24"/>
          <w:szCs w:val="24"/>
        </w:rPr>
        <w:t xml:space="preserve">would </w:t>
      </w:r>
      <w:r w:rsidRPr="00A51D93">
        <w:rPr>
          <w:rFonts w:ascii="Arial" w:eastAsia="Arial" w:hAnsi="Arial" w:cs="Arial"/>
          <w:sz w:val="24"/>
          <w:szCs w:val="24"/>
        </w:rPr>
        <w:t xml:space="preserve">be reinforced by the standards of non-allegiance and accountability to the rule of law, not to government.  </w:t>
      </w:r>
      <w:sdt>
        <w:sdtPr>
          <w:rPr>
            <w:rFonts w:ascii="Arial" w:eastAsia="Arial" w:hAnsi="Arial" w:cs="Arial"/>
            <w:sz w:val="24"/>
            <w:szCs w:val="24"/>
          </w:rPr>
          <w:id w:val="-175040396"/>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Lib10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(Liberty, 2010)</w:t>
          </w:r>
          <w:r w:rsidRPr="00A51D93">
            <w:rPr>
              <w:rFonts w:ascii="Arial" w:eastAsia="Arial" w:hAnsi="Arial" w:cs="Arial"/>
              <w:sz w:val="24"/>
              <w:szCs w:val="24"/>
            </w:rPr>
            <w:fldChar w:fldCharType="end"/>
          </w:r>
        </w:sdtContent>
      </w:sdt>
    </w:p>
    <w:p w14:paraId="118AD91C" w14:textId="77777777" w:rsidR="00A44F40" w:rsidRPr="00A51D93" w:rsidRDefault="00A44F40" w:rsidP="002A7A64">
      <w:pPr>
        <w:spacing w:line="480" w:lineRule="auto"/>
        <w:rPr>
          <w:rFonts w:ascii="Arial" w:eastAsia="Arial" w:hAnsi="Arial" w:cs="Arial"/>
          <w:sz w:val="24"/>
          <w:szCs w:val="24"/>
        </w:rPr>
      </w:pPr>
    </w:p>
    <w:p w14:paraId="16B7D433" w14:textId="74247DF8"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The ethos of these instructions was firm but fair and continue to be known today as policing by consent.  The idea being that this consent is confirmation from the public of the legitimacy of policing, formed upon a consensus of support based upon transparency regarding powers, the integrity in the use of those powers, together with their accountability.  </w:t>
      </w:r>
      <w:sdt>
        <w:sdtPr>
          <w:rPr>
            <w:rFonts w:ascii="Arial" w:eastAsia="Arial" w:hAnsi="Arial" w:cs="Arial"/>
            <w:sz w:val="24"/>
            <w:szCs w:val="24"/>
          </w:rPr>
          <w:id w:val="391548758"/>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Uni23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(University of Washington, 2023)</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It was upon these instructions and the desired approach that policing by consent was generated and has since been maintained to this modern day.  </w:t>
      </w:r>
    </w:p>
    <w:p w14:paraId="255477E1" w14:textId="77777777" w:rsidR="00A44F40" w:rsidRPr="00A51D93" w:rsidRDefault="00A44F40" w:rsidP="002A7A64">
      <w:pPr>
        <w:spacing w:line="480" w:lineRule="auto"/>
        <w:rPr>
          <w:rFonts w:ascii="Arial" w:hAnsi="Arial" w:cs="Arial"/>
          <w:sz w:val="24"/>
          <w:szCs w:val="24"/>
        </w:rPr>
      </w:pPr>
    </w:p>
    <w:p w14:paraId="3487B3ED" w14:textId="7D010A81" w:rsidR="00A44F40" w:rsidRPr="00A51D93" w:rsidRDefault="009614D8" w:rsidP="002A7A64">
      <w:pPr>
        <w:spacing w:line="480" w:lineRule="auto"/>
        <w:rPr>
          <w:rFonts w:ascii="Arial" w:eastAsia="Arial" w:hAnsi="Arial" w:cs="Arial"/>
          <w:i/>
          <w:iCs/>
          <w:sz w:val="24"/>
          <w:szCs w:val="24"/>
        </w:rPr>
      </w:pPr>
      <w:r w:rsidRPr="00A51D93">
        <w:rPr>
          <w:rFonts w:ascii="Arial" w:eastAsia="Arial" w:hAnsi="Arial" w:cs="Arial"/>
          <w:sz w:val="24"/>
          <w:szCs w:val="24"/>
        </w:rPr>
        <w:t>T</w:t>
      </w:r>
      <w:r w:rsidR="00A44F40" w:rsidRPr="00A51D93">
        <w:rPr>
          <w:rFonts w:ascii="Arial" w:eastAsia="Arial" w:hAnsi="Arial" w:cs="Arial"/>
          <w:sz w:val="24"/>
          <w:szCs w:val="24"/>
        </w:rPr>
        <w:t xml:space="preserve">o proceed and continue successfully, policing requires the ‘buy in’ from the public, and this is a continuing process to maintain today’s public support.  According to </w:t>
      </w:r>
      <w:sdt>
        <w:sdtPr>
          <w:rPr>
            <w:rFonts w:ascii="Arial" w:eastAsia="Arial" w:hAnsi="Arial" w:cs="Arial"/>
            <w:sz w:val="24"/>
            <w:szCs w:val="24"/>
          </w:rPr>
          <w:id w:val="-1602863110"/>
          <w:citation/>
        </w:sdtPr>
        <w:sdtEndPr/>
        <w:sdtContent>
          <w:r w:rsidR="00A44F40" w:rsidRPr="00A51D93">
            <w:rPr>
              <w:rFonts w:ascii="Arial" w:eastAsia="Arial" w:hAnsi="Arial" w:cs="Arial"/>
              <w:sz w:val="24"/>
              <w:szCs w:val="24"/>
            </w:rPr>
            <w:fldChar w:fldCharType="begin"/>
          </w:r>
          <w:r w:rsidR="00A44F40" w:rsidRPr="00A51D93">
            <w:rPr>
              <w:rFonts w:ascii="Arial" w:eastAsia="Arial" w:hAnsi="Arial" w:cs="Arial"/>
              <w:sz w:val="24"/>
              <w:szCs w:val="24"/>
            </w:rPr>
            <w:instrText xml:space="preserve">CITATION Bac16 \l 2057 </w:instrText>
          </w:r>
          <w:r w:rsidR="00A44F40" w:rsidRPr="00A51D93">
            <w:rPr>
              <w:rFonts w:ascii="Arial" w:eastAsia="Arial" w:hAnsi="Arial" w:cs="Arial"/>
              <w:sz w:val="24"/>
              <w:szCs w:val="24"/>
            </w:rPr>
            <w:fldChar w:fldCharType="separate"/>
          </w:r>
          <w:r w:rsidR="008E5EA8" w:rsidRPr="00A51D93">
            <w:rPr>
              <w:rFonts w:ascii="Arial" w:eastAsia="Arial" w:hAnsi="Arial" w:cs="Arial"/>
              <w:noProof/>
              <w:sz w:val="24"/>
              <w:szCs w:val="24"/>
            </w:rPr>
            <w:t>(Bacharach, 2016)</w:t>
          </w:r>
          <w:r w:rsidR="00A44F40" w:rsidRPr="00A51D93">
            <w:rPr>
              <w:rFonts w:ascii="Arial" w:eastAsia="Arial" w:hAnsi="Arial" w:cs="Arial"/>
              <w:sz w:val="24"/>
              <w:szCs w:val="24"/>
            </w:rPr>
            <w:fldChar w:fldCharType="end"/>
          </w:r>
        </w:sdtContent>
      </w:sdt>
      <w:r w:rsidR="00A44F40" w:rsidRPr="00A51D93">
        <w:rPr>
          <w:rFonts w:ascii="Arial" w:eastAsia="Arial" w:hAnsi="Arial" w:cs="Arial"/>
          <w:sz w:val="24"/>
          <w:szCs w:val="24"/>
        </w:rPr>
        <w:t xml:space="preserve"> to obtain the support of others requires an ongoing process of persuasive negotiations.  The idea of negotiations is key here, in that it is an exchange between police and the public and it is important that, whilst </w:t>
      </w:r>
      <w:r w:rsidR="00F26B44" w:rsidRPr="00A51D93">
        <w:rPr>
          <w:rFonts w:ascii="Arial" w:eastAsia="Arial" w:hAnsi="Arial" w:cs="Arial"/>
          <w:sz w:val="24"/>
          <w:szCs w:val="24"/>
        </w:rPr>
        <w:t xml:space="preserve">maintaining </w:t>
      </w:r>
      <w:r w:rsidR="00A44F40" w:rsidRPr="00A51D93">
        <w:rPr>
          <w:rFonts w:ascii="Arial" w:eastAsia="Arial" w:hAnsi="Arial" w:cs="Arial"/>
          <w:sz w:val="24"/>
          <w:szCs w:val="24"/>
        </w:rPr>
        <w:t xml:space="preserve">an ideal, the police must be receptive to the views of the public and afford the opportunity of involvement in some form, </w:t>
      </w:r>
      <w:r w:rsidR="001846FE" w:rsidRPr="00A51D93">
        <w:rPr>
          <w:rFonts w:ascii="Arial" w:eastAsia="Arial" w:hAnsi="Arial" w:cs="Arial"/>
          <w:sz w:val="24"/>
          <w:szCs w:val="24"/>
        </w:rPr>
        <w:t>particularly d</w:t>
      </w:r>
      <w:r w:rsidR="00A44F40" w:rsidRPr="00A51D93">
        <w:rPr>
          <w:rFonts w:ascii="Arial" w:eastAsia="Arial" w:hAnsi="Arial" w:cs="Arial"/>
          <w:sz w:val="24"/>
          <w:szCs w:val="24"/>
        </w:rPr>
        <w:t xml:space="preserve">ecision making when it comes to policing services.  As alluded to by Sir Robert Peel when establishing the Police Service in 1829, </w:t>
      </w:r>
      <w:r w:rsidR="00A44F40" w:rsidRPr="00A51D93">
        <w:rPr>
          <w:rFonts w:ascii="Arial" w:eastAsia="Arial" w:hAnsi="Arial" w:cs="Arial"/>
          <w:i/>
          <w:iCs/>
          <w:sz w:val="24"/>
          <w:szCs w:val="24"/>
        </w:rPr>
        <w:t xml:space="preserve">“The Police are the Public and the Public are the Police”  </w:t>
      </w:r>
      <w:sdt>
        <w:sdtPr>
          <w:rPr>
            <w:rFonts w:ascii="Arial" w:eastAsia="Arial" w:hAnsi="Arial" w:cs="Arial"/>
            <w:i/>
            <w:iCs/>
            <w:sz w:val="24"/>
            <w:szCs w:val="24"/>
          </w:rPr>
          <w:id w:val="255713980"/>
          <w:citation/>
        </w:sdtPr>
        <w:sdtEndPr/>
        <w:sdtContent>
          <w:r w:rsidR="00A44F40" w:rsidRPr="00A51D93">
            <w:rPr>
              <w:rFonts w:ascii="Arial" w:eastAsia="Arial" w:hAnsi="Arial" w:cs="Arial"/>
              <w:i/>
              <w:iCs/>
              <w:sz w:val="24"/>
              <w:szCs w:val="24"/>
            </w:rPr>
            <w:fldChar w:fldCharType="begin"/>
          </w:r>
          <w:r w:rsidR="00A44F40" w:rsidRPr="00A51D93">
            <w:rPr>
              <w:rFonts w:ascii="Arial" w:eastAsia="Arial" w:hAnsi="Arial" w:cs="Arial"/>
              <w:i/>
              <w:iCs/>
              <w:sz w:val="24"/>
              <w:szCs w:val="24"/>
            </w:rPr>
            <w:instrText xml:space="preserve"> CITATION Def12 \l 2057 </w:instrText>
          </w:r>
          <w:r w:rsidR="00A44F40" w:rsidRPr="00A51D93">
            <w:rPr>
              <w:rFonts w:ascii="Arial" w:eastAsia="Arial" w:hAnsi="Arial" w:cs="Arial"/>
              <w:i/>
              <w:iCs/>
              <w:sz w:val="24"/>
              <w:szCs w:val="24"/>
            </w:rPr>
            <w:fldChar w:fldCharType="separate"/>
          </w:r>
          <w:r w:rsidR="008E5EA8" w:rsidRPr="00A51D93">
            <w:rPr>
              <w:rFonts w:ascii="Arial" w:eastAsia="Arial" w:hAnsi="Arial" w:cs="Arial"/>
              <w:noProof/>
              <w:sz w:val="24"/>
              <w:szCs w:val="24"/>
            </w:rPr>
            <w:t>(Home Office, 2012)</w:t>
          </w:r>
          <w:r w:rsidR="00A44F40" w:rsidRPr="00A51D93">
            <w:rPr>
              <w:rFonts w:ascii="Arial" w:eastAsia="Arial" w:hAnsi="Arial" w:cs="Arial"/>
              <w:i/>
              <w:iCs/>
              <w:sz w:val="24"/>
              <w:szCs w:val="24"/>
            </w:rPr>
            <w:fldChar w:fldCharType="end"/>
          </w:r>
        </w:sdtContent>
      </w:sdt>
    </w:p>
    <w:p w14:paraId="550E65FC" w14:textId="77777777" w:rsidR="00A44F40" w:rsidRPr="00A51D93" w:rsidRDefault="00A44F40" w:rsidP="002A7A64">
      <w:pPr>
        <w:spacing w:line="480" w:lineRule="auto"/>
        <w:rPr>
          <w:rFonts w:ascii="Arial" w:eastAsia="Arial" w:hAnsi="Arial" w:cs="Arial"/>
          <w:sz w:val="24"/>
          <w:szCs w:val="24"/>
        </w:rPr>
      </w:pPr>
    </w:p>
    <w:p w14:paraId="246B5B0D" w14:textId="3963BD20"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lastRenderedPageBreak/>
        <w:t>That said, this hasn’t been a simple process and there have been many challenges throughout the duration.  It is for the governance of the overall structure of policing to seek to represent the views of the public</w:t>
      </w:r>
      <w:r w:rsidR="002C0CCA" w:rsidRPr="00A51D93">
        <w:rPr>
          <w:rFonts w:ascii="Arial" w:eastAsia="Arial" w:hAnsi="Arial" w:cs="Arial"/>
          <w:sz w:val="24"/>
          <w:szCs w:val="24"/>
        </w:rPr>
        <w:t>.  H</w:t>
      </w:r>
      <w:r w:rsidRPr="00A51D93">
        <w:rPr>
          <w:rFonts w:ascii="Arial" w:eastAsia="Arial" w:hAnsi="Arial" w:cs="Arial"/>
          <w:sz w:val="24"/>
          <w:szCs w:val="24"/>
        </w:rPr>
        <w:t xml:space="preserve">owever, with the ever-changing demographics of society, this continuously presents a challenge.  One size doesn’t fit all.  To maintain the governance of an organisation effectively presents the biggest challenge to leaders today, due to continuous change in manners and inherent attitudes of the public.  </w:t>
      </w:r>
      <w:sdt>
        <w:sdtPr>
          <w:rPr>
            <w:rFonts w:ascii="Arial" w:eastAsia="Arial" w:hAnsi="Arial" w:cs="Arial"/>
            <w:sz w:val="24"/>
            <w:szCs w:val="24"/>
          </w:rPr>
          <w:id w:val="-1326428352"/>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DiL20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(DiLeonardo, et al., 2020)</w:t>
          </w:r>
          <w:r w:rsidRPr="00A51D93">
            <w:rPr>
              <w:rFonts w:ascii="Arial" w:eastAsia="Arial" w:hAnsi="Arial" w:cs="Arial"/>
              <w:sz w:val="24"/>
              <w:szCs w:val="24"/>
            </w:rPr>
            <w:fldChar w:fldCharType="end"/>
          </w:r>
        </w:sdtContent>
      </w:sdt>
    </w:p>
    <w:p w14:paraId="4590C7C8" w14:textId="77777777" w:rsidR="00A44F40" w:rsidRPr="00A51D93" w:rsidRDefault="00A44F40" w:rsidP="002A7A64">
      <w:pPr>
        <w:spacing w:line="480" w:lineRule="auto"/>
        <w:rPr>
          <w:rFonts w:ascii="Arial" w:eastAsia="Arial" w:hAnsi="Arial" w:cs="Arial"/>
          <w:sz w:val="24"/>
          <w:szCs w:val="24"/>
        </w:rPr>
      </w:pPr>
    </w:p>
    <w:p w14:paraId="5E4D1720" w14:textId="0703CC5F"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According to </w:t>
      </w:r>
      <w:sdt>
        <w:sdtPr>
          <w:rPr>
            <w:rFonts w:ascii="Arial" w:hAnsi="Arial" w:cs="Arial"/>
            <w:sz w:val="24"/>
            <w:szCs w:val="24"/>
          </w:rPr>
          <w:id w:val="440186393"/>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Wal19 \l 2057 </w:instrText>
          </w:r>
          <w:r w:rsidRPr="00A51D93">
            <w:rPr>
              <w:rFonts w:ascii="Arial" w:hAnsi="Arial" w:cs="Arial"/>
              <w:sz w:val="24"/>
              <w:szCs w:val="24"/>
            </w:rPr>
            <w:fldChar w:fldCharType="separate"/>
          </w:r>
          <w:r w:rsidR="008E5EA8" w:rsidRPr="00A51D93">
            <w:rPr>
              <w:rFonts w:ascii="Arial" w:hAnsi="Arial" w:cs="Arial"/>
              <w:noProof/>
              <w:sz w:val="24"/>
              <w:szCs w:val="24"/>
            </w:rPr>
            <w:t>(Walsh &amp; Vito, 2019)</w:t>
          </w:r>
          <w:r w:rsidRPr="00A51D93">
            <w:rPr>
              <w:rFonts w:ascii="Arial" w:hAnsi="Arial" w:cs="Arial"/>
              <w:sz w:val="24"/>
              <w:szCs w:val="24"/>
            </w:rPr>
            <w:fldChar w:fldCharType="end"/>
          </w:r>
        </w:sdtContent>
      </w:sdt>
      <w:r w:rsidRPr="00A51D93">
        <w:rPr>
          <w:rFonts w:ascii="Arial" w:hAnsi="Arial" w:cs="Arial"/>
          <w:sz w:val="24"/>
          <w:szCs w:val="24"/>
        </w:rPr>
        <w:t xml:space="preserve"> the 21</w:t>
      </w:r>
      <w:r w:rsidRPr="00A51D93">
        <w:rPr>
          <w:rFonts w:ascii="Arial" w:hAnsi="Arial" w:cs="Arial"/>
          <w:sz w:val="24"/>
          <w:szCs w:val="24"/>
          <w:vertAlign w:val="superscript"/>
        </w:rPr>
        <w:t>st</w:t>
      </w:r>
      <w:r w:rsidRPr="00A51D93">
        <w:rPr>
          <w:rFonts w:ascii="Arial" w:hAnsi="Arial" w:cs="Arial"/>
          <w:sz w:val="24"/>
          <w:szCs w:val="24"/>
        </w:rPr>
        <w:t xml:space="preserve"> Century has witnessed more change in Policing than any other generation and </w:t>
      </w:r>
      <w:r w:rsidR="00FD73DC" w:rsidRPr="00A51D93">
        <w:rPr>
          <w:rFonts w:ascii="Arial" w:hAnsi="Arial" w:cs="Arial"/>
          <w:sz w:val="24"/>
          <w:szCs w:val="24"/>
        </w:rPr>
        <w:t>refer</w:t>
      </w:r>
      <w:r w:rsidRPr="00A51D93">
        <w:rPr>
          <w:rFonts w:ascii="Arial" w:hAnsi="Arial" w:cs="Arial"/>
          <w:sz w:val="24"/>
          <w:szCs w:val="24"/>
        </w:rPr>
        <w:t xml:space="preserve"> to the challenges faced in future policing will be a combination of past and present concerns</w:t>
      </w:r>
      <w:r w:rsidR="00AB0635" w:rsidRPr="00A51D93">
        <w:rPr>
          <w:rFonts w:ascii="Arial" w:hAnsi="Arial" w:cs="Arial"/>
          <w:sz w:val="24"/>
          <w:szCs w:val="24"/>
        </w:rPr>
        <w:t xml:space="preserve">, therefore </w:t>
      </w:r>
      <w:r w:rsidRPr="00A51D93">
        <w:rPr>
          <w:rFonts w:ascii="Arial" w:hAnsi="Arial" w:cs="Arial"/>
          <w:sz w:val="24"/>
          <w:szCs w:val="24"/>
        </w:rPr>
        <w:t xml:space="preserve">in effect, foreseeable.    </w:t>
      </w:r>
    </w:p>
    <w:p w14:paraId="4E7D0DCD" w14:textId="77777777" w:rsidR="00A44F40" w:rsidRPr="00A51D93" w:rsidRDefault="00A44F40" w:rsidP="002A7A64">
      <w:pPr>
        <w:spacing w:line="480" w:lineRule="auto"/>
        <w:rPr>
          <w:rFonts w:ascii="Arial" w:hAnsi="Arial" w:cs="Arial"/>
          <w:sz w:val="24"/>
          <w:szCs w:val="24"/>
        </w:rPr>
      </w:pPr>
    </w:p>
    <w:p w14:paraId="481FFA04" w14:textId="6F370B87"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However, as </w:t>
      </w:r>
      <w:sdt>
        <w:sdtPr>
          <w:rPr>
            <w:rFonts w:ascii="Arial" w:hAnsi="Arial" w:cs="Arial"/>
            <w:sz w:val="24"/>
            <w:szCs w:val="24"/>
          </w:rPr>
          <w:id w:val="-1299753733"/>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Adl03 \l 2057 </w:instrText>
          </w:r>
          <w:r w:rsidRPr="00A51D93">
            <w:rPr>
              <w:rFonts w:ascii="Arial" w:hAnsi="Arial" w:cs="Arial"/>
              <w:sz w:val="24"/>
              <w:szCs w:val="24"/>
            </w:rPr>
            <w:fldChar w:fldCharType="separate"/>
          </w:r>
          <w:r w:rsidR="008E5EA8" w:rsidRPr="00A51D93">
            <w:rPr>
              <w:rFonts w:ascii="Arial" w:hAnsi="Arial" w:cs="Arial"/>
              <w:noProof/>
              <w:sz w:val="24"/>
              <w:szCs w:val="24"/>
            </w:rPr>
            <w:t>(Adlam &amp; Villiers, 2003)</w:t>
          </w:r>
          <w:r w:rsidRPr="00A51D93">
            <w:rPr>
              <w:rFonts w:ascii="Arial" w:hAnsi="Arial" w:cs="Arial"/>
              <w:sz w:val="24"/>
              <w:szCs w:val="24"/>
            </w:rPr>
            <w:fldChar w:fldCharType="end"/>
          </w:r>
        </w:sdtContent>
      </w:sdt>
      <w:r w:rsidRPr="00A51D93">
        <w:rPr>
          <w:rFonts w:ascii="Arial" w:hAnsi="Arial" w:cs="Arial"/>
          <w:sz w:val="24"/>
          <w:szCs w:val="24"/>
        </w:rPr>
        <w:t xml:space="preserve"> discuss, it is not for the Police alone to decide upon the standards against which their accountability is measured, and it is therefore fundamental for the police to hold an awareness of what is valued within society.  For this structure of policing to continue, it is an easy assumption to make that it requires a form of forced control.  </w:t>
      </w:r>
      <w:sdt>
        <w:sdtPr>
          <w:rPr>
            <w:rFonts w:ascii="Arial" w:hAnsi="Arial" w:cs="Arial"/>
            <w:sz w:val="24"/>
            <w:szCs w:val="24"/>
          </w:rPr>
          <w:id w:val="1001313292"/>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Wal19 \l 2057 </w:instrText>
          </w:r>
          <w:r w:rsidRPr="00A51D93">
            <w:rPr>
              <w:rFonts w:ascii="Arial" w:hAnsi="Arial" w:cs="Arial"/>
              <w:sz w:val="24"/>
              <w:szCs w:val="24"/>
            </w:rPr>
            <w:fldChar w:fldCharType="separate"/>
          </w:r>
          <w:r w:rsidR="008E5EA8" w:rsidRPr="00A51D93">
            <w:rPr>
              <w:rFonts w:ascii="Arial" w:hAnsi="Arial" w:cs="Arial"/>
              <w:noProof/>
              <w:sz w:val="24"/>
              <w:szCs w:val="24"/>
            </w:rPr>
            <w:t>(Walsh &amp; Vito, 2019)</w:t>
          </w:r>
          <w:r w:rsidRPr="00A51D93">
            <w:rPr>
              <w:rFonts w:ascii="Arial" w:hAnsi="Arial" w:cs="Arial"/>
              <w:sz w:val="24"/>
              <w:szCs w:val="24"/>
            </w:rPr>
            <w:fldChar w:fldCharType="end"/>
          </w:r>
        </w:sdtContent>
      </w:sdt>
      <w:r w:rsidRPr="00A51D93">
        <w:rPr>
          <w:rFonts w:ascii="Arial" w:hAnsi="Arial" w:cs="Arial"/>
          <w:sz w:val="24"/>
          <w:szCs w:val="24"/>
        </w:rPr>
        <w:t xml:space="preserve"> argue this, indicating that a change in culture from Police Leadership is required, from that of ‘crime fighters’ to ‘</w:t>
      </w:r>
      <w:r w:rsidR="001656D7" w:rsidRPr="00A51D93">
        <w:rPr>
          <w:rFonts w:ascii="Arial" w:hAnsi="Arial" w:cs="Arial"/>
          <w:sz w:val="24"/>
          <w:szCs w:val="24"/>
        </w:rPr>
        <w:t>g</w:t>
      </w:r>
      <w:r w:rsidRPr="00A51D93">
        <w:rPr>
          <w:rFonts w:ascii="Arial" w:hAnsi="Arial" w:cs="Arial"/>
          <w:sz w:val="24"/>
          <w:szCs w:val="24"/>
        </w:rPr>
        <w:t xml:space="preserve">uardians’ of the communities served.  This would further assist in the compliance and belief of police legitimacy from those such communities.  An example of the expectations of the role of ‘guardian’ can be drawn from the murder of Sarah Everard by serving Police Officer Wayne </w:t>
      </w:r>
      <w:proofErr w:type="spellStart"/>
      <w:r w:rsidRPr="00A51D93">
        <w:rPr>
          <w:rFonts w:ascii="Arial" w:hAnsi="Arial" w:cs="Arial"/>
          <w:sz w:val="24"/>
          <w:szCs w:val="24"/>
        </w:rPr>
        <w:t>Couzen</w:t>
      </w:r>
      <w:r w:rsidR="005C0560" w:rsidRPr="00A51D93">
        <w:rPr>
          <w:rFonts w:ascii="Arial" w:hAnsi="Arial" w:cs="Arial"/>
          <w:sz w:val="24"/>
          <w:szCs w:val="24"/>
        </w:rPr>
        <w:t>s</w:t>
      </w:r>
      <w:proofErr w:type="spellEnd"/>
      <w:r w:rsidR="005C0560" w:rsidRPr="00A51D93">
        <w:rPr>
          <w:rFonts w:ascii="Arial" w:hAnsi="Arial" w:cs="Arial"/>
          <w:sz w:val="24"/>
          <w:szCs w:val="24"/>
        </w:rPr>
        <w:t xml:space="preserve"> </w:t>
      </w:r>
      <w:r w:rsidRPr="00A51D93">
        <w:rPr>
          <w:rFonts w:ascii="Arial" w:hAnsi="Arial" w:cs="Arial"/>
          <w:sz w:val="24"/>
          <w:szCs w:val="24"/>
        </w:rPr>
        <w:t xml:space="preserve">and the subsequent handling by Police of the public vigils held.  Although dealing with a public order situation, the public perception had already been marred by </w:t>
      </w:r>
      <w:proofErr w:type="spellStart"/>
      <w:r w:rsidRPr="00A51D93">
        <w:rPr>
          <w:rFonts w:ascii="Arial" w:hAnsi="Arial" w:cs="Arial"/>
          <w:sz w:val="24"/>
          <w:szCs w:val="24"/>
        </w:rPr>
        <w:t>Couzens</w:t>
      </w:r>
      <w:proofErr w:type="spellEnd"/>
      <w:r w:rsidRPr="00A51D93">
        <w:rPr>
          <w:rFonts w:ascii="Arial" w:hAnsi="Arial" w:cs="Arial"/>
          <w:sz w:val="24"/>
          <w:szCs w:val="24"/>
        </w:rPr>
        <w:t xml:space="preserve">.  In addition, the Police were already being </w:t>
      </w:r>
      <w:r w:rsidRPr="00A51D93">
        <w:rPr>
          <w:rFonts w:ascii="Arial" w:hAnsi="Arial" w:cs="Arial"/>
          <w:sz w:val="24"/>
          <w:szCs w:val="24"/>
        </w:rPr>
        <w:lastRenderedPageBreak/>
        <w:t xml:space="preserve">scrutinised for their handling of crimes against women, with many victims claiming they had not been treated in a sensitive manner. </w:t>
      </w:r>
      <w:sdt>
        <w:sdtPr>
          <w:rPr>
            <w:rFonts w:ascii="Arial" w:hAnsi="Arial" w:cs="Arial"/>
            <w:sz w:val="24"/>
            <w:szCs w:val="24"/>
          </w:rPr>
          <w:id w:val="2125956647"/>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The21 \l 2057 </w:instrText>
          </w:r>
          <w:r w:rsidRPr="00A51D93">
            <w:rPr>
              <w:rFonts w:ascii="Arial" w:hAnsi="Arial" w:cs="Arial"/>
              <w:sz w:val="24"/>
              <w:szCs w:val="24"/>
            </w:rPr>
            <w:fldChar w:fldCharType="separate"/>
          </w:r>
          <w:r w:rsidR="008E5EA8" w:rsidRPr="00A51D93">
            <w:rPr>
              <w:rFonts w:ascii="Arial" w:hAnsi="Arial" w:cs="Arial"/>
              <w:noProof/>
              <w:sz w:val="24"/>
              <w:szCs w:val="24"/>
            </w:rPr>
            <w:t>(The Economist (online), 2021)</w:t>
          </w:r>
          <w:r w:rsidRPr="00A51D93">
            <w:rPr>
              <w:rFonts w:ascii="Arial" w:hAnsi="Arial" w:cs="Arial"/>
              <w:sz w:val="24"/>
              <w:szCs w:val="24"/>
            </w:rPr>
            <w:fldChar w:fldCharType="end"/>
          </w:r>
        </w:sdtContent>
      </w:sdt>
      <w:r w:rsidRPr="00A51D93">
        <w:rPr>
          <w:rFonts w:ascii="Arial" w:hAnsi="Arial" w:cs="Arial"/>
          <w:sz w:val="24"/>
          <w:szCs w:val="24"/>
        </w:rPr>
        <w:t xml:space="preserve"> Although these actions may have been a necessity at the time, it did nothing to assist in public confidence. </w:t>
      </w:r>
    </w:p>
    <w:p w14:paraId="55E8AF67" w14:textId="77777777" w:rsidR="006B1102" w:rsidRPr="00A51D93" w:rsidRDefault="006B1102" w:rsidP="002A7A64">
      <w:pPr>
        <w:spacing w:line="480" w:lineRule="auto"/>
        <w:rPr>
          <w:rFonts w:ascii="Arial" w:hAnsi="Arial" w:cs="Arial"/>
          <w:sz w:val="24"/>
          <w:szCs w:val="24"/>
        </w:rPr>
      </w:pPr>
    </w:p>
    <w:p w14:paraId="0DC75089" w14:textId="7EBFBA53" w:rsidR="00A44F40" w:rsidRPr="00A51D93" w:rsidRDefault="008F7EFA" w:rsidP="002A7A64">
      <w:pPr>
        <w:spacing w:line="480" w:lineRule="auto"/>
        <w:rPr>
          <w:rFonts w:ascii="Arial" w:eastAsia="Arial" w:hAnsi="Arial" w:cs="Arial"/>
          <w:sz w:val="24"/>
          <w:szCs w:val="24"/>
        </w:rPr>
      </w:pPr>
      <w:r w:rsidRPr="00A51D93">
        <w:rPr>
          <w:rFonts w:ascii="Arial" w:eastAsia="Arial" w:hAnsi="Arial" w:cs="Arial"/>
          <w:sz w:val="24"/>
          <w:szCs w:val="24"/>
        </w:rPr>
        <w:t xml:space="preserve">It raises </w:t>
      </w:r>
      <w:r w:rsidR="00A44F40" w:rsidRPr="00A51D93">
        <w:rPr>
          <w:rFonts w:ascii="Arial" w:eastAsia="Arial" w:hAnsi="Arial" w:cs="Arial"/>
          <w:sz w:val="24"/>
          <w:szCs w:val="24"/>
        </w:rPr>
        <w:t xml:space="preserve">the question; is it for the leaders of Police services alone to manage this structure of governance or, to ensure transparency and accountability, should this be managed by local or central government?  </w:t>
      </w:r>
    </w:p>
    <w:p w14:paraId="32694C85" w14:textId="77777777" w:rsidR="00A44F40" w:rsidRPr="00A51D93" w:rsidRDefault="00A44F40" w:rsidP="002A7A64">
      <w:pPr>
        <w:spacing w:line="480" w:lineRule="auto"/>
        <w:rPr>
          <w:rFonts w:ascii="Arial" w:eastAsia="Arial" w:hAnsi="Arial" w:cs="Arial"/>
          <w:sz w:val="24"/>
          <w:szCs w:val="24"/>
        </w:rPr>
      </w:pPr>
    </w:p>
    <w:p w14:paraId="0CA95F5D" w14:textId="1A967990"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Arguably the subjects of accountability and legitimacy, together with performance measurements have been predominant within any relationship between the police and government.   </w:t>
      </w:r>
      <w:sdt>
        <w:sdtPr>
          <w:rPr>
            <w:rFonts w:ascii="Arial" w:eastAsia="Arial" w:hAnsi="Arial" w:cs="Arial"/>
            <w:sz w:val="24"/>
            <w:szCs w:val="24"/>
          </w:rPr>
          <w:id w:val="-66717284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Rei92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(Reiner, 1992)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says that while most police officers, including the Chief Constables are firm on the stance of the police remaining neutral, in addition to policing and politics not mixing, any such relationship involving a power element indeed is political.  This becomes clear when broken down, in that, the police are accountable to the public, yet a politician or government represent the public and in a natural process they hold a relationship with the police.  It can be argued that any such association with the police will be motivated by their political views </w:t>
      </w:r>
    </w:p>
    <w:p w14:paraId="58BC2C7B" w14:textId="77777777" w:rsidR="00A44F40" w:rsidRPr="00A51D93" w:rsidRDefault="00A44F40" w:rsidP="002A7A64">
      <w:pPr>
        <w:spacing w:line="480" w:lineRule="auto"/>
        <w:rPr>
          <w:rFonts w:ascii="Arial" w:eastAsia="Arial" w:hAnsi="Arial" w:cs="Arial"/>
          <w:sz w:val="24"/>
          <w:szCs w:val="24"/>
        </w:rPr>
      </w:pPr>
    </w:p>
    <w:p w14:paraId="46033F47" w14:textId="5221ED72"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Policing, therefore, does not differ to those organisations within the private or public sector, in that it is governed; and for this to work, there must be a senior leader, or a head of the organisation.  In 1964, the governance of policing was legislated by the Police Act 1964.  It was this legislation that implemented formally local Police </w:t>
      </w:r>
      <w:r w:rsidRPr="00A51D93">
        <w:rPr>
          <w:rFonts w:ascii="Arial" w:eastAsia="Arial" w:hAnsi="Arial" w:cs="Arial"/>
          <w:sz w:val="24"/>
          <w:szCs w:val="24"/>
        </w:rPr>
        <w:lastRenderedPageBreak/>
        <w:t>Authorities to all Police Services, with exception to London</w:t>
      </w:r>
      <w:r w:rsidR="00553122" w:rsidRPr="00A51D93">
        <w:rPr>
          <w:rFonts w:ascii="Arial" w:eastAsia="Arial" w:hAnsi="Arial" w:cs="Arial"/>
          <w:sz w:val="24"/>
          <w:szCs w:val="24"/>
        </w:rPr>
        <w:t xml:space="preserve">, Greater Manchester and </w:t>
      </w:r>
      <w:r w:rsidR="00237EC7" w:rsidRPr="00A51D93">
        <w:rPr>
          <w:rFonts w:ascii="Arial" w:eastAsia="Arial" w:hAnsi="Arial" w:cs="Arial"/>
          <w:sz w:val="24"/>
          <w:szCs w:val="24"/>
        </w:rPr>
        <w:t>West</w:t>
      </w:r>
      <w:r w:rsidR="00553122" w:rsidRPr="00A51D93">
        <w:rPr>
          <w:rFonts w:ascii="Arial" w:eastAsia="Arial" w:hAnsi="Arial" w:cs="Arial"/>
          <w:sz w:val="24"/>
          <w:szCs w:val="24"/>
        </w:rPr>
        <w:t xml:space="preserve"> Yorkshire.</w:t>
      </w:r>
      <w:r w:rsidRPr="00A51D93">
        <w:rPr>
          <w:rFonts w:ascii="Arial" w:eastAsia="Arial" w:hAnsi="Arial" w:cs="Arial"/>
          <w:sz w:val="24"/>
          <w:szCs w:val="24"/>
        </w:rPr>
        <w:t xml:space="preserve">  </w:t>
      </w:r>
      <w:sdt>
        <w:sdtPr>
          <w:rPr>
            <w:rFonts w:ascii="Arial" w:eastAsia="Arial" w:hAnsi="Arial" w:cs="Arial"/>
            <w:sz w:val="24"/>
            <w:szCs w:val="24"/>
          </w:rPr>
          <w:id w:val="290565989"/>
          <w:citation/>
        </w:sdtPr>
        <w:sdtEndPr/>
        <w:sdtContent>
          <w:r w:rsidR="00A66463" w:rsidRPr="00A51D93">
            <w:rPr>
              <w:rFonts w:ascii="Arial" w:eastAsia="Arial" w:hAnsi="Arial" w:cs="Arial"/>
              <w:sz w:val="24"/>
              <w:szCs w:val="24"/>
            </w:rPr>
            <w:fldChar w:fldCharType="begin"/>
          </w:r>
          <w:r w:rsidR="00A66463" w:rsidRPr="00A51D93">
            <w:rPr>
              <w:rFonts w:ascii="Arial" w:eastAsia="Arial" w:hAnsi="Arial" w:cs="Arial"/>
              <w:sz w:val="24"/>
              <w:szCs w:val="24"/>
            </w:rPr>
            <w:instrText xml:space="preserve"> CITATION The22 \l 2057 </w:instrText>
          </w:r>
          <w:r w:rsidR="00A66463" w:rsidRPr="00A51D93">
            <w:rPr>
              <w:rFonts w:ascii="Arial" w:eastAsia="Arial" w:hAnsi="Arial" w:cs="Arial"/>
              <w:sz w:val="24"/>
              <w:szCs w:val="24"/>
            </w:rPr>
            <w:fldChar w:fldCharType="separate"/>
          </w:r>
          <w:r w:rsidR="008E5EA8" w:rsidRPr="00A51D93">
            <w:rPr>
              <w:rFonts w:ascii="Arial" w:eastAsia="Arial" w:hAnsi="Arial" w:cs="Arial"/>
              <w:noProof/>
              <w:sz w:val="24"/>
              <w:szCs w:val="24"/>
            </w:rPr>
            <w:t>(The National Archives, 2022)</w:t>
          </w:r>
          <w:r w:rsidR="00A66463"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t>
      </w:r>
    </w:p>
    <w:p w14:paraId="059F6369" w14:textId="77777777" w:rsidR="00A44F40" w:rsidRPr="00A51D93" w:rsidRDefault="00A44F40" w:rsidP="002A7A64">
      <w:pPr>
        <w:spacing w:line="480" w:lineRule="auto"/>
        <w:rPr>
          <w:rFonts w:ascii="Arial" w:eastAsia="Arial" w:hAnsi="Arial" w:cs="Arial"/>
          <w:sz w:val="24"/>
          <w:szCs w:val="24"/>
        </w:rPr>
      </w:pPr>
    </w:p>
    <w:p w14:paraId="4EB553BD" w14:textId="264FD14F"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Within part 1 of this Act, it was directed that the Police Authority for a police area, which contained a county, would be known as a Police Committee.  This committee would comprise of several members; however, it would be for the county to determine how many members this would hold.  Ultimately, though, the Act is clear on the breakdown of members an authority or committee must hold, in that two thirds are to be members of the council of the said county </w:t>
      </w:r>
      <w:r w:rsidR="00BC0D40" w:rsidRPr="00A51D93">
        <w:rPr>
          <w:rFonts w:ascii="Arial" w:eastAsia="Arial" w:hAnsi="Arial" w:cs="Arial"/>
          <w:sz w:val="24"/>
          <w:szCs w:val="24"/>
        </w:rPr>
        <w:t xml:space="preserve">and, one third to </w:t>
      </w:r>
      <w:r w:rsidRPr="00A51D93">
        <w:rPr>
          <w:rFonts w:ascii="Arial" w:eastAsia="Arial" w:hAnsi="Arial" w:cs="Arial"/>
          <w:sz w:val="24"/>
          <w:szCs w:val="24"/>
        </w:rPr>
        <w:t>consist of Magistrates for the county.  The Act goes on to stipulate that the appointment of Magistrates as members of the committee will be appointed at such times “</w:t>
      </w:r>
      <w:r w:rsidRPr="00A51D93">
        <w:rPr>
          <w:rFonts w:ascii="Arial" w:eastAsia="Arial" w:hAnsi="Arial" w:cs="Arial"/>
          <w:i/>
          <w:iCs/>
          <w:sz w:val="24"/>
          <w:szCs w:val="24"/>
        </w:rPr>
        <w:t>as may be prescribed by rules made by the Secretary of State”</w:t>
      </w:r>
      <w:r w:rsidRPr="00A51D93">
        <w:rPr>
          <w:rFonts w:ascii="Arial" w:eastAsia="Arial" w:hAnsi="Arial" w:cs="Arial"/>
          <w:sz w:val="24"/>
          <w:szCs w:val="24"/>
        </w:rPr>
        <w:t xml:space="preserve">.  </w:t>
      </w:r>
      <w:sdt>
        <w:sdtPr>
          <w:rPr>
            <w:rFonts w:ascii="Arial" w:eastAsia="Arial" w:hAnsi="Arial" w:cs="Arial"/>
            <w:sz w:val="24"/>
            <w:szCs w:val="24"/>
          </w:rPr>
          <w:id w:val="196215708"/>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The22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(The National Archives, 2022)</w:t>
          </w:r>
          <w:r w:rsidRPr="00A51D93">
            <w:rPr>
              <w:rFonts w:ascii="Arial" w:eastAsia="Arial" w:hAnsi="Arial" w:cs="Arial"/>
              <w:sz w:val="24"/>
              <w:szCs w:val="24"/>
            </w:rPr>
            <w:fldChar w:fldCharType="end"/>
          </w:r>
        </w:sdtContent>
      </w:sdt>
    </w:p>
    <w:p w14:paraId="1D5A5407" w14:textId="77777777" w:rsidR="00A44F40" w:rsidRPr="00A51D93" w:rsidRDefault="00A44F40" w:rsidP="002A7A64">
      <w:pPr>
        <w:spacing w:line="480" w:lineRule="auto"/>
        <w:rPr>
          <w:rFonts w:ascii="Arial" w:eastAsia="Arial" w:hAnsi="Arial" w:cs="Arial"/>
          <w:sz w:val="24"/>
          <w:szCs w:val="24"/>
        </w:rPr>
      </w:pPr>
    </w:p>
    <w:p w14:paraId="2D564645" w14:textId="64D77AA7"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The purpose and general functions of police authorities were such to ensure and maintain an efficient and effective police force for its area, whilst providing a service capable of standing up to public scrutiny.   It was for the Chief Constable to maintain and implement such a service, whilst adhering to the policing plan of the Local Policing Authorities.  Ironically, despite the enactment of this legislation covering most of the commission’s proposals, there was no introduction of a statutory role of the Police Authorities in their responsibility to offer guidance or advice to the Chief Constables.  </w:t>
      </w:r>
      <w:sdt>
        <w:sdtPr>
          <w:rPr>
            <w:rFonts w:ascii="Arial" w:eastAsia="Arial" w:hAnsi="Arial" w:cs="Arial"/>
            <w:sz w:val="24"/>
            <w:szCs w:val="24"/>
          </w:rPr>
          <w:id w:val="-1858335769"/>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Fro83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(Frost, 1983)</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Prior to the enactment of the Police Reform Act 1964, the Chief Constable had no senior officer, and quite literally, the buck stopped with them.  </w:t>
      </w:r>
    </w:p>
    <w:p w14:paraId="61D2819B" w14:textId="77777777" w:rsidR="00A44F40" w:rsidRPr="00A51D93" w:rsidRDefault="00A44F40" w:rsidP="002A7A64">
      <w:pPr>
        <w:spacing w:line="480" w:lineRule="auto"/>
        <w:rPr>
          <w:rFonts w:ascii="Arial" w:eastAsia="Arial" w:hAnsi="Arial" w:cs="Arial"/>
          <w:sz w:val="24"/>
          <w:szCs w:val="24"/>
        </w:rPr>
      </w:pPr>
    </w:p>
    <w:p w14:paraId="63C30E85" w14:textId="73F2C936"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This paper has discussed the governance structure within policing between 1964 and 2011.  More recently, the structure of overall governance has changed again, based upon the legislation held within the Police Reform and Social Responsibility Act 2011.  This is considered by</w:t>
      </w:r>
      <w:sdt>
        <w:sdtPr>
          <w:rPr>
            <w:rFonts w:ascii="Arial" w:eastAsia="Arial" w:hAnsi="Arial" w:cs="Arial"/>
            <w:sz w:val="24"/>
            <w:szCs w:val="24"/>
          </w:rPr>
          <w:id w:val="-86745149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Fle20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 xml:space="preserve"> (Flemming, 2015)</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t>
      </w:r>
      <w:r w:rsidRPr="00A51D93">
        <w:rPr>
          <w:rFonts w:ascii="Arial" w:hAnsi="Arial" w:cs="Arial"/>
          <w:sz w:val="24"/>
          <w:szCs w:val="24"/>
        </w:rPr>
        <w:t xml:space="preserve">to be the largest change in policing in generations to date, with this </w:t>
      </w:r>
      <w:r w:rsidRPr="00A51D93">
        <w:rPr>
          <w:rFonts w:ascii="Arial" w:eastAsia="Arial" w:hAnsi="Arial" w:cs="Arial"/>
          <w:sz w:val="24"/>
          <w:szCs w:val="24"/>
        </w:rPr>
        <w:t xml:space="preserve">legislation coming into force in September 2011 and remains current today.  The primary area of this legislation was identified to assert clear obligations regarding the administration and governance of Britain’s police forces.  </w:t>
      </w:r>
      <w:sdt>
        <w:sdtPr>
          <w:rPr>
            <w:rFonts w:ascii="Arial" w:eastAsia="Arial" w:hAnsi="Arial" w:cs="Arial"/>
            <w:sz w:val="24"/>
            <w:szCs w:val="24"/>
          </w:rPr>
          <w:id w:val="-82721485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CITATION Hou11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(House of Commons, 2011)</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t>
      </w:r>
    </w:p>
    <w:p w14:paraId="4D10DDC8" w14:textId="77777777" w:rsidR="00A44F40" w:rsidRPr="00A51D93" w:rsidRDefault="00A44F40" w:rsidP="002A7A64">
      <w:pPr>
        <w:spacing w:line="480" w:lineRule="auto"/>
        <w:rPr>
          <w:rFonts w:ascii="Arial" w:eastAsia="Arial" w:hAnsi="Arial" w:cs="Arial"/>
          <w:sz w:val="24"/>
          <w:szCs w:val="24"/>
        </w:rPr>
      </w:pPr>
    </w:p>
    <w:p w14:paraId="1B1916DA" w14:textId="08DCBA4A"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This Act directs police service</w:t>
      </w:r>
      <w:r w:rsidR="001B6899" w:rsidRPr="00A51D93">
        <w:rPr>
          <w:rFonts w:ascii="Arial" w:eastAsia="Arial" w:hAnsi="Arial" w:cs="Arial"/>
          <w:sz w:val="24"/>
          <w:szCs w:val="24"/>
        </w:rPr>
        <w:t>s</w:t>
      </w:r>
      <w:r w:rsidRPr="00A51D93">
        <w:rPr>
          <w:rFonts w:ascii="Arial" w:eastAsia="Arial" w:hAnsi="Arial" w:cs="Arial"/>
          <w:sz w:val="24"/>
          <w:szCs w:val="24"/>
        </w:rPr>
        <w:t xml:space="preserve"> outside of London </w:t>
      </w:r>
      <w:r w:rsidR="001B6899" w:rsidRPr="00A51D93">
        <w:rPr>
          <w:rFonts w:ascii="Arial" w:eastAsia="Arial" w:hAnsi="Arial" w:cs="Arial"/>
          <w:sz w:val="24"/>
          <w:szCs w:val="24"/>
        </w:rPr>
        <w:t>to</w:t>
      </w:r>
      <w:r w:rsidRPr="00A51D93">
        <w:rPr>
          <w:rFonts w:ascii="Arial" w:eastAsia="Arial" w:hAnsi="Arial" w:cs="Arial"/>
          <w:sz w:val="24"/>
          <w:szCs w:val="24"/>
        </w:rPr>
        <w:t xml:space="preserve"> have a Chief Constable, under whom a police service and all its staff will sit.  Within this same piece of legislation, this ruling differs to that of London, whereby the Commissioner of the Metropolis will lead, rather than a Chief Constable</w:t>
      </w:r>
      <w:r w:rsidRPr="00A51D93">
        <w:rPr>
          <w:rFonts w:ascii="Arial" w:eastAsia="Arial" w:hAnsi="Arial" w:cs="Arial"/>
          <w:noProof/>
          <w:sz w:val="24"/>
          <w:szCs w:val="24"/>
        </w:rPr>
        <w:t xml:space="preserve">, </w:t>
      </w:r>
      <w:r w:rsidRPr="00A51D93">
        <w:rPr>
          <w:rFonts w:ascii="Arial" w:eastAsia="Arial" w:hAnsi="Arial" w:cs="Arial"/>
          <w:sz w:val="24"/>
          <w:szCs w:val="24"/>
        </w:rPr>
        <w:t xml:space="preserve">whilst the same principles of leadership remain.  </w:t>
      </w:r>
      <w:sdt>
        <w:sdtPr>
          <w:rPr>
            <w:rFonts w:ascii="Arial" w:eastAsia="Arial" w:hAnsi="Arial" w:cs="Arial"/>
            <w:sz w:val="24"/>
            <w:szCs w:val="24"/>
          </w:rPr>
          <w:id w:val="-104744360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UKG11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(Government, 2011)</w:t>
          </w:r>
          <w:r w:rsidRPr="00A51D93">
            <w:rPr>
              <w:rFonts w:ascii="Arial" w:eastAsia="Arial" w:hAnsi="Arial" w:cs="Arial"/>
              <w:sz w:val="24"/>
              <w:szCs w:val="24"/>
            </w:rPr>
            <w:fldChar w:fldCharType="end"/>
          </w:r>
        </w:sdtContent>
      </w:sdt>
      <w:r w:rsidRPr="00A51D93">
        <w:rPr>
          <w:rFonts w:ascii="Arial" w:eastAsia="Arial" w:hAnsi="Arial" w:cs="Arial"/>
          <w:sz w:val="24"/>
          <w:szCs w:val="24"/>
        </w:rPr>
        <w:t>.</w:t>
      </w:r>
    </w:p>
    <w:p w14:paraId="2C8E70D4" w14:textId="77777777" w:rsidR="00A44F40" w:rsidRPr="00A51D93" w:rsidRDefault="00A44F40" w:rsidP="002A7A64">
      <w:pPr>
        <w:spacing w:line="480" w:lineRule="auto"/>
        <w:rPr>
          <w:rFonts w:ascii="Arial" w:eastAsia="Arial" w:hAnsi="Arial" w:cs="Arial"/>
          <w:sz w:val="24"/>
          <w:szCs w:val="24"/>
        </w:rPr>
      </w:pPr>
    </w:p>
    <w:p w14:paraId="6F8B415D" w14:textId="10EF260F"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To summarise, each Chief Constable, will run what is known as a corporation sole.   This involves the Chief Constable holding responsibility for fulfilling all statutory and legal obligations of such office, in addition to the compliance with Schemes of Governance or Consent that are in existence.  </w:t>
      </w:r>
      <w:sdt>
        <w:sdtPr>
          <w:rPr>
            <w:rFonts w:ascii="Arial" w:eastAsia="Arial" w:hAnsi="Arial" w:cs="Arial"/>
            <w:sz w:val="24"/>
            <w:szCs w:val="24"/>
          </w:rPr>
          <w:id w:val="1238132262"/>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Col22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(College of Policing,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This forms the basis of </w:t>
      </w:r>
      <w:proofErr w:type="spellStart"/>
      <w:r w:rsidRPr="00A51D93">
        <w:rPr>
          <w:rFonts w:ascii="Arial" w:eastAsia="Arial" w:hAnsi="Arial" w:cs="Arial"/>
          <w:sz w:val="24"/>
          <w:szCs w:val="24"/>
        </w:rPr>
        <w:t>there</w:t>
      </w:r>
      <w:proofErr w:type="spellEnd"/>
      <w:r w:rsidRPr="00A51D93">
        <w:rPr>
          <w:rFonts w:ascii="Arial" w:eastAsia="Arial" w:hAnsi="Arial" w:cs="Arial"/>
          <w:sz w:val="24"/>
          <w:szCs w:val="24"/>
        </w:rPr>
        <w:t xml:space="preserve"> only ever being one ‘office’ holder at any specified time.  This is an officially recognised position and has been directed in statute but is only held within non-profit organisations.  By having a corporation sole, any newly assigned person to that office, will hold the same rights and responsibilities, legally, </w:t>
      </w:r>
      <w:r w:rsidRPr="00A51D93">
        <w:rPr>
          <w:rFonts w:ascii="Arial" w:eastAsia="Arial" w:hAnsi="Arial" w:cs="Arial"/>
          <w:sz w:val="24"/>
          <w:szCs w:val="24"/>
        </w:rPr>
        <w:lastRenderedPageBreak/>
        <w:t xml:space="preserve">as their predecessor.  </w:t>
      </w:r>
      <w:sdt>
        <w:sdtPr>
          <w:rPr>
            <w:rFonts w:ascii="Arial" w:eastAsia="Arial" w:hAnsi="Arial" w:cs="Arial"/>
            <w:sz w:val="24"/>
            <w:szCs w:val="24"/>
          </w:rPr>
          <w:id w:val="-28087446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Say22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(Saylor,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For the Chief Constable, this means that, any operational decisions in policing, will lay with them and no other member concerned in the governance of policing.  </w:t>
      </w:r>
      <w:sdt>
        <w:sdtPr>
          <w:rPr>
            <w:rFonts w:ascii="Arial" w:eastAsia="Arial" w:hAnsi="Arial" w:cs="Arial"/>
            <w:sz w:val="24"/>
            <w:szCs w:val="24"/>
          </w:rPr>
          <w:id w:val="434332408"/>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Lle22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(Llewellyn, 2022)</w:t>
          </w:r>
          <w:r w:rsidRPr="00A51D93">
            <w:rPr>
              <w:rFonts w:ascii="Arial" w:eastAsia="Arial" w:hAnsi="Arial" w:cs="Arial"/>
              <w:sz w:val="24"/>
              <w:szCs w:val="24"/>
            </w:rPr>
            <w:fldChar w:fldCharType="end"/>
          </w:r>
        </w:sdtContent>
      </w:sdt>
    </w:p>
    <w:p w14:paraId="4C579082" w14:textId="77777777" w:rsidR="00A44F40" w:rsidRPr="00A51D93" w:rsidRDefault="00A44F40" w:rsidP="002A7A64">
      <w:pPr>
        <w:spacing w:line="480" w:lineRule="auto"/>
        <w:jc w:val="both"/>
        <w:rPr>
          <w:rFonts w:ascii="Arial" w:eastAsia="Arial" w:hAnsi="Arial" w:cs="Arial"/>
          <w:sz w:val="24"/>
          <w:szCs w:val="24"/>
        </w:rPr>
      </w:pPr>
    </w:p>
    <w:p w14:paraId="564FB1A7" w14:textId="6AD2B849"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However, central government remained of the opinion that Chief Constables were to hold more accountability </w:t>
      </w:r>
      <w:sdt>
        <w:sdtPr>
          <w:rPr>
            <w:rFonts w:ascii="Arial" w:eastAsia="Arial" w:hAnsi="Arial" w:cs="Arial"/>
            <w:sz w:val="24"/>
            <w:szCs w:val="24"/>
          </w:rPr>
          <w:id w:val="1010026651"/>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Cal16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(Caless &amp; Owens, 2016)</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and the Police Reform and Social Responsibility Act 2011 has identified the need to replace the previous structure and legislates for the appointment of a Police and Crime Commissioner for each police force, </w:t>
      </w:r>
      <w:r w:rsidR="001B6899" w:rsidRPr="00A51D93">
        <w:rPr>
          <w:rFonts w:ascii="Arial" w:eastAsia="Arial" w:hAnsi="Arial" w:cs="Arial"/>
          <w:sz w:val="24"/>
          <w:szCs w:val="24"/>
        </w:rPr>
        <w:t xml:space="preserve">excluding </w:t>
      </w:r>
      <w:r w:rsidRPr="00A51D93">
        <w:rPr>
          <w:rFonts w:ascii="Arial" w:eastAsia="Arial" w:hAnsi="Arial" w:cs="Arial"/>
          <w:sz w:val="24"/>
          <w:szCs w:val="24"/>
        </w:rPr>
        <w:t xml:space="preserve">the Metropolitan Police, Greater Manchester and West Yorkshire Police, who will have an elected Mayor.  Albeit, as identified by </w:t>
      </w:r>
      <w:sdt>
        <w:sdtPr>
          <w:rPr>
            <w:rFonts w:ascii="Arial" w:eastAsia="Arial" w:hAnsi="Arial" w:cs="Arial"/>
            <w:sz w:val="24"/>
            <w:szCs w:val="24"/>
          </w:rPr>
          <w:id w:val="1259030953"/>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Wal11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(Walsh &amp; Conway, 2011)</w:t>
          </w:r>
          <w:r w:rsidRPr="00A51D93">
            <w:rPr>
              <w:rFonts w:ascii="Arial" w:eastAsia="Arial" w:hAnsi="Arial" w:cs="Arial"/>
              <w:sz w:val="24"/>
              <w:szCs w:val="24"/>
            </w:rPr>
            <w:fldChar w:fldCharType="end"/>
          </w:r>
        </w:sdtContent>
      </w:sdt>
      <w:r w:rsidRPr="00A51D93">
        <w:rPr>
          <w:rFonts w:ascii="Arial" w:eastAsia="Arial" w:hAnsi="Arial" w:cs="Arial"/>
          <w:sz w:val="24"/>
          <w:szCs w:val="24"/>
        </w:rPr>
        <w:t>, whilst there remains a close affiliation between governance and accountability, this remains “</w:t>
      </w:r>
      <w:r w:rsidRPr="00A51D93">
        <w:rPr>
          <w:rFonts w:ascii="Arial" w:eastAsia="Arial" w:hAnsi="Arial" w:cs="Arial"/>
          <w:i/>
          <w:iCs/>
          <w:sz w:val="24"/>
          <w:szCs w:val="24"/>
        </w:rPr>
        <w:t>untidy and ill-defined”.</w:t>
      </w:r>
    </w:p>
    <w:p w14:paraId="4A5F391F" w14:textId="77777777" w:rsidR="00A44F40" w:rsidRPr="00A51D93" w:rsidRDefault="00A44F40" w:rsidP="002A7A64">
      <w:pPr>
        <w:spacing w:line="480" w:lineRule="auto"/>
        <w:rPr>
          <w:rFonts w:ascii="Arial" w:eastAsia="Arial" w:hAnsi="Arial" w:cs="Arial"/>
          <w:sz w:val="24"/>
          <w:szCs w:val="24"/>
        </w:rPr>
      </w:pPr>
    </w:p>
    <w:p w14:paraId="421F31DA" w14:textId="4B7A88AA"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In essence, whilst the Chief Constable’s accountability previously lay with the Police Authority, this now falls to the elected Police and Crime Commissioner.  This role holds many similarities to that of the previous Police Authorities in that they will set the strategic priorities and budgets</w:t>
      </w:r>
      <w:r w:rsidR="00F603C0" w:rsidRPr="00A51D93">
        <w:rPr>
          <w:rFonts w:ascii="Arial" w:eastAsia="Arial" w:hAnsi="Arial" w:cs="Arial"/>
          <w:sz w:val="24"/>
          <w:szCs w:val="24"/>
        </w:rPr>
        <w:t>.  H</w:t>
      </w:r>
      <w:r w:rsidRPr="00A51D93">
        <w:rPr>
          <w:rFonts w:ascii="Arial" w:eastAsia="Arial" w:hAnsi="Arial" w:cs="Arial"/>
          <w:sz w:val="24"/>
          <w:szCs w:val="24"/>
        </w:rPr>
        <w:t xml:space="preserve">owever, it was anticipated it would improve police accountability and hold the police accountable to their communities.   It was also anticipated this would reduce ambiguity with there being one post, rather than a committee.  </w:t>
      </w:r>
      <w:sdt>
        <w:sdtPr>
          <w:rPr>
            <w:rFonts w:ascii="Arial" w:eastAsia="Arial" w:hAnsi="Arial" w:cs="Arial"/>
            <w:sz w:val="24"/>
            <w:szCs w:val="24"/>
          </w:rPr>
          <w:id w:val="1759486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Lle22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(Llewellyn,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t>
      </w:r>
    </w:p>
    <w:p w14:paraId="41C85EFF" w14:textId="77777777" w:rsidR="00A44F40" w:rsidRPr="00A51D93" w:rsidRDefault="00A44F40" w:rsidP="002A7A64">
      <w:pPr>
        <w:spacing w:line="480" w:lineRule="auto"/>
        <w:rPr>
          <w:rFonts w:ascii="Arial" w:eastAsia="Arial" w:hAnsi="Arial" w:cs="Arial"/>
          <w:sz w:val="24"/>
          <w:szCs w:val="24"/>
        </w:rPr>
      </w:pPr>
    </w:p>
    <w:p w14:paraId="3EF13E92" w14:textId="132E7051"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According to </w:t>
      </w:r>
      <w:sdt>
        <w:sdtPr>
          <w:rPr>
            <w:rFonts w:ascii="Arial" w:eastAsia="Arial" w:hAnsi="Arial" w:cs="Arial"/>
            <w:sz w:val="24"/>
            <w:szCs w:val="24"/>
          </w:rPr>
          <w:id w:val="-1213498299"/>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Rai12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(Raine &amp; Keasey, 2012)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there has remained a balanced argument for and against a directly elected PCC.  Identifying that in their favour was the seeming flaw of the current arrangement of police authorities.  However, this is argued by </w:t>
      </w:r>
      <w:sdt>
        <w:sdtPr>
          <w:rPr>
            <w:rFonts w:ascii="Arial" w:eastAsia="Arial" w:hAnsi="Arial" w:cs="Arial"/>
            <w:sz w:val="24"/>
            <w:szCs w:val="24"/>
          </w:rPr>
          <w:id w:val="-562328546"/>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Joy11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(Joyce, 2011)</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who identifies the concerns for politicisation of policing, explaining a PCC wishing to exert political control over policing and the risks raised would offer a compromise to the longstanding protection of independence accorded to Chiefs.   </w:t>
      </w:r>
    </w:p>
    <w:p w14:paraId="47FA2A06" w14:textId="77777777" w:rsidR="00A44F40" w:rsidRPr="00A51D93" w:rsidRDefault="00A44F40" w:rsidP="002A7A64">
      <w:pPr>
        <w:spacing w:line="480" w:lineRule="auto"/>
        <w:rPr>
          <w:rFonts w:ascii="Arial" w:eastAsia="Arial" w:hAnsi="Arial" w:cs="Arial"/>
          <w:sz w:val="24"/>
          <w:szCs w:val="24"/>
        </w:rPr>
      </w:pPr>
    </w:p>
    <w:p w14:paraId="632B10DA" w14:textId="3CBE6AA1"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Therefore, to improve the level of accountability, in addition to directly elected PCCs, which came into being in November 2012, the legislation later provided for the implementation of a Police and Crime Panel (PCP).  Since their introduction there has been extensive criticism regarding the level of </w:t>
      </w:r>
      <w:proofErr w:type="gramStart"/>
      <w:r w:rsidRPr="00A51D93">
        <w:rPr>
          <w:rFonts w:ascii="Arial" w:eastAsia="Arial" w:hAnsi="Arial" w:cs="Arial"/>
          <w:sz w:val="24"/>
          <w:szCs w:val="24"/>
        </w:rPr>
        <w:t>power</w:t>
      </w:r>
      <w:proofErr w:type="gramEnd"/>
      <w:r w:rsidRPr="00A51D93">
        <w:rPr>
          <w:rFonts w:ascii="Arial" w:eastAsia="Arial" w:hAnsi="Arial" w:cs="Arial"/>
          <w:sz w:val="24"/>
          <w:szCs w:val="24"/>
        </w:rPr>
        <w:t xml:space="preserve"> they possess to hold their PCC accountable.  </w:t>
      </w:r>
      <w:sdt>
        <w:sdtPr>
          <w:rPr>
            <w:rFonts w:ascii="Arial" w:eastAsia="Arial" w:hAnsi="Arial" w:cs="Arial"/>
            <w:sz w:val="24"/>
            <w:szCs w:val="24"/>
          </w:rPr>
          <w:id w:val="2128195774"/>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Lle22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(Llewellyn,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PCPs weren’t factored into this structure in the original review, but, due to increased Coalition pressure from the Liberal Democrats, this was implemented as an additional layer to the governance structure of policing.  </w:t>
      </w:r>
      <w:sdt>
        <w:sdtPr>
          <w:rPr>
            <w:rFonts w:ascii="Arial" w:eastAsia="Arial" w:hAnsi="Arial" w:cs="Arial"/>
            <w:sz w:val="24"/>
            <w:szCs w:val="24"/>
          </w:rPr>
          <w:id w:val="1427001944"/>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Bai15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(Bailey, 2015)</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suggests this wasn’t part of the Policing Minister’s plan, to make such a body, as it was believed this may question the general perception of direct election</w:t>
      </w:r>
      <w:r w:rsidR="00F603C0" w:rsidRPr="00A51D93">
        <w:rPr>
          <w:rFonts w:ascii="Arial" w:eastAsia="Arial" w:hAnsi="Arial" w:cs="Arial"/>
          <w:sz w:val="24"/>
          <w:szCs w:val="24"/>
        </w:rPr>
        <w:t>.  A</w:t>
      </w:r>
      <w:r w:rsidRPr="00A51D93">
        <w:rPr>
          <w:rFonts w:ascii="Arial" w:eastAsia="Arial" w:hAnsi="Arial" w:cs="Arial"/>
          <w:sz w:val="24"/>
          <w:szCs w:val="24"/>
        </w:rPr>
        <w:t xml:space="preserve">dditionally, it was feared this could result in the restoration of previous police authorities.  </w:t>
      </w:r>
    </w:p>
    <w:p w14:paraId="063271E3" w14:textId="77777777" w:rsidR="00A44F40" w:rsidRPr="00A51D93" w:rsidRDefault="00A44F40" w:rsidP="002A7A64">
      <w:pPr>
        <w:spacing w:line="480" w:lineRule="auto"/>
        <w:rPr>
          <w:rFonts w:ascii="Arial" w:eastAsia="Arial" w:hAnsi="Arial" w:cs="Arial"/>
          <w:sz w:val="24"/>
          <w:szCs w:val="24"/>
        </w:rPr>
      </w:pPr>
    </w:p>
    <w:p w14:paraId="5847BA26" w14:textId="3D7CA4E6"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Although open to criticism and felt to have been born from ‘</w:t>
      </w:r>
      <w:r w:rsidRPr="00A51D93">
        <w:rPr>
          <w:rFonts w:ascii="Arial" w:eastAsia="Arial" w:hAnsi="Arial" w:cs="Arial"/>
          <w:i/>
          <w:iCs/>
          <w:sz w:val="24"/>
          <w:szCs w:val="24"/>
        </w:rPr>
        <w:t>political compromise’</w:t>
      </w:r>
      <w:r w:rsidRPr="00A51D93">
        <w:rPr>
          <w:rFonts w:ascii="Arial" w:eastAsia="Arial" w:hAnsi="Arial" w:cs="Arial"/>
          <w:sz w:val="24"/>
          <w:szCs w:val="24"/>
        </w:rPr>
        <w:t xml:space="preserve">, both the Conservatives and Liberal Democrats were of the opinion there was a requirement for some form of arrangement to be put in place to ensure police forces were democratically accountable.  However, on the formation of the Coalition Government in 2010, it became clear that each party had significant distinct proposals.  </w:t>
      </w:r>
      <w:sdt>
        <w:sdtPr>
          <w:rPr>
            <w:rFonts w:ascii="Arial" w:eastAsia="Arial" w:hAnsi="Arial" w:cs="Arial"/>
            <w:sz w:val="24"/>
            <w:szCs w:val="24"/>
          </w:rPr>
          <w:id w:val="-138353167"/>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Lis14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(Lister, 2014)</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t>
      </w:r>
    </w:p>
    <w:p w14:paraId="52BD35D8" w14:textId="77777777" w:rsidR="00A44F40" w:rsidRPr="00A51D93" w:rsidRDefault="00A44F40" w:rsidP="002A7A64">
      <w:pPr>
        <w:spacing w:line="480" w:lineRule="auto"/>
        <w:rPr>
          <w:rFonts w:ascii="Arial" w:eastAsia="Arial" w:hAnsi="Arial" w:cs="Arial"/>
          <w:sz w:val="24"/>
          <w:szCs w:val="24"/>
        </w:rPr>
      </w:pPr>
    </w:p>
    <w:p w14:paraId="3FC78AD7" w14:textId="4F9047E2"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lastRenderedPageBreak/>
        <w:t xml:space="preserve">PCPs were established with several legislative roles, with the overall aim of improving scrutiny and accountability.  Additionally, this legislation provides for the PCP to ‘review and scrutinise’ the PCC throughout the practice of his statutory role whilst maintaining regular checks and ensuring balance within the Office of Police and Crime Commissioner (OPCC).  As discussed by </w:t>
      </w:r>
      <w:sdt>
        <w:sdtPr>
          <w:rPr>
            <w:rFonts w:ascii="Arial" w:eastAsia="Arial" w:hAnsi="Arial" w:cs="Arial"/>
            <w:sz w:val="24"/>
            <w:szCs w:val="24"/>
          </w:rPr>
          <w:id w:val="-1072421204"/>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Lle22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(Llewellyn,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whilst the PCC holds the Chief Constable to account and is responsible for hiring and firing of such, the legislation holds that PCP must be consulted throughout any decision-making process.  </w:t>
      </w:r>
      <w:r w:rsidR="00F603C0" w:rsidRPr="00A51D93">
        <w:rPr>
          <w:rFonts w:ascii="Arial" w:eastAsia="Arial" w:hAnsi="Arial" w:cs="Arial"/>
          <w:sz w:val="24"/>
          <w:szCs w:val="24"/>
        </w:rPr>
        <w:t xml:space="preserve">Whilst </w:t>
      </w:r>
      <w:r w:rsidRPr="00A51D93">
        <w:rPr>
          <w:rFonts w:ascii="Arial" w:eastAsia="Arial" w:hAnsi="Arial" w:cs="Arial"/>
          <w:sz w:val="24"/>
          <w:szCs w:val="24"/>
        </w:rPr>
        <w:t xml:space="preserve">the PCP are to be notified, the contradiction in their powers and function lies with the PCC not having to follow direction or decisions made by the PCP, but rather they must hold some regard for the reports of the panel.  </w:t>
      </w:r>
      <w:sdt>
        <w:sdtPr>
          <w:rPr>
            <w:rFonts w:ascii="Arial" w:eastAsia="Arial" w:hAnsi="Arial" w:cs="Arial"/>
            <w:sz w:val="24"/>
            <w:szCs w:val="24"/>
          </w:rPr>
          <w:id w:val="68239473"/>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Bai15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(Bailey, 2015)</w:t>
          </w:r>
          <w:r w:rsidRPr="00A51D93">
            <w:rPr>
              <w:rFonts w:ascii="Arial" w:eastAsia="Arial" w:hAnsi="Arial" w:cs="Arial"/>
              <w:sz w:val="24"/>
              <w:szCs w:val="24"/>
            </w:rPr>
            <w:fldChar w:fldCharType="end"/>
          </w:r>
        </w:sdtContent>
      </w:sdt>
      <w:r w:rsidRPr="00A51D93">
        <w:rPr>
          <w:rFonts w:ascii="Arial" w:eastAsia="Arial" w:hAnsi="Arial" w:cs="Arial"/>
          <w:sz w:val="24"/>
          <w:szCs w:val="24"/>
        </w:rPr>
        <w:t>.</w:t>
      </w:r>
    </w:p>
    <w:p w14:paraId="65263F1B" w14:textId="77777777" w:rsidR="00A44F40" w:rsidRPr="00A51D93" w:rsidRDefault="00A44F40" w:rsidP="002A7A64">
      <w:pPr>
        <w:spacing w:line="480" w:lineRule="auto"/>
        <w:rPr>
          <w:rFonts w:ascii="Arial" w:eastAsia="Arial" w:hAnsi="Arial" w:cs="Arial"/>
          <w:sz w:val="24"/>
          <w:szCs w:val="24"/>
        </w:rPr>
      </w:pPr>
    </w:p>
    <w:p w14:paraId="074FE952" w14:textId="608F5B3C"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As such, the purpose of this panel is questionable; is it just a tick box exercise, something else to promote the election of the PCC and their role or, is a more robust approach needed to prevent the concern of ‘Maverick’ type PCCs utilising their powers without consultation?  These indeed, being the concerns held by the Liberal Democrats at the time, that too much power was aligned to one person.  </w:t>
      </w:r>
      <w:sdt>
        <w:sdtPr>
          <w:rPr>
            <w:rFonts w:ascii="Arial" w:eastAsia="Arial" w:hAnsi="Arial" w:cs="Arial"/>
            <w:sz w:val="24"/>
            <w:szCs w:val="24"/>
          </w:rPr>
          <w:id w:val="747389652"/>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Lis14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(Lister, 2014)</w:t>
          </w:r>
          <w:r w:rsidRPr="00A51D93">
            <w:rPr>
              <w:rFonts w:ascii="Arial" w:eastAsia="Arial" w:hAnsi="Arial" w:cs="Arial"/>
              <w:sz w:val="24"/>
              <w:szCs w:val="24"/>
            </w:rPr>
            <w:fldChar w:fldCharType="end"/>
          </w:r>
        </w:sdtContent>
      </w:sdt>
    </w:p>
    <w:p w14:paraId="1FB6A198" w14:textId="77777777" w:rsidR="00A44F40" w:rsidRPr="00A51D93" w:rsidRDefault="00A44F40" w:rsidP="002A7A64">
      <w:pPr>
        <w:spacing w:line="480" w:lineRule="auto"/>
        <w:rPr>
          <w:rFonts w:ascii="Arial" w:eastAsia="Arial" w:hAnsi="Arial" w:cs="Arial"/>
          <w:sz w:val="24"/>
          <w:szCs w:val="24"/>
        </w:rPr>
      </w:pPr>
    </w:p>
    <w:p w14:paraId="3C61FD8A" w14:textId="54F91C86"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In order to stand for the position of PCC, candidates face</w:t>
      </w:r>
      <w:r w:rsidR="00C93F58" w:rsidRPr="00A51D93">
        <w:rPr>
          <w:rFonts w:ascii="Arial" w:hAnsi="Arial" w:cs="Arial"/>
          <w:sz w:val="24"/>
          <w:szCs w:val="24"/>
        </w:rPr>
        <w:t xml:space="preserve"> a</w:t>
      </w:r>
      <w:r w:rsidRPr="00A51D93">
        <w:rPr>
          <w:rFonts w:ascii="Arial" w:hAnsi="Arial" w:cs="Arial"/>
          <w:sz w:val="24"/>
          <w:szCs w:val="24"/>
        </w:rPr>
        <w:t xml:space="preserve"> strict set </w:t>
      </w:r>
      <w:r w:rsidR="0091053D" w:rsidRPr="00A51D93">
        <w:rPr>
          <w:rFonts w:ascii="Arial" w:hAnsi="Arial" w:cs="Arial"/>
          <w:sz w:val="24"/>
          <w:szCs w:val="24"/>
        </w:rPr>
        <w:t xml:space="preserve">of </w:t>
      </w:r>
      <w:r w:rsidRPr="00A51D93">
        <w:rPr>
          <w:rFonts w:ascii="Arial" w:hAnsi="Arial" w:cs="Arial"/>
          <w:sz w:val="24"/>
          <w:szCs w:val="24"/>
        </w:rPr>
        <w:t xml:space="preserve">rules </w:t>
      </w:r>
      <w:r w:rsidR="00946C94" w:rsidRPr="00A51D93">
        <w:rPr>
          <w:rFonts w:ascii="Arial" w:hAnsi="Arial" w:cs="Arial"/>
          <w:sz w:val="24"/>
          <w:szCs w:val="24"/>
        </w:rPr>
        <w:t>on</w:t>
      </w:r>
      <w:r w:rsidR="00423E09" w:rsidRPr="00A51D93">
        <w:rPr>
          <w:rFonts w:ascii="Arial" w:hAnsi="Arial" w:cs="Arial"/>
          <w:sz w:val="24"/>
          <w:szCs w:val="24"/>
        </w:rPr>
        <w:t xml:space="preserve"> </w:t>
      </w:r>
      <w:r w:rsidRPr="00A51D93">
        <w:rPr>
          <w:rFonts w:ascii="Arial" w:hAnsi="Arial" w:cs="Arial"/>
          <w:sz w:val="24"/>
          <w:szCs w:val="24"/>
        </w:rPr>
        <w:t>who is and who is not eligible to run for election</w:t>
      </w:r>
      <w:r w:rsidR="00C93F58" w:rsidRPr="00A51D93">
        <w:rPr>
          <w:rFonts w:ascii="Arial" w:hAnsi="Arial" w:cs="Arial"/>
          <w:sz w:val="24"/>
          <w:szCs w:val="24"/>
        </w:rPr>
        <w:t xml:space="preserve">.  </w:t>
      </w:r>
      <w:r w:rsidR="00C0307B" w:rsidRPr="00A51D93">
        <w:rPr>
          <w:rFonts w:ascii="Arial" w:hAnsi="Arial" w:cs="Arial"/>
          <w:sz w:val="24"/>
          <w:szCs w:val="24"/>
        </w:rPr>
        <w:t>However,</w:t>
      </w:r>
      <w:r w:rsidRPr="00A51D93">
        <w:rPr>
          <w:rFonts w:ascii="Arial" w:hAnsi="Arial" w:cs="Arial"/>
          <w:sz w:val="24"/>
          <w:szCs w:val="24"/>
        </w:rPr>
        <w:t xml:space="preserve"> there is allowance for applicants with a political connection such as a member of a political party. </w:t>
      </w:r>
      <w:sdt>
        <w:sdtPr>
          <w:rPr>
            <w:rFonts w:ascii="Arial" w:hAnsi="Arial" w:cs="Arial"/>
            <w:sz w:val="24"/>
            <w:szCs w:val="24"/>
          </w:rPr>
          <w:id w:val="522443136"/>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CITATION Ass22 \l 2057 </w:instrText>
          </w:r>
          <w:r w:rsidRPr="00A51D93">
            <w:rPr>
              <w:rFonts w:ascii="Arial" w:hAnsi="Arial" w:cs="Arial"/>
              <w:sz w:val="24"/>
              <w:szCs w:val="24"/>
            </w:rPr>
            <w:fldChar w:fldCharType="separate"/>
          </w:r>
          <w:r w:rsidR="008E5EA8" w:rsidRPr="00A51D93">
            <w:rPr>
              <w:rFonts w:ascii="Arial" w:hAnsi="Arial" w:cs="Arial"/>
              <w:noProof/>
              <w:sz w:val="24"/>
              <w:szCs w:val="24"/>
            </w:rPr>
            <w:t>(APCC, 2022)</w:t>
          </w:r>
          <w:r w:rsidRPr="00A51D93">
            <w:rPr>
              <w:rFonts w:ascii="Arial" w:hAnsi="Arial" w:cs="Arial"/>
              <w:sz w:val="24"/>
              <w:szCs w:val="24"/>
            </w:rPr>
            <w:fldChar w:fldCharType="end"/>
          </w:r>
        </w:sdtContent>
      </w:sdt>
      <w:r w:rsidRPr="00A51D93">
        <w:rPr>
          <w:rFonts w:ascii="Arial" w:hAnsi="Arial" w:cs="Arial"/>
          <w:sz w:val="24"/>
          <w:szCs w:val="24"/>
        </w:rPr>
        <w:t xml:space="preserve">  So how does this fair, with the political views of the public and their ‘independent’ views when voting</w:t>
      </w:r>
      <w:r w:rsidR="00946C94" w:rsidRPr="00A51D93">
        <w:rPr>
          <w:rFonts w:ascii="Arial" w:hAnsi="Arial" w:cs="Arial"/>
          <w:sz w:val="24"/>
          <w:szCs w:val="24"/>
        </w:rPr>
        <w:t>?</w:t>
      </w:r>
      <w:r w:rsidRPr="00A51D93">
        <w:rPr>
          <w:rFonts w:ascii="Arial" w:hAnsi="Arial" w:cs="Arial"/>
          <w:sz w:val="24"/>
          <w:szCs w:val="24"/>
        </w:rPr>
        <w:t xml:space="preserve">  Significant concerns had been expressed </w:t>
      </w:r>
      <w:r w:rsidRPr="00A51D93">
        <w:rPr>
          <w:rFonts w:ascii="Arial" w:hAnsi="Arial" w:cs="Arial"/>
          <w:sz w:val="24"/>
          <w:szCs w:val="24"/>
        </w:rPr>
        <w:lastRenderedPageBreak/>
        <w:t xml:space="preserve">previously regarding the changes made in police governance.  As reported in the Home Affairs Select Committee, </w:t>
      </w:r>
      <w:sdt>
        <w:sdtPr>
          <w:rPr>
            <w:rFonts w:ascii="Arial" w:hAnsi="Arial" w:cs="Arial"/>
            <w:sz w:val="24"/>
            <w:szCs w:val="24"/>
          </w:rPr>
          <w:id w:val="-757824881"/>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Lib10 \l 2057 </w:instrText>
          </w:r>
          <w:r w:rsidRPr="00A51D93">
            <w:rPr>
              <w:rFonts w:ascii="Arial" w:hAnsi="Arial" w:cs="Arial"/>
              <w:sz w:val="24"/>
              <w:szCs w:val="24"/>
            </w:rPr>
            <w:fldChar w:fldCharType="separate"/>
          </w:r>
          <w:r w:rsidR="008E5EA8" w:rsidRPr="00A51D93">
            <w:rPr>
              <w:rFonts w:ascii="Arial" w:hAnsi="Arial" w:cs="Arial"/>
              <w:noProof/>
              <w:sz w:val="24"/>
              <w:szCs w:val="24"/>
            </w:rPr>
            <w:t>(Liberty, 2010)</w:t>
          </w:r>
          <w:r w:rsidRPr="00A51D93">
            <w:rPr>
              <w:rFonts w:ascii="Arial" w:hAnsi="Arial" w:cs="Arial"/>
              <w:sz w:val="24"/>
              <w:szCs w:val="24"/>
            </w:rPr>
            <w:fldChar w:fldCharType="end"/>
          </w:r>
        </w:sdtContent>
      </w:sdt>
      <w:r w:rsidRPr="00A51D93">
        <w:rPr>
          <w:rFonts w:ascii="Arial" w:hAnsi="Arial" w:cs="Arial"/>
          <w:sz w:val="24"/>
          <w:szCs w:val="24"/>
        </w:rPr>
        <w:t xml:space="preserve">, the idea of political intrusion and its effect in policing was already an area of concern and it was held that the introduction of a PCC was indeed a move in the direction of politicisation of the police service.  </w:t>
      </w:r>
    </w:p>
    <w:p w14:paraId="16486F40" w14:textId="77777777" w:rsidR="00A44F40" w:rsidRPr="00A51D93" w:rsidRDefault="00A44F40" w:rsidP="002A7A64">
      <w:pPr>
        <w:spacing w:line="480" w:lineRule="auto"/>
        <w:rPr>
          <w:rFonts w:ascii="Arial" w:hAnsi="Arial" w:cs="Arial"/>
          <w:sz w:val="24"/>
          <w:szCs w:val="24"/>
        </w:rPr>
      </w:pPr>
    </w:p>
    <w:p w14:paraId="73E0B51A" w14:textId="2AAA00AF"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It is inevitable that the role of the PCC will become political through engagement with the external forums such as the Home Office and the undertaking of portfolios that is required of the role. </w:t>
      </w:r>
      <w:sdt>
        <w:sdtPr>
          <w:rPr>
            <w:rFonts w:ascii="Arial" w:hAnsi="Arial" w:cs="Arial"/>
            <w:sz w:val="24"/>
            <w:szCs w:val="24"/>
          </w:rPr>
          <w:id w:val="-167797544"/>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Lle22 \l 2057 </w:instrText>
          </w:r>
          <w:r w:rsidRPr="00A51D93">
            <w:rPr>
              <w:rFonts w:ascii="Arial" w:hAnsi="Arial" w:cs="Arial"/>
              <w:sz w:val="24"/>
              <w:szCs w:val="24"/>
            </w:rPr>
            <w:fldChar w:fldCharType="separate"/>
          </w:r>
          <w:r w:rsidR="008E5EA8" w:rsidRPr="00A51D93">
            <w:rPr>
              <w:rFonts w:ascii="Arial" w:hAnsi="Arial" w:cs="Arial"/>
              <w:noProof/>
              <w:sz w:val="24"/>
              <w:szCs w:val="24"/>
            </w:rPr>
            <w:t>(Llewellyn, 2022)</w:t>
          </w:r>
          <w:r w:rsidRPr="00A51D93">
            <w:rPr>
              <w:rFonts w:ascii="Arial" w:hAnsi="Arial" w:cs="Arial"/>
              <w:sz w:val="24"/>
              <w:szCs w:val="24"/>
            </w:rPr>
            <w:fldChar w:fldCharType="end"/>
          </w:r>
        </w:sdtContent>
      </w:sdt>
      <w:r w:rsidRPr="00A51D93">
        <w:rPr>
          <w:rFonts w:ascii="Arial" w:hAnsi="Arial" w:cs="Arial"/>
          <w:sz w:val="24"/>
          <w:szCs w:val="24"/>
        </w:rPr>
        <w:t xml:space="preserve">.  Whilst the PCC holds no direct control of the operational policing, they hold control over influential factors of such operating and by this means, may hold an influence politically. </w:t>
      </w:r>
    </w:p>
    <w:p w14:paraId="0E9091E5" w14:textId="77777777" w:rsidR="00A44F40" w:rsidRPr="00A51D93" w:rsidRDefault="00A44F40" w:rsidP="002A7A64">
      <w:pPr>
        <w:spacing w:line="480" w:lineRule="auto"/>
        <w:rPr>
          <w:rFonts w:ascii="Arial" w:hAnsi="Arial" w:cs="Arial"/>
          <w:sz w:val="24"/>
          <w:szCs w:val="24"/>
        </w:rPr>
      </w:pPr>
    </w:p>
    <w:p w14:paraId="5B39C3F3" w14:textId="135D26B8"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The influence of politics in the basic electing of the PCC can be noted from the election process.  In 2012, 41 PCCs were elected, however, of this total, 29 held a position within a political party and only 12 were classified as independent candidates.  For this first election process, the turnout sat at 15.1% which is significantly lower when compared to that of other nationwide elections </w:t>
      </w:r>
      <w:sdt>
        <w:sdtPr>
          <w:rPr>
            <w:rFonts w:ascii="Arial" w:hAnsi="Arial" w:cs="Arial"/>
            <w:sz w:val="24"/>
            <w:szCs w:val="24"/>
          </w:rPr>
          <w:id w:val="-1170403443"/>
          <w:citation/>
        </w:sdtPr>
        <w:sdtEndPr/>
        <w:sdtContent>
          <w:r w:rsidR="009C45F3" w:rsidRPr="00A51D93">
            <w:rPr>
              <w:rFonts w:ascii="Arial" w:hAnsi="Arial" w:cs="Arial"/>
              <w:sz w:val="24"/>
              <w:szCs w:val="24"/>
            </w:rPr>
            <w:fldChar w:fldCharType="begin"/>
          </w:r>
          <w:r w:rsidR="009C45F3" w:rsidRPr="00A51D93">
            <w:rPr>
              <w:rFonts w:ascii="Arial" w:hAnsi="Arial" w:cs="Arial"/>
              <w:sz w:val="24"/>
              <w:szCs w:val="24"/>
            </w:rPr>
            <w:instrText xml:space="preserve"> CITATION The19 \l 2057 </w:instrText>
          </w:r>
          <w:r w:rsidR="009C45F3" w:rsidRPr="00A51D93">
            <w:rPr>
              <w:rFonts w:ascii="Arial" w:hAnsi="Arial" w:cs="Arial"/>
              <w:sz w:val="24"/>
              <w:szCs w:val="24"/>
            </w:rPr>
            <w:fldChar w:fldCharType="separate"/>
          </w:r>
          <w:r w:rsidR="009C45F3" w:rsidRPr="00A51D93">
            <w:rPr>
              <w:rFonts w:ascii="Arial" w:hAnsi="Arial" w:cs="Arial"/>
              <w:noProof/>
              <w:sz w:val="24"/>
              <w:szCs w:val="24"/>
            </w:rPr>
            <w:t>(The Electoral Commission, 2019)</w:t>
          </w:r>
          <w:r w:rsidR="009C45F3" w:rsidRPr="00A51D93">
            <w:rPr>
              <w:rFonts w:ascii="Arial" w:hAnsi="Arial" w:cs="Arial"/>
              <w:sz w:val="24"/>
              <w:szCs w:val="24"/>
            </w:rPr>
            <w:fldChar w:fldCharType="end"/>
          </w:r>
        </w:sdtContent>
      </w:sdt>
      <w:r w:rsidRPr="00A51D93">
        <w:rPr>
          <w:rFonts w:ascii="Arial" w:hAnsi="Arial" w:cs="Arial"/>
          <w:sz w:val="24"/>
          <w:szCs w:val="24"/>
        </w:rPr>
        <w:t xml:space="preserve">.  </w:t>
      </w:r>
    </w:p>
    <w:p w14:paraId="521F1F3D" w14:textId="77777777" w:rsidR="00A44F40" w:rsidRPr="00A51D93" w:rsidRDefault="00A44F40" w:rsidP="002A7A64">
      <w:pPr>
        <w:spacing w:line="480" w:lineRule="auto"/>
        <w:rPr>
          <w:rFonts w:ascii="Arial" w:hAnsi="Arial" w:cs="Arial"/>
          <w:sz w:val="24"/>
          <w:szCs w:val="24"/>
        </w:rPr>
      </w:pPr>
    </w:p>
    <w:p w14:paraId="0EFE3876" w14:textId="5C6F2C22" w:rsidR="00A44F40" w:rsidRPr="00A51D93" w:rsidRDefault="00A44F40" w:rsidP="002A7A64">
      <w:pPr>
        <w:spacing w:line="480" w:lineRule="auto"/>
        <w:rPr>
          <w:rFonts w:ascii="Arial" w:eastAsia="Arial" w:hAnsi="Arial" w:cs="Arial"/>
          <w:sz w:val="24"/>
          <w:szCs w:val="24"/>
        </w:rPr>
      </w:pPr>
      <w:r w:rsidRPr="00A51D93">
        <w:rPr>
          <w:rFonts w:ascii="Arial" w:hAnsi="Arial" w:cs="Arial"/>
          <w:sz w:val="24"/>
          <w:szCs w:val="24"/>
        </w:rPr>
        <w:t xml:space="preserve">2016 saw an improvement in electorate turnout and this has increased to 27.3%.  </w:t>
      </w:r>
      <w:sdt>
        <w:sdtPr>
          <w:rPr>
            <w:rFonts w:ascii="Arial" w:hAnsi="Arial" w:cs="Arial"/>
            <w:sz w:val="24"/>
            <w:szCs w:val="24"/>
          </w:rPr>
          <w:id w:val="-1371301078"/>
          <w:citation/>
        </w:sdtPr>
        <w:sdtEndPr/>
        <w:sdtContent>
          <w:r w:rsidR="00325234" w:rsidRPr="00A51D93">
            <w:rPr>
              <w:rFonts w:ascii="Arial" w:hAnsi="Arial" w:cs="Arial"/>
              <w:sz w:val="24"/>
              <w:szCs w:val="24"/>
            </w:rPr>
            <w:fldChar w:fldCharType="begin"/>
          </w:r>
          <w:r w:rsidR="00325234" w:rsidRPr="00A51D93">
            <w:rPr>
              <w:rFonts w:ascii="Arial" w:hAnsi="Arial" w:cs="Arial"/>
              <w:sz w:val="24"/>
              <w:szCs w:val="24"/>
            </w:rPr>
            <w:instrText xml:space="preserve"> CITATION The19 \l 2057 </w:instrText>
          </w:r>
          <w:r w:rsidR="00325234" w:rsidRPr="00A51D93">
            <w:rPr>
              <w:rFonts w:ascii="Arial" w:hAnsi="Arial" w:cs="Arial"/>
              <w:sz w:val="24"/>
              <w:szCs w:val="24"/>
            </w:rPr>
            <w:fldChar w:fldCharType="separate"/>
          </w:r>
          <w:r w:rsidR="00325234" w:rsidRPr="00A51D93">
            <w:rPr>
              <w:rFonts w:ascii="Arial" w:hAnsi="Arial" w:cs="Arial"/>
              <w:noProof/>
              <w:sz w:val="24"/>
              <w:szCs w:val="24"/>
            </w:rPr>
            <w:t>(The Electoral Commission, 2019)</w:t>
          </w:r>
          <w:r w:rsidR="00325234" w:rsidRPr="00A51D93">
            <w:rPr>
              <w:rFonts w:ascii="Arial" w:hAnsi="Arial" w:cs="Arial"/>
              <w:sz w:val="24"/>
              <w:szCs w:val="24"/>
            </w:rPr>
            <w:fldChar w:fldCharType="end"/>
          </w:r>
        </w:sdtContent>
      </w:sdt>
      <w:r w:rsidR="00325234" w:rsidRPr="00A51D93">
        <w:rPr>
          <w:rFonts w:ascii="Arial" w:hAnsi="Arial" w:cs="Arial"/>
          <w:sz w:val="24"/>
          <w:szCs w:val="24"/>
        </w:rPr>
        <w:t xml:space="preserve">.  </w:t>
      </w:r>
      <w:r w:rsidR="009D4A6E" w:rsidRPr="00A51D93">
        <w:rPr>
          <w:rFonts w:ascii="Arial" w:hAnsi="Arial" w:cs="Arial"/>
          <w:sz w:val="24"/>
          <w:szCs w:val="24"/>
        </w:rPr>
        <w:t>It</w:t>
      </w:r>
      <w:r w:rsidRPr="00A51D93">
        <w:rPr>
          <w:rFonts w:ascii="Arial" w:hAnsi="Arial" w:cs="Arial"/>
          <w:sz w:val="24"/>
          <w:szCs w:val="24"/>
        </w:rPr>
        <w:t xml:space="preserve"> can be argued that this result lies with the </w:t>
      </w:r>
      <w:r w:rsidR="00946C94" w:rsidRPr="00A51D93">
        <w:rPr>
          <w:rFonts w:ascii="Arial" w:hAnsi="Arial" w:cs="Arial"/>
          <w:sz w:val="24"/>
          <w:szCs w:val="24"/>
        </w:rPr>
        <w:t>increase</w:t>
      </w:r>
      <w:r w:rsidRPr="00A51D93">
        <w:rPr>
          <w:rFonts w:ascii="Arial" w:hAnsi="Arial" w:cs="Arial"/>
          <w:sz w:val="24"/>
          <w:szCs w:val="24"/>
        </w:rPr>
        <w:t xml:space="preserve"> in candidates belonging to political parties, rather than holding independence, </w:t>
      </w:r>
      <w:proofErr w:type="gramStart"/>
      <w:r w:rsidRPr="00A51D93">
        <w:rPr>
          <w:rFonts w:ascii="Arial" w:hAnsi="Arial" w:cs="Arial"/>
          <w:sz w:val="24"/>
          <w:szCs w:val="24"/>
        </w:rPr>
        <w:t>or,</w:t>
      </w:r>
      <w:proofErr w:type="gramEnd"/>
      <w:r w:rsidRPr="00A51D93">
        <w:rPr>
          <w:rFonts w:ascii="Arial" w:hAnsi="Arial" w:cs="Arial"/>
          <w:sz w:val="24"/>
          <w:szCs w:val="24"/>
        </w:rPr>
        <w:t xml:space="preserve"> as is more agreeably suggested, this was due to the election of the PCC coinciding with the other elections being held on that same day.  </w:t>
      </w:r>
      <w:sdt>
        <w:sdtPr>
          <w:rPr>
            <w:rFonts w:ascii="Arial" w:hAnsi="Arial" w:cs="Arial"/>
            <w:sz w:val="24"/>
            <w:szCs w:val="24"/>
          </w:rPr>
          <w:id w:val="949738780"/>
          <w:citation/>
        </w:sdtPr>
        <w:sdtEndPr/>
        <w:sdtContent>
          <w:r w:rsidR="001B10AA" w:rsidRPr="00A51D93">
            <w:rPr>
              <w:rFonts w:ascii="Arial" w:hAnsi="Arial" w:cs="Arial"/>
              <w:sz w:val="24"/>
              <w:szCs w:val="24"/>
            </w:rPr>
            <w:fldChar w:fldCharType="begin"/>
          </w:r>
          <w:r w:rsidR="001B10AA" w:rsidRPr="00A51D93">
            <w:rPr>
              <w:rFonts w:ascii="Arial" w:hAnsi="Arial" w:cs="Arial"/>
              <w:sz w:val="24"/>
              <w:szCs w:val="24"/>
            </w:rPr>
            <w:instrText xml:space="preserve"> CITATION Joy17 \l 2057 </w:instrText>
          </w:r>
          <w:r w:rsidR="001B10AA" w:rsidRPr="00A51D93">
            <w:rPr>
              <w:rFonts w:ascii="Arial" w:hAnsi="Arial" w:cs="Arial"/>
              <w:sz w:val="24"/>
              <w:szCs w:val="24"/>
            </w:rPr>
            <w:fldChar w:fldCharType="separate"/>
          </w:r>
          <w:r w:rsidR="001B10AA" w:rsidRPr="00A51D93">
            <w:rPr>
              <w:rFonts w:ascii="Arial" w:hAnsi="Arial" w:cs="Arial"/>
              <w:noProof/>
              <w:sz w:val="24"/>
              <w:szCs w:val="24"/>
            </w:rPr>
            <w:t xml:space="preserve"> (Joyce, 2017)</w:t>
          </w:r>
          <w:r w:rsidR="001B10AA" w:rsidRPr="00A51D93">
            <w:rPr>
              <w:rFonts w:ascii="Arial" w:hAnsi="Arial" w:cs="Arial"/>
              <w:sz w:val="24"/>
              <w:szCs w:val="24"/>
            </w:rPr>
            <w:fldChar w:fldCharType="end"/>
          </w:r>
        </w:sdtContent>
      </w:sdt>
      <w:r w:rsidRPr="00A51D93">
        <w:rPr>
          <w:rFonts w:ascii="Arial" w:eastAsia="Arial" w:hAnsi="Arial" w:cs="Arial"/>
          <w:sz w:val="24"/>
          <w:szCs w:val="24"/>
        </w:rPr>
        <w:t>.</w:t>
      </w:r>
    </w:p>
    <w:p w14:paraId="49C8BD6A" w14:textId="77777777" w:rsidR="00A44F40" w:rsidRPr="00A51D93" w:rsidRDefault="00A44F40" w:rsidP="002A7A64">
      <w:pPr>
        <w:spacing w:line="480" w:lineRule="auto"/>
        <w:rPr>
          <w:rFonts w:ascii="Arial" w:eastAsia="Arial" w:hAnsi="Arial" w:cs="Arial"/>
          <w:sz w:val="24"/>
          <w:szCs w:val="24"/>
        </w:rPr>
      </w:pPr>
    </w:p>
    <w:p w14:paraId="35176E57" w14:textId="3CF8E5C2" w:rsidR="00A44F40" w:rsidRPr="00A51D93" w:rsidRDefault="00A44F40" w:rsidP="002A7A64">
      <w:pPr>
        <w:spacing w:line="480" w:lineRule="auto"/>
        <w:rPr>
          <w:rFonts w:ascii="Arial" w:hAnsi="Arial" w:cs="Arial"/>
          <w:sz w:val="24"/>
          <w:szCs w:val="24"/>
        </w:rPr>
      </w:pPr>
      <w:r w:rsidRPr="00A51D93">
        <w:rPr>
          <w:rFonts w:ascii="Arial" w:eastAsia="Arial" w:hAnsi="Arial" w:cs="Arial"/>
          <w:sz w:val="24"/>
          <w:szCs w:val="24"/>
        </w:rPr>
        <w:t xml:space="preserve">Whilst the APCC allow for candidates to stand as independent of any political party, there remain several barriers to do so, such as submitting a deposit of £5,000 for the opportunity to stand.  Additionally, an independent candidate is required to collect over 100 signatures in support of their quest to stand as candidate.  </w:t>
      </w:r>
      <w:sdt>
        <w:sdtPr>
          <w:rPr>
            <w:rFonts w:ascii="Arial" w:eastAsia="Arial" w:hAnsi="Arial" w:cs="Arial"/>
            <w:sz w:val="24"/>
            <w:szCs w:val="24"/>
          </w:rPr>
          <w:id w:val="-492413526"/>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Ass22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(APCC, 2022)</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w:t>
      </w:r>
      <w:r w:rsidR="00E40E27" w:rsidRPr="00A51D93">
        <w:rPr>
          <w:rFonts w:ascii="Arial" w:eastAsia="Arial" w:hAnsi="Arial" w:cs="Arial"/>
          <w:sz w:val="24"/>
          <w:szCs w:val="24"/>
        </w:rPr>
        <w:t>There</w:t>
      </w:r>
      <w:r w:rsidRPr="00A51D93">
        <w:rPr>
          <w:rFonts w:ascii="Arial" w:eastAsia="Arial" w:hAnsi="Arial" w:cs="Arial"/>
          <w:sz w:val="24"/>
          <w:szCs w:val="24"/>
        </w:rPr>
        <w:t xml:space="preserve"> will likely be cost implications along the way and during a canvassing campaign which will be met by the independent candidate alone.  </w:t>
      </w:r>
      <w:r w:rsidRPr="00A51D93">
        <w:rPr>
          <w:rFonts w:ascii="Arial" w:eastAsia="Calibri" w:hAnsi="Arial" w:cs="Arial"/>
          <w:sz w:val="24"/>
          <w:szCs w:val="24"/>
        </w:rPr>
        <w:t xml:space="preserve">From this it can be seen why there is a motivation to stand as candidate with the support of a political party, not only for votes from loyal party supporters rather than PCC supporters, but to meet the cost implications faced in standing for the post.  </w:t>
      </w:r>
      <w:sdt>
        <w:sdtPr>
          <w:rPr>
            <w:rFonts w:ascii="Arial" w:eastAsia="Calibri" w:hAnsi="Arial" w:cs="Arial"/>
            <w:sz w:val="24"/>
            <w:szCs w:val="24"/>
          </w:rPr>
          <w:id w:val="1765804424"/>
          <w:citation/>
        </w:sdtPr>
        <w:sdtEndPr/>
        <w:sdtContent>
          <w:r w:rsidR="007E5F47" w:rsidRPr="00A51D93">
            <w:rPr>
              <w:rFonts w:ascii="Arial" w:eastAsia="Calibri" w:hAnsi="Arial" w:cs="Arial"/>
              <w:sz w:val="24"/>
              <w:szCs w:val="24"/>
            </w:rPr>
            <w:fldChar w:fldCharType="begin"/>
          </w:r>
          <w:r w:rsidR="007E5F47" w:rsidRPr="00A51D93">
            <w:rPr>
              <w:rFonts w:ascii="Arial" w:eastAsia="Calibri" w:hAnsi="Arial" w:cs="Arial"/>
              <w:sz w:val="24"/>
              <w:szCs w:val="24"/>
            </w:rPr>
            <w:instrText xml:space="preserve"> CITATION BBC16 \l 2057 </w:instrText>
          </w:r>
          <w:r w:rsidR="007E5F47" w:rsidRPr="00A51D93">
            <w:rPr>
              <w:rFonts w:ascii="Arial" w:eastAsia="Calibri" w:hAnsi="Arial" w:cs="Arial"/>
              <w:sz w:val="24"/>
              <w:szCs w:val="24"/>
            </w:rPr>
            <w:fldChar w:fldCharType="separate"/>
          </w:r>
          <w:r w:rsidR="007E5F47" w:rsidRPr="00A51D93">
            <w:rPr>
              <w:rFonts w:ascii="Arial" w:eastAsia="Calibri" w:hAnsi="Arial" w:cs="Arial"/>
              <w:noProof/>
              <w:sz w:val="24"/>
              <w:szCs w:val="24"/>
            </w:rPr>
            <w:t>(BBC News, 2016)</w:t>
          </w:r>
          <w:r w:rsidR="007E5F47" w:rsidRPr="00A51D93">
            <w:rPr>
              <w:rFonts w:ascii="Arial" w:eastAsia="Calibri" w:hAnsi="Arial" w:cs="Arial"/>
              <w:sz w:val="24"/>
              <w:szCs w:val="24"/>
            </w:rPr>
            <w:fldChar w:fldCharType="end"/>
          </w:r>
        </w:sdtContent>
      </w:sdt>
    </w:p>
    <w:p w14:paraId="5EF0C97C" w14:textId="77777777" w:rsidR="00A44F40" w:rsidRPr="00A51D93" w:rsidRDefault="00A44F40" w:rsidP="002A7A64">
      <w:pPr>
        <w:spacing w:line="480" w:lineRule="auto"/>
        <w:rPr>
          <w:rFonts w:ascii="Arial" w:hAnsi="Arial" w:cs="Arial"/>
          <w:sz w:val="24"/>
          <w:szCs w:val="24"/>
        </w:rPr>
      </w:pPr>
    </w:p>
    <w:p w14:paraId="566E77A2" w14:textId="7E8A552E"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Of some contradiction in Wales is the devolution of government which, for example, from the latest devolution dispensation,</w:t>
      </w:r>
      <w:r w:rsidR="00801962" w:rsidRPr="00A51D93">
        <w:rPr>
          <w:rFonts w:ascii="Arial" w:hAnsi="Arial" w:cs="Arial"/>
          <w:sz w:val="24"/>
          <w:szCs w:val="24"/>
        </w:rPr>
        <w:t xml:space="preserve"> it</w:t>
      </w:r>
      <w:r w:rsidRPr="00A51D93">
        <w:rPr>
          <w:rFonts w:ascii="Arial" w:hAnsi="Arial" w:cs="Arial"/>
          <w:sz w:val="24"/>
          <w:szCs w:val="24"/>
        </w:rPr>
        <w:t xml:space="preserve"> is clear in the fact that policing in Wales remains a matter for UK Ministers and central government.  This is in contradiction, however, of the Welsh government’s control over various social policies, such as education, health, social care allowing for confusion in accountability.  </w:t>
      </w:r>
      <w:sdt>
        <w:sdtPr>
          <w:rPr>
            <w:rFonts w:ascii="Arial" w:hAnsi="Arial" w:cs="Arial"/>
            <w:sz w:val="24"/>
            <w:szCs w:val="24"/>
          </w:rPr>
          <w:id w:val="159744507"/>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Jon22 \l 2057 </w:instrText>
          </w:r>
          <w:r w:rsidRPr="00A51D93">
            <w:rPr>
              <w:rFonts w:ascii="Arial" w:hAnsi="Arial" w:cs="Arial"/>
              <w:sz w:val="24"/>
              <w:szCs w:val="24"/>
            </w:rPr>
            <w:fldChar w:fldCharType="separate"/>
          </w:r>
          <w:r w:rsidR="008E5EA8" w:rsidRPr="00A51D93">
            <w:rPr>
              <w:rFonts w:ascii="Arial" w:hAnsi="Arial" w:cs="Arial"/>
              <w:noProof/>
              <w:sz w:val="24"/>
              <w:szCs w:val="24"/>
            </w:rPr>
            <w:t>(Jones , et al., 2022)</w:t>
          </w:r>
          <w:r w:rsidRPr="00A51D93">
            <w:rPr>
              <w:rFonts w:ascii="Arial" w:hAnsi="Arial" w:cs="Arial"/>
              <w:sz w:val="24"/>
              <w:szCs w:val="24"/>
            </w:rPr>
            <w:fldChar w:fldCharType="end"/>
          </w:r>
        </w:sdtContent>
      </w:sdt>
    </w:p>
    <w:p w14:paraId="2D39CFA4" w14:textId="77777777" w:rsidR="00A44F40" w:rsidRPr="00A51D93" w:rsidRDefault="00A44F40" w:rsidP="002A7A64">
      <w:pPr>
        <w:spacing w:line="480" w:lineRule="auto"/>
        <w:rPr>
          <w:rFonts w:ascii="Arial" w:hAnsi="Arial" w:cs="Arial"/>
          <w:sz w:val="24"/>
          <w:szCs w:val="24"/>
        </w:rPr>
      </w:pPr>
    </w:p>
    <w:p w14:paraId="1DDF812D" w14:textId="77777777"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One of the significant challenges faced in today’s policing and the governance of such, is the building and maintenance of the relationship between the Chief Constables and the PCCs.  </w:t>
      </w:r>
    </w:p>
    <w:p w14:paraId="6A2D7655" w14:textId="77777777" w:rsidR="00BE2946" w:rsidRPr="00A51D93" w:rsidRDefault="00BE2946" w:rsidP="002A7A64">
      <w:pPr>
        <w:spacing w:line="480" w:lineRule="auto"/>
        <w:rPr>
          <w:rFonts w:ascii="Arial" w:hAnsi="Arial" w:cs="Arial"/>
          <w:sz w:val="24"/>
          <w:szCs w:val="24"/>
        </w:rPr>
      </w:pPr>
    </w:p>
    <w:p w14:paraId="226B5079" w14:textId="2E095956"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lastRenderedPageBreak/>
        <w:t xml:space="preserve">For this to be successful, </w:t>
      </w:r>
      <w:sdt>
        <w:sdtPr>
          <w:rPr>
            <w:rFonts w:ascii="Arial" w:hAnsi="Arial" w:cs="Arial"/>
            <w:sz w:val="24"/>
            <w:szCs w:val="24"/>
          </w:rPr>
          <w:id w:val="-1483846849"/>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Dav16 \l 2057 </w:instrText>
          </w:r>
          <w:r w:rsidRPr="00A51D93">
            <w:rPr>
              <w:rFonts w:ascii="Arial" w:hAnsi="Arial" w:cs="Arial"/>
              <w:sz w:val="24"/>
              <w:szCs w:val="24"/>
            </w:rPr>
            <w:fldChar w:fldCharType="separate"/>
          </w:r>
          <w:r w:rsidR="008E5EA8" w:rsidRPr="00A51D93">
            <w:rPr>
              <w:rFonts w:ascii="Arial" w:hAnsi="Arial" w:cs="Arial"/>
              <w:noProof/>
              <w:sz w:val="24"/>
              <w:szCs w:val="24"/>
            </w:rPr>
            <w:t>(Davies &amp; Johnson, 2016)</w:t>
          </w:r>
          <w:r w:rsidRPr="00A51D93">
            <w:rPr>
              <w:rFonts w:ascii="Arial" w:hAnsi="Arial" w:cs="Arial"/>
              <w:sz w:val="24"/>
              <w:szCs w:val="24"/>
            </w:rPr>
            <w:fldChar w:fldCharType="end"/>
          </w:r>
        </w:sdtContent>
      </w:sdt>
      <w:r w:rsidRPr="00A51D93">
        <w:rPr>
          <w:rFonts w:ascii="Arial" w:hAnsi="Arial" w:cs="Arial"/>
          <w:sz w:val="24"/>
          <w:szCs w:val="24"/>
        </w:rPr>
        <w:t xml:space="preserve"> suggest that, at the commencement of such a relationship, time</w:t>
      </w:r>
      <w:r w:rsidR="00801962" w:rsidRPr="00A51D93">
        <w:rPr>
          <w:rFonts w:ascii="Arial" w:hAnsi="Arial" w:cs="Arial"/>
          <w:sz w:val="24"/>
          <w:szCs w:val="24"/>
        </w:rPr>
        <w:t xml:space="preserve"> should be</w:t>
      </w:r>
      <w:r w:rsidRPr="00A51D93">
        <w:rPr>
          <w:rFonts w:ascii="Arial" w:hAnsi="Arial" w:cs="Arial"/>
          <w:sz w:val="24"/>
          <w:szCs w:val="24"/>
        </w:rPr>
        <w:t xml:space="preserve"> afforded to sit together and agree mutual goals.  If this is not completed, there is a risk of a public and damaging fall out.  </w:t>
      </w:r>
    </w:p>
    <w:p w14:paraId="39D7ADE0" w14:textId="77777777" w:rsidR="00BE2946" w:rsidRPr="00A51D93" w:rsidRDefault="00BE2946" w:rsidP="002A7A64">
      <w:pPr>
        <w:spacing w:line="480" w:lineRule="auto"/>
        <w:rPr>
          <w:rFonts w:ascii="Arial" w:hAnsi="Arial" w:cs="Arial"/>
          <w:sz w:val="24"/>
          <w:szCs w:val="24"/>
        </w:rPr>
      </w:pPr>
    </w:p>
    <w:p w14:paraId="09FB037C" w14:textId="709B26D6"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Essentially, as discussed </w:t>
      </w:r>
      <w:r w:rsidR="001D12B5" w:rsidRPr="00A51D93">
        <w:rPr>
          <w:rFonts w:ascii="Arial" w:hAnsi="Arial" w:cs="Arial"/>
          <w:sz w:val="24"/>
          <w:szCs w:val="24"/>
        </w:rPr>
        <w:t xml:space="preserve">by </w:t>
      </w:r>
      <w:sdt>
        <w:sdtPr>
          <w:rPr>
            <w:rFonts w:ascii="Arial" w:hAnsi="Arial" w:cs="Arial"/>
            <w:sz w:val="24"/>
            <w:szCs w:val="24"/>
          </w:rPr>
          <w:id w:val="-364438361"/>
          <w:citation/>
        </w:sdtPr>
        <w:sdtEndPr/>
        <w:sdtContent>
          <w:r w:rsidR="001D12B5" w:rsidRPr="00A51D93">
            <w:rPr>
              <w:rFonts w:ascii="Arial" w:hAnsi="Arial" w:cs="Arial"/>
              <w:sz w:val="24"/>
              <w:szCs w:val="24"/>
            </w:rPr>
            <w:fldChar w:fldCharType="begin"/>
          </w:r>
          <w:r w:rsidR="007F6933" w:rsidRPr="00A51D93">
            <w:rPr>
              <w:rFonts w:ascii="Arial" w:hAnsi="Arial" w:cs="Arial"/>
              <w:sz w:val="24"/>
              <w:szCs w:val="24"/>
            </w:rPr>
            <w:instrText xml:space="preserve">CITATION Wat98 \l 2057 </w:instrText>
          </w:r>
          <w:r w:rsidR="001D12B5" w:rsidRPr="00A51D93">
            <w:rPr>
              <w:rFonts w:ascii="Arial" w:hAnsi="Arial" w:cs="Arial"/>
              <w:sz w:val="24"/>
              <w:szCs w:val="24"/>
            </w:rPr>
            <w:fldChar w:fldCharType="separate"/>
          </w:r>
          <w:r w:rsidR="007F6933" w:rsidRPr="00A51D93">
            <w:rPr>
              <w:rFonts w:ascii="Arial" w:hAnsi="Arial" w:cs="Arial"/>
              <w:noProof/>
              <w:sz w:val="24"/>
              <w:szCs w:val="24"/>
            </w:rPr>
            <w:t>(Waterman &amp; Meier, 1998)</w:t>
          </w:r>
          <w:r w:rsidR="001D12B5" w:rsidRPr="00A51D93">
            <w:rPr>
              <w:rFonts w:ascii="Arial" w:hAnsi="Arial" w:cs="Arial"/>
              <w:sz w:val="24"/>
              <w:szCs w:val="24"/>
            </w:rPr>
            <w:fldChar w:fldCharType="end"/>
          </w:r>
        </w:sdtContent>
      </w:sdt>
      <w:r w:rsidR="001D12B5" w:rsidRPr="00A51D93">
        <w:rPr>
          <w:rFonts w:ascii="Arial" w:hAnsi="Arial" w:cs="Arial"/>
          <w:sz w:val="24"/>
          <w:szCs w:val="24"/>
        </w:rPr>
        <w:t xml:space="preserve"> this</w:t>
      </w:r>
      <w:r w:rsidRPr="00A51D93">
        <w:rPr>
          <w:rFonts w:ascii="Arial" w:hAnsi="Arial" w:cs="Arial"/>
          <w:sz w:val="24"/>
          <w:szCs w:val="24"/>
        </w:rPr>
        <w:t xml:space="preserve"> one-to-one theory of principal – agent, recognises at least two conditions that are likely to lead to </w:t>
      </w:r>
      <w:r w:rsidR="00A768D3" w:rsidRPr="00A51D93">
        <w:rPr>
          <w:rFonts w:ascii="Arial" w:hAnsi="Arial" w:cs="Arial"/>
          <w:sz w:val="24"/>
          <w:szCs w:val="24"/>
        </w:rPr>
        <w:t>dispute:</w:t>
      </w:r>
      <w:r w:rsidRPr="00A51D93">
        <w:rPr>
          <w:rFonts w:ascii="Arial" w:hAnsi="Arial" w:cs="Arial"/>
          <w:sz w:val="24"/>
          <w:szCs w:val="24"/>
        </w:rPr>
        <w:t xml:space="preserve"> these being </w:t>
      </w:r>
      <w:r w:rsidR="00F82773" w:rsidRPr="00A51D93">
        <w:rPr>
          <w:rFonts w:ascii="Arial" w:hAnsi="Arial" w:cs="Arial"/>
          <w:sz w:val="24"/>
          <w:szCs w:val="24"/>
        </w:rPr>
        <w:t>“</w:t>
      </w:r>
      <w:r w:rsidRPr="00A51D93">
        <w:rPr>
          <w:rFonts w:ascii="Arial" w:hAnsi="Arial" w:cs="Arial"/>
          <w:sz w:val="24"/>
          <w:szCs w:val="24"/>
        </w:rPr>
        <w:t>goal divergence and information asymmetry</w:t>
      </w:r>
      <w:r w:rsidR="00F82773" w:rsidRPr="00A51D93">
        <w:rPr>
          <w:rFonts w:ascii="Arial" w:hAnsi="Arial" w:cs="Arial"/>
          <w:sz w:val="24"/>
          <w:szCs w:val="24"/>
        </w:rPr>
        <w:t>”</w:t>
      </w:r>
      <w:r w:rsidRPr="00A51D93">
        <w:rPr>
          <w:rFonts w:ascii="Arial" w:hAnsi="Arial" w:cs="Arial"/>
          <w:i/>
          <w:iCs/>
          <w:sz w:val="24"/>
          <w:szCs w:val="24"/>
        </w:rPr>
        <w:t xml:space="preserve">.  </w:t>
      </w:r>
      <w:r w:rsidRPr="00A51D93">
        <w:rPr>
          <w:rFonts w:ascii="Arial" w:hAnsi="Arial" w:cs="Arial"/>
          <w:sz w:val="24"/>
          <w:szCs w:val="24"/>
        </w:rPr>
        <w:t xml:space="preserve">When the principal and the agent hold differing goals and their ultimate objectives result in them competing against one another within their roles, then goal divergence occurs.  Additionally, if either party failed to share resources and information with each other, this can lead to information asymmetry.  Either way, if there’s a failure to identify these conditions, it is highly likely disagreements and contradictions would </w:t>
      </w:r>
      <w:r w:rsidR="003D5810" w:rsidRPr="00A51D93">
        <w:rPr>
          <w:rFonts w:ascii="Arial" w:hAnsi="Arial" w:cs="Arial"/>
          <w:sz w:val="24"/>
          <w:szCs w:val="24"/>
        </w:rPr>
        <w:t>arise and</w:t>
      </w:r>
      <w:r w:rsidRPr="00A51D93">
        <w:rPr>
          <w:rFonts w:ascii="Arial" w:hAnsi="Arial" w:cs="Arial"/>
          <w:sz w:val="24"/>
          <w:szCs w:val="24"/>
        </w:rPr>
        <w:t xml:space="preserve"> hold the risk of destabilisation of the relationship.  </w:t>
      </w:r>
    </w:p>
    <w:p w14:paraId="7DC15122" w14:textId="77777777" w:rsidR="00A44F40" w:rsidRPr="00A51D93" w:rsidRDefault="00A44F40" w:rsidP="002A7A64">
      <w:pPr>
        <w:spacing w:line="480" w:lineRule="auto"/>
        <w:rPr>
          <w:rFonts w:ascii="Arial" w:hAnsi="Arial" w:cs="Arial"/>
          <w:sz w:val="24"/>
          <w:szCs w:val="24"/>
        </w:rPr>
      </w:pPr>
    </w:p>
    <w:p w14:paraId="0459103B" w14:textId="2045597B" w:rsidR="00A44F40" w:rsidRPr="00A51D93" w:rsidRDefault="00A44F40" w:rsidP="002A7A64">
      <w:pPr>
        <w:spacing w:line="480" w:lineRule="auto"/>
        <w:rPr>
          <w:rFonts w:ascii="Arial" w:hAnsi="Arial" w:cs="Arial"/>
          <w:sz w:val="24"/>
          <w:szCs w:val="24"/>
        </w:rPr>
      </w:pPr>
      <w:r w:rsidRPr="00A51D93">
        <w:rPr>
          <w:rFonts w:ascii="Arial" w:hAnsi="Arial" w:cs="Arial"/>
          <w:sz w:val="24"/>
          <w:szCs w:val="24"/>
          <w:shd w:val="clear" w:color="auto" w:fill="FFFFFF"/>
        </w:rPr>
        <w:t>T</w:t>
      </w:r>
      <w:r w:rsidRPr="00A51D93">
        <w:rPr>
          <w:rFonts w:ascii="Arial" w:hAnsi="Arial" w:cs="Arial"/>
          <w:sz w:val="24"/>
          <w:szCs w:val="24"/>
        </w:rPr>
        <w:t xml:space="preserve">here have been several high-profile public disagreements between PCCs and their respective Chief Constables, and additionally, the PCPs.  These include the sacking of Chief Constable David Crompton of South Yorkshire Police, by PCC Dr Alan Billings, a day after the verdicts in the Hillsborough Inquests.  On appeal, it was held that Dr Billings’ actions were made unlawfully and irrationally, which were believed to have been made for the benefit of public perception, rather than any misconduct.  </w:t>
      </w:r>
      <w:sdt>
        <w:sdtPr>
          <w:rPr>
            <w:rFonts w:ascii="Arial" w:hAnsi="Arial" w:cs="Arial"/>
            <w:sz w:val="24"/>
            <w:szCs w:val="24"/>
          </w:rPr>
          <w:id w:val="1119888142"/>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Con17 \l 2057 </w:instrText>
          </w:r>
          <w:r w:rsidRPr="00A51D93">
            <w:rPr>
              <w:rFonts w:ascii="Arial" w:hAnsi="Arial" w:cs="Arial"/>
              <w:sz w:val="24"/>
              <w:szCs w:val="24"/>
            </w:rPr>
            <w:fldChar w:fldCharType="separate"/>
          </w:r>
          <w:r w:rsidR="008E5EA8" w:rsidRPr="00A51D93">
            <w:rPr>
              <w:rFonts w:ascii="Arial" w:hAnsi="Arial" w:cs="Arial"/>
              <w:noProof/>
              <w:sz w:val="24"/>
              <w:szCs w:val="24"/>
            </w:rPr>
            <w:t>(Conn, 2017)</w:t>
          </w:r>
          <w:r w:rsidRPr="00A51D93">
            <w:rPr>
              <w:rFonts w:ascii="Arial" w:hAnsi="Arial" w:cs="Arial"/>
              <w:sz w:val="24"/>
              <w:szCs w:val="24"/>
            </w:rPr>
            <w:fldChar w:fldCharType="end"/>
          </w:r>
        </w:sdtContent>
      </w:sdt>
      <w:r w:rsidRPr="00A51D93">
        <w:rPr>
          <w:rFonts w:ascii="Arial" w:hAnsi="Arial" w:cs="Arial"/>
          <w:sz w:val="24"/>
          <w:szCs w:val="24"/>
        </w:rPr>
        <w:t xml:space="preserve">.  </w:t>
      </w:r>
    </w:p>
    <w:p w14:paraId="67D0621A" w14:textId="77777777" w:rsidR="00A44F40" w:rsidRPr="00A51D93" w:rsidRDefault="00A44F40" w:rsidP="002A7A64">
      <w:pPr>
        <w:spacing w:line="480" w:lineRule="auto"/>
        <w:rPr>
          <w:rFonts w:ascii="Arial" w:hAnsi="Arial" w:cs="Arial"/>
          <w:sz w:val="24"/>
          <w:szCs w:val="24"/>
        </w:rPr>
      </w:pPr>
    </w:p>
    <w:p w14:paraId="66C8A851" w14:textId="60F993E9" w:rsidR="00A44F40" w:rsidRPr="00A51D93" w:rsidRDefault="00E932DC" w:rsidP="002A7A64">
      <w:pPr>
        <w:spacing w:line="480" w:lineRule="auto"/>
        <w:rPr>
          <w:rFonts w:ascii="Arial" w:hAnsi="Arial" w:cs="Arial"/>
          <w:sz w:val="24"/>
          <w:szCs w:val="24"/>
        </w:rPr>
      </w:pPr>
      <w:r w:rsidRPr="00A51D93">
        <w:rPr>
          <w:rFonts w:ascii="Arial" w:hAnsi="Arial" w:cs="Arial"/>
          <w:sz w:val="24"/>
          <w:szCs w:val="24"/>
        </w:rPr>
        <w:lastRenderedPageBreak/>
        <w:t xml:space="preserve">The </w:t>
      </w:r>
      <w:r w:rsidR="00A44F40" w:rsidRPr="00A51D93">
        <w:rPr>
          <w:rFonts w:ascii="Arial" w:hAnsi="Arial" w:cs="Arial"/>
          <w:sz w:val="24"/>
          <w:szCs w:val="24"/>
        </w:rPr>
        <w:t>‘forced’ resignation of Gwent Chief Constable, Carmel Napier, in 2013</w:t>
      </w:r>
      <w:r w:rsidRPr="00A51D93">
        <w:rPr>
          <w:rFonts w:ascii="Arial" w:hAnsi="Arial" w:cs="Arial"/>
          <w:sz w:val="24"/>
          <w:szCs w:val="24"/>
        </w:rPr>
        <w:t xml:space="preserve"> attracted </w:t>
      </w:r>
      <w:r w:rsidR="00A44F40" w:rsidRPr="00A51D93">
        <w:rPr>
          <w:rFonts w:ascii="Arial" w:hAnsi="Arial" w:cs="Arial"/>
          <w:sz w:val="24"/>
          <w:szCs w:val="24"/>
        </w:rPr>
        <w:t>public interest and media reporting</w:t>
      </w:r>
      <w:r w:rsidR="00433940" w:rsidRPr="00A51D93">
        <w:rPr>
          <w:rFonts w:ascii="Arial" w:hAnsi="Arial" w:cs="Arial"/>
          <w:sz w:val="24"/>
          <w:szCs w:val="24"/>
        </w:rPr>
        <w:t xml:space="preserve">.  Due to </w:t>
      </w:r>
      <w:r w:rsidR="00A44F40" w:rsidRPr="00A51D93">
        <w:rPr>
          <w:rFonts w:ascii="Arial" w:hAnsi="Arial" w:cs="Arial"/>
          <w:sz w:val="24"/>
          <w:szCs w:val="24"/>
        </w:rPr>
        <w:t xml:space="preserve">claims of bullying by Ms Napier, this matter was discussed before the Home Affairs Committee, a committee made up with MP members from all parties, who hold the responsibility for scrutinising work of the Home Office and its related organisations.  </w:t>
      </w:r>
      <w:sdt>
        <w:sdtPr>
          <w:rPr>
            <w:rFonts w:ascii="Arial" w:hAnsi="Arial" w:cs="Arial"/>
            <w:sz w:val="24"/>
            <w:szCs w:val="24"/>
          </w:rPr>
          <w:id w:val="-237944357"/>
          <w:citation/>
        </w:sdtPr>
        <w:sdtEndPr/>
        <w:sdtContent>
          <w:r w:rsidR="00A44F40" w:rsidRPr="00A51D93">
            <w:rPr>
              <w:rFonts w:ascii="Arial" w:hAnsi="Arial" w:cs="Arial"/>
              <w:sz w:val="24"/>
              <w:szCs w:val="24"/>
            </w:rPr>
            <w:fldChar w:fldCharType="begin"/>
          </w:r>
          <w:r w:rsidR="00A44F40" w:rsidRPr="00A51D93">
            <w:rPr>
              <w:rFonts w:ascii="Arial" w:hAnsi="Arial" w:cs="Arial"/>
              <w:sz w:val="24"/>
              <w:szCs w:val="24"/>
            </w:rPr>
            <w:instrText xml:space="preserve"> CITATION Cab22 \l 2057 </w:instrText>
          </w:r>
          <w:r w:rsidR="00A44F40" w:rsidRPr="00A51D93">
            <w:rPr>
              <w:rFonts w:ascii="Arial" w:hAnsi="Arial" w:cs="Arial"/>
              <w:sz w:val="24"/>
              <w:szCs w:val="24"/>
            </w:rPr>
            <w:fldChar w:fldCharType="separate"/>
          </w:r>
          <w:r w:rsidR="008E5EA8" w:rsidRPr="00A51D93">
            <w:rPr>
              <w:rFonts w:ascii="Arial" w:hAnsi="Arial" w:cs="Arial"/>
              <w:noProof/>
              <w:sz w:val="24"/>
              <w:szCs w:val="24"/>
            </w:rPr>
            <w:t>(Cabinet Office, 2022)</w:t>
          </w:r>
          <w:r w:rsidR="00A44F40" w:rsidRPr="00A51D93">
            <w:rPr>
              <w:rFonts w:ascii="Arial" w:hAnsi="Arial" w:cs="Arial"/>
              <w:sz w:val="24"/>
              <w:szCs w:val="24"/>
            </w:rPr>
            <w:fldChar w:fldCharType="end"/>
          </w:r>
        </w:sdtContent>
      </w:sdt>
      <w:r w:rsidR="00A44F40" w:rsidRPr="00A51D93">
        <w:rPr>
          <w:rFonts w:ascii="Arial" w:hAnsi="Arial" w:cs="Arial"/>
          <w:sz w:val="24"/>
          <w:szCs w:val="24"/>
        </w:rPr>
        <w:t xml:space="preserve">.  </w:t>
      </w:r>
    </w:p>
    <w:p w14:paraId="1223CA71" w14:textId="77777777" w:rsidR="00433940" w:rsidRPr="00A51D93" w:rsidRDefault="00433940" w:rsidP="002A7A64">
      <w:pPr>
        <w:spacing w:line="480" w:lineRule="auto"/>
        <w:rPr>
          <w:rFonts w:ascii="Arial" w:hAnsi="Arial" w:cs="Arial"/>
          <w:sz w:val="24"/>
          <w:szCs w:val="24"/>
        </w:rPr>
      </w:pPr>
    </w:p>
    <w:p w14:paraId="3AEE1D9E" w14:textId="1C5986D8" w:rsidR="00A44F40" w:rsidRPr="00A51D93" w:rsidRDefault="00433940" w:rsidP="002A7A64">
      <w:pPr>
        <w:spacing w:line="480" w:lineRule="auto"/>
        <w:rPr>
          <w:rFonts w:ascii="Arial" w:hAnsi="Arial" w:cs="Arial"/>
          <w:sz w:val="24"/>
          <w:szCs w:val="24"/>
        </w:rPr>
      </w:pPr>
      <w:r w:rsidRPr="00A51D93">
        <w:rPr>
          <w:rFonts w:ascii="Arial" w:hAnsi="Arial" w:cs="Arial"/>
          <w:sz w:val="24"/>
          <w:szCs w:val="24"/>
        </w:rPr>
        <w:t xml:space="preserve">Ms </w:t>
      </w:r>
      <w:r w:rsidR="00A44F40" w:rsidRPr="00A51D93">
        <w:rPr>
          <w:rFonts w:ascii="Arial" w:hAnsi="Arial" w:cs="Arial"/>
          <w:sz w:val="24"/>
          <w:szCs w:val="24"/>
        </w:rPr>
        <w:t xml:space="preserve">Napier alleges that she was bullied out of her post by the then PCC, Mr Ian Johnstone, saying she was told to leave, or he would “humiliate and dismiss her”.   Ms Napier had considered fighting this decision, however, following legal advice, opted against this and resigned.  </w:t>
      </w:r>
      <w:sdt>
        <w:sdtPr>
          <w:rPr>
            <w:rFonts w:ascii="Arial" w:hAnsi="Arial" w:cs="Arial"/>
            <w:sz w:val="24"/>
            <w:szCs w:val="24"/>
          </w:rPr>
          <w:id w:val="629439930"/>
          <w:citation/>
        </w:sdtPr>
        <w:sdtEndPr/>
        <w:sdtContent>
          <w:r w:rsidR="00A44F40" w:rsidRPr="00A51D93">
            <w:rPr>
              <w:rFonts w:ascii="Arial" w:hAnsi="Arial" w:cs="Arial"/>
              <w:sz w:val="24"/>
              <w:szCs w:val="24"/>
            </w:rPr>
            <w:fldChar w:fldCharType="begin"/>
          </w:r>
          <w:r w:rsidR="00A44F40" w:rsidRPr="00A51D93">
            <w:rPr>
              <w:rFonts w:ascii="Arial" w:hAnsi="Arial" w:cs="Arial"/>
              <w:sz w:val="24"/>
              <w:szCs w:val="24"/>
            </w:rPr>
            <w:instrText xml:space="preserve"> CITATION Hom13 \l 2057 </w:instrText>
          </w:r>
          <w:r w:rsidR="00A44F40" w:rsidRPr="00A51D93">
            <w:rPr>
              <w:rFonts w:ascii="Arial" w:hAnsi="Arial" w:cs="Arial"/>
              <w:sz w:val="24"/>
              <w:szCs w:val="24"/>
            </w:rPr>
            <w:fldChar w:fldCharType="separate"/>
          </w:r>
          <w:r w:rsidR="008E5EA8" w:rsidRPr="00A51D93">
            <w:rPr>
              <w:rFonts w:ascii="Arial" w:hAnsi="Arial" w:cs="Arial"/>
              <w:noProof/>
              <w:sz w:val="24"/>
              <w:szCs w:val="24"/>
            </w:rPr>
            <w:t>(Home Affairs Committee, 2013)</w:t>
          </w:r>
          <w:r w:rsidR="00A44F40" w:rsidRPr="00A51D93">
            <w:rPr>
              <w:rFonts w:ascii="Arial" w:hAnsi="Arial" w:cs="Arial"/>
              <w:sz w:val="24"/>
              <w:szCs w:val="24"/>
            </w:rPr>
            <w:fldChar w:fldCharType="end"/>
          </w:r>
        </w:sdtContent>
      </w:sdt>
    </w:p>
    <w:p w14:paraId="5BF30958" w14:textId="77777777" w:rsidR="00A44F40" w:rsidRPr="00A51D93" w:rsidRDefault="00A44F40" w:rsidP="002A7A64">
      <w:pPr>
        <w:spacing w:line="480" w:lineRule="auto"/>
        <w:rPr>
          <w:rFonts w:ascii="Arial" w:hAnsi="Arial" w:cs="Arial"/>
          <w:sz w:val="24"/>
          <w:szCs w:val="24"/>
        </w:rPr>
      </w:pPr>
    </w:p>
    <w:p w14:paraId="15BA51BC" w14:textId="1592B5D2"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This is countered by Mr Johnston claiming Ms Napier’s resignation was requested because her work wasn’t acceptable, despite acknowledging to the Chair of the Home Affairs Committee that his own website held an article advising of how hard Ms Napier has worked since joining Gwent as a Deputy Chief Constable.  Mr Johnston went on to say he became aware of Ms Napier advising her staff, during the early days of him being in post, that they were not to engage directly with him, and would face disciplinary action if they did so.  Mr Johnston felt this was due to Ms Napier not understanding his role as PCC, nor supporting it, adding the Chief Constable had not embraced the Act of Parliament that created </w:t>
      </w:r>
      <w:proofErr w:type="gramStart"/>
      <w:r w:rsidRPr="00A51D93">
        <w:rPr>
          <w:rFonts w:ascii="Arial" w:hAnsi="Arial" w:cs="Arial"/>
          <w:sz w:val="24"/>
          <w:szCs w:val="24"/>
        </w:rPr>
        <w:t>PCCs</w:t>
      </w:r>
      <w:proofErr w:type="gramEnd"/>
      <w:r w:rsidRPr="00A51D93">
        <w:rPr>
          <w:rFonts w:ascii="Arial" w:hAnsi="Arial" w:cs="Arial"/>
          <w:sz w:val="24"/>
          <w:szCs w:val="24"/>
        </w:rPr>
        <w:t xml:space="preserve"> and he further dismissed any notion their disagreements were due to a personality clash.  </w:t>
      </w:r>
      <w:sdt>
        <w:sdtPr>
          <w:rPr>
            <w:rFonts w:ascii="Arial" w:hAnsi="Arial" w:cs="Arial"/>
            <w:sz w:val="24"/>
            <w:szCs w:val="24"/>
          </w:rPr>
          <w:id w:val="837502093"/>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BBC13 \l 2057 </w:instrText>
          </w:r>
          <w:r w:rsidRPr="00A51D93">
            <w:rPr>
              <w:rFonts w:ascii="Arial" w:hAnsi="Arial" w:cs="Arial"/>
              <w:sz w:val="24"/>
              <w:szCs w:val="24"/>
            </w:rPr>
            <w:fldChar w:fldCharType="separate"/>
          </w:r>
          <w:r w:rsidR="008E5EA8" w:rsidRPr="00A51D93">
            <w:rPr>
              <w:rFonts w:ascii="Arial" w:hAnsi="Arial" w:cs="Arial"/>
              <w:noProof/>
              <w:sz w:val="24"/>
              <w:szCs w:val="24"/>
            </w:rPr>
            <w:t>(BBC, 2013)</w:t>
          </w:r>
          <w:r w:rsidRPr="00A51D93">
            <w:rPr>
              <w:rFonts w:ascii="Arial" w:hAnsi="Arial" w:cs="Arial"/>
              <w:sz w:val="24"/>
              <w:szCs w:val="24"/>
            </w:rPr>
            <w:fldChar w:fldCharType="end"/>
          </w:r>
        </w:sdtContent>
      </w:sdt>
      <w:r w:rsidRPr="00A51D93">
        <w:rPr>
          <w:rFonts w:ascii="Arial" w:hAnsi="Arial" w:cs="Arial"/>
          <w:sz w:val="24"/>
          <w:szCs w:val="24"/>
        </w:rPr>
        <w:t xml:space="preserve">   It can be argued that if the relationship was in difficulty from as early as Mr Johnston alludes to, then why wasn’t anything put in place to improve this prior to the action he took.  It also highlights a gap in the system, perhaps, in that, where does </w:t>
      </w:r>
      <w:r w:rsidRPr="00A51D93">
        <w:rPr>
          <w:rFonts w:ascii="Arial" w:hAnsi="Arial" w:cs="Arial"/>
          <w:sz w:val="24"/>
          <w:szCs w:val="24"/>
        </w:rPr>
        <w:lastRenderedPageBreak/>
        <w:t>the PCC go to when such incidents occur, why wasn’t a middle agent involved in the early stages to address such occurrences</w:t>
      </w:r>
      <w:r w:rsidR="004363C0" w:rsidRPr="00A51D93">
        <w:rPr>
          <w:rFonts w:ascii="Arial" w:hAnsi="Arial" w:cs="Arial"/>
          <w:sz w:val="24"/>
          <w:szCs w:val="24"/>
        </w:rPr>
        <w:t>?</w:t>
      </w:r>
    </w:p>
    <w:p w14:paraId="27DE47D4" w14:textId="77777777" w:rsidR="00A44F40" w:rsidRPr="00A51D93" w:rsidRDefault="00A44F40" w:rsidP="002A7A64">
      <w:pPr>
        <w:spacing w:line="480" w:lineRule="auto"/>
        <w:rPr>
          <w:rFonts w:ascii="Arial" w:hAnsi="Arial" w:cs="Arial"/>
          <w:sz w:val="24"/>
          <w:szCs w:val="24"/>
        </w:rPr>
      </w:pPr>
    </w:p>
    <w:p w14:paraId="15766224" w14:textId="72CD985E" w:rsidR="00A44F40" w:rsidRPr="00A51D93" w:rsidRDefault="004363C0" w:rsidP="002A7A64">
      <w:pPr>
        <w:spacing w:line="480" w:lineRule="auto"/>
        <w:rPr>
          <w:rFonts w:ascii="Arial" w:hAnsi="Arial" w:cs="Arial"/>
          <w:sz w:val="24"/>
          <w:szCs w:val="24"/>
        </w:rPr>
      </w:pPr>
      <w:r w:rsidRPr="00A51D93">
        <w:rPr>
          <w:rFonts w:ascii="Arial" w:hAnsi="Arial" w:cs="Arial"/>
          <w:sz w:val="24"/>
          <w:szCs w:val="24"/>
        </w:rPr>
        <w:t xml:space="preserve">What </w:t>
      </w:r>
      <w:r w:rsidR="00A44F40" w:rsidRPr="00A51D93">
        <w:rPr>
          <w:rFonts w:ascii="Arial" w:hAnsi="Arial" w:cs="Arial"/>
          <w:sz w:val="24"/>
          <w:szCs w:val="24"/>
        </w:rPr>
        <w:t xml:space="preserve">did become clear throughout this process was that Mr Johnston requested the resignation of Ms Napier, without any consultation with the PCP.  Mr Johnston did raise with the Chair of the Home Affairs Committee that there did in fact remain confusion on the process, although he claims he sought legal advice.  </w:t>
      </w:r>
      <w:sdt>
        <w:sdtPr>
          <w:rPr>
            <w:rFonts w:ascii="Arial" w:hAnsi="Arial" w:cs="Arial"/>
            <w:sz w:val="24"/>
            <w:szCs w:val="24"/>
          </w:rPr>
          <w:id w:val="1480030942"/>
          <w:citation/>
        </w:sdtPr>
        <w:sdtEndPr/>
        <w:sdtContent>
          <w:r w:rsidR="00A44F40" w:rsidRPr="00A51D93">
            <w:rPr>
              <w:rFonts w:ascii="Arial" w:hAnsi="Arial" w:cs="Arial"/>
              <w:sz w:val="24"/>
              <w:szCs w:val="24"/>
            </w:rPr>
            <w:fldChar w:fldCharType="begin"/>
          </w:r>
          <w:r w:rsidR="00A44F40" w:rsidRPr="00A51D93">
            <w:rPr>
              <w:rFonts w:ascii="Arial" w:hAnsi="Arial" w:cs="Arial"/>
              <w:sz w:val="24"/>
              <w:szCs w:val="24"/>
            </w:rPr>
            <w:instrText xml:space="preserve"> CITATION BBC13 \l 2057 </w:instrText>
          </w:r>
          <w:r w:rsidR="00A44F40" w:rsidRPr="00A51D93">
            <w:rPr>
              <w:rFonts w:ascii="Arial" w:hAnsi="Arial" w:cs="Arial"/>
              <w:sz w:val="24"/>
              <w:szCs w:val="24"/>
            </w:rPr>
            <w:fldChar w:fldCharType="separate"/>
          </w:r>
          <w:r w:rsidR="008E5EA8" w:rsidRPr="00A51D93">
            <w:rPr>
              <w:rFonts w:ascii="Arial" w:hAnsi="Arial" w:cs="Arial"/>
              <w:noProof/>
              <w:sz w:val="24"/>
              <w:szCs w:val="24"/>
            </w:rPr>
            <w:t>(BBC, 2013)</w:t>
          </w:r>
          <w:r w:rsidR="00A44F40" w:rsidRPr="00A51D93">
            <w:rPr>
              <w:rFonts w:ascii="Arial" w:hAnsi="Arial" w:cs="Arial"/>
              <w:sz w:val="24"/>
              <w:szCs w:val="24"/>
            </w:rPr>
            <w:fldChar w:fldCharType="end"/>
          </w:r>
        </w:sdtContent>
      </w:sdt>
      <w:r w:rsidR="00A44F40" w:rsidRPr="00A51D93">
        <w:rPr>
          <w:rFonts w:ascii="Arial" w:hAnsi="Arial" w:cs="Arial"/>
          <w:sz w:val="24"/>
          <w:szCs w:val="24"/>
        </w:rPr>
        <w:t xml:space="preserve">. The current structure dictates that a decision to remove a Chief Constable must be referred to the local PCP, who will subsequently have six weeks within which to consider the matter and pass a recommendation to the PCC.    They may hold a scrutiny meeting and request a report from HMICFRS, however, as discussed previously, this panel holds no power of </w:t>
      </w:r>
      <w:proofErr w:type="gramStart"/>
      <w:r w:rsidR="00A44F40" w:rsidRPr="00A51D93">
        <w:rPr>
          <w:rFonts w:ascii="Arial" w:hAnsi="Arial" w:cs="Arial"/>
          <w:sz w:val="24"/>
          <w:szCs w:val="24"/>
        </w:rPr>
        <w:t>veto</w:t>
      </w:r>
      <w:proofErr w:type="gramEnd"/>
      <w:r w:rsidR="00A44F40" w:rsidRPr="00A51D93">
        <w:rPr>
          <w:rFonts w:ascii="Arial" w:hAnsi="Arial" w:cs="Arial"/>
          <w:sz w:val="24"/>
          <w:szCs w:val="24"/>
        </w:rPr>
        <w:t xml:space="preserve"> and any recommendation will be purely advisory; the final decision rests with the PCC. </w:t>
      </w:r>
      <w:sdt>
        <w:sdtPr>
          <w:rPr>
            <w:rFonts w:ascii="Arial" w:hAnsi="Arial" w:cs="Arial"/>
            <w:sz w:val="24"/>
            <w:szCs w:val="24"/>
          </w:rPr>
          <w:id w:val="1557353367"/>
          <w:citation/>
        </w:sdtPr>
        <w:sdtEndPr/>
        <w:sdtContent>
          <w:r w:rsidR="00A44F40" w:rsidRPr="00A51D93">
            <w:rPr>
              <w:rFonts w:ascii="Arial" w:hAnsi="Arial" w:cs="Arial"/>
              <w:sz w:val="24"/>
              <w:szCs w:val="24"/>
            </w:rPr>
            <w:fldChar w:fldCharType="begin"/>
          </w:r>
          <w:r w:rsidR="00A44F40" w:rsidRPr="00A51D93">
            <w:rPr>
              <w:rFonts w:ascii="Arial" w:hAnsi="Arial" w:cs="Arial"/>
              <w:sz w:val="24"/>
              <w:szCs w:val="24"/>
            </w:rPr>
            <w:instrText xml:space="preserve"> CITATION Hom131 \l 2057 </w:instrText>
          </w:r>
          <w:r w:rsidR="00A44F40" w:rsidRPr="00A51D93">
            <w:rPr>
              <w:rFonts w:ascii="Arial" w:hAnsi="Arial" w:cs="Arial"/>
              <w:sz w:val="24"/>
              <w:szCs w:val="24"/>
            </w:rPr>
            <w:fldChar w:fldCharType="separate"/>
          </w:r>
          <w:r w:rsidR="008E5EA8" w:rsidRPr="00A51D93">
            <w:rPr>
              <w:rFonts w:ascii="Arial" w:hAnsi="Arial" w:cs="Arial"/>
              <w:noProof/>
              <w:sz w:val="24"/>
              <w:szCs w:val="24"/>
            </w:rPr>
            <w:t>(Home Office, 2013)</w:t>
          </w:r>
          <w:r w:rsidR="00A44F40" w:rsidRPr="00A51D93">
            <w:rPr>
              <w:rFonts w:ascii="Arial" w:hAnsi="Arial" w:cs="Arial"/>
              <w:sz w:val="24"/>
              <w:szCs w:val="24"/>
            </w:rPr>
            <w:fldChar w:fldCharType="end"/>
          </w:r>
        </w:sdtContent>
      </w:sdt>
      <w:r w:rsidR="00A44F40" w:rsidRPr="00A51D93">
        <w:rPr>
          <w:rFonts w:ascii="Arial" w:hAnsi="Arial" w:cs="Arial"/>
          <w:sz w:val="24"/>
          <w:szCs w:val="24"/>
        </w:rPr>
        <w:t xml:space="preserve"> </w:t>
      </w:r>
    </w:p>
    <w:p w14:paraId="799FB58C" w14:textId="77777777" w:rsidR="00A44F40" w:rsidRPr="00A51D93" w:rsidRDefault="00A44F40" w:rsidP="002A7A64">
      <w:pPr>
        <w:spacing w:line="480" w:lineRule="auto"/>
        <w:rPr>
          <w:rFonts w:ascii="Arial" w:hAnsi="Arial" w:cs="Arial"/>
          <w:sz w:val="24"/>
          <w:szCs w:val="24"/>
        </w:rPr>
      </w:pPr>
    </w:p>
    <w:p w14:paraId="7F04BE15" w14:textId="5A96170B" w:rsidR="00A44F40" w:rsidRPr="00A51D93" w:rsidRDefault="00A44F40" w:rsidP="002A7A64">
      <w:pPr>
        <w:spacing w:line="480" w:lineRule="auto"/>
        <w:rPr>
          <w:rFonts w:ascii="Arial" w:hAnsi="Arial" w:cs="Arial"/>
          <w:sz w:val="24"/>
          <w:szCs w:val="24"/>
          <w:shd w:val="clear" w:color="auto" w:fill="FFFFFF"/>
        </w:rPr>
      </w:pPr>
      <w:r w:rsidRPr="00A51D93">
        <w:rPr>
          <w:rFonts w:ascii="Arial" w:hAnsi="Arial" w:cs="Arial"/>
          <w:sz w:val="24"/>
          <w:szCs w:val="24"/>
        </w:rPr>
        <w:t>It is to be asked, therefore, whilst the implementation of the PCC may serve to hold the Chief Constable to account, who exactly is holding the PCC to account, if the PCP hold</w:t>
      </w:r>
      <w:r w:rsidR="00B873F5" w:rsidRPr="00A51D93">
        <w:rPr>
          <w:rFonts w:ascii="Arial" w:hAnsi="Arial" w:cs="Arial"/>
          <w:sz w:val="24"/>
          <w:szCs w:val="24"/>
        </w:rPr>
        <w:t>s</w:t>
      </w:r>
      <w:r w:rsidRPr="00A51D93">
        <w:rPr>
          <w:rFonts w:ascii="Arial" w:hAnsi="Arial" w:cs="Arial"/>
          <w:sz w:val="24"/>
          <w:szCs w:val="24"/>
        </w:rPr>
        <w:t xml:space="preserve"> no power over the PCC and, additionally, what exactly do they do (the PCP).  In this instance, it is clear this process holds no safeguarding for the Chief Constable, as discussed, the PCP </w:t>
      </w:r>
      <w:proofErr w:type="gramStart"/>
      <w:r w:rsidRPr="00A51D93">
        <w:rPr>
          <w:rFonts w:ascii="Arial" w:hAnsi="Arial" w:cs="Arial"/>
          <w:sz w:val="24"/>
          <w:szCs w:val="24"/>
        </w:rPr>
        <w:t>aren’t able to</w:t>
      </w:r>
      <w:proofErr w:type="gramEnd"/>
      <w:r w:rsidRPr="00A51D93">
        <w:rPr>
          <w:rFonts w:ascii="Arial" w:hAnsi="Arial" w:cs="Arial"/>
          <w:sz w:val="24"/>
          <w:szCs w:val="24"/>
        </w:rPr>
        <w:t xml:space="preserve"> change the decision of the PCC and nor can the Inspectorate of </w:t>
      </w:r>
      <w:r w:rsidR="00F70544" w:rsidRPr="00A51D93">
        <w:rPr>
          <w:rFonts w:ascii="Arial" w:hAnsi="Arial" w:cs="Arial"/>
          <w:sz w:val="24"/>
          <w:szCs w:val="24"/>
        </w:rPr>
        <w:t>C</w:t>
      </w:r>
      <w:r w:rsidRPr="00A51D93">
        <w:rPr>
          <w:rFonts w:ascii="Arial" w:hAnsi="Arial" w:cs="Arial"/>
          <w:sz w:val="24"/>
          <w:szCs w:val="24"/>
        </w:rPr>
        <w:t xml:space="preserve">onstabulary, not even the Home Secretary.  </w:t>
      </w:r>
      <w:sdt>
        <w:sdtPr>
          <w:rPr>
            <w:rFonts w:ascii="Arial" w:hAnsi="Arial" w:cs="Arial"/>
            <w:sz w:val="24"/>
            <w:szCs w:val="24"/>
          </w:rPr>
          <w:id w:val="-1769998235"/>
          <w:citation/>
        </w:sdtPr>
        <w:sdtEndPr/>
        <w:sdtContent>
          <w:r w:rsidRPr="00A51D93">
            <w:rPr>
              <w:rFonts w:ascii="Arial" w:hAnsi="Arial" w:cs="Arial"/>
              <w:sz w:val="24"/>
              <w:szCs w:val="24"/>
            </w:rPr>
            <w:fldChar w:fldCharType="begin"/>
          </w:r>
          <w:r w:rsidRPr="00A51D93">
            <w:rPr>
              <w:rFonts w:ascii="Arial" w:hAnsi="Arial" w:cs="Arial"/>
              <w:sz w:val="24"/>
              <w:szCs w:val="24"/>
              <w:shd w:val="clear" w:color="auto" w:fill="FFFFFF"/>
            </w:rPr>
            <w:instrText xml:space="preserve"> CITATION Hom131 \l 2057 </w:instrText>
          </w:r>
          <w:r w:rsidRPr="00A51D93">
            <w:rPr>
              <w:rFonts w:ascii="Arial" w:hAnsi="Arial" w:cs="Arial"/>
              <w:sz w:val="24"/>
              <w:szCs w:val="24"/>
            </w:rPr>
            <w:fldChar w:fldCharType="separate"/>
          </w:r>
          <w:r w:rsidR="008E5EA8" w:rsidRPr="00A51D93">
            <w:rPr>
              <w:rFonts w:ascii="Arial" w:hAnsi="Arial" w:cs="Arial"/>
              <w:noProof/>
              <w:sz w:val="24"/>
              <w:szCs w:val="24"/>
              <w:shd w:val="clear" w:color="auto" w:fill="FFFFFF"/>
            </w:rPr>
            <w:t>(Home Office, 2013)</w:t>
          </w:r>
          <w:r w:rsidRPr="00A51D93">
            <w:rPr>
              <w:rFonts w:ascii="Arial" w:hAnsi="Arial" w:cs="Arial"/>
              <w:sz w:val="24"/>
              <w:szCs w:val="24"/>
            </w:rPr>
            <w:fldChar w:fldCharType="end"/>
          </w:r>
        </w:sdtContent>
      </w:sdt>
      <w:r w:rsidRPr="00A51D93">
        <w:rPr>
          <w:rFonts w:ascii="Arial" w:hAnsi="Arial" w:cs="Arial"/>
          <w:sz w:val="24"/>
          <w:szCs w:val="24"/>
          <w:shd w:val="clear" w:color="auto" w:fill="FFFFFF"/>
        </w:rPr>
        <w:t>.</w:t>
      </w:r>
    </w:p>
    <w:p w14:paraId="63D7CDEF" w14:textId="77777777" w:rsidR="00E3044F" w:rsidRPr="00A51D93" w:rsidRDefault="00E3044F" w:rsidP="002A7A64">
      <w:pPr>
        <w:spacing w:line="480" w:lineRule="auto"/>
        <w:rPr>
          <w:rFonts w:ascii="Arial" w:hAnsi="Arial" w:cs="Arial"/>
          <w:sz w:val="24"/>
          <w:szCs w:val="24"/>
          <w:shd w:val="clear" w:color="auto" w:fill="FFFFFF"/>
        </w:rPr>
      </w:pPr>
    </w:p>
    <w:p w14:paraId="50C6F04D" w14:textId="52E18B42"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That said, this is addressed in the case of the request of the resignation of Nick </w:t>
      </w:r>
      <w:proofErr w:type="spellStart"/>
      <w:r w:rsidRPr="00A51D93">
        <w:rPr>
          <w:rFonts w:ascii="Arial" w:hAnsi="Arial" w:cs="Arial"/>
          <w:sz w:val="24"/>
          <w:szCs w:val="24"/>
        </w:rPr>
        <w:t>Gargan</w:t>
      </w:r>
      <w:proofErr w:type="spellEnd"/>
      <w:r w:rsidRPr="00A51D93">
        <w:rPr>
          <w:rFonts w:ascii="Arial" w:hAnsi="Arial" w:cs="Arial"/>
          <w:sz w:val="24"/>
          <w:szCs w:val="24"/>
        </w:rPr>
        <w:t xml:space="preserve">, former Chief Constable of Avon &amp; Somerset Police by the then PCC, Sue </w:t>
      </w:r>
      <w:proofErr w:type="spellStart"/>
      <w:r w:rsidRPr="00A51D93">
        <w:rPr>
          <w:rFonts w:ascii="Arial" w:hAnsi="Arial" w:cs="Arial"/>
          <w:sz w:val="24"/>
          <w:szCs w:val="24"/>
        </w:rPr>
        <w:lastRenderedPageBreak/>
        <w:t>Mountstevens</w:t>
      </w:r>
      <w:proofErr w:type="spellEnd"/>
      <w:r w:rsidRPr="00A51D93">
        <w:rPr>
          <w:rFonts w:ascii="Arial" w:hAnsi="Arial" w:cs="Arial"/>
          <w:sz w:val="24"/>
          <w:szCs w:val="24"/>
        </w:rPr>
        <w:t xml:space="preserve">; this was done as she invoked the responsibility of the Police Reform and Social Responsibility Act 2011 and demanded he left his job.  This arose from a situation whereby, following suspension amid allegations of inappropriate advances to women, of which he was cleared, a further internal misconduct hearing was held where Mr </w:t>
      </w:r>
      <w:proofErr w:type="spellStart"/>
      <w:r w:rsidRPr="00A51D93">
        <w:rPr>
          <w:rFonts w:ascii="Arial" w:hAnsi="Arial" w:cs="Arial"/>
          <w:sz w:val="24"/>
          <w:szCs w:val="24"/>
        </w:rPr>
        <w:t>Gargan</w:t>
      </w:r>
      <w:proofErr w:type="spellEnd"/>
      <w:r w:rsidRPr="00A51D93">
        <w:rPr>
          <w:rFonts w:ascii="Arial" w:hAnsi="Arial" w:cs="Arial"/>
          <w:sz w:val="24"/>
          <w:szCs w:val="24"/>
        </w:rPr>
        <w:t xml:space="preserve"> was found to be guilty of misconduct.  It was Mr </w:t>
      </w:r>
      <w:proofErr w:type="spellStart"/>
      <w:r w:rsidRPr="00A51D93">
        <w:rPr>
          <w:rFonts w:ascii="Arial" w:hAnsi="Arial" w:cs="Arial"/>
          <w:sz w:val="24"/>
          <w:szCs w:val="24"/>
        </w:rPr>
        <w:t>Gargan’s</w:t>
      </w:r>
      <w:proofErr w:type="spellEnd"/>
      <w:r w:rsidRPr="00A51D93">
        <w:rPr>
          <w:rFonts w:ascii="Arial" w:hAnsi="Arial" w:cs="Arial"/>
          <w:sz w:val="24"/>
          <w:szCs w:val="24"/>
        </w:rPr>
        <w:t xml:space="preserve"> original intention to return to office following his suspension, however, there was outcry from previous Chief officers and members of the public, including an online petition.   Ms </w:t>
      </w:r>
      <w:proofErr w:type="spellStart"/>
      <w:r w:rsidRPr="00A51D93">
        <w:rPr>
          <w:rFonts w:ascii="Arial" w:hAnsi="Arial" w:cs="Arial"/>
          <w:sz w:val="24"/>
          <w:szCs w:val="24"/>
        </w:rPr>
        <w:t>Mountstevens</w:t>
      </w:r>
      <w:proofErr w:type="spellEnd"/>
      <w:r w:rsidRPr="00A51D93">
        <w:rPr>
          <w:rFonts w:ascii="Arial" w:hAnsi="Arial" w:cs="Arial"/>
          <w:sz w:val="24"/>
          <w:szCs w:val="24"/>
        </w:rPr>
        <w:t xml:space="preserve"> fulfilled her obligations and took her concerns to Sir Tom Winsor, Chief Inspector of Constabulary, who supported her view in that Mr </w:t>
      </w:r>
      <w:proofErr w:type="spellStart"/>
      <w:r w:rsidRPr="00A51D93">
        <w:rPr>
          <w:rFonts w:ascii="Arial" w:hAnsi="Arial" w:cs="Arial"/>
          <w:sz w:val="24"/>
          <w:szCs w:val="24"/>
        </w:rPr>
        <w:t>Gargan</w:t>
      </w:r>
      <w:proofErr w:type="spellEnd"/>
      <w:r w:rsidRPr="00A51D93">
        <w:rPr>
          <w:rFonts w:ascii="Arial" w:hAnsi="Arial" w:cs="Arial"/>
          <w:sz w:val="24"/>
          <w:szCs w:val="24"/>
        </w:rPr>
        <w:t xml:space="preserve"> must leave his post.  </w:t>
      </w:r>
      <w:sdt>
        <w:sdtPr>
          <w:rPr>
            <w:rFonts w:ascii="Arial" w:hAnsi="Arial" w:cs="Arial"/>
            <w:sz w:val="24"/>
            <w:szCs w:val="24"/>
          </w:rPr>
          <w:id w:val="2147164008"/>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Mor23 \l 2057 </w:instrText>
          </w:r>
          <w:r w:rsidRPr="00A51D93">
            <w:rPr>
              <w:rFonts w:ascii="Arial" w:hAnsi="Arial" w:cs="Arial"/>
              <w:sz w:val="24"/>
              <w:szCs w:val="24"/>
            </w:rPr>
            <w:fldChar w:fldCharType="separate"/>
          </w:r>
          <w:r w:rsidR="008E5EA8" w:rsidRPr="00A51D93">
            <w:rPr>
              <w:rFonts w:ascii="Arial" w:hAnsi="Arial" w:cs="Arial"/>
              <w:noProof/>
              <w:sz w:val="24"/>
              <w:szCs w:val="24"/>
            </w:rPr>
            <w:t>(Morris, 2023)</w:t>
          </w:r>
          <w:r w:rsidRPr="00A51D93">
            <w:rPr>
              <w:rFonts w:ascii="Arial" w:hAnsi="Arial" w:cs="Arial"/>
              <w:sz w:val="24"/>
              <w:szCs w:val="24"/>
            </w:rPr>
            <w:fldChar w:fldCharType="end"/>
          </w:r>
        </w:sdtContent>
      </w:sdt>
    </w:p>
    <w:p w14:paraId="7AFD911C" w14:textId="77777777" w:rsidR="00A44F40" w:rsidRPr="00A51D93" w:rsidRDefault="00A44F40" w:rsidP="002A7A64">
      <w:pPr>
        <w:spacing w:line="480" w:lineRule="auto"/>
        <w:rPr>
          <w:rFonts w:ascii="Arial" w:hAnsi="Arial" w:cs="Arial"/>
          <w:sz w:val="24"/>
          <w:szCs w:val="24"/>
        </w:rPr>
      </w:pPr>
    </w:p>
    <w:p w14:paraId="6CB4E8E3" w14:textId="0341E785" w:rsidR="00A44F40" w:rsidRPr="00A51D93" w:rsidRDefault="003078EC" w:rsidP="002A7A64">
      <w:pPr>
        <w:spacing w:line="480" w:lineRule="auto"/>
        <w:rPr>
          <w:rFonts w:ascii="Arial" w:eastAsia="Arial" w:hAnsi="Arial" w:cs="Arial"/>
          <w:sz w:val="24"/>
          <w:szCs w:val="24"/>
        </w:rPr>
      </w:pPr>
      <w:r w:rsidRPr="00A51D93">
        <w:rPr>
          <w:rFonts w:ascii="Arial" w:eastAsia="Arial" w:hAnsi="Arial" w:cs="Arial"/>
          <w:sz w:val="24"/>
          <w:szCs w:val="24"/>
        </w:rPr>
        <w:t xml:space="preserve">It could be argued that this </w:t>
      </w:r>
      <w:r w:rsidR="00A44F40" w:rsidRPr="00A51D93">
        <w:rPr>
          <w:rFonts w:ascii="Arial" w:eastAsia="Arial" w:hAnsi="Arial" w:cs="Arial"/>
          <w:sz w:val="24"/>
          <w:szCs w:val="24"/>
        </w:rPr>
        <w:t xml:space="preserve">legislation </w:t>
      </w:r>
      <w:r w:rsidRPr="00A51D93">
        <w:rPr>
          <w:rFonts w:ascii="Arial" w:eastAsia="Arial" w:hAnsi="Arial" w:cs="Arial"/>
          <w:sz w:val="24"/>
          <w:szCs w:val="24"/>
        </w:rPr>
        <w:t xml:space="preserve">and </w:t>
      </w:r>
      <w:r w:rsidR="00A44F40" w:rsidRPr="00A51D93">
        <w:rPr>
          <w:rFonts w:ascii="Arial" w:eastAsia="Arial" w:hAnsi="Arial" w:cs="Arial"/>
          <w:sz w:val="24"/>
          <w:szCs w:val="24"/>
        </w:rPr>
        <w:t xml:space="preserve">the introduction of the PCCs and the PCPs have only added visible layers of governance rather than actual facilitating layers, to what can be described as an already crowded arena of governance for policing in the UK.  </w:t>
      </w:r>
    </w:p>
    <w:p w14:paraId="73574745" w14:textId="77777777" w:rsidR="00A44F40" w:rsidRPr="00A51D93" w:rsidRDefault="00A44F40" w:rsidP="002A7A64">
      <w:pPr>
        <w:spacing w:line="480" w:lineRule="auto"/>
        <w:rPr>
          <w:rFonts w:ascii="Arial" w:eastAsia="Arial" w:hAnsi="Arial" w:cs="Arial"/>
          <w:sz w:val="24"/>
          <w:szCs w:val="24"/>
        </w:rPr>
      </w:pPr>
    </w:p>
    <w:p w14:paraId="7656172D" w14:textId="71CBA4D3"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In addition to the previously discussed bodies, governance of policing doesn’t only lie with the PCC and the Chief Constables.  The central governing of policing includes many other bodies, such as the Independent Office of Police Complaints (IOPC), National Audit Office, College of Policing, Information Commissioners Officer and Her Majesty’s Inspectorate of Constabulary and Fire Rescue Services (HMICFRS).  This is </w:t>
      </w:r>
      <w:r w:rsidR="00B05AD2" w:rsidRPr="00A51D93">
        <w:rPr>
          <w:rFonts w:ascii="Arial" w:eastAsia="Arial" w:hAnsi="Arial" w:cs="Arial"/>
          <w:sz w:val="24"/>
          <w:szCs w:val="24"/>
        </w:rPr>
        <w:t xml:space="preserve">on top of </w:t>
      </w:r>
      <w:r w:rsidRPr="00A51D93">
        <w:rPr>
          <w:rFonts w:ascii="Arial" w:eastAsia="Arial" w:hAnsi="Arial" w:cs="Arial"/>
          <w:sz w:val="24"/>
          <w:szCs w:val="24"/>
        </w:rPr>
        <w:t>the internal accountabilit</w:t>
      </w:r>
      <w:r w:rsidR="00B05AD2" w:rsidRPr="00A51D93">
        <w:rPr>
          <w:rFonts w:ascii="Arial" w:eastAsia="Arial" w:hAnsi="Arial" w:cs="Arial"/>
          <w:sz w:val="24"/>
          <w:szCs w:val="24"/>
        </w:rPr>
        <w:t>ies</w:t>
      </w:r>
      <w:r w:rsidRPr="00A51D93">
        <w:rPr>
          <w:rFonts w:ascii="Arial" w:eastAsia="Arial" w:hAnsi="Arial" w:cs="Arial"/>
          <w:sz w:val="24"/>
          <w:szCs w:val="24"/>
        </w:rPr>
        <w:t xml:space="preserve"> such as Professional Standards Departments.</w:t>
      </w:r>
    </w:p>
    <w:p w14:paraId="5FC415F4" w14:textId="77777777" w:rsidR="00A44F40" w:rsidRPr="00A51D93" w:rsidRDefault="00A44F40" w:rsidP="002A7A64">
      <w:pPr>
        <w:spacing w:line="480" w:lineRule="auto"/>
        <w:rPr>
          <w:rFonts w:ascii="Arial" w:eastAsia="Arial" w:hAnsi="Arial" w:cs="Arial"/>
          <w:sz w:val="24"/>
          <w:szCs w:val="24"/>
        </w:rPr>
      </w:pPr>
    </w:p>
    <w:p w14:paraId="21F030EA" w14:textId="5B8B9B40" w:rsidR="00E3044F" w:rsidRPr="00A51D93" w:rsidRDefault="00A44F40" w:rsidP="002A7A64">
      <w:pPr>
        <w:pStyle w:val="NormalWeb"/>
        <w:spacing w:before="0" w:beforeAutospacing="0" w:after="360" w:afterAutospacing="0" w:line="480" w:lineRule="auto"/>
        <w:rPr>
          <w:rFonts w:ascii="Arial" w:eastAsia="Arial" w:hAnsi="Arial" w:cs="Arial"/>
        </w:rPr>
      </w:pPr>
      <w:r w:rsidRPr="00A51D93">
        <w:rPr>
          <w:rFonts w:ascii="Arial" w:eastAsia="Arial" w:hAnsi="Arial" w:cs="Arial"/>
        </w:rPr>
        <w:lastRenderedPageBreak/>
        <w:t xml:space="preserve">As </w:t>
      </w:r>
      <w:r w:rsidR="004E424D" w:rsidRPr="00A51D93">
        <w:rPr>
          <w:rFonts w:ascii="Arial" w:eastAsia="Arial" w:hAnsi="Arial" w:cs="Arial"/>
        </w:rPr>
        <w:t>stated</w:t>
      </w:r>
      <w:r w:rsidR="0070723D" w:rsidRPr="00A51D93">
        <w:rPr>
          <w:rFonts w:ascii="Arial" w:eastAsia="Arial" w:hAnsi="Arial" w:cs="Arial"/>
        </w:rPr>
        <w:t xml:space="preserve"> by </w:t>
      </w:r>
      <w:sdt>
        <w:sdtPr>
          <w:rPr>
            <w:rFonts w:ascii="Arial" w:eastAsia="Arial" w:hAnsi="Arial" w:cs="Arial"/>
          </w:rPr>
          <w:id w:val="-1829585521"/>
          <w:citation/>
        </w:sdtPr>
        <w:sdtEndPr/>
        <w:sdtContent>
          <w:r w:rsidRPr="00A51D93">
            <w:rPr>
              <w:rFonts w:ascii="Arial" w:eastAsia="Arial" w:hAnsi="Arial" w:cs="Arial"/>
            </w:rPr>
            <w:fldChar w:fldCharType="begin"/>
          </w:r>
          <w:r w:rsidRPr="00A51D93">
            <w:rPr>
              <w:rFonts w:ascii="Arial" w:eastAsia="Arial" w:hAnsi="Arial" w:cs="Arial"/>
            </w:rPr>
            <w:instrText xml:space="preserve"> CITATION Wal11 \l 2057 </w:instrText>
          </w:r>
          <w:r w:rsidRPr="00A51D93">
            <w:rPr>
              <w:rFonts w:ascii="Arial" w:eastAsia="Arial" w:hAnsi="Arial" w:cs="Arial"/>
            </w:rPr>
            <w:fldChar w:fldCharType="separate"/>
          </w:r>
          <w:r w:rsidR="008E5EA8" w:rsidRPr="00A51D93">
            <w:rPr>
              <w:rFonts w:ascii="Arial" w:eastAsia="Arial" w:hAnsi="Arial" w:cs="Arial"/>
              <w:noProof/>
            </w:rPr>
            <w:t>(Walsh &amp; Conway, 2011)</w:t>
          </w:r>
          <w:r w:rsidRPr="00A51D93">
            <w:rPr>
              <w:rFonts w:ascii="Arial" w:eastAsia="Arial" w:hAnsi="Arial" w:cs="Arial"/>
            </w:rPr>
            <w:fldChar w:fldCharType="end"/>
          </w:r>
        </w:sdtContent>
      </w:sdt>
      <w:r w:rsidRPr="00A51D93">
        <w:rPr>
          <w:rFonts w:ascii="Arial" w:eastAsia="Arial" w:hAnsi="Arial" w:cs="Arial"/>
        </w:rPr>
        <w:t xml:space="preserve"> these external governance structures have the potential to adversely affect many aspects of policing, including the already low morale of police and hinder their capability of management of police and their ability to emphasise their authority and discipline throughout the organisation.  If, for example, focus was put to the IOPC and their role</w:t>
      </w:r>
      <w:r w:rsidR="00B31356" w:rsidRPr="00A51D93">
        <w:rPr>
          <w:rFonts w:ascii="Arial" w:eastAsia="Arial" w:hAnsi="Arial" w:cs="Arial"/>
        </w:rPr>
        <w:t>,</w:t>
      </w:r>
      <w:r w:rsidRPr="00A51D93">
        <w:rPr>
          <w:rFonts w:ascii="Arial" w:eastAsia="Arial" w:hAnsi="Arial" w:cs="Arial"/>
        </w:rPr>
        <w:t xml:space="preserve"> it can be argued that police already hold their officers to account with their internal departments of Professional Standards (PSD), surely that’s enough.  As stated by College of Policing, the theory of policing by consent is based upon the investment of the public’s trust and confidence.  The PSD’s role is not only to investigate ethically any misconduct or complaint, but they too play an integral part in maintaining that public trust.  </w:t>
      </w:r>
      <w:sdt>
        <w:sdtPr>
          <w:rPr>
            <w:rFonts w:ascii="Arial" w:eastAsia="Arial" w:hAnsi="Arial" w:cs="Arial"/>
          </w:rPr>
          <w:id w:val="1576475820"/>
          <w:citation/>
        </w:sdtPr>
        <w:sdtEndPr/>
        <w:sdtContent>
          <w:r w:rsidRPr="00A51D93">
            <w:rPr>
              <w:rFonts w:ascii="Arial" w:eastAsia="Arial" w:hAnsi="Arial" w:cs="Arial"/>
            </w:rPr>
            <w:fldChar w:fldCharType="begin"/>
          </w:r>
          <w:r w:rsidRPr="00A51D93">
            <w:rPr>
              <w:rFonts w:ascii="Arial" w:eastAsia="Arial" w:hAnsi="Arial" w:cs="Arial"/>
            </w:rPr>
            <w:instrText xml:space="preserve"> CITATION Col17 \l 2057 </w:instrText>
          </w:r>
          <w:r w:rsidRPr="00A51D93">
            <w:rPr>
              <w:rFonts w:ascii="Arial" w:eastAsia="Arial" w:hAnsi="Arial" w:cs="Arial"/>
            </w:rPr>
            <w:fldChar w:fldCharType="separate"/>
          </w:r>
          <w:r w:rsidR="008E5EA8" w:rsidRPr="00A51D93">
            <w:rPr>
              <w:rFonts w:ascii="Arial" w:eastAsia="Arial" w:hAnsi="Arial" w:cs="Arial"/>
              <w:noProof/>
            </w:rPr>
            <w:t>(College of Policing, 2017)</w:t>
          </w:r>
          <w:r w:rsidRPr="00A51D93">
            <w:rPr>
              <w:rFonts w:ascii="Arial" w:eastAsia="Arial" w:hAnsi="Arial" w:cs="Arial"/>
            </w:rPr>
            <w:fldChar w:fldCharType="end"/>
          </w:r>
        </w:sdtContent>
      </w:sdt>
    </w:p>
    <w:p w14:paraId="5D01A536" w14:textId="77777777" w:rsidR="00E3044F" w:rsidRPr="00A51D93" w:rsidRDefault="00E3044F" w:rsidP="002A7A64">
      <w:pPr>
        <w:pStyle w:val="NormalWeb"/>
        <w:spacing w:before="0" w:beforeAutospacing="0" w:after="360" w:afterAutospacing="0" w:line="480" w:lineRule="auto"/>
        <w:rPr>
          <w:rFonts w:ascii="Arial" w:eastAsia="Arial" w:hAnsi="Arial" w:cs="Arial"/>
        </w:rPr>
      </w:pPr>
    </w:p>
    <w:p w14:paraId="71ABBAB2" w14:textId="6E83E7E8" w:rsidR="00A44F40" w:rsidRPr="00A51D93" w:rsidRDefault="00A44F40" w:rsidP="002A7A64">
      <w:pPr>
        <w:spacing w:line="480" w:lineRule="auto"/>
        <w:rPr>
          <w:rFonts w:ascii="Arial" w:eastAsia="Arial" w:hAnsi="Arial" w:cs="Arial"/>
          <w:sz w:val="24"/>
          <w:szCs w:val="24"/>
        </w:rPr>
      </w:pPr>
      <w:r w:rsidRPr="00A51D93">
        <w:rPr>
          <w:rFonts w:ascii="Arial" w:eastAsia="Arial" w:hAnsi="Arial" w:cs="Arial"/>
          <w:sz w:val="24"/>
          <w:szCs w:val="24"/>
        </w:rPr>
        <w:t xml:space="preserve">But, as suggested by </w:t>
      </w:r>
      <w:sdt>
        <w:sdtPr>
          <w:rPr>
            <w:rFonts w:ascii="Arial" w:eastAsia="Arial" w:hAnsi="Arial" w:cs="Arial"/>
            <w:sz w:val="24"/>
            <w:szCs w:val="24"/>
          </w:rPr>
          <w:id w:val="-571356191"/>
          <w:citation/>
        </w:sdtPr>
        <w:sdtEndPr/>
        <w:sdtContent>
          <w:r w:rsidRPr="00A51D93">
            <w:rPr>
              <w:rFonts w:ascii="Arial" w:eastAsia="Arial" w:hAnsi="Arial" w:cs="Arial"/>
              <w:sz w:val="24"/>
              <w:szCs w:val="24"/>
            </w:rPr>
            <w:fldChar w:fldCharType="begin"/>
          </w:r>
          <w:r w:rsidRPr="00A51D93">
            <w:rPr>
              <w:rFonts w:ascii="Arial" w:eastAsia="Arial" w:hAnsi="Arial" w:cs="Arial"/>
              <w:sz w:val="24"/>
              <w:szCs w:val="24"/>
            </w:rPr>
            <w:instrText xml:space="preserve"> CITATION Sav13 \l 2057 </w:instrText>
          </w:r>
          <w:r w:rsidRPr="00A51D93">
            <w:rPr>
              <w:rFonts w:ascii="Arial" w:eastAsia="Arial" w:hAnsi="Arial" w:cs="Arial"/>
              <w:sz w:val="24"/>
              <w:szCs w:val="24"/>
            </w:rPr>
            <w:fldChar w:fldCharType="separate"/>
          </w:r>
          <w:r w:rsidR="008E5EA8" w:rsidRPr="00A51D93">
            <w:rPr>
              <w:rFonts w:ascii="Arial" w:eastAsia="Arial" w:hAnsi="Arial" w:cs="Arial"/>
              <w:noProof/>
              <w:sz w:val="24"/>
              <w:szCs w:val="24"/>
            </w:rPr>
            <w:t>(Savage, 2013)</w:t>
          </w:r>
          <w:r w:rsidRPr="00A51D93">
            <w:rPr>
              <w:rFonts w:ascii="Arial" w:eastAsia="Arial" w:hAnsi="Arial" w:cs="Arial"/>
              <w:sz w:val="24"/>
              <w:szCs w:val="24"/>
            </w:rPr>
            <w:fldChar w:fldCharType="end"/>
          </w:r>
        </w:sdtContent>
      </w:sdt>
      <w:r w:rsidRPr="00A51D93">
        <w:rPr>
          <w:rFonts w:ascii="Arial" w:eastAsia="Arial" w:hAnsi="Arial" w:cs="Arial"/>
          <w:sz w:val="24"/>
          <w:szCs w:val="24"/>
        </w:rPr>
        <w:t xml:space="preserve"> the concept of independence on any investigation of police complaints is questionable and identifies a system failure of independence when it comes to such complaints.  The impact of the PCC’s responsibilities to police complaints, which was implemented following an overhaul of the complaints and discipline system again takes away the public perception of impartiality.  This failure also reaches that of the IOPC, and it is to be questioned therefore if their existence is worthwhile, in that, if they are not increasing </w:t>
      </w:r>
      <w:r w:rsidR="00416CAE" w:rsidRPr="00A51D93">
        <w:rPr>
          <w:rFonts w:ascii="Arial" w:eastAsia="Arial" w:hAnsi="Arial" w:cs="Arial"/>
          <w:sz w:val="24"/>
          <w:szCs w:val="24"/>
        </w:rPr>
        <w:t xml:space="preserve">trust and </w:t>
      </w:r>
      <w:r w:rsidRPr="00A51D93">
        <w:rPr>
          <w:rFonts w:ascii="Arial" w:eastAsia="Arial" w:hAnsi="Arial" w:cs="Arial"/>
          <w:sz w:val="24"/>
          <w:szCs w:val="24"/>
        </w:rPr>
        <w:t xml:space="preserve">confidence in policing, then surely this could be argued as a superfluous agency that is not delivering.  </w:t>
      </w:r>
    </w:p>
    <w:p w14:paraId="64264383" w14:textId="77777777" w:rsidR="00A44F40" w:rsidRPr="00A51D93" w:rsidRDefault="00A44F40" w:rsidP="002A7A64">
      <w:pPr>
        <w:spacing w:line="480" w:lineRule="auto"/>
        <w:rPr>
          <w:rFonts w:ascii="Arial" w:eastAsia="Times New Roman" w:hAnsi="Arial" w:cs="Arial"/>
          <w:sz w:val="24"/>
          <w:szCs w:val="24"/>
          <w:lang w:eastAsia="en-GB"/>
        </w:rPr>
      </w:pPr>
    </w:p>
    <w:p w14:paraId="2AF8DFEB" w14:textId="089B36E1"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lastRenderedPageBreak/>
        <w:t>Again, whilst the notion of a PCC to hold a Chief Constable to account has proven to be a selling point for the electorate, exactly how independent is a PCC and how can that reassure and fulfil trust from the general public</w:t>
      </w:r>
      <w:r w:rsidR="001A19AF" w:rsidRPr="00A51D93">
        <w:rPr>
          <w:rFonts w:ascii="Arial" w:hAnsi="Arial" w:cs="Arial"/>
          <w:sz w:val="24"/>
          <w:szCs w:val="24"/>
        </w:rPr>
        <w:t>?</w:t>
      </w:r>
      <w:r w:rsidRPr="00A51D93">
        <w:rPr>
          <w:rFonts w:ascii="Arial" w:hAnsi="Arial" w:cs="Arial"/>
          <w:sz w:val="24"/>
          <w:szCs w:val="24"/>
        </w:rPr>
        <w:t xml:space="preserve">  There is a recommendation from the Association of Police and Crime Commissioners (APCC) that each office of the PCC holds a Chief Executive Officer (CEO) to advise the PCC in the discharge of their statutory duties.  This CEO will hold responsibility for the efficient implementation of the PCC’s Police and Crime plan, in addition to the proposed strategies and effectively manage resources of the office of the PCC. </w:t>
      </w:r>
      <w:sdt>
        <w:sdtPr>
          <w:rPr>
            <w:rFonts w:ascii="Arial" w:hAnsi="Arial" w:cs="Arial"/>
            <w:sz w:val="24"/>
            <w:szCs w:val="24"/>
          </w:rPr>
          <w:id w:val="390402451"/>
          <w:citation/>
        </w:sdtPr>
        <w:sdtEndPr/>
        <w:sdtContent>
          <w:r w:rsidR="00B66781" w:rsidRPr="00A51D93">
            <w:rPr>
              <w:rFonts w:ascii="Arial" w:hAnsi="Arial" w:cs="Arial"/>
              <w:sz w:val="24"/>
              <w:szCs w:val="24"/>
            </w:rPr>
            <w:fldChar w:fldCharType="begin"/>
          </w:r>
          <w:r w:rsidR="00B66781" w:rsidRPr="00A51D93">
            <w:rPr>
              <w:rFonts w:ascii="Arial" w:hAnsi="Arial" w:cs="Arial"/>
              <w:sz w:val="24"/>
              <w:szCs w:val="24"/>
            </w:rPr>
            <w:instrText xml:space="preserve"> CITATION Ass22 \l 2057 </w:instrText>
          </w:r>
          <w:r w:rsidR="00B66781" w:rsidRPr="00A51D93">
            <w:rPr>
              <w:rFonts w:ascii="Arial" w:hAnsi="Arial" w:cs="Arial"/>
              <w:sz w:val="24"/>
              <w:szCs w:val="24"/>
            </w:rPr>
            <w:fldChar w:fldCharType="separate"/>
          </w:r>
          <w:r w:rsidR="00B66781" w:rsidRPr="00A51D93">
            <w:rPr>
              <w:rFonts w:ascii="Arial" w:hAnsi="Arial" w:cs="Arial"/>
              <w:noProof/>
              <w:sz w:val="24"/>
              <w:szCs w:val="24"/>
            </w:rPr>
            <w:t>(APCC, 2022)</w:t>
          </w:r>
          <w:r w:rsidR="00B66781" w:rsidRPr="00A51D93">
            <w:rPr>
              <w:rFonts w:ascii="Arial" w:hAnsi="Arial" w:cs="Arial"/>
              <w:sz w:val="24"/>
              <w:szCs w:val="24"/>
            </w:rPr>
            <w:fldChar w:fldCharType="end"/>
          </w:r>
        </w:sdtContent>
      </w:sdt>
      <w:r w:rsidRPr="00A51D93">
        <w:rPr>
          <w:rFonts w:ascii="Arial" w:hAnsi="Arial" w:cs="Arial"/>
          <w:sz w:val="24"/>
          <w:szCs w:val="24"/>
        </w:rPr>
        <w:t xml:space="preserve"> S</w:t>
      </w:r>
      <w:r w:rsidR="004E7472" w:rsidRPr="00A51D93">
        <w:rPr>
          <w:rFonts w:ascii="Arial" w:hAnsi="Arial" w:cs="Arial"/>
          <w:sz w:val="24"/>
          <w:szCs w:val="24"/>
        </w:rPr>
        <w:t xml:space="preserve">urely this role </w:t>
      </w:r>
      <w:r w:rsidR="000C70BC" w:rsidRPr="00A51D93">
        <w:rPr>
          <w:rFonts w:ascii="Arial" w:hAnsi="Arial" w:cs="Arial"/>
          <w:sz w:val="24"/>
          <w:szCs w:val="24"/>
        </w:rPr>
        <w:t xml:space="preserve">is a hidden post </w:t>
      </w:r>
      <w:r w:rsidRPr="00A51D93">
        <w:rPr>
          <w:rFonts w:ascii="Arial" w:hAnsi="Arial" w:cs="Arial"/>
          <w:sz w:val="24"/>
          <w:szCs w:val="24"/>
        </w:rPr>
        <w:t>to ensure the PCC isn’t the one solely responsible for the accountability measurements</w:t>
      </w:r>
      <w:r w:rsidR="000C70BC" w:rsidRPr="00A51D93">
        <w:rPr>
          <w:rFonts w:ascii="Arial" w:hAnsi="Arial" w:cs="Arial"/>
          <w:sz w:val="24"/>
          <w:szCs w:val="24"/>
        </w:rPr>
        <w:t>, therefore questioning the transparency of the OPCC.</w:t>
      </w:r>
      <w:r w:rsidRPr="00A51D93">
        <w:rPr>
          <w:rFonts w:ascii="Arial" w:hAnsi="Arial" w:cs="Arial"/>
          <w:sz w:val="24"/>
          <w:szCs w:val="24"/>
        </w:rPr>
        <w:t xml:space="preserve">  </w:t>
      </w:r>
    </w:p>
    <w:p w14:paraId="28B3005B" w14:textId="77777777" w:rsidR="00A44F40" w:rsidRPr="00A51D93" w:rsidRDefault="00A44F40" w:rsidP="002A7A64">
      <w:pPr>
        <w:spacing w:line="480" w:lineRule="auto"/>
        <w:rPr>
          <w:rFonts w:ascii="Arial" w:hAnsi="Arial" w:cs="Arial"/>
          <w:sz w:val="24"/>
          <w:szCs w:val="24"/>
        </w:rPr>
      </w:pPr>
    </w:p>
    <w:p w14:paraId="76216F8F" w14:textId="70FF29E6"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Is this not just a safeguarding tool for the PCC, rather than advisor</w:t>
      </w:r>
      <w:r w:rsidR="00130D02" w:rsidRPr="00A51D93">
        <w:rPr>
          <w:rFonts w:ascii="Arial" w:hAnsi="Arial" w:cs="Arial"/>
          <w:sz w:val="24"/>
          <w:szCs w:val="24"/>
        </w:rPr>
        <w:t>?</w:t>
      </w:r>
      <w:r w:rsidRPr="00A51D93">
        <w:rPr>
          <w:rFonts w:ascii="Arial" w:hAnsi="Arial" w:cs="Arial"/>
          <w:sz w:val="24"/>
          <w:szCs w:val="24"/>
        </w:rPr>
        <w:t xml:space="preserve">  Is it time to identify a more streamlined service of governance and</w:t>
      </w:r>
      <w:r w:rsidR="00130D02" w:rsidRPr="00A51D93">
        <w:rPr>
          <w:rFonts w:ascii="Arial" w:hAnsi="Arial" w:cs="Arial"/>
          <w:sz w:val="24"/>
          <w:szCs w:val="24"/>
        </w:rPr>
        <w:t xml:space="preserve">, </w:t>
      </w:r>
      <w:proofErr w:type="gramStart"/>
      <w:r w:rsidRPr="00A51D93">
        <w:rPr>
          <w:rFonts w:ascii="Arial" w:hAnsi="Arial" w:cs="Arial"/>
          <w:sz w:val="24"/>
          <w:szCs w:val="24"/>
        </w:rPr>
        <w:t xml:space="preserve">in </w:t>
      </w:r>
      <w:r w:rsidR="00130D02" w:rsidRPr="00A51D93">
        <w:rPr>
          <w:rFonts w:ascii="Arial" w:hAnsi="Arial" w:cs="Arial"/>
          <w:sz w:val="24"/>
          <w:szCs w:val="24"/>
        </w:rPr>
        <w:t>particular</w:t>
      </w:r>
      <w:r w:rsidRPr="00A51D93">
        <w:rPr>
          <w:rFonts w:ascii="Arial" w:hAnsi="Arial" w:cs="Arial"/>
          <w:sz w:val="24"/>
          <w:szCs w:val="24"/>
        </w:rPr>
        <w:t xml:space="preserve"> in</w:t>
      </w:r>
      <w:proofErr w:type="gramEnd"/>
      <w:r w:rsidRPr="00A51D93">
        <w:rPr>
          <w:rFonts w:ascii="Arial" w:hAnsi="Arial" w:cs="Arial"/>
          <w:sz w:val="24"/>
          <w:szCs w:val="24"/>
        </w:rPr>
        <w:t xml:space="preserve"> Wales, to maxim</w:t>
      </w:r>
      <w:r w:rsidR="00F6747A" w:rsidRPr="00A51D93">
        <w:rPr>
          <w:rFonts w:ascii="Arial" w:hAnsi="Arial" w:cs="Arial"/>
          <w:sz w:val="24"/>
          <w:szCs w:val="24"/>
        </w:rPr>
        <w:t>ise</w:t>
      </w:r>
      <w:r w:rsidRPr="00A51D93">
        <w:rPr>
          <w:rFonts w:ascii="Arial" w:hAnsi="Arial" w:cs="Arial"/>
          <w:sz w:val="24"/>
          <w:szCs w:val="24"/>
        </w:rPr>
        <w:t xml:space="preserve"> the position of a devolved government</w:t>
      </w:r>
      <w:r w:rsidR="00130D02" w:rsidRPr="00A51D93">
        <w:rPr>
          <w:rFonts w:ascii="Arial" w:hAnsi="Arial" w:cs="Arial"/>
          <w:sz w:val="24"/>
          <w:szCs w:val="24"/>
        </w:rPr>
        <w:t>?  For</w:t>
      </w:r>
      <w:r w:rsidRPr="00A51D93">
        <w:rPr>
          <w:rFonts w:ascii="Arial" w:hAnsi="Arial" w:cs="Arial"/>
          <w:sz w:val="24"/>
          <w:szCs w:val="24"/>
        </w:rPr>
        <w:t xml:space="preserve"> simplicity it would make sense to devolve the area of Policing and Law also.</w:t>
      </w:r>
    </w:p>
    <w:p w14:paraId="7BC1AC3E" w14:textId="77777777" w:rsidR="00A44F40" w:rsidRPr="00A51D93" w:rsidRDefault="00A44F40" w:rsidP="002A7A64">
      <w:pPr>
        <w:spacing w:line="480" w:lineRule="auto"/>
        <w:rPr>
          <w:rFonts w:ascii="Arial" w:hAnsi="Arial" w:cs="Arial"/>
          <w:sz w:val="24"/>
          <w:szCs w:val="24"/>
        </w:rPr>
      </w:pPr>
    </w:p>
    <w:p w14:paraId="4FF9CAEC" w14:textId="79645145"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In conclusion, since the introduction and initial electoral term for PCCs, it is clear this has brought with it some disruption and impulsiveness to policing in England and Wales.   </w:t>
      </w:r>
      <w:sdt>
        <w:sdtPr>
          <w:rPr>
            <w:rFonts w:ascii="Arial" w:hAnsi="Arial" w:cs="Arial"/>
            <w:sz w:val="24"/>
            <w:szCs w:val="24"/>
          </w:rPr>
          <w:id w:val="-78599365"/>
          <w:citation/>
        </w:sdtPr>
        <w:sdtEndPr/>
        <w:sdtContent>
          <w:r w:rsidR="00620963" w:rsidRPr="00A51D93">
            <w:rPr>
              <w:rFonts w:ascii="Arial" w:hAnsi="Arial" w:cs="Arial"/>
              <w:sz w:val="24"/>
              <w:szCs w:val="24"/>
            </w:rPr>
            <w:fldChar w:fldCharType="begin"/>
          </w:r>
          <w:r w:rsidR="00620963" w:rsidRPr="00A51D93">
            <w:rPr>
              <w:rFonts w:ascii="Arial" w:hAnsi="Arial" w:cs="Arial"/>
              <w:sz w:val="24"/>
              <w:szCs w:val="24"/>
            </w:rPr>
            <w:instrText xml:space="preserve"> CITATION Dav16 \l 2057 </w:instrText>
          </w:r>
          <w:r w:rsidR="00620963" w:rsidRPr="00A51D93">
            <w:rPr>
              <w:rFonts w:ascii="Arial" w:hAnsi="Arial" w:cs="Arial"/>
              <w:sz w:val="24"/>
              <w:szCs w:val="24"/>
            </w:rPr>
            <w:fldChar w:fldCharType="separate"/>
          </w:r>
          <w:r w:rsidR="00620963" w:rsidRPr="00A51D93">
            <w:rPr>
              <w:rFonts w:ascii="Arial" w:hAnsi="Arial" w:cs="Arial"/>
              <w:noProof/>
              <w:sz w:val="24"/>
              <w:szCs w:val="24"/>
            </w:rPr>
            <w:t>(Davies &amp; Johnson, 2016)</w:t>
          </w:r>
          <w:r w:rsidR="00620963" w:rsidRPr="00A51D93">
            <w:rPr>
              <w:rFonts w:ascii="Arial" w:hAnsi="Arial" w:cs="Arial"/>
              <w:sz w:val="24"/>
              <w:szCs w:val="24"/>
            </w:rPr>
            <w:fldChar w:fldCharType="end"/>
          </w:r>
        </w:sdtContent>
      </w:sdt>
    </w:p>
    <w:p w14:paraId="2C9BAA33" w14:textId="77777777" w:rsidR="00E3044F" w:rsidRPr="00A51D93" w:rsidRDefault="00E3044F" w:rsidP="002A7A64">
      <w:pPr>
        <w:spacing w:line="480" w:lineRule="auto"/>
        <w:rPr>
          <w:rFonts w:ascii="Arial" w:hAnsi="Arial" w:cs="Arial"/>
          <w:sz w:val="24"/>
          <w:szCs w:val="24"/>
        </w:rPr>
      </w:pPr>
    </w:p>
    <w:p w14:paraId="3CEA9813" w14:textId="1998239C"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There have been significant differences in the relationships held between PCCs and Chief Constables, fluctuating between strong workable partnerships driving forward </w:t>
      </w:r>
      <w:r w:rsidRPr="00A51D93">
        <w:rPr>
          <w:rFonts w:ascii="Arial" w:hAnsi="Arial" w:cs="Arial"/>
          <w:sz w:val="24"/>
          <w:szCs w:val="24"/>
        </w:rPr>
        <w:lastRenderedPageBreak/>
        <w:t xml:space="preserve">with the police and crime plans and </w:t>
      </w:r>
      <w:r w:rsidR="0059118A" w:rsidRPr="00A51D93">
        <w:rPr>
          <w:rFonts w:ascii="Arial" w:hAnsi="Arial" w:cs="Arial"/>
          <w:sz w:val="24"/>
          <w:szCs w:val="24"/>
        </w:rPr>
        <w:t xml:space="preserve">organisational </w:t>
      </w:r>
      <w:r w:rsidRPr="00A51D93">
        <w:rPr>
          <w:rFonts w:ascii="Arial" w:hAnsi="Arial" w:cs="Arial"/>
          <w:sz w:val="24"/>
          <w:szCs w:val="24"/>
        </w:rPr>
        <w:t>priorities</w:t>
      </w:r>
      <w:r w:rsidR="0059118A" w:rsidRPr="00A51D93">
        <w:rPr>
          <w:rFonts w:ascii="Arial" w:hAnsi="Arial" w:cs="Arial"/>
          <w:sz w:val="24"/>
          <w:szCs w:val="24"/>
        </w:rPr>
        <w:t>,</w:t>
      </w:r>
      <w:r w:rsidRPr="00A51D93">
        <w:rPr>
          <w:rFonts w:ascii="Arial" w:hAnsi="Arial" w:cs="Arial"/>
          <w:sz w:val="24"/>
          <w:szCs w:val="24"/>
        </w:rPr>
        <w:t xml:space="preserve"> to some complete failures in engagement.</w:t>
      </w:r>
      <w:r w:rsidR="00463C78" w:rsidRPr="00A51D93">
        <w:rPr>
          <w:rFonts w:ascii="Arial" w:hAnsi="Arial" w:cs="Arial"/>
          <w:sz w:val="24"/>
          <w:szCs w:val="24"/>
        </w:rPr>
        <w:t xml:space="preserve">  </w:t>
      </w:r>
    </w:p>
    <w:p w14:paraId="0ED8F0AA" w14:textId="77777777" w:rsidR="00A44F40" w:rsidRPr="00A51D93" w:rsidRDefault="00A44F40" w:rsidP="002A7A64">
      <w:pPr>
        <w:spacing w:line="480" w:lineRule="auto"/>
        <w:rPr>
          <w:rFonts w:ascii="Arial" w:hAnsi="Arial" w:cs="Arial"/>
          <w:sz w:val="24"/>
          <w:szCs w:val="24"/>
        </w:rPr>
      </w:pPr>
    </w:p>
    <w:p w14:paraId="3395627B" w14:textId="0BE7E259"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The PCCs role will remain in post as indicated following the further election in 2015 of the Conservative Party.  Additionally, this post will face continued review and will hold a significant role within British Policing for future years.  </w:t>
      </w:r>
      <w:sdt>
        <w:sdtPr>
          <w:rPr>
            <w:rFonts w:ascii="Arial" w:hAnsi="Arial" w:cs="Arial"/>
            <w:sz w:val="24"/>
            <w:szCs w:val="24"/>
          </w:rPr>
          <w:id w:val="453298397"/>
          <w:citation/>
        </w:sdtPr>
        <w:sdtEndPr/>
        <w:sdtContent>
          <w:r w:rsidR="004C47EF" w:rsidRPr="00A51D93">
            <w:rPr>
              <w:rFonts w:ascii="Arial" w:hAnsi="Arial" w:cs="Arial"/>
              <w:sz w:val="24"/>
              <w:szCs w:val="24"/>
            </w:rPr>
            <w:fldChar w:fldCharType="begin"/>
          </w:r>
          <w:r w:rsidR="004C47EF" w:rsidRPr="00A51D93">
            <w:rPr>
              <w:rFonts w:ascii="Arial" w:hAnsi="Arial" w:cs="Arial"/>
              <w:sz w:val="24"/>
              <w:szCs w:val="24"/>
            </w:rPr>
            <w:instrText xml:space="preserve"> CITATION Cal16 \l 2057 </w:instrText>
          </w:r>
          <w:r w:rsidR="004C47EF" w:rsidRPr="00A51D93">
            <w:rPr>
              <w:rFonts w:ascii="Arial" w:hAnsi="Arial" w:cs="Arial"/>
              <w:sz w:val="24"/>
              <w:szCs w:val="24"/>
            </w:rPr>
            <w:fldChar w:fldCharType="separate"/>
          </w:r>
          <w:r w:rsidR="004C47EF" w:rsidRPr="00A51D93">
            <w:rPr>
              <w:rFonts w:ascii="Arial" w:hAnsi="Arial" w:cs="Arial"/>
              <w:noProof/>
              <w:sz w:val="24"/>
              <w:szCs w:val="24"/>
            </w:rPr>
            <w:t>(Caless &amp; Owens, 2016)</w:t>
          </w:r>
          <w:r w:rsidR="004C47EF" w:rsidRPr="00A51D93">
            <w:rPr>
              <w:rFonts w:ascii="Arial" w:hAnsi="Arial" w:cs="Arial"/>
              <w:sz w:val="24"/>
              <w:szCs w:val="24"/>
            </w:rPr>
            <w:fldChar w:fldCharType="end"/>
          </w:r>
        </w:sdtContent>
      </w:sdt>
    </w:p>
    <w:p w14:paraId="04EFCF6B" w14:textId="77777777" w:rsidR="00A44F40" w:rsidRPr="00A51D93" w:rsidRDefault="00A44F40" w:rsidP="002A7A64">
      <w:pPr>
        <w:spacing w:line="480" w:lineRule="auto"/>
        <w:rPr>
          <w:rFonts w:ascii="Arial" w:hAnsi="Arial" w:cs="Arial"/>
          <w:sz w:val="24"/>
          <w:szCs w:val="24"/>
        </w:rPr>
      </w:pPr>
    </w:p>
    <w:p w14:paraId="7EF50153" w14:textId="6887FFD8"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Whilst there are several environmental factors posing a challenge to policing in modern times, such as the nature of the role changing to that as more of a social worker than a crime fighter, together with the challenges faced by the fast-paced world of digital crime, it is the governance of Police that remains the focus of control and accountability.  It is always to the top that the public or ministers will go to for answers, for example, the Sarah Everard murder Investigation into former Police Officer Wayne Cousins.  The blame has been laid at the door of the then Commissioner, Cressida Dicks and subsequently the culture held within the Metropolitan police.  </w:t>
      </w:r>
      <w:sdt>
        <w:sdtPr>
          <w:rPr>
            <w:rFonts w:ascii="Arial" w:hAnsi="Arial" w:cs="Arial"/>
            <w:sz w:val="24"/>
            <w:szCs w:val="24"/>
          </w:rPr>
          <w:id w:val="1379663526"/>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Bel22 \l 2057 </w:instrText>
          </w:r>
          <w:r w:rsidRPr="00A51D93">
            <w:rPr>
              <w:rFonts w:ascii="Arial" w:hAnsi="Arial" w:cs="Arial"/>
              <w:sz w:val="24"/>
              <w:szCs w:val="24"/>
            </w:rPr>
            <w:fldChar w:fldCharType="separate"/>
          </w:r>
          <w:r w:rsidR="008E5EA8" w:rsidRPr="00A51D93">
            <w:rPr>
              <w:rFonts w:ascii="Arial" w:hAnsi="Arial" w:cs="Arial"/>
              <w:noProof/>
              <w:sz w:val="24"/>
              <w:szCs w:val="24"/>
            </w:rPr>
            <w:t>(Bell, 2022)</w:t>
          </w:r>
          <w:r w:rsidRPr="00A51D93">
            <w:rPr>
              <w:rFonts w:ascii="Arial" w:hAnsi="Arial" w:cs="Arial"/>
              <w:sz w:val="24"/>
              <w:szCs w:val="24"/>
            </w:rPr>
            <w:fldChar w:fldCharType="end"/>
          </w:r>
        </w:sdtContent>
      </w:sdt>
      <w:r w:rsidRPr="00A51D93">
        <w:rPr>
          <w:rFonts w:ascii="Arial" w:hAnsi="Arial" w:cs="Arial"/>
          <w:sz w:val="24"/>
          <w:szCs w:val="24"/>
        </w:rPr>
        <w:t xml:space="preserve">  How can we change this or, indeed, can we change this?  If this was to be changed, to whom would the accountability be directed?</w:t>
      </w:r>
    </w:p>
    <w:p w14:paraId="1840DBF8" w14:textId="77777777" w:rsidR="00A44F40" w:rsidRPr="00A51D93" w:rsidRDefault="00A44F40" w:rsidP="002A7A64">
      <w:pPr>
        <w:spacing w:line="480" w:lineRule="auto"/>
        <w:rPr>
          <w:rFonts w:ascii="Arial" w:hAnsi="Arial" w:cs="Arial"/>
          <w:sz w:val="24"/>
          <w:szCs w:val="24"/>
        </w:rPr>
      </w:pPr>
    </w:p>
    <w:p w14:paraId="0B4374AA" w14:textId="2E21631A"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In addition to Policing, the government policy for PCCs is an </w:t>
      </w:r>
      <w:proofErr w:type="gramStart"/>
      <w:r w:rsidRPr="00A51D93">
        <w:rPr>
          <w:rFonts w:ascii="Arial" w:hAnsi="Arial" w:cs="Arial"/>
          <w:sz w:val="24"/>
          <w:szCs w:val="24"/>
        </w:rPr>
        <w:t>ever</w:t>
      </w:r>
      <w:r w:rsidR="00172540" w:rsidRPr="00A51D93">
        <w:rPr>
          <w:rFonts w:ascii="Arial" w:hAnsi="Arial" w:cs="Arial"/>
          <w:sz w:val="24"/>
          <w:szCs w:val="24"/>
        </w:rPr>
        <w:t>-</w:t>
      </w:r>
      <w:r w:rsidRPr="00A51D93">
        <w:rPr>
          <w:rFonts w:ascii="Arial" w:hAnsi="Arial" w:cs="Arial"/>
          <w:sz w:val="24"/>
          <w:szCs w:val="24"/>
        </w:rPr>
        <w:t>developing</w:t>
      </w:r>
      <w:proofErr w:type="gramEnd"/>
      <w:r w:rsidRPr="00A51D93">
        <w:rPr>
          <w:rFonts w:ascii="Arial" w:hAnsi="Arial" w:cs="Arial"/>
          <w:sz w:val="24"/>
          <w:szCs w:val="24"/>
        </w:rPr>
        <w:t xml:space="preserve"> one</w:t>
      </w:r>
      <w:r w:rsidR="00172540" w:rsidRPr="00A51D93">
        <w:rPr>
          <w:rFonts w:ascii="Arial" w:hAnsi="Arial" w:cs="Arial"/>
          <w:sz w:val="24"/>
          <w:szCs w:val="24"/>
        </w:rPr>
        <w:t>.  F</w:t>
      </w:r>
      <w:r w:rsidRPr="00A51D93">
        <w:rPr>
          <w:rFonts w:ascii="Arial" w:hAnsi="Arial" w:cs="Arial"/>
          <w:sz w:val="24"/>
          <w:szCs w:val="24"/>
        </w:rPr>
        <w:t xml:space="preserve">or example, in 2018, the government has passed for PCCs to assume responsibility for the fire service in a joint governance structure, in a bid to save funding and afford the best service to its communities.  Interestingly it was the members of the fire </w:t>
      </w:r>
      <w:r w:rsidRPr="00A51D93">
        <w:rPr>
          <w:rFonts w:ascii="Arial" w:hAnsi="Arial" w:cs="Arial"/>
          <w:sz w:val="24"/>
          <w:szCs w:val="24"/>
        </w:rPr>
        <w:lastRenderedPageBreak/>
        <w:t xml:space="preserve">service who argued this plan was fundamentally flawed, however the PCCs concerned have supported this notion and welcome the ruling.  </w:t>
      </w:r>
      <w:sdt>
        <w:sdtPr>
          <w:rPr>
            <w:rFonts w:ascii="Arial" w:hAnsi="Arial" w:cs="Arial"/>
            <w:sz w:val="24"/>
            <w:szCs w:val="24"/>
          </w:rPr>
          <w:id w:val="-498116536"/>
          <w:citation/>
        </w:sdtPr>
        <w:sdtEndPr/>
        <w:sdtContent>
          <w:r w:rsidRPr="00A51D93">
            <w:rPr>
              <w:rFonts w:ascii="Arial" w:hAnsi="Arial" w:cs="Arial"/>
              <w:sz w:val="24"/>
              <w:szCs w:val="24"/>
            </w:rPr>
            <w:fldChar w:fldCharType="begin"/>
          </w:r>
          <w:r w:rsidRPr="00A51D93">
            <w:rPr>
              <w:rFonts w:ascii="Arial" w:hAnsi="Arial" w:cs="Arial"/>
              <w:sz w:val="24"/>
              <w:szCs w:val="24"/>
            </w:rPr>
            <w:instrText xml:space="preserve"> CITATION BBC19 \l 2057 </w:instrText>
          </w:r>
          <w:r w:rsidRPr="00A51D93">
            <w:rPr>
              <w:rFonts w:ascii="Arial" w:hAnsi="Arial" w:cs="Arial"/>
              <w:sz w:val="24"/>
              <w:szCs w:val="24"/>
            </w:rPr>
            <w:fldChar w:fldCharType="separate"/>
          </w:r>
          <w:r w:rsidR="008E5EA8" w:rsidRPr="00A51D93">
            <w:rPr>
              <w:rFonts w:ascii="Arial" w:hAnsi="Arial" w:cs="Arial"/>
              <w:noProof/>
              <w:sz w:val="24"/>
              <w:szCs w:val="24"/>
            </w:rPr>
            <w:t>(BBC, 2019)</w:t>
          </w:r>
          <w:r w:rsidRPr="00A51D93">
            <w:rPr>
              <w:rFonts w:ascii="Arial" w:hAnsi="Arial" w:cs="Arial"/>
              <w:sz w:val="24"/>
              <w:szCs w:val="24"/>
            </w:rPr>
            <w:fldChar w:fldCharType="end"/>
          </w:r>
        </w:sdtContent>
      </w:sdt>
      <w:r w:rsidRPr="00A51D93">
        <w:rPr>
          <w:rFonts w:ascii="Arial" w:hAnsi="Arial" w:cs="Arial"/>
          <w:sz w:val="24"/>
          <w:szCs w:val="24"/>
        </w:rPr>
        <w:t xml:space="preserve">  It can be argued this was supported by the relevant PCCs as they held an interest in additional powers.  However, as discussed, it is important that lessons have been learnt from previous breakdowns in professional relationships.  </w:t>
      </w:r>
    </w:p>
    <w:p w14:paraId="35DF60BF" w14:textId="77777777" w:rsidR="00A44F40" w:rsidRPr="00A51D93" w:rsidRDefault="00A44F40" w:rsidP="002A7A64">
      <w:pPr>
        <w:spacing w:line="480" w:lineRule="auto"/>
        <w:rPr>
          <w:rFonts w:ascii="Arial" w:hAnsi="Arial" w:cs="Arial"/>
          <w:sz w:val="24"/>
          <w:szCs w:val="24"/>
        </w:rPr>
      </w:pPr>
    </w:p>
    <w:p w14:paraId="558F41B3" w14:textId="0C0B246F"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What has become clear throughout this paper is the attention required by both the PCC (principal) and the</w:t>
      </w:r>
      <w:r w:rsidR="001810FF" w:rsidRPr="00A51D93">
        <w:rPr>
          <w:rFonts w:ascii="Arial" w:hAnsi="Arial" w:cs="Arial"/>
          <w:sz w:val="24"/>
          <w:szCs w:val="24"/>
        </w:rPr>
        <w:t xml:space="preserve"> Chief Constable (agent) </w:t>
      </w:r>
      <w:r w:rsidR="00FB0491" w:rsidRPr="00A51D93">
        <w:rPr>
          <w:rFonts w:ascii="Arial" w:hAnsi="Arial" w:cs="Arial"/>
          <w:sz w:val="24"/>
          <w:szCs w:val="24"/>
        </w:rPr>
        <w:t>f</w:t>
      </w:r>
      <w:r w:rsidR="000114C1" w:rsidRPr="00A51D93">
        <w:rPr>
          <w:rFonts w:ascii="Arial" w:hAnsi="Arial" w:cs="Arial"/>
          <w:sz w:val="24"/>
          <w:szCs w:val="24"/>
        </w:rPr>
        <w:t xml:space="preserve">or awareness of </w:t>
      </w:r>
      <w:r w:rsidRPr="00A51D93">
        <w:rPr>
          <w:rFonts w:ascii="Arial" w:hAnsi="Arial" w:cs="Arial"/>
          <w:sz w:val="24"/>
          <w:szCs w:val="24"/>
        </w:rPr>
        <w:t>the conflict opportunities surrounding them, such as goal divergence and information asymmetry and the importance of their working relationship, irrespective of their personal views</w:t>
      </w:r>
      <w:r w:rsidR="00FB0491" w:rsidRPr="00A51D93">
        <w:rPr>
          <w:rFonts w:ascii="Arial" w:hAnsi="Arial" w:cs="Arial"/>
          <w:sz w:val="24"/>
          <w:szCs w:val="24"/>
        </w:rPr>
        <w:t>.</w:t>
      </w:r>
      <w:r w:rsidR="00DF005A" w:rsidRPr="00A51D93">
        <w:rPr>
          <w:rFonts w:ascii="Arial" w:hAnsi="Arial" w:cs="Arial"/>
          <w:sz w:val="24"/>
          <w:szCs w:val="24"/>
        </w:rPr>
        <w:t xml:space="preserve">  If the mutual goals are set early</w:t>
      </w:r>
      <w:r w:rsidR="00824223" w:rsidRPr="00A51D93">
        <w:rPr>
          <w:rFonts w:ascii="Arial" w:hAnsi="Arial" w:cs="Arial"/>
          <w:sz w:val="24"/>
          <w:szCs w:val="24"/>
        </w:rPr>
        <w:t xml:space="preserve">, then conflict can be avoided. </w:t>
      </w:r>
    </w:p>
    <w:p w14:paraId="43A7F715" w14:textId="77777777" w:rsidR="00E3044F" w:rsidRPr="00A51D93" w:rsidRDefault="00E3044F" w:rsidP="002A7A64">
      <w:pPr>
        <w:spacing w:line="480" w:lineRule="auto"/>
        <w:rPr>
          <w:rFonts w:ascii="Arial" w:hAnsi="Arial" w:cs="Arial"/>
          <w:sz w:val="24"/>
          <w:szCs w:val="24"/>
        </w:rPr>
      </w:pPr>
    </w:p>
    <w:p w14:paraId="4A298BBF" w14:textId="4A768364" w:rsidR="00A44F40" w:rsidRPr="00A51D93" w:rsidRDefault="00A44F40" w:rsidP="002A7A64">
      <w:pPr>
        <w:spacing w:line="480" w:lineRule="auto"/>
        <w:rPr>
          <w:rFonts w:ascii="Arial" w:hAnsi="Arial" w:cs="Arial"/>
          <w:sz w:val="24"/>
          <w:szCs w:val="24"/>
        </w:rPr>
      </w:pPr>
      <w:r w:rsidRPr="00A51D93">
        <w:rPr>
          <w:rFonts w:ascii="Arial" w:hAnsi="Arial" w:cs="Arial"/>
          <w:sz w:val="24"/>
          <w:szCs w:val="24"/>
        </w:rPr>
        <w:t xml:space="preserve">As suggested by </w:t>
      </w:r>
      <w:sdt>
        <w:sdtPr>
          <w:rPr>
            <w:rFonts w:ascii="Arial" w:hAnsi="Arial" w:cs="Arial"/>
            <w:sz w:val="24"/>
            <w:szCs w:val="24"/>
          </w:rPr>
          <w:id w:val="-929275284"/>
          <w:citation/>
        </w:sdtPr>
        <w:sdtEndPr/>
        <w:sdtContent>
          <w:r w:rsidR="00B417EF" w:rsidRPr="00A51D93">
            <w:rPr>
              <w:rFonts w:ascii="Arial" w:hAnsi="Arial" w:cs="Arial"/>
              <w:sz w:val="24"/>
              <w:szCs w:val="24"/>
            </w:rPr>
            <w:fldChar w:fldCharType="begin"/>
          </w:r>
          <w:r w:rsidR="00B417EF" w:rsidRPr="00A51D93">
            <w:rPr>
              <w:rFonts w:ascii="Arial" w:hAnsi="Arial" w:cs="Arial"/>
              <w:sz w:val="24"/>
              <w:szCs w:val="24"/>
            </w:rPr>
            <w:instrText xml:space="preserve"> CITATION Dav16 \l 2057 </w:instrText>
          </w:r>
          <w:r w:rsidR="00B417EF" w:rsidRPr="00A51D93">
            <w:rPr>
              <w:rFonts w:ascii="Arial" w:hAnsi="Arial" w:cs="Arial"/>
              <w:sz w:val="24"/>
              <w:szCs w:val="24"/>
            </w:rPr>
            <w:fldChar w:fldCharType="separate"/>
          </w:r>
          <w:r w:rsidR="008E5EA8" w:rsidRPr="00A51D93">
            <w:rPr>
              <w:rFonts w:ascii="Arial" w:hAnsi="Arial" w:cs="Arial"/>
              <w:noProof/>
              <w:sz w:val="24"/>
              <w:szCs w:val="24"/>
            </w:rPr>
            <w:t>(Davies &amp; Johnson, 2016)</w:t>
          </w:r>
          <w:r w:rsidR="00B417EF" w:rsidRPr="00A51D93">
            <w:rPr>
              <w:rFonts w:ascii="Arial" w:hAnsi="Arial" w:cs="Arial"/>
              <w:sz w:val="24"/>
              <w:szCs w:val="24"/>
            </w:rPr>
            <w:fldChar w:fldCharType="end"/>
          </w:r>
        </w:sdtContent>
      </w:sdt>
      <w:r w:rsidRPr="00A51D93">
        <w:rPr>
          <w:rFonts w:ascii="Arial" w:hAnsi="Arial" w:cs="Arial"/>
          <w:sz w:val="24"/>
          <w:szCs w:val="24"/>
        </w:rPr>
        <w:t xml:space="preserve">, in addition to this, the importance of a middle agent has been identified.  One only </w:t>
      </w:r>
      <w:r w:rsidR="00111AD7" w:rsidRPr="00A51D93">
        <w:rPr>
          <w:rFonts w:ascii="Arial" w:hAnsi="Arial" w:cs="Arial"/>
          <w:sz w:val="24"/>
          <w:szCs w:val="24"/>
        </w:rPr>
        <w:t>must</w:t>
      </w:r>
      <w:r w:rsidRPr="00A51D93">
        <w:rPr>
          <w:rFonts w:ascii="Arial" w:hAnsi="Arial" w:cs="Arial"/>
          <w:sz w:val="24"/>
          <w:szCs w:val="24"/>
        </w:rPr>
        <w:t xml:space="preserve"> look at the examples of broken relationships referred to in this paper to acknowledge the importance of such.</w:t>
      </w:r>
      <w:r w:rsidR="00255394" w:rsidRPr="00A51D93">
        <w:rPr>
          <w:rFonts w:ascii="Arial" w:hAnsi="Arial" w:cs="Arial"/>
          <w:sz w:val="24"/>
          <w:szCs w:val="24"/>
        </w:rPr>
        <w:t xml:space="preserve">  The purpose of the PCC and subsequent relationship</w:t>
      </w:r>
      <w:r w:rsidR="002867AE" w:rsidRPr="00A51D93">
        <w:rPr>
          <w:rFonts w:ascii="Arial" w:hAnsi="Arial" w:cs="Arial"/>
          <w:sz w:val="24"/>
          <w:szCs w:val="24"/>
        </w:rPr>
        <w:t xml:space="preserve"> with Chief Constable </w:t>
      </w:r>
      <w:r w:rsidRPr="00A51D93">
        <w:rPr>
          <w:rFonts w:ascii="Arial" w:hAnsi="Arial" w:cs="Arial"/>
          <w:sz w:val="24"/>
          <w:szCs w:val="24"/>
        </w:rPr>
        <w:t>can only be possible and successful when th</w:t>
      </w:r>
      <w:r w:rsidR="002867AE" w:rsidRPr="00A51D93">
        <w:rPr>
          <w:rFonts w:ascii="Arial" w:hAnsi="Arial" w:cs="Arial"/>
          <w:sz w:val="24"/>
          <w:szCs w:val="24"/>
        </w:rPr>
        <w:t xml:space="preserve">is </w:t>
      </w:r>
      <w:r w:rsidRPr="00A51D93">
        <w:rPr>
          <w:rFonts w:ascii="Arial" w:hAnsi="Arial" w:cs="Arial"/>
          <w:sz w:val="24"/>
          <w:szCs w:val="24"/>
        </w:rPr>
        <w:t xml:space="preserve">working relationship is purposeful, balanced and steady.  </w:t>
      </w:r>
      <w:sdt>
        <w:sdtPr>
          <w:rPr>
            <w:rFonts w:ascii="Arial" w:hAnsi="Arial" w:cs="Arial"/>
            <w:sz w:val="24"/>
            <w:szCs w:val="24"/>
          </w:rPr>
          <w:id w:val="-613903623"/>
          <w:citation/>
        </w:sdtPr>
        <w:sdtEndPr/>
        <w:sdtContent>
          <w:r w:rsidR="00CF2716" w:rsidRPr="00A51D93">
            <w:rPr>
              <w:rFonts w:ascii="Arial" w:hAnsi="Arial" w:cs="Arial"/>
              <w:sz w:val="24"/>
              <w:szCs w:val="24"/>
            </w:rPr>
            <w:fldChar w:fldCharType="begin"/>
          </w:r>
          <w:r w:rsidR="00CF2716" w:rsidRPr="00A51D93">
            <w:rPr>
              <w:rFonts w:ascii="Arial" w:hAnsi="Arial" w:cs="Arial"/>
              <w:sz w:val="24"/>
              <w:szCs w:val="24"/>
            </w:rPr>
            <w:instrText xml:space="preserve"> CITATION Wat98 \l 2057 </w:instrText>
          </w:r>
          <w:r w:rsidR="00CF2716" w:rsidRPr="00A51D93">
            <w:rPr>
              <w:rFonts w:ascii="Arial" w:hAnsi="Arial" w:cs="Arial"/>
              <w:sz w:val="24"/>
              <w:szCs w:val="24"/>
            </w:rPr>
            <w:fldChar w:fldCharType="separate"/>
          </w:r>
          <w:r w:rsidR="00CF2716" w:rsidRPr="00A51D93">
            <w:rPr>
              <w:rFonts w:ascii="Arial" w:hAnsi="Arial" w:cs="Arial"/>
              <w:noProof/>
              <w:sz w:val="24"/>
              <w:szCs w:val="24"/>
            </w:rPr>
            <w:t>(Waterman &amp; Meier, 1998)</w:t>
          </w:r>
          <w:r w:rsidR="00CF2716" w:rsidRPr="00A51D93">
            <w:rPr>
              <w:rFonts w:ascii="Arial" w:hAnsi="Arial" w:cs="Arial"/>
              <w:sz w:val="24"/>
              <w:szCs w:val="24"/>
            </w:rPr>
            <w:fldChar w:fldCharType="end"/>
          </w:r>
        </w:sdtContent>
      </w:sdt>
      <w:r w:rsidR="00815CA6" w:rsidRPr="00A51D93">
        <w:rPr>
          <w:rFonts w:ascii="Arial" w:hAnsi="Arial" w:cs="Arial"/>
          <w:sz w:val="24"/>
          <w:szCs w:val="24"/>
        </w:rPr>
        <w:t>.</w:t>
      </w:r>
    </w:p>
    <w:p w14:paraId="5CE2A0C5" w14:textId="77777777" w:rsidR="00815CA6" w:rsidRPr="00A51D93" w:rsidRDefault="00815CA6" w:rsidP="002A7A64">
      <w:pPr>
        <w:spacing w:line="480" w:lineRule="auto"/>
        <w:rPr>
          <w:rFonts w:ascii="Arial" w:hAnsi="Arial" w:cs="Arial"/>
          <w:sz w:val="24"/>
          <w:szCs w:val="24"/>
        </w:rPr>
      </w:pPr>
    </w:p>
    <w:p w14:paraId="3AFB177E" w14:textId="774B291B" w:rsidR="00815CA6" w:rsidRPr="00A51D93" w:rsidRDefault="00815CA6" w:rsidP="002A7A64">
      <w:pPr>
        <w:spacing w:line="480" w:lineRule="auto"/>
        <w:rPr>
          <w:rFonts w:ascii="Arial" w:eastAsia="Calibri" w:hAnsi="Arial" w:cs="Arial"/>
          <w:sz w:val="24"/>
          <w:szCs w:val="24"/>
        </w:rPr>
      </w:pPr>
      <w:r w:rsidRPr="00A51D93">
        <w:rPr>
          <w:rFonts w:ascii="Arial" w:hAnsi="Arial" w:cs="Arial"/>
          <w:sz w:val="24"/>
          <w:szCs w:val="24"/>
        </w:rPr>
        <w:t xml:space="preserve">What is not disputed however, is that the </w:t>
      </w:r>
      <w:r w:rsidR="001B4985" w:rsidRPr="00A51D93">
        <w:rPr>
          <w:rFonts w:ascii="Arial" w:hAnsi="Arial" w:cs="Arial"/>
          <w:sz w:val="24"/>
          <w:szCs w:val="24"/>
        </w:rPr>
        <w:t xml:space="preserve">governance of policing has been, and continues to be, complex in its very nature.  </w:t>
      </w:r>
    </w:p>
    <w:p w14:paraId="5A00C60A" w14:textId="77777777" w:rsidR="00815CA6" w:rsidRDefault="00815CA6" w:rsidP="00A44F40"/>
    <w:p w14:paraId="58AEB2EF" w14:textId="15C35DE7" w:rsidR="00672F0A" w:rsidRDefault="00722A5F" w:rsidP="00A44F40">
      <w:pPr>
        <w:rPr>
          <w:rFonts w:ascii="Arial" w:hAnsi="Arial" w:cs="Arial"/>
          <w:sz w:val="24"/>
          <w:szCs w:val="24"/>
        </w:rPr>
      </w:pPr>
      <w:r>
        <w:rPr>
          <w:rFonts w:ascii="Arial" w:hAnsi="Arial" w:cs="Arial"/>
          <w:sz w:val="24"/>
          <w:szCs w:val="24"/>
        </w:rPr>
        <w:t>Word count: 5,</w:t>
      </w:r>
      <w:r w:rsidR="00AF34D9">
        <w:rPr>
          <w:rFonts w:ascii="Arial" w:hAnsi="Arial" w:cs="Arial"/>
          <w:sz w:val="24"/>
          <w:szCs w:val="24"/>
        </w:rPr>
        <w:t>4</w:t>
      </w:r>
      <w:r w:rsidR="00A51D93">
        <w:rPr>
          <w:rFonts w:ascii="Arial" w:hAnsi="Arial" w:cs="Arial"/>
          <w:sz w:val="24"/>
          <w:szCs w:val="24"/>
        </w:rPr>
        <w:t>90</w:t>
      </w:r>
    </w:p>
    <w:p w14:paraId="02F61AC6" w14:textId="77777777" w:rsidR="00672F0A" w:rsidRDefault="00672F0A">
      <w:pPr>
        <w:rPr>
          <w:rFonts w:ascii="Arial" w:hAnsi="Arial" w:cs="Arial"/>
          <w:sz w:val="24"/>
          <w:szCs w:val="24"/>
        </w:rPr>
      </w:pPr>
      <w:r>
        <w:rPr>
          <w:rFonts w:ascii="Arial" w:hAnsi="Arial" w:cs="Arial"/>
          <w:sz w:val="24"/>
          <w:szCs w:val="24"/>
        </w:rPr>
        <w:br w:type="page"/>
      </w:r>
    </w:p>
    <w:sdt>
      <w:sdtPr>
        <w:id w:val="86833670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2D162A" w14:textId="41C767AB" w:rsidR="00666F50" w:rsidRDefault="00666F50">
          <w:pPr>
            <w:pStyle w:val="Heading1"/>
          </w:pPr>
          <w:r>
            <w:t>References</w:t>
          </w:r>
        </w:p>
        <w:sdt>
          <w:sdtPr>
            <w:id w:val="-573587230"/>
            <w:bibliography/>
          </w:sdtPr>
          <w:sdtContent>
            <w:p w14:paraId="07A75D16" w14:textId="77777777" w:rsidR="00666F50" w:rsidRDefault="00666F50" w:rsidP="00666F50">
              <w:pPr>
                <w:pStyle w:val="Bibliography"/>
                <w:rPr>
                  <w:noProof/>
                  <w:sz w:val="24"/>
                  <w:szCs w:val="24"/>
                  <w:lang w:val="en-US"/>
                </w:rPr>
              </w:pPr>
              <w:r>
                <w:fldChar w:fldCharType="begin"/>
              </w:r>
              <w:r>
                <w:instrText xml:space="preserve"> BIBLIOGRAPHY </w:instrText>
              </w:r>
              <w:r>
                <w:fldChar w:fldCharType="separate"/>
              </w:r>
              <w:r>
                <w:rPr>
                  <w:noProof/>
                  <w:lang w:val="en-US"/>
                </w:rPr>
                <w:t xml:space="preserve">Adlam, R. &amp; Villiers, P., 2003. </w:t>
              </w:r>
              <w:r>
                <w:rPr>
                  <w:i/>
                  <w:iCs/>
                  <w:noProof/>
                  <w:lang w:val="en-US"/>
                </w:rPr>
                <w:t xml:space="preserve">Police Leadership in the Twenty-First Century: Philosophy, Doctorine and Developments. </w:t>
              </w:r>
              <w:r>
                <w:rPr>
                  <w:noProof/>
                  <w:lang w:val="en-US"/>
                </w:rPr>
                <w:t>Hook: Waterside Press.</w:t>
              </w:r>
            </w:p>
            <w:p w14:paraId="3AAADB93" w14:textId="77777777" w:rsidR="00666F50" w:rsidRDefault="00666F50" w:rsidP="00666F50">
              <w:pPr>
                <w:pStyle w:val="Bibliography"/>
                <w:rPr>
                  <w:noProof/>
                  <w:lang w:val="en-US"/>
                </w:rPr>
              </w:pPr>
              <w:r>
                <w:rPr>
                  <w:noProof/>
                  <w:lang w:val="en-US"/>
                </w:rPr>
                <w:t xml:space="preserve">Alvesson, M., 2013. </w:t>
              </w:r>
              <w:r>
                <w:rPr>
                  <w:i/>
                  <w:iCs/>
                  <w:noProof/>
                  <w:lang w:val="en-US"/>
                </w:rPr>
                <w:t xml:space="preserve">Understanding Organizational Culture. </w:t>
              </w:r>
              <w:r>
                <w:rPr>
                  <w:noProof/>
                  <w:lang w:val="en-US"/>
                </w:rPr>
                <w:t>2nd ed. Los Angeles: Sage Publications.</w:t>
              </w:r>
            </w:p>
            <w:p w14:paraId="47B6744A" w14:textId="77777777" w:rsidR="00666F50" w:rsidRDefault="00666F50" w:rsidP="00666F50">
              <w:pPr>
                <w:pStyle w:val="Bibliography"/>
                <w:rPr>
                  <w:noProof/>
                  <w:lang w:val="en-US"/>
                </w:rPr>
              </w:pPr>
              <w:r>
                <w:rPr>
                  <w:noProof/>
                  <w:lang w:val="en-US"/>
                </w:rPr>
                <w:t xml:space="preserve">Ansell, C. K. &amp; Torfing, J., 2022. </w:t>
              </w:r>
              <w:r>
                <w:rPr>
                  <w:i/>
                  <w:iCs/>
                  <w:noProof/>
                  <w:lang w:val="en-US"/>
                </w:rPr>
                <w:t xml:space="preserve">Handbook on Theories of Governance. </w:t>
              </w:r>
              <w:r>
                <w:rPr>
                  <w:noProof/>
                  <w:lang w:val="en-US"/>
                </w:rPr>
                <w:t>2nd Edition ed. Cheltenham, England: Edward Elgar.</w:t>
              </w:r>
            </w:p>
            <w:p w14:paraId="3D980536" w14:textId="77777777" w:rsidR="00666F50" w:rsidRDefault="00666F50" w:rsidP="00666F50">
              <w:pPr>
                <w:pStyle w:val="Bibliography"/>
                <w:rPr>
                  <w:noProof/>
                  <w:lang w:val="en-US"/>
                </w:rPr>
              </w:pPr>
              <w:r>
                <w:rPr>
                  <w:noProof/>
                  <w:lang w:val="en-US"/>
                </w:rPr>
                <w:t xml:space="preserve">APCC, 2022. </w:t>
              </w:r>
              <w:r>
                <w:rPr>
                  <w:i/>
                  <w:iCs/>
                  <w:noProof/>
                  <w:lang w:val="en-US"/>
                </w:rPr>
                <w:t xml:space="preserve">ROLE OF THE PCC. </w:t>
              </w:r>
              <w:r>
                <w:rPr>
                  <w:noProof/>
                  <w:lang w:val="en-US"/>
                </w:rPr>
                <w:t xml:space="preserve">[Online] </w:t>
              </w:r>
              <w:r>
                <w:rPr>
                  <w:noProof/>
                  <w:lang w:val="en-US"/>
                </w:rPr>
                <w:br/>
                <w:t xml:space="preserve">Available at: </w:t>
              </w:r>
              <w:r>
                <w:rPr>
                  <w:noProof/>
                  <w:u w:val="single"/>
                  <w:lang w:val="en-US"/>
                </w:rPr>
                <w:t>https://apccs.police.uk/role-of-the-pcc/</w:t>
              </w:r>
              <w:r>
                <w:rPr>
                  <w:noProof/>
                  <w:lang w:val="en-US"/>
                </w:rPr>
                <w:br/>
                <w:t>[Accessed 4th January 2023].</w:t>
              </w:r>
            </w:p>
            <w:p w14:paraId="0C0CC9A7" w14:textId="77777777" w:rsidR="00666F50" w:rsidRDefault="00666F50" w:rsidP="00666F50">
              <w:pPr>
                <w:pStyle w:val="Bibliography"/>
                <w:rPr>
                  <w:noProof/>
                  <w:lang w:val="en-US"/>
                </w:rPr>
              </w:pPr>
              <w:r>
                <w:rPr>
                  <w:noProof/>
                  <w:lang w:val="en-US"/>
                </w:rPr>
                <w:t xml:space="preserve">Atkinson, P. E., 1990. 'Creating Cultural Change'. </w:t>
              </w:r>
              <w:r>
                <w:rPr>
                  <w:i/>
                  <w:iCs/>
                  <w:noProof/>
                  <w:lang w:val="en-US"/>
                </w:rPr>
                <w:t xml:space="preserve">Management Services, </w:t>
              </w:r>
              <w:r>
                <w:rPr>
                  <w:noProof/>
                  <w:lang w:val="en-US"/>
                </w:rPr>
                <w:t>34(7), pp. 6-10.</w:t>
              </w:r>
            </w:p>
            <w:p w14:paraId="61A0C7C2" w14:textId="77777777" w:rsidR="00666F50" w:rsidRDefault="00666F50" w:rsidP="00666F50">
              <w:pPr>
                <w:pStyle w:val="Bibliography"/>
                <w:rPr>
                  <w:noProof/>
                  <w:lang w:val="en-US"/>
                </w:rPr>
              </w:pPr>
              <w:r>
                <w:rPr>
                  <w:noProof/>
                  <w:lang w:val="en-US"/>
                </w:rPr>
                <w:t xml:space="preserve">Bacharach, S. B., 2016. </w:t>
              </w:r>
              <w:r>
                <w:rPr>
                  <w:i/>
                  <w:iCs/>
                  <w:noProof/>
                  <w:lang w:val="en-US"/>
                </w:rPr>
                <w:t xml:space="preserve">The Agenda Mover: When Your Good Idea Is Not Enough. </w:t>
              </w:r>
              <w:r>
                <w:rPr>
                  <w:noProof/>
                  <w:lang w:val="en-US"/>
                </w:rPr>
                <w:t>New York: Cornell University Press, Cornell Publishing.</w:t>
              </w:r>
            </w:p>
            <w:p w14:paraId="701C513D" w14:textId="77777777" w:rsidR="00666F50" w:rsidRDefault="00666F50" w:rsidP="00666F50">
              <w:pPr>
                <w:pStyle w:val="Bibliography"/>
                <w:rPr>
                  <w:noProof/>
                  <w:lang w:val="en-US"/>
                </w:rPr>
              </w:pPr>
              <w:r>
                <w:rPr>
                  <w:noProof/>
                  <w:lang w:val="en-US"/>
                </w:rPr>
                <w:t xml:space="preserve">Bailey, R., 2015. Policing the Police and Crime Commissioners (PCCs): An Examination of the Current Statutory and Political Frameworks for Holding PCCs to Account—A Case Study of the Surrey Police and Crime Panel. </w:t>
              </w:r>
              <w:r>
                <w:rPr>
                  <w:i/>
                  <w:iCs/>
                  <w:noProof/>
                  <w:lang w:val="en-US"/>
                </w:rPr>
                <w:t xml:space="preserve">A Journal of Policy and Practice, </w:t>
              </w:r>
              <w:r>
                <w:rPr>
                  <w:noProof/>
                  <w:lang w:val="en-US"/>
                </w:rPr>
                <w:t>9(4), pp. 305-313.</w:t>
              </w:r>
            </w:p>
            <w:p w14:paraId="0965835B" w14:textId="77777777" w:rsidR="00666F50" w:rsidRDefault="00666F50" w:rsidP="00666F50">
              <w:pPr>
                <w:pStyle w:val="Bibliography"/>
                <w:rPr>
                  <w:noProof/>
                  <w:lang w:val="en-US"/>
                </w:rPr>
              </w:pPr>
              <w:r>
                <w:rPr>
                  <w:noProof/>
                  <w:lang w:val="en-US"/>
                </w:rPr>
                <w:t xml:space="preserve">BBC News, 2016. </w:t>
              </w:r>
              <w:r>
                <w:rPr>
                  <w:i/>
                  <w:iCs/>
                  <w:noProof/>
                  <w:lang w:val="en-US"/>
                </w:rPr>
                <w:t xml:space="preserve">Q&amp;A: Police and crime commissioners. </w:t>
              </w:r>
              <w:r>
                <w:rPr>
                  <w:noProof/>
                  <w:lang w:val="en-US"/>
                </w:rPr>
                <w:t xml:space="preserve">[Online] </w:t>
              </w:r>
              <w:r>
                <w:rPr>
                  <w:noProof/>
                  <w:lang w:val="en-US"/>
                </w:rPr>
                <w:br/>
                <w:t xml:space="preserve">Available at: </w:t>
              </w:r>
              <w:r>
                <w:rPr>
                  <w:noProof/>
                  <w:u w:val="single"/>
                  <w:lang w:val="en-US"/>
                </w:rPr>
                <w:t>https://www.bbc.co.uk/news/uk-politics-19504639</w:t>
              </w:r>
              <w:r>
                <w:rPr>
                  <w:noProof/>
                  <w:lang w:val="en-US"/>
                </w:rPr>
                <w:br/>
                <w:t>[Accessed 5th January 2023].</w:t>
              </w:r>
            </w:p>
            <w:p w14:paraId="166CE6A5" w14:textId="77777777" w:rsidR="00666F50" w:rsidRDefault="00666F50" w:rsidP="00666F50">
              <w:pPr>
                <w:pStyle w:val="Bibliography"/>
                <w:rPr>
                  <w:noProof/>
                  <w:lang w:val="en-US"/>
                </w:rPr>
              </w:pPr>
              <w:r>
                <w:rPr>
                  <w:noProof/>
                  <w:lang w:val="en-US"/>
                </w:rPr>
                <w:t xml:space="preserve">BBC, 2013. </w:t>
              </w:r>
              <w:r>
                <w:rPr>
                  <w:i/>
                  <w:iCs/>
                  <w:noProof/>
                  <w:lang w:val="en-US"/>
                </w:rPr>
                <w:t xml:space="preserve">Carmel Napier 'bullied' into retiring as Gwent Police chief. </w:t>
              </w:r>
              <w:r>
                <w:rPr>
                  <w:noProof/>
                  <w:lang w:val="en-US"/>
                </w:rPr>
                <w:t xml:space="preserve">[Online] </w:t>
              </w:r>
              <w:r>
                <w:rPr>
                  <w:noProof/>
                  <w:lang w:val="en-US"/>
                </w:rPr>
                <w:br/>
                <w:t xml:space="preserve">Available at: </w:t>
              </w:r>
              <w:r>
                <w:rPr>
                  <w:noProof/>
                  <w:u w:val="single"/>
                  <w:lang w:val="en-US"/>
                </w:rPr>
                <w:t>https://www.bbc.co.uk/news/uk-wales-south-east-wales-23136222</w:t>
              </w:r>
              <w:r>
                <w:rPr>
                  <w:noProof/>
                  <w:lang w:val="en-US"/>
                </w:rPr>
                <w:br/>
                <w:t>[Accessed 4th January 2023].</w:t>
              </w:r>
            </w:p>
            <w:p w14:paraId="6AD8FE56" w14:textId="77777777" w:rsidR="00666F50" w:rsidRDefault="00666F50" w:rsidP="00666F50">
              <w:pPr>
                <w:pStyle w:val="Bibliography"/>
                <w:rPr>
                  <w:noProof/>
                  <w:lang w:val="en-US"/>
                </w:rPr>
              </w:pPr>
              <w:r>
                <w:rPr>
                  <w:noProof/>
                  <w:lang w:val="en-US"/>
                </w:rPr>
                <w:t xml:space="preserve">BBC, 2019. </w:t>
              </w:r>
              <w:r>
                <w:rPr>
                  <w:i/>
                  <w:iCs/>
                  <w:noProof/>
                  <w:lang w:val="en-US"/>
                </w:rPr>
                <w:t xml:space="preserve">Legal challenges to PCCs fire takeover plans dismissed. </w:t>
              </w:r>
              <w:r>
                <w:rPr>
                  <w:noProof/>
                  <w:lang w:val="en-US"/>
                </w:rPr>
                <w:t xml:space="preserve">[Online] </w:t>
              </w:r>
              <w:r>
                <w:rPr>
                  <w:noProof/>
                  <w:lang w:val="en-US"/>
                </w:rPr>
                <w:br/>
                <w:t xml:space="preserve">Available at: </w:t>
              </w:r>
              <w:r>
                <w:rPr>
                  <w:noProof/>
                  <w:u w:val="single"/>
                  <w:lang w:val="en-US"/>
                </w:rPr>
                <w:t>https://www.bbc.co.uk/news/uk-england-49153497</w:t>
              </w:r>
              <w:r>
                <w:rPr>
                  <w:noProof/>
                  <w:lang w:val="en-US"/>
                </w:rPr>
                <w:br/>
                <w:t>[Accessed 4th January 2023].</w:t>
              </w:r>
            </w:p>
            <w:p w14:paraId="21A22480" w14:textId="77777777" w:rsidR="00666F50" w:rsidRDefault="00666F50" w:rsidP="00666F50">
              <w:pPr>
                <w:pStyle w:val="Bibliography"/>
                <w:rPr>
                  <w:noProof/>
                  <w:lang w:val="en-US"/>
                </w:rPr>
              </w:pPr>
              <w:r>
                <w:rPr>
                  <w:noProof/>
                  <w:lang w:val="en-US"/>
                </w:rPr>
                <w:t xml:space="preserve">Beare, M. E. &amp; Murray, T., 2007. </w:t>
              </w:r>
              <w:r>
                <w:rPr>
                  <w:i/>
                  <w:iCs/>
                  <w:noProof/>
                  <w:lang w:val="en-US"/>
                </w:rPr>
                <w:t xml:space="preserve">Police and Government Relations: Who's Calling the Shots?. </w:t>
              </w:r>
              <w:r>
                <w:rPr>
                  <w:noProof/>
                  <w:lang w:val="en-US"/>
                </w:rPr>
                <w:t>1st ed. Toronto: University of Toronto Press.</w:t>
              </w:r>
            </w:p>
            <w:p w14:paraId="645F14B2" w14:textId="77777777" w:rsidR="00666F50" w:rsidRDefault="00666F50" w:rsidP="00666F50">
              <w:pPr>
                <w:pStyle w:val="Bibliography"/>
                <w:rPr>
                  <w:noProof/>
                  <w:lang w:val="en-US"/>
                </w:rPr>
              </w:pPr>
              <w:r>
                <w:rPr>
                  <w:noProof/>
                  <w:lang w:val="en-US"/>
                </w:rPr>
                <w:t xml:space="preserve">Bell, B., 2022. </w:t>
              </w:r>
              <w:r>
                <w:rPr>
                  <w:i/>
                  <w:iCs/>
                  <w:noProof/>
                  <w:lang w:val="en-US"/>
                </w:rPr>
                <w:t xml:space="preserve">Dame Cressida Dick: Crises and controversies of Met chief. </w:t>
              </w:r>
              <w:r>
                <w:rPr>
                  <w:noProof/>
                  <w:lang w:val="en-US"/>
                </w:rPr>
                <w:t xml:space="preserve">[Online] </w:t>
              </w:r>
              <w:r>
                <w:rPr>
                  <w:noProof/>
                  <w:lang w:val="en-US"/>
                </w:rPr>
                <w:br/>
                <w:t xml:space="preserve">Available at: </w:t>
              </w:r>
              <w:r>
                <w:rPr>
                  <w:noProof/>
                  <w:u w:val="single"/>
                  <w:lang w:val="en-US"/>
                </w:rPr>
                <w:t>https://www.bbc.co.uk/news/uk-england-london-58514848</w:t>
              </w:r>
              <w:r>
                <w:rPr>
                  <w:noProof/>
                  <w:lang w:val="en-US"/>
                </w:rPr>
                <w:br/>
                <w:t>[Accessed 4th January 2023].</w:t>
              </w:r>
            </w:p>
            <w:p w14:paraId="2EA9D478" w14:textId="77777777" w:rsidR="00666F50" w:rsidRDefault="00666F50" w:rsidP="00666F50">
              <w:pPr>
                <w:pStyle w:val="Bibliography"/>
                <w:rPr>
                  <w:noProof/>
                  <w:lang w:val="en-US"/>
                </w:rPr>
              </w:pPr>
              <w:r>
                <w:rPr>
                  <w:noProof/>
                  <w:lang w:val="en-US"/>
                </w:rPr>
                <w:t xml:space="preserve">Bevir, M. &amp; Rhodes, R., 2003. </w:t>
              </w:r>
              <w:r>
                <w:rPr>
                  <w:i/>
                  <w:iCs/>
                  <w:noProof/>
                  <w:lang w:val="en-US"/>
                </w:rPr>
                <w:t xml:space="preserve">Interpreting British Governance. </w:t>
              </w:r>
              <w:r>
                <w:rPr>
                  <w:noProof/>
                  <w:lang w:val="en-US"/>
                </w:rPr>
                <w:t>1st ed. London: Routledge.</w:t>
              </w:r>
            </w:p>
            <w:p w14:paraId="4448D756" w14:textId="77777777" w:rsidR="00666F50" w:rsidRDefault="00666F50" w:rsidP="00666F50">
              <w:pPr>
                <w:pStyle w:val="Bibliography"/>
                <w:rPr>
                  <w:noProof/>
                  <w:lang w:val="en-US"/>
                </w:rPr>
              </w:pPr>
              <w:r>
                <w:rPr>
                  <w:noProof/>
                  <w:lang w:val="en-US"/>
                </w:rPr>
                <w:t xml:space="preserve">Bouvaird, T. &amp; Loeffler, E., 2016. </w:t>
              </w:r>
              <w:r>
                <w:rPr>
                  <w:i/>
                  <w:iCs/>
                  <w:noProof/>
                  <w:lang w:val="en-US"/>
                </w:rPr>
                <w:t xml:space="preserve">Public Management and Governance. </w:t>
              </w:r>
              <w:r>
                <w:rPr>
                  <w:noProof/>
                  <w:lang w:val="en-US"/>
                </w:rPr>
                <w:t>3rd ed. London: Routledge.</w:t>
              </w:r>
            </w:p>
            <w:p w14:paraId="3979CC9E" w14:textId="77777777" w:rsidR="00666F50" w:rsidRDefault="00666F50" w:rsidP="00666F50">
              <w:pPr>
                <w:pStyle w:val="Bibliography"/>
                <w:rPr>
                  <w:noProof/>
                  <w:lang w:val="en-US"/>
                </w:rPr>
              </w:pPr>
              <w:r>
                <w:rPr>
                  <w:noProof/>
                  <w:lang w:val="en-US"/>
                </w:rPr>
                <w:t xml:space="preserve">Cabinet Office, 2022. </w:t>
              </w:r>
              <w:r>
                <w:rPr>
                  <w:i/>
                  <w:iCs/>
                  <w:noProof/>
                  <w:lang w:val="en-US"/>
                </w:rPr>
                <w:t xml:space="preserve">List of Cabinet Committees and their membership. </w:t>
              </w:r>
              <w:r>
                <w:rPr>
                  <w:noProof/>
                  <w:lang w:val="en-US"/>
                </w:rPr>
                <w:t xml:space="preserve">[Online] </w:t>
              </w:r>
              <w:r>
                <w:rPr>
                  <w:noProof/>
                  <w:lang w:val="en-US"/>
                </w:rPr>
                <w:br/>
                <w:t xml:space="preserve">Available at: </w:t>
              </w:r>
              <w:r>
                <w:rPr>
                  <w:noProof/>
                  <w:u w:val="single"/>
                  <w:lang w:val="en-US"/>
                </w:rPr>
                <w:t>https://committees.parliament.uk/committee/83/home-affairs-committee/</w:t>
              </w:r>
              <w:r>
                <w:rPr>
                  <w:noProof/>
                  <w:lang w:val="en-US"/>
                </w:rPr>
                <w:br/>
                <w:t>[Accessed 4th January 2023].</w:t>
              </w:r>
            </w:p>
            <w:p w14:paraId="10ABA317" w14:textId="77777777" w:rsidR="00666F50" w:rsidRDefault="00666F50" w:rsidP="00666F50">
              <w:pPr>
                <w:pStyle w:val="Bibliography"/>
                <w:rPr>
                  <w:noProof/>
                  <w:lang w:val="en-US"/>
                </w:rPr>
              </w:pPr>
              <w:r>
                <w:rPr>
                  <w:noProof/>
                  <w:lang w:val="en-US"/>
                </w:rPr>
                <w:t xml:space="preserve">Cadbury, A., 2002. </w:t>
              </w:r>
              <w:r>
                <w:rPr>
                  <w:i/>
                  <w:iCs/>
                  <w:noProof/>
                  <w:lang w:val="en-US"/>
                </w:rPr>
                <w:t xml:space="preserve">Corporate Governance and Chairmanship. </w:t>
              </w:r>
              <w:r>
                <w:rPr>
                  <w:noProof/>
                  <w:lang w:val="en-US"/>
                </w:rPr>
                <w:t>Oxford: Oxford University Press.</w:t>
              </w:r>
            </w:p>
            <w:p w14:paraId="239C6D18" w14:textId="77777777" w:rsidR="00666F50" w:rsidRDefault="00666F50" w:rsidP="00666F50">
              <w:pPr>
                <w:pStyle w:val="Bibliography"/>
                <w:rPr>
                  <w:noProof/>
                  <w:lang w:val="en-US"/>
                </w:rPr>
              </w:pPr>
              <w:r>
                <w:rPr>
                  <w:noProof/>
                  <w:lang w:val="en-US"/>
                </w:rPr>
                <w:t xml:space="preserve">Caless, B. &amp; Owens, J., 2016. </w:t>
              </w:r>
              <w:r>
                <w:rPr>
                  <w:i/>
                  <w:iCs/>
                  <w:noProof/>
                  <w:lang w:val="en-US"/>
                </w:rPr>
                <w:t xml:space="preserve">Police and Crime Commissioners: The transformation of police accountability. </w:t>
              </w:r>
              <w:r>
                <w:rPr>
                  <w:noProof/>
                  <w:lang w:val="en-US"/>
                </w:rPr>
                <w:t>1st ed. Bristol: Bristol University Press.</w:t>
              </w:r>
            </w:p>
            <w:p w14:paraId="4311ECFD" w14:textId="77777777" w:rsidR="00666F50" w:rsidRDefault="00666F50" w:rsidP="00666F50">
              <w:pPr>
                <w:pStyle w:val="Bibliography"/>
                <w:rPr>
                  <w:noProof/>
                  <w:lang w:val="en-US"/>
                </w:rPr>
              </w:pPr>
              <w:r>
                <w:rPr>
                  <w:noProof/>
                  <w:lang w:val="en-US"/>
                </w:rPr>
                <w:t xml:space="preserve">Chhotray, V. &amp; Stoker, G., 2008. </w:t>
              </w:r>
              <w:r>
                <w:rPr>
                  <w:i/>
                  <w:iCs/>
                  <w:noProof/>
                  <w:lang w:val="en-US"/>
                </w:rPr>
                <w:t xml:space="preserve">Governance Theorty and Practice; A Cross Disciplinary Approach. </w:t>
              </w:r>
              <w:r>
                <w:rPr>
                  <w:noProof/>
                  <w:lang w:val="en-US"/>
                </w:rPr>
                <w:t>London: Palgrave Macmillan UK.</w:t>
              </w:r>
            </w:p>
            <w:p w14:paraId="21BD7363" w14:textId="77777777" w:rsidR="00666F50" w:rsidRDefault="00666F50" w:rsidP="00666F50">
              <w:pPr>
                <w:pStyle w:val="Bibliography"/>
                <w:rPr>
                  <w:noProof/>
                  <w:lang w:val="en-US"/>
                </w:rPr>
              </w:pPr>
              <w:r>
                <w:rPr>
                  <w:noProof/>
                  <w:lang w:val="en-US"/>
                </w:rPr>
                <w:t xml:space="preserve">College of Policing, 2017. </w:t>
              </w:r>
              <w:r>
                <w:rPr>
                  <w:i/>
                  <w:iCs/>
                  <w:noProof/>
                  <w:lang w:val="en-US"/>
                </w:rPr>
                <w:t xml:space="preserve">Complaints and misconduct. </w:t>
              </w:r>
              <w:r>
                <w:rPr>
                  <w:noProof/>
                  <w:lang w:val="en-US"/>
                </w:rPr>
                <w:t xml:space="preserve">[Online] </w:t>
              </w:r>
              <w:r>
                <w:rPr>
                  <w:noProof/>
                  <w:lang w:val="en-US"/>
                </w:rPr>
                <w:br/>
                <w:t xml:space="preserve">Available at: </w:t>
              </w:r>
              <w:r>
                <w:rPr>
                  <w:noProof/>
                  <w:u w:val="single"/>
                  <w:lang w:val="en-US"/>
                </w:rPr>
                <w:t>https://www.college.police.uk/app/professional-standards/complaints-and-misconduct</w:t>
              </w:r>
              <w:r>
                <w:rPr>
                  <w:noProof/>
                  <w:lang w:val="en-US"/>
                </w:rPr>
                <w:br/>
                <w:t>[Accessed 3rd January 2023].</w:t>
              </w:r>
            </w:p>
            <w:p w14:paraId="7C006FC2" w14:textId="77777777" w:rsidR="00666F50" w:rsidRDefault="00666F50" w:rsidP="00666F50">
              <w:pPr>
                <w:pStyle w:val="Bibliography"/>
                <w:rPr>
                  <w:noProof/>
                  <w:lang w:val="en-US"/>
                </w:rPr>
              </w:pPr>
              <w:r>
                <w:rPr>
                  <w:noProof/>
                  <w:lang w:val="en-US"/>
                </w:rPr>
                <w:t xml:space="preserve">College of Policing, 2022. </w:t>
              </w:r>
              <w:r>
                <w:rPr>
                  <w:i/>
                  <w:iCs/>
                  <w:noProof/>
                  <w:lang w:val="en-US"/>
                </w:rPr>
                <w:t xml:space="preserve">The Chief Constable. </w:t>
              </w:r>
              <w:r>
                <w:rPr>
                  <w:noProof/>
                  <w:lang w:val="en-US"/>
                </w:rPr>
                <w:t xml:space="preserve">[Online] </w:t>
              </w:r>
              <w:r>
                <w:rPr>
                  <w:noProof/>
                  <w:lang w:val="en-US"/>
                </w:rPr>
                <w:br/>
                <w:t xml:space="preserve">Available at: </w:t>
              </w:r>
              <w:r>
                <w:rPr>
                  <w:noProof/>
                  <w:u w:val="single"/>
                  <w:lang w:val="en-US"/>
                </w:rPr>
                <w:t>https://profdev.college.police.uk/professional-profile/chief-constable/</w:t>
              </w:r>
              <w:r>
                <w:rPr>
                  <w:noProof/>
                  <w:lang w:val="en-US"/>
                </w:rPr>
                <w:br/>
                <w:t>[Accessed 2nd January 2023].</w:t>
              </w:r>
            </w:p>
            <w:p w14:paraId="37CC5AAA" w14:textId="77777777" w:rsidR="00666F50" w:rsidRDefault="00666F50" w:rsidP="00666F50">
              <w:pPr>
                <w:pStyle w:val="Bibliography"/>
                <w:rPr>
                  <w:noProof/>
                  <w:lang w:val="en-US"/>
                </w:rPr>
              </w:pPr>
              <w:r>
                <w:rPr>
                  <w:noProof/>
                  <w:lang w:val="en-US"/>
                </w:rPr>
                <w:t xml:space="preserve">Conn, D., 2017. </w:t>
              </w:r>
              <w:r>
                <w:rPr>
                  <w:i/>
                  <w:iCs/>
                  <w:noProof/>
                  <w:lang w:val="en-US"/>
                </w:rPr>
                <w:t xml:space="preserve">Former chief constable's Hillsborough sacking was 'unlawful and irrational', </w:t>
              </w:r>
              <w:r>
                <w:rPr>
                  <w:noProof/>
                  <w:lang w:val="en-US"/>
                </w:rPr>
                <w:t>London: The Guardian.</w:t>
              </w:r>
            </w:p>
            <w:p w14:paraId="35BF08E5" w14:textId="77777777" w:rsidR="00666F50" w:rsidRDefault="00666F50" w:rsidP="00666F50">
              <w:pPr>
                <w:pStyle w:val="Bibliography"/>
                <w:rPr>
                  <w:noProof/>
                  <w:lang w:val="en-US"/>
                </w:rPr>
              </w:pPr>
              <w:r>
                <w:rPr>
                  <w:noProof/>
                  <w:lang w:val="en-US"/>
                </w:rPr>
                <w:t xml:space="preserve">Davies, M. &amp; Johnson, J., 2016. Navigating the One-on-One Model of Accountability: Lessons for Police and Crime Commissioners and Chief Constables through the Lens of Principal–Agent Theory. </w:t>
              </w:r>
              <w:r>
                <w:rPr>
                  <w:i/>
                  <w:iCs/>
                  <w:noProof/>
                  <w:lang w:val="en-US"/>
                </w:rPr>
                <w:t xml:space="preserve">Policing: A Journal of Policy and Practice, </w:t>
              </w:r>
              <w:r>
                <w:rPr>
                  <w:noProof/>
                  <w:lang w:val="en-US"/>
                </w:rPr>
                <w:t>10(3), pp. 278-287.</w:t>
              </w:r>
            </w:p>
            <w:p w14:paraId="7CC50A8F" w14:textId="77777777" w:rsidR="00666F50" w:rsidRDefault="00666F50" w:rsidP="00666F50">
              <w:pPr>
                <w:pStyle w:val="Bibliography"/>
                <w:rPr>
                  <w:noProof/>
                  <w:lang w:val="en-US"/>
                </w:rPr>
              </w:pPr>
              <w:r>
                <w:rPr>
                  <w:noProof/>
                  <w:lang w:val="en-US"/>
                </w:rPr>
                <w:t xml:space="preserve">DiLeonardo, A., Lauricella, T. &amp; Schaninger, B., 2020. </w:t>
              </w:r>
              <w:r>
                <w:rPr>
                  <w:i/>
                  <w:iCs/>
                  <w:noProof/>
                  <w:lang w:val="en-US"/>
                </w:rPr>
                <w:t xml:space="preserve">When one size doesn’t fit all: How to make change personal. </w:t>
              </w:r>
              <w:r>
                <w:rPr>
                  <w:noProof/>
                  <w:lang w:val="en-US"/>
                </w:rPr>
                <w:t xml:space="preserve">[Online] </w:t>
              </w:r>
              <w:r>
                <w:rPr>
                  <w:noProof/>
                  <w:lang w:val="en-US"/>
                </w:rPr>
                <w:br/>
                <w:t xml:space="preserve">Available at: </w:t>
              </w:r>
              <w:r>
                <w:rPr>
                  <w:noProof/>
                  <w:u w:val="single"/>
                  <w:lang w:val="en-US"/>
                </w:rPr>
                <w:t>https://www.mckinsey.com/capabilities/people-and-organizational-performance/our-insights/the-organization-blog/when-one-size-doesnt-fit-all-how-to-make-change-personal</w:t>
              </w:r>
              <w:r>
                <w:rPr>
                  <w:noProof/>
                  <w:lang w:val="en-US"/>
                </w:rPr>
                <w:br/>
                <w:t>[Accessed 15 December 2022].</w:t>
              </w:r>
            </w:p>
            <w:p w14:paraId="2E331A31" w14:textId="77777777" w:rsidR="00666F50" w:rsidRDefault="00666F50" w:rsidP="00666F50">
              <w:pPr>
                <w:pStyle w:val="Bibliography"/>
                <w:rPr>
                  <w:noProof/>
                  <w:lang w:val="en-US"/>
                </w:rPr>
              </w:pPr>
              <w:r>
                <w:rPr>
                  <w:noProof/>
                  <w:lang w:val="en-US"/>
                </w:rPr>
                <w:t xml:space="preserve">Flemming, J., 2015. </w:t>
              </w:r>
              <w:r>
                <w:rPr>
                  <w:i/>
                  <w:iCs/>
                  <w:noProof/>
                  <w:lang w:val="en-US"/>
                </w:rPr>
                <w:t xml:space="preserve">Police Leadership: Rising to the Top. </w:t>
              </w:r>
              <w:r>
                <w:rPr>
                  <w:noProof/>
                  <w:lang w:val="en-US"/>
                </w:rPr>
                <w:t>1st ed. Oxford: Oxford University Press.</w:t>
              </w:r>
            </w:p>
            <w:p w14:paraId="7980A895" w14:textId="77777777" w:rsidR="00666F50" w:rsidRDefault="00666F50" w:rsidP="00666F50">
              <w:pPr>
                <w:pStyle w:val="Bibliography"/>
                <w:rPr>
                  <w:noProof/>
                  <w:lang w:val="en-US"/>
                </w:rPr>
              </w:pPr>
              <w:r>
                <w:rPr>
                  <w:noProof/>
                  <w:lang w:val="en-US"/>
                </w:rPr>
                <w:t xml:space="preserve">Frost, T. B., 1983. </w:t>
              </w:r>
              <w:r>
                <w:rPr>
                  <w:i/>
                  <w:iCs/>
                  <w:noProof/>
                  <w:lang w:val="en-US"/>
                </w:rPr>
                <w:t xml:space="preserve">Role of the Police Authority - A Discussion of the Present Role of the Police Authority, Current Proposals for Change and Their Likely Implications for Both Police and Public. </w:t>
              </w:r>
              <w:r>
                <w:rPr>
                  <w:noProof/>
                  <w:lang w:val="en-US"/>
                </w:rPr>
                <w:t xml:space="preserve">[Online] </w:t>
              </w:r>
              <w:r>
                <w:rPr>
                  <w:noProof/>
                  <w:lang w:val="en-US"/>
                </w:rPr>
                <w:br/>
                <w:t xml:space="preserve">Available at: </w:t>
              </w:r>
              <w:r>
                <w:rPr>
                  <w:noProof/>
                  <w:u w:val="single"/>
                  <w:lang w:val="en-US"/>
                </w:rPr>
                <w:t>https://www.ojp.gov/ncjrs/virtual-library/abstracts/role-police-authority-discussion-present-role-police-authority</w:t>
              </w:r>
              <w:r>
                <w:rPr>
                  <w:noProof/>
                  <w:lang w:val="en-US"/>
                </w:rPr>
                <w:br/>
                <w:t>[Accessed 2nd January 2023].</w:t>
              </w:r>
            </w:p>
            <w:p w14:paraId="57D053B7" w14:textId="77777777" w:rsidR="00666F50" w:rsidRDefault="00666F50" w:rsidP="00666F50">
              <w:pPr>
                <w:pStyle w:val="Bibliography"/>
                <w:rPr>
                  <w:noProof/>
                  <w:lang w:val="en-US"/>
                </w:rPr>
              </w:pPr>
              <w:r>
                <w:rPr>
                  <w:noProof/>
                  <w:lang w:val="en-US"/>
                </w:rPr>
                <w:t xml:space="preserve">Government, U., 2011. </w:t>
              </w:r>
              <w:r>
                <w:rPr>
                  <w:i/>
                  <w:iCs/>
                  <w:noProof/>
                  <w:lang w:val="en-US"/>
                </w:rPr>
                <w:t xml:space="preserve">Police Reform and Social Responsibility Act 2011. </w:t>
              </w:r>
              <w:r>
                <w:rPr>
                  <w:noProof/>
                  <w:lang w:val="en-US"/>
                </w:rPr>
                <w:t xml:space="preserve">[Online] </w:t>
              </w:r>
              <w:r>
                <w:rPr>
                  <w:noProof/>
                  <w:lang w:val="en-US"/>
                </w:rPr>
                <w:br/>
                <w:t xml:space="preserve">Available at: </w:t>
              </w:r>
              <w:r>
                <w:rPr>
                  <w:noProof/>
                  <w:u w:val="single"/>
                  <w:lang w:val="en-US"/>
                </w:rPr>
                <w:t>https://www.legislation.gov.uk/ukpga/2011/13/part/1/chapter/1/enacted</w:t>
              </w:r>
              <w:r>
                <w:rPr>
                  <w:noProof/>
                  <w:lang w:val="en-US"/>
                </w:rPr>
                <w:br/>
                <w:t>[Accessed 16 December 2022].</w:t>
              </w:r>
            </w:p>
            <w:p w14:paraId="6E28696C" w14:textId="77777777" w:rsidR="00666F50" w:rsidRDefault="00666F50" w:rsidP="00666F50">
              <w:pPr>
                <w:pStyle w:val="Bibliography"/>
                <w:rPr>
                  <w:noProof/>
                  <w:lang w:val="en-US"/>
                </w:rPr>
              </w:pPr>
              <w:r>
                <w:rPr>
                  <w:noProof/>
                  <w:lang w:val="en-US"/>
                </w:rPr>
                <w:t xml:space="preserve">Home Affairs Committee, 2013. </w:t>
              </w:r>
              <w:r>
                <w:rPr>
                  <w:i/>
                  <w:iCs/>
                  <w:noProof/>
                  <w:lang w:val="en-US"/>
                </w:rPr>
                <w:t xml:space="preserve">Written evidence submitted by Carmel Napier QPM, Former Chief Constable of Gwent Police (PCC 16). </w:t>
              </w:r>
              <w:r>
                <w:rPr>
                  <w:noProof/>
                  <w:lang w:val="en-US"/>
                </w:rPr>
                <w:t xml:space="preserve">[Online] </w:t>
              </w:r>
              <w:r>
                <w:rPr>
                  <w:noProof/>
                  <w:lang w:val="en-US"/>
                </w:rPr>
                <w:br/>
                <w:t xml:space="preserve">Available at: </w:t>
              </w:r>
              <w:r>
                <w:rPr>
                  <w:noProof/>
                  <w:u w:val="single"/>
                  <w:lang w:val="en-US"/>
                </w:rPr>
                <w:t>https://publications.parliament.uk/pa/cm201314/cmselect/cmhaff/487/487we04.htm</w:t>
              </w:r>
              <w:r>
                <w:rPr>
                  <w:noProof/>
                  <w:lang w:val="en-US"/>
                </w:rPr>
                <w:br/>
                <w:t>[Accessed 4th January 2023].</w:t>
              </w:r>
            </w:p>
            <w:p w14:paraId="1F613B30" w14:textId="77777777" w:rsidR="00666F50" w:rsidRDefault="00666F50" w:rsidP="00666F50">
              <w:pPr>
                <w:pStyle w:val="Bibliography"/>
                <w:rPr>
                  <w:noProof/>
                  <w:lang w:val="en-US"/>
                </w:rPr>
              </w:pPr>
              <w:r>
                <w:rPr>
                  <w:noProof/>
                  <w:lang w:val="en-US"/>
                </w:rPr>
                <w:t xml:space="preserve">Home Office, 2013. </w:t>
              </w:r>
              <w:r>
                <w:rPr>
                  <w:i/>
                  <w:iCs/>
                  <w:noProof/>
                  <w:lang w:val="en-US"/>
                </w:rPr>
                <w:t xml:space="preserve">Police and Crime Commissioners: power to remove Chief Constables. </w:t>
              </w:r>
              <w:r>
                <w:rPr>
                  <w:noProof/>
                  <w:lang w:val="en-US"/>
                </w:rPr>
                <w:t xml:space="preserve">[Online] </w:t>
              </w:r>
              <w:r>
                <w:rPr>
                  <w:noProof/>
                  <w:lang w:val="en-US"/>
                </w:rPr>
                <w:br/>
                <w:t xml:space="preserve">Available at: </w:t>
              </w:r>
              <w:r>
                <w:rPr>
                  <w:noProof/>
                  <w:u w:val="single"/>
                  <w:lang w:val="en-US"/>
                </w:rPr>
                <w:t>https://publications.parliament.uk/pa/cm201314/cmselect/cmhaff/487/48703.htm#:~:text=The%20procedures%20for%20a%20police%20and%20crime%20commissioner,crime%20panel%20that%20he%20has%20done%20so.%203.</w:t>
              </w:r>
              <w:r>
                <w:rPr>
                  <w:noProof/>
                  <w:lang w:val="en-US"/>
                </w:rPr>
                <w:br/>
                <w:t>[Accessed 4th January 2023].</w:t>
              </w:r>
            </w:p>
            <w:p w14:paraId="70286A17" w14:textId="77777777" w:rsidR="00666F50" w:rsidRDefault="00666F50" w:rsidP="00666F50">
              <w:pPr>
                <w:pStyle w:val="Bibliography"/>
                <w:rPr>
                  <w:noProof/>
                  <w:lang w:val="en-US"/>
                </w:rPr>
              </w:pPr>
              <w:r>
                <w:rPr>
                  <w:noProof/>
                  <w:lang w:val="en-US"/>
                </w:rPr>
                <w:t xml:space="preserve">Home Office, G. U., 2012. </w:t>
              </w:r>
              <w:r>
                <w:rPr>
                  <w:i/>
                  <w:iCs/>
                  <w:noProof/>
                  <w:lang w:val="en-US"/>
                </w:rPr>
                <w:t xml:space="preserve">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15th December 2022].</w:t>
              </w:r>
            </w:p>
            <w:p w14:paraId="597AE366" w14:textId="77777777" w:rsidR="00666F50" w:rsidRDefault="00666F50" w:rsidP="00666F50">
              <w:pPr>
                <w:pStyle w:val="Bibliography"/>
                <w:rPr>
                  <w:noProof/>
                  <w:lang w:val="en-US"/>
                </w:rPr>
              </w:pPr>
              <w:r>
                <w:rPr>
                  <w:noProof/>
                  <w:lang w:val="en-US"/>
                </w:rPr>
                <w:t xml:space="preserve">House of Commons, 2011. </w:t>
              </w:r>
              <w:r>
                <w:rPr>
                  <w:i/>
                  <w:iCs/>
                  <w:noProof/>
                  <w:lang w:val="en-US"/>
                </w:rPr>
                <w:t xml:space="preserve">Police Reform and Social Responsibility Act 2011. Government Bill.. </w:t>
              </w:r>
              <w:r>
                <w:rPr>
                  <w:noProof/>
                  <w:lang w:val="en-US"/>
                </w:rPr>
                <w:t xml:space="preserve">[Online] </w:t>
              </w:r>
              <w:r>
                <w:rPr>
                  <w:noProof/>
                  <w:lang w:val="en-US"/>
                </w:rPr>
                <w:br/>
                <w:t xml:space="preserve">Available at: </w:t>
              </w:r>
              <w:r>
                <w:rPr>
                  <w:noProof/>
                  <w:u w:val="single"/>
                  <w:lang w:val="en-US"/>
                </w:rPr>
                <w:t>https://bills.parliament.uk/bills/754</w:t>
              </w:r>
              <w:r>
                <w:rPr>
                  <w:noProof/>
                  <w:lang w:val="en-US"/>
                </w:rPr>
                <w:br/>
                <w:t>[Accessed 2nd January 2023].</w:t>
              </w:r>
            </w:p>
            <w:p w14:paraId="5A72A163" w14:textId="77777777" w:rsidR="00666F50" w:rsidRDefault="00666F50" w:rsidP="00666F50">
              <w:pPr>
                <w:pStyle w:val="Bibliography"/>
                <w:rPr>
                  <w:noProof/>
                  <w:lang w:val="en-US"/>
                </w:rPr>
              </w:pPr>
              <w:r>
                <w:rPr>
                  <w:noProof/>
                  <w:lang w:val="en-US"/>
                </w:rPr>
                <w:t xml:space="preserve">Jones , R., Harrison, M. &amp; Jones, T., 2022. Policing and devolution in the UK: The ‘special’ case of Wales. </w:t>
              </w:r>
              <w:r>
                <w:rPr>
                  <w:i/>
                  <w:iCs/>
                  <w:noProof/>
                  <w:lang w:val="en-US"/>
                </w:rPr>
                <w:t xml:space="preserve">Policing: A Journal of Policy and Practice, </w:t>
              </w:r>
              <w:r>
                <w:rPr>
                  <w:noProof/>
                  <w:lang w:val="en-US"/>
                </w:rPr>
                <w:t>p. paac063.</w:t>
              </w:r>
            </w:p>
            <w:p w14:paraId="7AA62AED" w14:textId="77777777" w:rsidR="00666F50" w:rsidRDefault="00666F50" w:rsidP="00666F50">
              <w:pPr>
                <w:pStyle w:val="Bibliography"/>
                <w:rPr>
                  <w:noProof/>
                  <w:lang w:val="en-US"/>
                </w:rPr>
              </w:pPr>
              <w:r>
                <w:rPr>
                  <w:noProof/>
                  <w:lang w:val="en-US"/>
                </w:rPr>
                <w:t xml:space="preserve">Joyce, P., 2011. Police reform: from police authorities to police and crime commissioners. </w:t>
              </w:r>
              <w:r>
                <w:rPr>
                  <w:i/>
                  <w:iCs/>
                  <w:noProof/>
                  <w:lang w:val="en-US"/>
                </w:rPr>
                <w:t xml:space="preserve">Safer Communities, </w:t>
              </w:r>
              <w:r>
                <w:rPr>
                  <w:noProof/>
                  <w:lang w:val="en-US"/>
                </w:rPr>
                <w:t>10(4), pp. 5-13.</w:t>
              </w:r>
            </w:p>
            <w:p w14:paraId="53C9CFBD" w14:textId="77777777" w:rsidR="00666F50" w:rsidRDefault="00666F50" w:rsidP="00666F50">
              <w:pPr>
                <w:pStyle w:val="Bibliography"/>
                <w:rPr>
                  <w:noProof/>
                  <w:lang w:val="en-US"/>
                </w:rPr>
              </w:pPr>
              <w:r>
                <w:rPr>
                  <w:noProof/>
                  <w:lang w:val="en-US"/>
                </w:rPr>
                <w:t xml:space="preserve">Joyce, P., 2017. The 2016 Police and Crime Commissioner elections. </w:t>
              </w:r>
              <w:r>
                <w:rPr>
                  <w:i/>
                  <w:iCs/>
                  <w:noProof/>
                  <w:lang w:val="en-US"/>
                </w:rPr>
                <w:t xml:space="preserve">Safer Communities, </w:t>
              </w:r>
              <w:r>
                <w:rPr>
                  <w:noProof/>
                  <w:lang w:val="en-US"/>
                </w:rPr>
                <w:t>16(2), pp. 41-54.</w:t>
              </w:r>
            </w:p>
            <w:p w14:paraId="0033796E" w14:textId="77777777" w:rsidR="00666F50" w:rsidRDefault="00666F50" w:rsidP="00666F50">
              <w:pPr>
                <w:pStyle w:val="Bibliography"/>
                <w:rPr>
                  <w:noProof/>
                  <w:lang w:val="en-US"/>
                </w:rPr>
              </w:pPr>
              <w:r>
                <w:rPr>
                  <w:noProof/>
                  <w:lang w:val="en-US"/>
                </w:rPr>
                <w:t xml:space="preserve">Jugdev, K., 2019. Governance and Governmentality for Projects: Enablers, Practices and Consequences. </w:t>
              </w:r>
              <w:r>
                <w:rPr>
                  <w:i/>
                  <w:iCs/>
                  <w:noProof/>
                  <w:lang w:val="en-US"/>
                </w:rPr>
                <w:t xml:space="preserve">International Journal of Managing Projects in Business, </w:t>
              </w:r>
              <w:r>
                <w:rPr>
                  <w:noProof/>
                  <w:lang w:val="en-US"/>
                </w:rPr>
                <w:t>12(1), pp. 228-234.</w:t>
              </w:r>
            </w:p>
            <w:p w14:paraId="51C6166D" w14:textId="77777777" w:rsidR="00666F50" w:rsidRDefault="00666F50" w:rsidP="00666F50">
              <w:pPr>
                <w:pStyle w:val="Bibliography"/>
                <w:rPr>
                  <w:noProof/>
                  <w:lang w:val="en-US"/>
                </w:rPr>
              </w:pPr>
              <w:r>
                <w:rPr>
                  <w:noProof/>
                  <w:lang w:val="en-US"/>
                </w:rPr>
                <w:t xml:space="preserve">Liberty, 2010. </w:t>
              </w:r>
              <w:r>
                <w:rPr>
                  <w:i/>
                  <w:iCs/>
                  <w:noProof/>
                  <w:lang w:val="en-US"/>
                </w:rPr>
                <w:t xml:space="preserve">Policing: Police and Crime Commissioners - Home Affairs Committee:. </w:t>
              </w:r>
              <w:r>
                <w:rPr>
                  <w:noProof/>
                  <w:lang w:val="en-US"/>
                </w:rPr>
                <w:t xml:space="preserve">[Online] </w:t>
              </w:r>
              <w:r>
                <w:rPr>
                  <w:noProof/>
                  <w:lang w:val="en-US"/>
                </w:rPr>
                <w:br/>
                <w:t xml:space="preserve">Available at: </w:t>
              </w:r>
              <w:r>
                <w:rPr>
                  <w:noProof/>
                  <w:u w:val="single"/>
                  <w:lang w:val="en-US"/>
                </w:rPr>
                <w:t>https://publications.parliament.uk/pa/cm201011/cmselect/cmhaff/511/511uw02.htm</w:t>
              </w:r>
              <w:r>
                <w:rPr>
                  <w:noProof/>
                  <w:lang w:val="en-US"/>
                </w:rPr>
                <w:br/>
                <w:t>[Accessed 3rd January 2023].</w:t>
              </w:r>
            </w:p>
            <w:p w14:paraId="3757268C" w14:textId="77777777" w:rsidR="00666F50" w:rsidRDefault="00666F50" w:rsidP="00666F50">
              <w:pPr>
                <w:pStyle w:val="Bibliography"/>
                <w:rPr>
                  <w:noProof/>
                  <w:lang w:val="en-US"/>
                </w:rPr>
              </w:pPr>
              <w:r>
                <w:rPr>
                  <w:noProof/>
                  <w:lang w:val="en-US"/>
                </w:rPr>
                <w:t xml:space="preserve">Lister, S., 2014. Safer Communities. </w:t>
              </w:r>
              <w:r>
                <w:rPr>
                  <w:i/>
                  <w:iCs/>
                  <w:noProof/>
                  <w:lang w:val="en-US"/>
                </w:rPr>
                <w:t xml:space="preserve">Scrutinising the role of the Police and Crime Panel in the new era of police governance in England and Wales, </w:t>
              </w:r>
              <w:r>
                <w:rPr>
                  <w:noProof/>
                  <w:lang w:val="en-US"/>
                </w:rPr>
                <w:t>13(1), pp. 22-31.</w:t>
              </w:r>
            </w:p>
            <w:p w14:paraId="256E8DA5" w14:textId="77777777" w:rsidR="00666F50" w:rsidRDefault="00666F50" w:rsidP="00666F50">
              <w:pPr>
                <w:pStyle w:val="Bibliography"/>
                <w:rPr>
                  <w:noProof/>
                  <w:lang w:val="en-US"/>
                </w:rPr>
              </w:pPr>
              <w:r>
                <w:rPr>
                  <w:noProof/>
                  <w:lang w:val="en-US"/>
                </w:rPr>
                <w:t xml:space="preserve">Llewellyn, D., 2022. </w:t>
              </w:r>
              <w:r>
                <w:rPr>
                  <w:i/>
                  <w:iCs/>
                  <w:noProof/>
                  <w:lang w:val="en-US"/>
                </w:rPr>
                <w:t xml:space="preserve">Policing Governance: Wales and the Future. A Seminar delivered for MSc Policing students on 13th December 2022 by the Dyfed Powys Police and Crime Commissioner. </w:t>
              </w:r>
              <w:r>
                <w:rPr>
                  <w:noProof/>
                  <w:lang w:val="en-US"/>
                </w:rPr>
                <w:t>Carmarthen, s.n.</w:t>
              </w:r>
            </w:p>
            <w:p w14:paraId="1D3CC30B" w14:textId="77777777" w:rsidR="00666F50" w:rsidRDefault="00666F50" w:rsidP="00666F50">
              <w:pPr>
                <w:pStyle w:val="Bibliography"/>
                <w:rPr>
                  <w:noProof/>
                  <w:lang w:val="en-US"/>
                </w:rPr>
              </w:pPr>
              <w:r>
                <w:rPr>
                  <w:noProof/>
                  <w:lang w:val="en-US"/>
                </w:rPr>
                <w:t xml:space="preserve">Marks, L., 2014. </w:t>
              </w:r>
              <w:r>
                <w:rPr>
                  <w:i/>
                  <w:iCs/>
                  <w:noProof/>
                  <w:lang w:val="en-US"/>
                </w:rPr>
                <w:t xml:space="preserve">“Dimensions of Governance.” Governance, Commissioning and Public Health. </w:t>
              </w:r>
              <w:r>
                <w:rPr>
                  <w:noProof/>
                  <w:lang w:val="en-US"/>
                </w:rPr>
                <w:t>1st ed. Bristol: Bristol University Press.</w:t>
              </w:r>
            </w:p>
            <w:p w14:paraId="3F133724" w14:textId="77777777" w:rsidR="00666F50" w:rsidRDefault="00666F50" w:rsidP="00666F50">
              <w:pPr>
                <w:pStyle w:val="Bibliography"/>
                <w:rPr>
                  <w:noProof/>
                  <w:lang w:val="en-US"/>
                </w:rPr>
              </w:pPr>
              <w:r>
                <w:rPr>
                  <w:noProof/>
                  <w:lang w:val="en-US"/>
                </w:rPr>
                <w:t xml:space="preserve">Meredith, P., Rossell, S. A. &amp; Davis, G. R., 2016. </w:t>
              </w:r>
              <w:r>
                <w:rPr>
                  <w:i/>
                  <w:iCs/>
                  <w:noProof/>
                  <w:lang w:val="en-US"/>
                </w:rPr>
                <w:t xml:space="preserve">Catalytic Governance:; Leading Change in the Information Age. </w:t>
              </w:r>
              <w:r>
                <w:rPr>
                  <w:noProof/>
                  <w:lang w:val="en-US"/>
                </w:rPr>
                <w:t>Toronto: University of Toronto Press.</w:t>
              </w:r>
            </w:p>
            <w:p w14:paraId="5F37381E" w14:textId="77777777" w:rsidR="00666F50" w:rsidRDefault="00666F50" w:rsidP="00666F50">
              <w:pPr>
                <w:pStyle w:val="Bibliography"/>
                <w:rPr>
                  <w:noProof/>
                  <w:lang w:val="en-US"/>
                </w:rPr>
              </w:pPr>
              <w:r>
                <w:rPr>
                  <w:noProof/>
                  <w:lang w:val="en-US"/>
                </w:rPr>
                <w:t xml:space="preserve">Morris, S., 2023. </w:t>
              </w:r>
              <w:r>
                <w:rPr>
                  <w:i/>
                  <w:iCs/>
                  <w:noProof/>
                  <w:lang w:val="en-US"/>
                </w:rPr>
                <w:t xml:space="preserve">Nick Gargan resigns as Avon and Somerset chief constable. </w:t>
              </w:r>
              <w:r>
                <w:rPr>
                  <w:noProof/>
                  <w:lang w:val="en-US"/>
                </w:rPr>
                <w:t xml:space="preserve">[Online] </w:t>
              </w:r>
              <w:r>
                <w:rPr>
                  <w:noProof/>
                  <w:lang w:val="en-US"/>
                </w:rPr>
                <w:br/>
                <w:t xml:space="preserve">Available at: </w:t>
              </w:r>
              <w:r>
                <w:rPr>
                  <w:noProof/>
                  <w:u w:val="single"/>
                  <w:lang w:val="en-US"/>
                </w:rPr>
                <w:t>https://www.theguardian.com/uk-news/2015/oct/16/nick-gargan-resigns-as-avon-and-somerset-chief-constable</w:t>
              </w:r>
              <w:r>
                <w:rPr>
                  <w:noProof/>
                  <w:lang w:val="en-US"/>
                </w:rPr>
                <w:br/>
                <w:t>[Accessed 4th January 2023].</w:t>
              </w:r>
            </w:p>
            <w:p w14:paraId="6470C125" w14:textId="77777777" w:rsidR="00666F50" w:rsidRDefault="00666F50" w:rsidP="00666F50">
              <w:pPr>
                <w:pStyle w:val="Bibliography"/>
                <w:rPr>
                  <w:noProof/>
                  <w:lang w:val="en-US"/>
                </w:rPr>
              </w:pPr>
              <w:r>
                <w:rPr>
                  <w:noProof/>
                  <w:lang w:val="en-US"/>
                </w:rPr>
                <w:t xml:space="preserve">Mullins, L. J. &amp; McLean, J. E., 2019. </w:t>
              </w:r>
              <w:r>
                <w:rPr>
                  <w:i/>
                  <w:iCs/>
                  <w:noProof/>
                  <w:lang w:val="en-US"/>
                </w:rPr>
                <w:t xml:space="preserve">Organisational Behaviour in the Workplace. </w:t>
              </w:r>
              <w:r>
                <w:rPr>
                  <w:noProof/>
                  <w:lang w:val="en-US"/>
                </w:rPr>
                <w:t>12th ed. Harlow, England: Pearson.</w:t>
              </w:r>
            </w:p>
            <w:p w14:paraId="54AE9802" w14:textId="77777777" w:rsidR="00666F50" w:rsidRDefault="00666F50" w:rsidP="00666F50">
              <w:pPr>
                <w:pStyle w:val="Bibliography"/>
                <w:rPr>
                  <w:noProof/>
                  <w:lang w:val="en-US"/>
                </w:rPr>
              </w:pPr>
              <w:r>
                <w:rPr>
                  <w:noProof/>
                  <w:lang w:val="en-US"/>
                </w:rPr>
                <w:t xml:space="preserve">Raine, J. W. &amp; Keasey, P., 2012. International Journey of Emergency Services. </w:t>
              </w:r>
              <w:r>
                <w:rPr>
                  <w:i/>
                  <w:iCs/>
                  <w:noProof/>
                  <w:lang w:val="en-US"/>
                </w:rPr>
                <w:t xml:space="preserve">From Police Authorities to Police and Crime Commissioners, </w:t>
              </w:r>
              <w:r>
                <w:rPr>
                  <w:noProof/>
                  <w:lang w:val="en-US"/>
                </w:rPr>
                <w:t>1(2), pp. 122-134.</w:t>
              </w:r>
            </w:p>
            <w:p w14:paraId="490A7053" w14:textId="77777777" w:rsidR="00666F50" w:rsidRDefault="00666F50" w:rsidP="00666F50">
              <w:pPr>
                <w:pStyle w:val="Bibliography"/>
                <w:rPr>
                  <w:noProof/>
                  <w:lang w:val="en-US"/>
                </w:rPr>
              </w:pPr>
              <w:r>
                <w:rPr>
                  <w:noProof/>
                  <w:lang w:val="en-US"/>
                </w:rPr>
                <w:t xml:space="preserve">Reiner, R., 1992. </w:t>
              </w:r>
              <w:r>
                <w:rPr>
                  <w:i/>
                  <w:iCs/>
                  <w:noProof/>
                  <w:lang w:val="en-US"/>
                </w:rPr>
                <w:t xml:space="preserve">Politics of the Police. </w:t>
              </w:r>
              <w:r>
                <w:rPr>
                  <w:noProof/>
                  <w:lang w:val="en-US"/>
                </w:rPr>
                <w:t>2nd ed. New York: Havester Wheatsheaf.</w:t>
              </w:r>
            </w:p>
            <w:p w14:paraId="3083F3B3" w14:textId="77777777" w:rsidR="00666F50" w:rsidRDefault="00666F50" w:rsidP="00666F50">
              <w:pPr>
                <w:pStyle w:val="Bibliography"/>
                <w:rPr>
                  <w:noProof/>
                  <w:lang w:val="en-US"/>
                </w:rPr>
              </w:pPr>
              <w:r>
                <w:rPr>
                  <w:noProof/>
                  <w:lang w:val="en-US"/>
                </w:rPr>
                <w:t xml:space="preserve">Savage, S. P., 2013. The British Journal of Criminology. </w:t>
              </w:r>
              <w:r>
                <w:rPr>
                  <w:i/>
                  <w:iCs/>
                  <w:noProof/>
                  <w:lang w:val="en-US"/>
                </w:rPr>
                <w:t xml:space="preserve">Thinking Independence: Calling the Police to Account through the Independent Investigation of Police Complaints, </w:t>
              </w:r>
              <w:r>
                <w:rPr>
                  <w:noProof/>
                  <w:lang w:val="en-US"/>
                </w:rPr>
                <w:t>53(1), pp. 94-112.</w:t>
              </w:r>
            </w:p>
            <w:p w14:paraId="5128E1CF" w14:textId="77777777" w:rsidR="00666F50" w:rsidRDefault="00666F50" w:rsidP="00666F50">
              <w:pPr>
                <w:pStyle w:val="Bibliography"/>
                <w:rPr>
                  <w:noProof/>
                  <w:lang w:val="en-US"/>
                </w:rPr>
              </w:pPr>
              <w:r>
                <w:rPr>
                  <w:noProof/>
                  <w:lang w:val="en-US"/>
                </w:rPr>
                <w:t xml:space="preserve">Saylor, D., 2022. </w:t>
              </w:r>
              <w:r>
                <w:rPr>
                  <w:i/>
                  <w:iCs/>
                  <w:noProof/>
                  <w:lang w:val="en-US"/>
                </w:rPr>
                <w:t xml:space="preserve">What is Corporation Sole?. </w:t>
              </w:r>
              <w:r>
                <w:rPr>
                  <w:noProof/>
                  <w:lang w:val="en-US"/>
                </w:rPr>
                <w:t xml:space="preserve">[Online] </w:t>
              </w:r>
              <w:r>
                <w:rPr>
                  <w:noProof/>
                  <w:lang w:val="en-US"/>
                </w:rPr>
                <w:br/>
                <w:t xml:space="preserve">Available at: </w:t>
              </w:r>
              <w:r>
                <w:rPr>
                  <w:noProof/>
                  <w:u w:val="single"/>
                  <w:lang w:val="en-US"/>
                </w:rPr>
                <w:t>https://www.mylawquestions.com/what-is-a-corporation-sole.htm#:~:text=A%20corporation%20sole%20ensures%20the%20new%20office%20holder,rights%20and%20responsibilities%20as%20his%20or%20her%20predecessor.</w:t>
              </w:r>
              <w:r>
                <w:rPr>
                  <w:noProof/>
                  <w:lang w:val="en-US"/>
                </w:rPr>
                <w:br/>
                <w:t>[Accessed 18th December 2022].</w:t>
              </w:r>
            </w:p>
            <w:p w14:paraId="286B9C7D" w14:textId="77777777" w:rsidR="00666F50" w:rsidRDefault="00666F50" w:rsidP="00666F50">
              <w:pPr>
                <w:pStyle w:val="Bibliography"/>
                <w:rPr>
                  <w:noProof/>
                  <w:lang w:val="en-US"/>
                </w:rPr>
              </w:pPr>
              <w:r>
                <w:rPr>
                  <w:noProof/>
                  <w:lang w:val="en-US"/>
                </w:rPr>
                <w:t xml:space="preserve">Schein, P. &amp; Schein, E. H., 2017. </w:t>
              </w:r>
              <w:r>
                <w:rPr>
                  <w:i/>
                  <w:iCs/>
                  <w:noProof/>
                  <w:lang w:val="en-US"/>
                </w:rPr>
                <w:t xml:space="preserve">Organizational Culture and Leadership. </w:t>
              </w:r>
              <w:r>
                <w:rPr>
                  <w:noProof/>
                  <w:lang w:val="en-US"/>
                </w:rPr>
                <w:t>5th ed. Hoboken, New Jersey: John Wiley &amp; Sons, Inc.</w:t>
              </w:r>
            </w:p>
            <w:p w14:paraId="435F3C87" w14:textId="77777777" w:rsidR="00666F50" w:rsidRDefault="00666F50" w:rsidP="00666F50">
              <w:pPr>
                <w:pStyle w:val="Bibliography"/>
                <w:rPr>
                  <w:noProof/>
                  <w:lang w:val="en-US"/>
                </w:rPr>
              </w:pPr>
              <w:r>
                <w:rPr>
                  <w:noProof/>
                  <w:lang w:val="en-US"/>
                </w:rPr>
                <w:t xml:space="preserve">The Economist (online), 2021. </w:t>
              </w:r>
              <w:r>
                <w:rPr>
                  <w:i/>
                  <w:iCs/>
                  <w:noProof/>
                  <w:lang w:val="en-US"/>
                </w:rPr>
                <w:t xml:space="preserve">What Sarah Everard’s murder means for the Metropolitan Police: In the spotlight, </w:t>
              </w:r>
              <w:r>
                <w:rPr>
                  <w:noProof/>
                  <w:lang w:val="en-US"/>
                </w:rPr>
                <w:t>London: The Economist.</w:t>
              </w:r>
            </w:p>
            <w:p w14:paraId="37A1EE12" w14:textId="77777777" w:rsidR="00666F50" w:rsidRDefault="00666F50" w:rsidP="00666F50">
              <w:pPr>
                <w:pStyle w:val="Bibliography"/>
                <w:rPr>
                  <w:noProof/>
                  <w:lang w:val="en-US"/>
                </w:rPr>
              </w:pPr>
              <w:r>
                <w:rPr>
                  <w:noProof/>
                  <w:lang w:val="en-US"/>
                </w:rPr>
                <w:t xml:space="preserve">The Electoral Commission, 2019. </w:t>
              </w:r>
              <w:r>
                <w:rPr>
                  <w:i/>
                  <w:iCs/>
                  <w:noProof/>
                  <w:lang w:val="en-US"/>
                </w:rPr>
                <w:t xml:space="preserve">Report: How the 2012 Police and Crime Commissioner elections were run. </w:t>
              </w:r>
              <w:r>
                <w:rPr>
                  <w:noProof/>
                  <w:lang w:val="en-US"/>
                </w:rPr>
                <w:t xml:space="preserve">[Online] </w:t>
              </w:r>
              <w:r>
                <w:rPr>
                  <w:noProof/>
                  <w:lang w:val="en-US"/>
                </w:rPr>
                <w:br/>
                <w:t xml:space="preserve">Available at: </w:t>
              </w:r>
              <w:r>
                <w:rPr>
                  <w:noProof/>
                  <w:u w:val="single"/>
                  <w:lang w:val="en-US"/>
                </w:rPr>
                <w:t>https://www.electoralcommission.org.uk/who-we-are-and-what-we-do/elections-and-referendums/past-elections-and-referendums/police-and-crime-commissioner-elections/report-how-2012-police-and-crime-commissioner-elections-were-run</w:t>
              </w:r>
              <w:r>
                <w:rPr>
                  <w:noProof/>
                  <w:lang w:val="en-US"/>
                </w:rPr>
                <w:br/>
                <w:t>[Accessed 5th January 2023].</w:t>
              </w:r>
            </w:p>
            <w:p w14:paraId="5A36F903" w14:textId="77777777" w:rsidR="00666F50" w:rsidRDefault="00666F50" w:rsidP="00666F50">
              <w:pPr>
                <w:pStyle w:val="Bibliography"/>
                <w:rPr>
                  <w:noProof/>
                  <w:lang w:val="en-US"/>
                </w:rPr>
              </w:pPr>
              <w:r>
                <w:rPr>
                  <w:noProof/>
                  <w:lang w:val="en-US"/>
                </w:rPr>
                <w:t xml:space="preserve">The National Archives, 2022. </w:t>
              </w:r>
              <w:r>
                <w:rPr>
                  <w:i/>
                  <w:iCs/>
                  <w:noProof/>
                  <w:lang w:val="en-US"/>
                </w:rPr>
                <w:t xml:space="preserve">The Police Act 1964. </w:t>
              </w:r>
              <w:r>
                <w:rPr>
                  <w:noProof/>
                  <w:lang w:val="en-US"/>
                </w:rPr>
                <w:t xml:space="preserve">[Online] </w:t>
              </w:r>
              <w:r>
                <w:rPr>
                  <w:noProof/>
                  <w:lang w:val="en-US"/>
                </w:rPr>
                <w:br/>
                <w:t xml:space="preserve">Available at: </w:t>
              </w:r>
              <w:r>
                <w:rPr>
                  <w:noProof/>
                  <w:u w:val="single"/>
                  <w:lang w:val="en-US"/>
                </w:rPr>
                <w:t>https://www.legislation.gov.uk/ukpga/1964/48/contents</w:t>
              </w:r>
              <w:r>
                <w:rPr>
                  <w:noProof/>
                  <w:lang w:val="en-US"/>
                </w:rPr>
                <w:br/>
                <w:t>[Accessed 2nd January 2023].</w:t>
              </w:r>
            </w:p>
            <w:p w14:paraId="09FBC514" w14:textId="77777777" w:rsidR="00666F50" w:rsidRDefault="00666F50" w:rsidP="00666F50">
              <w:pPr>
                <w:pStyle w:val="Bibliography"/>
                <w:rPr>
                  <w:noProof/>
                  <w:lang w:val="en-US"/>
                </w:rPr>
              </w:pPr>
              <w:r>
                <w:rPr>
                  <w:noProof/>
                  <w:lang w:val="en-US"/>
                </w:rPr>
                <w:t xml:space="preserve">University of Washington, 2023. </w:t>
              </w:r>
              <w:r>
                <w:rPr>
                  <w:i/>
                  <w:iCs/>
                  <w:noProof/>
                  <w:lang w:val="en-US"/>
                </w:rPr>
                <w:t xml:space="preserve">The Peelian Principles. Sir Robert Peel – Metropolitan Police of London – 1829. </w:t>
              </w:r>
              <w:r>
                <w:rPr>
                  <w:noProof/>
                  <w:lang w:val="en-US"/>
                </w:rPr>
                <w:t xml:space="preserve">[Online] </w:t>
              </w:r>
              <w:r>
                <w:rPr>
                  <w:noProof/>
                  <w:lang w:val="en-US"/>
                </w:rPr>
                <w:br/>
                <w:t xml:space="preserve">Available at: </w:t>
              </w:r>
              <w:r>
                <w:rPr>
                  <w:noProof/>
                  <w:u w:val="single"/>
                  <w:lang w:val="en-US"/>
                </w:rPr>
                <w:t>http://police.uw.edu/faqs/the-peelian-principles/</w:t>
              </w:r>
              <w:r>
                <w:rPr>
                  <w:noProof/>
                  <w:lang w:val="en-US"/>
                </w:rPr>
                <w:br/>
                <w:t>[Accessed 1st January 2023].</w:t>
              </w:r>
            </w:p>
            <w:p w14:paraId="1AC453B4" w14:textId="77777777" w:rsidR="00666F50" w:rsidRDefault="00666F50" w:rsidP="00666F50">
              <w:pPr>
                <w:pStyle w:val="Bibliography"/>
                <w:rPr>
                  <w:noProof/>
                  <w:lang w:val="en-US"/>
                </w:rPr>
              </w:pPr>
              <w:r>
                <w:rPr>
                  <w:noProof/>
                  <w:lang w:val="en-US"/>
                </w:rPr>
                <w:t xml:space="preserve">Walsh, D. P. &amp; Conway, V., 2011. Police governance and accountability: overview of current issues. </w:t>
              </w:r>
              <w:r>
                <w:rPr>
                  <w:i/>
                  <w:iCs/>
                  <w:noProof/>
                  <w:lang w:val="en-US"/>
                </w:rPr>
                <w:t xml:space="preserve">Crime, Law and Social Change, </w:t>
              </w:r>
              <w:r>
                <w:rPr>
                  <w:noProof/>
                  <w:lang w:val="en-US"/>
                </w:rPr>
                <w:t>55(2-3), pp. 61-86.</w:t>
              </w:r>
            </w:p>
            <w:p w14:paraId="78CBE625" w14:textId="77777777" w:rsidR="00666F50" w:rsidRDefault="00666F50" w:rsidP="00666F50">
              <w:pPr>
                <w:pStyle w:val="Bibliography"/>
                <w:rPr>
                  <w:noProof/>
                  <w:lang w:val="en-US"/>
                </w:rPr>
              </w:pPr>
              <w:r>
                <w:rPr>
                  <w:noProof/>
                  <w:lang w:val="en-US"/>
                </w:rPr>
                <w:t xml:space="preserve">Walsh, W. F. &amp; Vito, G. F., 2019. </w:t>
              </w:r>
              <w:r>
                <w:rPr>
                  <w:i/>
                  <w:iCs/>
                  <w:noProof/>
                  <w:lang w:val="en-US"/>
                </w:rPr>
                <w:t xml:space="preserve">Police Leadership and Administration: a 21st Century Strategic Approach. </w:t>
              </w:r>
              <w:r>
                <w:rPr>
                  <w:noProof/>
                  <w:lang w:val="en-US"/>
                </w:rPr>
                <w:t>New York: Routledge.</w:t>
              </w:r>
            </w:p>
            <w:p w14:paraId="41491DC4" w14:textId="77777777" w:rsidR="00666F50" w:rsidRDefault="00666F50" w:rsidP="00666F50">
              <w:pPr>
                <w:pStyle w:val="Bibliography"/>
                <w:rPr>
                  <w:noProof/>
                  <w:lang w:val="en-US"/>
                </w:rPr>
              </w:pPr>
              <w:r>
                <w:rPr>
                  <w:noProof/>
                  <w:lang w:val="en-US"/>
                </w:rPr>
                <w:t xml:space="preserve">Waterman, R. W. &amp; Meier, K. J., 1998. Principal-Agent Models: An Expansion?. </w:t>
              </w:r>
              <w:r>
                <w:rPr>
                  <w:i/>
                  <w:iCs/>
                  <w:noProof/>
                  <w:lang w:val="en-US"/>
                </w:rPr>
                <w:t xml:space="preserve">Journal of public administration research and theory, </w:t>
              </w:r>
              <w:r>
                <w:rPr>
                  <w:noProof/>
                  <w:lang w:val="en-US"/>
                </w:rPr>
                <w:t>8(2), pp. 173-202.</w:t>
              </w:r>
            </w:p>
            <w:p w14:paraId="2D07B9A7" w14:textId="77777777" w:rsidR="00666F50" w:rsidRDefault="00666F50" w:rsidP="00666F50">
              <w:pPr>
                <w:pStyle w:val="Bibliography"/>
                <w:rPr>
                  <w:noProof/>
                  <w:lang w:val="en-US"/>
                </w:rPr>
              </w:pPr>
              <w:r>
                <w:rPr>
                  <w:noProof/>
                  <w:lang w:val="en-US"/>
                </w:rPr>
                <w:t xml:space="preserve">Weiss, T. G. &amp; Thakur, R., 2010. </w:t>
              </w:r>
              <w:r>
                <w:rPr>
                  <w:i/>
                  <w:iCs/>
                  <w:noProof/>
                  <w:lang w:val="en-US"/>
                </w:rPr>
                <w:t xml:space="preserve">Global Governance and the UN: An Unfinished Journey. </w:t>
              </w:r>
              <w:r>
                <w:rPr>
                  <w:noProof/>
                  <w:lang w:val="en-US"/>
                </w:rPr>
                <w:t>Bloomington: Indiana University Press.</w:t>
              </w:r>
            </w:p>
            <w:p w14:paraId="1C6A0028" w14:textId="77777777" w:rsidR="00666F50" w:rsidRDefault="00666F50" w:rsidP="00666F50">
              <w:pPr>
                <w:pStyle w:val="Bibliography"/>
                <w:rPr>
                  <w:noProof/>
                  <w:lang w:val="en-US"/>
                </w:rPr>
              </w:pPr>
              <w:r>
                <w:rPr>
                  <w:noProof/>
                  <w:lang w:val="en-US"/>
                </w:rPr>
                <w:t xml:space="preserve">Yuki, G. A. &amp; Gardener, W. M., 2020. </w:t>
              </w:r>
              <w:r>
                <w:rPr>
                  <w:i/>
                  <w:iCs/>
                  <w:noProof/>
                  <w:lang w:val="en-US"/>
                </w:rPr>
                <w:t xml:space="preserve">Leadership in Organizations. </w:t>
              </w:r>
              <w:r>
                <w:rPr>
                  <w:noProof/>
                  <w:lang w:val="en-US"/>
                </w:rPr>
                <w:t>9th ed. Harlow, England: Pearson Education.</w:t>
              </w:r>
            </w:p>
            <w:p w14:paraId="5DB8523A" w14:textId="6B3DED59" w:rsidR="00666F50" w:rsidRDefault="00666F50" w:rsidP="00666F50">
              <w:r>
                <w:rPr>
                  <w:b/>
                  <w:bCs/>
                  <w:noProof/>
                </w:rPr>
                <w:fldChar w:fldCharType="end"/>
              </w:r>
            </w:p>
          </w:sdtContent>
        </w:sdt>
      </w:sdtContent>
    </w:sdt>
    <w:p w14:paraId="41F9CB5F" w14:textId="77777777" w:rsidR="00666F50" w:rsidRPr="00672F0A" w:rsidRDefault="00666F50" w:rsidP="00A44F40">
      <w:pPr>
        <w:rPr>
          <w:rFonts w:ascii="Arial" w:hAnsi="Arial" w:cs="Arial"/>
          <w:sz w:val="24"/>
          <w:szCs w:val="24"/>
        </w:rPr>
      </w:pPr>
    </w:p>
    <w:sectPr w:rsidR="00666F50" w:rsidRPr="00672F0A" w:rsidSect="005A71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21C06"/>
    <w:multiLevelType w:val="multilevel"/>
    <w:tmpl w:val="990C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111A7"/>
    <w:multiLevelType w:val="multilevel"/>
    <w:tmpl w:val="E568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C71886"/>
    <w:multiLevelType w:val="hybridMultilevel"/>
    <w:tmpl w:val="F950F480"/>
    <w:lvl w:ilvl="0" w:tplc="5E0A0166">
      <w:start w:val="1"/>
      <w:numFmt w:val="bullet"/>
      <w:lvlText w:val="•"/>
      <w:lvlJc w:val="left"/>
      <w:pPr>
        <w:tabs>
          <w:tab w:val="num" w:pos="720"/>
        </w:tabs>
        <w:ind w:left="720" w:hanging="360"/>
      </w:pPr>
      <w:rPr>
        <w:rFonts w:ascii="Arial" w:hAnsi="Arial" w:hint="default"/>
      </w:rPr>
    </w:lvl>
    <w:lvl w:ilvl="1" w:tplc="F1B6844E">
      <w:numFmt w:val="bullet"/>
      <w:lvlText w:val="•"/>
      <w:lvlJc w:val="left"/>
      <w:pPr>
        <w:tabs>
          <w:tab w:val="num" w:pos="1440"/>
        </w:tabs>
        <w:ind w:left="1440" w:hanging="360"/>
      </w:pPr>
      <w:rPr>
        <w:rFonts w:ascii="Arial" w:hAnsi="Arial" w:hint="default"/>
      </w:rPr>
    </w:lvl>
    <w:lvl w:ilvl="2" w:tplc="2328FC36" w:tentative="1">
      <w:start w:val="1"/>
      <w:numFmt w:val="bullet"/>
      <w:lvlText w:val="•"/>
      <w:lvlJc w:val="left"/>
      <w:pPr>
        <w:tabs>
          <w:tab w:val="num" w:pos="2160"/>
        </w:tabs>
        <w:ind w:left="2160" w:hanging="360"/>
      </w:pPr>
      <w:rPr>
        <w:rFonts w:ascii="Arial" w:hAnsi="Arial" w:hint="default"/>
      </w:rPr>
    </w:lvl>
    <w:lvl w:ilvl="3" w:tplc="33E43FF2" w:tentative="1">
      <w:start w:val="1"/>
      <w:numFmt w:val="bullet"/>
      <w:lvlText w:val="•"/>
      <w:lvlJc w:val="left"/>
      <w:pPr>
        <w:tabs>
          <w:tab w:val="num" w:pos="2880"/>
        </w:tabs>
        <w:ind w:left="2880" w:hanging="360"/>
      </w:pPr>
      <w:rPr>
        <w:rFonts w:ascii="Arial" w:hAnsi="Arial" w:hint="default"/>
      </w:rPr>
    </w:lvl>
    <w:lvl w:ilvl="4" w:tplc="7F2C19D6" w:tentative="1">
      <w:start w:val="1"/>
      <w:numFmt w:val="bullet"/>
      <w:lvlText w:val="•"/>
      <w:lvlJc w:val="left"/>
      <w:pPr>
        <w:tabs>
          <w:tab w:val="num" w:pos="3600"/>
        </w:tabs>
        <w:ind w:left="3600" w:hanging="360"/>
      </w:pPr>
      <w:rPr>
        <w:rFonts w:ascii="Arial" w:hAnsi="Arial" w:hint="default"/>
      </w:rPr>
    </w:lvl>
    <w:lvl w:ilvl="5" w:tplc="AB0EE600" w:tentative="1">
      <w:start w:val="1"/>
      <w:numFmt w:val="bullet"/>
      <w:lvlText w:val="•"/>
      <w:lvlJc w:val="left"/>
      <w:pPr>
        <w:tabs>
          <w:tab w:val="num" w:pos="4320"/>
        </w:tabs>
        <w:ind w:left="4320" w:hanging="360"/>
      </w:pPr>
      <w:rPr>
        <w:rFonts w:ascii="Arial" w:hAnsi="Arial" w:hint="default"/>
      </w:rPr>
    </w:lvl>
    <w:lvl w:ilvl="6" w:tplc="18C007D0" w:tentative="1">
      <w:start w:val="1"/>
      <w:numFmt w:val="bullet"/>
      <w:lvlText w:val="•"/>
      <w:lvlJc w:val="left"/>
      <w:pPr>
        <w:tabs>
          <w:tab w:val="num" w:pos="5040"/>
        </w:tabs>
        <w:ind w:left="5040" w:hanging="360"/>
      </w:pPr>
      <w:rPr>
        <w:rFonts w:ascii="Arial" w:hAnsi="Arial" w:hint="default"/>
      </w:rPr>
    </w:lvl>
    <w:lvl w:ilvl="7" w:tplc="0E680E8A" w:tentative="1">
      <w:start w:val="1"/>
      <w:numFmt w:val="bullet"/>
      <w:lvlText w:val="•"/>
      <w:lvlJc w:val="left"/>
      <w:pPr>
        <w:tabs>
          <w:tab w:val="num" w:pos="5760"/>
        </w:tabs>
        <w:ind w:left="5760" w:hanging="360"/>
      </w:pPr>
      <w:rPr>
        <w:rFonts w:ascii="Arial" w:hAnsi="Arial" w:hint="default"/>
      </w:rPr>
    </w:lvl>
    <w:lvl w:ilvl="8" w:tplc="2CD41886" w:tentative="1">
      <w:start w:val="1"/>
      <w:numFmt w:val="bullet"/>
      <w:lvlText w:val="•"/>
      <w:lvlJc w:val="left"/>
      <w:pPr>
        <w:tabs>
          <w:tab w:val="num" w:pos="6480"/>
        </w:tabs>
        <w:ind w:left="6480" w:hanging="360"/>
      </w:pPr>
      <w:rPr>
        <w:rFonts w:ascii="Arial" w:hAnsi="Arial" w:hint="default"/>
      </w:rPr>
    </w:lvl>
  </w:abstractNum>
  <w:num w:numId="1" w16cid:durableId="1773671080">
    <w:abstractNumId w:val="2"/>
  </w:num>
  <w:num w:numId="2" w16cid:durableId="1530990366">
    <w:abstractNumId w:val="0"/>
  </w:num>
  <w:num w:numId="3" w16cid:durableId="909541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473"/>
    <w:rsid w:val="000114C1"/>
    <w:rsid w:val="0002485C"/>
    <w:rsid w:val="000B2FA3"/>
    <w:rsid w:val="000B490F"/>
    <w:rsid w:val="000B6EE4"/>
    <w:rsid w:val="000C70BC"/>
    <w:rsid w:val="000D6C95"/>
    <w:rsid w:val="000E6725"/>
    <w:rsid w:val="001056B0"/>
    <w:rsid w:val="0011167D"/>
    <w:rsid w:val="00111AD7"/>
    <w:rsid w:val="00130D02"/>
    <w:rsid w:val="001371A1"/>
    <w:rsid w:val="001656D7"/>
    <w:rsid w:val="00172540"/>
    <w:rsid w:val="00176F0D"/>
    <w:rsid w:val="001810FF"/>
    <w:rsid w:val="001846FE"/>
    <w:rsid w:val="001A19AF"/>
    <w:rsid w:val="001B10AA"/>
    <w:rsid w:val="001B4985"/>
    <w:rsid w:val="001B5575"/>
    <w:rsid w:val="001B6899"/>
    <w:rsid w:val="001C20F1"/>
    <w:rsid w:val="001D12B5"/>
    <w:rsid w:val="001D3803"/>
    <w:rsid w:val="00232E60"/>
    <w:rsid w:val="00237EC7"/>
    <w:rsid w:val="002426CB"/>
    <w:rsid w:val="00255394"/>
    <w:rsid w:val="00265442"/>
    <w:rsid w:val="00285510"/>
    <w:rsid w:val="002867AE"/>
    <w:rsid w:val="00294E87"/>
    <w:rsid w:val="002A7A64"/>
    <w:rsid w:val="002C0CCA"/>
    <w:rsid w:val="002D5A1E"/>
    <w:rsid w:val="003078EC"/>
    <w:rsid w:val="00325234"/>
    <w:rsid w:val="00332890"/>
    <w:rsid w:val="00350963"/>
    <w:rsid w:val="003856F8"/>
    <w:rsid w:val="003A4715"/>
    <w:rsid w:val="003A71C6"/>
    <w:rsid w:val="003D5810"/>
    <w:rsid w:val="003F376D"/>
    <w:rsid w:val="00416CAE"/>
    <w:rsid w:val="00423E09"/>
    <w:rsid w:val="00433940"/>
    <w:rsid w:val="004363C0"/>
    <w:rsid w:val="00454A7A"/>
    <w:rsid w:val="00463C78"/>
    <w:rsid w:val="004778FD"/>
    <w:rsid w:val="004C47EF"/>
    <w:rsid w:val="004D4BBA"/>
    <w:rsid w:val="004E424D"/>
    <w:rsid w:val="004E7472"/>
    <w:rsid w:val="004E7662"/>
    <w:rsid w:val="00535FF0"/>
    <w:rsid w:val="00553122"/>
    <w:rsid w:val="0058178A"/>
    <w:rsid w:val="0059118A"/>
    <w:rsid w:val="005A71D9"/>
    <w:rsid w:val="005C0560"/>
    <w:rsid w:val="006002F0"/>
    <w:rsid w:val="00620963"/>
    <w:rsid w:val="00625E33"/>
    <w:rsid w:val="00666F50"/>
    <w:rsid w:val="00672F0A"/>
    <w:rsid w:val="006776D7"/>
    <w:rsid w:val="0069009C"/>
    <w:rsid w:val="006B0E0A"/>
    <w:rsid w:val="006B1102"/>
    <w:rsid w:val="006F4C4A"/>
    <w:rsid w:val="0070723D"/>
    <w:rsid w:val="00722A5F"/>
    <w:rsid w:val="00743747"/>
    <w:rsid w:val="0077324C"/>
    <w:rsid w:val="007827B5"/>
    <w:rsid w:val="007B0A59"/>
    <w:rsid w:val="007E5F47"/>
    <w:rsid w:val="007F6933"/>
    <w:rsid w:val="00801962"/>
    <w:rsid w:val="00815CA6"/>
    <w:rsid w:val="00824223"/>
    <w:rsid w:val="00840518"/>
    <w:rsid w:val="00847CAE"/>
    <w:rsid w:val="008604EA"/>
    <w:rsid w:val="0087424D"/>
    <w:rsid w:val="008864DD"/>
    <w:rsid w:val="008E5EA8"/>
    <w:rsid w:val="008F7EFA"/>
    <w:rsid w:val="0091053D"/>
    <w:rsid w:val="009209AE"/>
    <w:rsid w:val="009247A0"/>
    <w:rsid w:val="00930543"/>
    <w:rsid w:val="009368AE"/>
    <w:rsid w:val="009465F4"/>
    <w:rsid w:val="00946C94"/>
    <w:rsid w:val="00960CA0"/>
    <w:rsid w:val="009614D8"/>
    <w:rsid w:val="00963369"/>
    <w:rsid w:val="00966B94"/>
    <w:rsid w:val="0096769F"/>
    <w:rsid w:val="009950B1"/>
    <w:rsid w:val="009B3EFF"/>
    <w:rsid w:val="009B6D1E"/>
    <w:rsid w:val="009C45F3"/>
    <w:rsid w:val="009D4A6E"/>
    <w:rsid w:val="00A44F40"/>
    <w:rsid w:val="00A51D93"/>
    <w:rsid w:val="00A57366"/>
    <w:rsid w:val="00A66463"/>
    <w:rsid w:val="00A6671C"/>
    <w:rsid w:val="00A768D3"/>
    <w:rsid w:val="00AB0635"/>
    <w:rsid w:val="00AF34D9"/>
    <w:rsid w:val="00B05AD2"/>
    <w:rsid w:val="00B157BE"/>
    <w:rsid w:val="00B31356"/>
    <w:rsid w:val="00B417EF"/>
    <w:rsid w:val="00B6314D"/>
    <w:rsid w:val="00B66781"/>
    <w:rsid w:val="00B72492"/>
    <w:rsid w:val="00B873F5"/>
    <w:rsid w:val="00BA75CB"/>
    <w:rsid w:val="00BC0D40"/>
    <w:rsid w:val="00BE2946"/>
    <w:rsid w:val="00C0307B"/>
    <w:rsid w:val="00C13DF9"/>
    <w:rsid w:val="00C2450E"/>
    <w:rsid w:val="00C93F58"/>
    <w:rsid w:val="00CC7EB0"/>
    <w:rsid w:val="00CF2716"/>
    <w:rsid w:val="00D5548C"/>
    <w:rsid w:val="00DF005A"/>
    <w:rsid w:val="00DF688D"/>
    <w:rsid w:val="00E07E05"/>
    <w:rsid w:val="00E10746"/>
    <w:rsid w:val="00E13FF2"/>
    <w:rsid w:val="00E234AF"/>
    <w:rsid w:val="00E3044F"/>
    <w:rsid w:val="00E37BB8"/>
    <w:rsid w:val="00E40E27"/>
    <w:rsid w:val="00E87E2D"/>
    <w:rsid w:val="00E91473"/>
    <w:rsid w:val="00E932DC"/>
    <w:rsid w:val="00E9541C"/>
    <w:rsid w:val="00EC546A"/>
    <w:rsid w:val="00ED03BD"/>
    <w:rsid w:val="00EE5B38"/>
    <w:rsid w:val="00F26B44"/>
    <w:rsid w:val="00F603C0"/>
    <w:rsid w:val="00F6747A"/>
    <w:rsid w:val="00F70544"/>
    <w:rsid w:val="00F82773"/>
    <w:rsid w:val="00FB0491"/>
    <w:rsid w:val="00FD7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FAEC2"/>
  <w15:chartTrackingRefBased/>
  <w15:docId w15:val="{476A370D-BDDD-4254-8556-C7EE0568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F5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link w:val="Heading4Char"/>
    <w:uiPriority w:val="9"/>
    <w:qFormat/>
    <w:rsid w:val="00294E8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para">
    <w:name w:val="chapter-para"/>
    <w:basedOn w:val="Normal"/>
    <w:rsid w:val="00E914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A71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71D9"/>
    <w:rPr>
      <w:rFonts w:eastAsiaTheme="minorEastAsia"/>
      <w:lang w:val="en-US"/>
    </w:rPr>
  </w:style>
  <w:style w:type="character" w:customStyle="1" w:styleId="Heading4Char">
    <w:name w:val="Heading 4 Char"/>
    <w:basedOn w:val="DefaultParagraphFont"/>
    <w:link w:val="Heading4"/>
    <w:uiPriority w:val="9"/>
    <w:rsid w:val="00294E87"/>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294E87"/>
    <w:rPr>
      <w:color w:val="0563C1" w:themeColor="hyperlink"/>
      <w:u w:val="single"/>
    </w:rPr>
  </w:style>
  <w:style w:type="character" w:styleId="UnresolvedMention">
    <w:name w:val="Unresolved Mention"/>
    <w:basedOn w:val="DefaultParagraphFont"/>
    <w:uiPriority w:val="99"/>
    <w:semiHidden/>
    <w:unhideWhenUsed/>
    <w:rsid w:val="00294E87"/>
    <w:rPr>
      <w:color w:val="605E5C"/>
      <w:shd w:val="clear" w:color="auto" w:fill="E1DFDD"/>
    </w:rPr>
  </w:style>
  <w:style w:type="paragraph" w:styleId="Bibliography">
    <w:name w:val="Bibliography"/>
    <w:basedOn w:val="Normal"/>
    <w:next w:val="Normal"/>
    <w:uiPriority w:val="37"/>
    <w:unhideWhenUsed/>
    <w:rsid w:val="00294E87"/>
  </w:style>
  <w:style w:type="paragraph" w:customStyle="1" w:styleId="legclearfix">
    <w:name w:val="legclearfix"/>
    <w:basedOn w:val="Normal"/>
    <w:rsid w:val="00294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294E87"/>
  </w:style>
  <w:style w:type="character" w:customStyle="1" w:styleId="legaddition">
    <w:name w:val="legaddition"/>
    <w:basedOn w:val="DefaultParagraphFont"/>
    <w:rsid w:val="00294E87"/>
  </w:style>
  <w:style w:type="paragraph" w:styleId="ListParagraph">
    <w:name w:val="List Paragraph"/>
    <w:basedOn w:val="Normal"/>
    <w:uiPriority w:val="34"/>
    <w:qFormat/>
    <w:rsid w:val="00294E87"/>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94E87"/>
    <w:rPr>
      <w:color w:val="954F72" w:themeColor="followedHyperlink"/>
      <w:u w:val="single"/>
    </w:rPr>
  </w:style>
  <w:style w:type="character" w:styleId="Emphasis">
    <w:name w:val="Emphasis"/>
    <w:basedOn w:val="DefaultParagraphFont"/>
    <w:uiPriority w:val="20"/>
    <w:qFormat/>
    <w:rsid w:val="00294E87"/>
    <w:rPr>
      <w:i/>
      <w:iCs/>
    </w:rPr>
  </w:style>
  <w:style w:type="paragraph" w:styleId="NormalWeb">
    <w:name w:val="Normal (Web)"/>
    <w:basedOn w:val="Normal"/>
    <w:uiPriority w:val="99"/>
    <w:semiHidden/>
    <w:unhideWhenUsed/>
    <w:rsid w:val="00294E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294E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h26idz">
    <w:name w:val="dcr-h26idz"/>
    <w:basedOn w:val="Normal"/>
    <w:rsid w:val="00294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4E87"/>
    <w:rPr>
      <w:b/>
      <w:bCs/>
    </w:rPr>
  </w:style>
  <w:style w:type="paragraph" w:styleId="Revision">
    <w:name w:val="Revision"/>
    <w:hidden/>
    <w:uiPriority w:val="99"/>
    <w:semiHidden/>
    <w:rsid w:val="00A44F40"/>
    <w:pPr>
      <w:spacing w:after="0" w:line="240" w:lineRule="auto"/>
    </w:pPr>
  </w:style>
  <w:style w:type="character" w:customStyle="1" w:styleId="Heading1Char">
    <w:name w:val="Heading 1 Char"/>
    <w:basedOn w:val="DefaultParagraphFont"/>
    <w:link w:val="Heading1"/>
    <w:uiPriority w:val="9"/>
    <w:rsid w:val="00666F5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7115">
      <w:bodyDiv w:val="1"/>
      <w:marLeft w:val="0"/>
      <w:marRight w:val="0"/>
      <w:marTop w:val="0"/>
      <w:marBottom w:val="0"/>
      <w:divBdr>
        <w:top w:val="none" w:sz="0" w:space="0" w:color="auto"/>
        <w:left w:val="none" w:sz="0" w:space="0" w:color="auto"/>
        <w:bottom w:val="none" w:sz="0" w:space="0" w:color="auto"/>
        <w:right w:val="none" w:sz="0" w:space="0" w:color="auto"/>
      </w:divBdr>
    </w:div>
    <w:div w:id="72094154">
      <w:bodyDiv w:val="1"/>
      <w:marLeft w:val="0"/>
      <w:marRight w:val="0"/>
      <w:marTop w:val="0"/>
      <w:marBottom w:val="0"/>
      <w:divBdr>
        <w:top w:val="none" w:sz="0" w:space="0" w:color="auto"/>
        <w:left w:val="none" w:sz="0" w:space="0" w:color="auto"/>
        <w:bottom w:val="none" w:sz="0" w:space="0" w:color="auto"/>
        <w:right w:val="none" w:sz="0" w:space="0" w:color="auto"/>
      </w:divBdr>
    </w:div>
    <w:div w:id="72238315">
      <w:bodyDiv w:val="1"/>
      <w:marLeft w:val="0"/>
      <w:marRight w:val="0"/>
      <w:marTop w:val="0"/>
      <w:marBottom w:val="0"/>
      <w:divBdr>
        <w:top w:val="none" w:sz="0" w:space="0" w:color="auto"/>
        <w:left w:val="none" w:sz="0" w:space="0" w:color="auto"/>
        <w:bottom w:val="none" w:sz="0" w:space="0" w:color="auto"/>
        <w:right w:val="none" w:sz="0" w:space="0" w:color="auto"/>
      </w:divBdr>
    </w:div>
    <w:div w:id="87386976">
      <w:bodyDiv w:val="1"/>
      <w:marLeft w:val="0"/>
      <w:marRight w:val="0"/>
      <w:marTop w:val="0"/>
      <w:marBottom w:val="0"/>
      <w:divBdr>
        <w:top w:val="none" w:sz="0" w:space="0" w:color="auto"/>
        <w:left w:val="none" w:sz="0" w:space="0" w:color="auto"/>
        <w:bottom w:val="none" w:sz="0" w:space="0" w:color="auto"/>
        <w:right w:val="none" w:sz="0" w:space="0" w:color="auto"/>
      </w:divBdr>
    </w:div>
    <w:div w:id="89813141">
      <w:bodyDiv w:val="1"/>
      <w:marLeft w:val="0"/>
      <w:marRight w:val="0"/>
      <w:marTop w:val="0"/>
      <w:marBottom w:val="0"/>
      <w:divBdr>
        <w:top w:val="none" w:sz="0" w:space="0" w:color="auto"/>
        <w:left w:val="none" w:sz="0" w:space="0" w:color="auto"/>
        <w:bottom w:val="none" w:sz="0" w:space="0" w:color="auto"/>
        <w:right w:val="none" w:sz="0" w:space="0" w:color="auto"/>
      </w:divBdr>
    </w:div>
    <w:div w:id="101152381">
      <w:bodyDiv w:val="1"/>
      <w:marLeft w:val="0"/>
      <w:marRight w:val="0"/>
      <w:marTop w:val="0"/>
      <w:marBottom w:val="0"/>
      <w:divBdr>
        <w:top w:val="none" w:sz="0" w:space="0" w:color="auto"/>
        <w:left w:val="none" w:sz="0" w:space="0" w:color="auto"/>
        <w:bottom w:val="none" w:sz="0" w:space="0" w:color="auto"/>
        <w:right w:val="none" w:sz="0" w:space="0" w:color="auto"/>
      </w:divBdr>
    </w:div>
    <w:div w:id="103113798">
      <w:bodyDiv w:val="1"/>
      <w:marLeft w:val="0"/>
      <w:marRight w:val="0"/>
      <w:marTop w:val="0"/>
      <w:marBottom w:val="0"/>
      <w:divBdr>
        <w:top w:val="none" w:sz="0" w:space="0" w:color="auto"/>
        <w:left w:val="none" w:sz="0" w:space="0" w:color="auto"/>
        <w:bottom w:val="none" w:sz="0" w:space="0" w:color="auto"/>
        <w:right w:val="none" w:sz="0" w:space="0" w:color="auto"/>
      </w:divBdr>
    </w:div>
    <w:div w:id="114569681">
      <w:bodyDiv w:val="1"/>
      <w:marLeft w:val="0"/>
      <w:marRight w:val="0"/>
      <w:marTop w:val="0"/>
      <w:marBottom w:val="0"/>
      <w:divBdr>
        <w:top w:val="none" w:sz="0" w:space="0" w:color="auto"/>
        <w:left w:val="none" w:sz="0" w:space="0" w:color="auto"/>
        <w:bottom w:val="none" w:sz="0" w:space="0" w:color="auto"/>
        <w:right w:val="none" w:sz="0" w:space="0" w:color="auto"/>
      </w:divBdr>
    </w:div>
    <w:div w:id="120464225">
      <w:bodyDiv w:val="1"/>
      <w:marLeft w:val="0"/>
      <w:marRight w:val="0"/>
      <w:marTop w:val="0"/>
      <w:marBottom w:val="0"/>
      <w:divBdr>
        <w:top w:val="none" w:sz="0" w:space="0" w:color="auto"/>
        <w:left w:val="none" w:sz="0" w:space="0" w:color="auto"/>
        <w:bottom w:val="none" w:sz="0" w:space="0" w:color="auto"/>
        <w:right w:val="none" w:sz="0" w:space="0" w:color="auto"/>
      </w:divBdr>
    </w:div>
    <w:div w:id="153185174">
      <w:bodyDiv w:val="1"/>
      <w:marLeft w:val="0"/>
      <w:marRight w:val="0"/>
      <w:marTop w:val="0"/>
      <w:marBottom w:val="0"/>
      <w:divBdr>
        <w:top w:val="none" w:sz="0" w:space="0" w:color="auto"/>
        <w:left w:val="none" w:sz="0" w:space="0" w:color="auto"/>
        <w:bottom w:val="none" w:sz="0" w:space="0" w:color="auto"/>
        <w:right w:val="none" w:sz="0" w:space="0" w:color="auto"/>
      </w:divBdr>
    </w:div>
    <w:div w:id="159588428">
      <w:bodyDiv w:val="1"/>
      <w:marLeft w:val="0"/>
      <w:marRight w:val="0"/>
      <w:marTop w:val="0"/>
      <w:marBottom w:val="0"/>
      <w:divBdr>
        <w:top w:val="none" w:sz="0" w:space="0" w:color="auto"/>
        <w:left w:val="none" w:sz="0" w:space="0" w:color="auto"/>
        <w:bottom w:val="none" w:sz="0" w:space="0" w:color="auto"/>
        <w:right w:val="none" w:sz="0" w:space="0" w:color="auto"/>
      </w:divBdr>
    </w:div>
    <w:div w:id="189999728">
      <w:bodyDiv w:val="1"/>
      <w:marLeft w:val="0"/>
      <w:marRight w:val="0"/>
      <w:marTop w:val="0"/>
      <w:marBottom w:val="0"/>
      <w:divBdr>
        <w:top w:val="none" w:sz="0" w:space="0" w:color="auto"/>
        <w:left w:val="none" w:sz="0" w:space="0" w:color="auto"/>
        <w:bottom w:val="none" w:sz="0" w:space="0" w:color="auto"/>
        <w:right w:val="none" w:sz="0" w:space="0" w:color="auto"/>
      </w:divBdr>
    </w:div>
    <w:div w:id="193664174">
      <w:bodyDiv w:val="1"/>
      <w:marLeft w:val="0"/>
      <w:marRight w:val="0"/>
      <w:marTop w:val="0"/>
      <w:marBottom w:val="0"/>
      <w:divBdr>
        <w:top w:val="none" w:sz="0" w:space="0" w:color="auto"/>
        <w:left w:val="none" w:sz="0" w:space="0" w:color="auto"/>
        <w:bottom w:val="none" w:sz="0" w:space="0" w:color="auto"/>
        <w:right w:val="none" w:sz="0" w:space="0" w:color="auto"/>
      </w:divBdr>
    </w:div>
    <w:div w:id="201525402">
      <w:bodyDiv w:val="1"/>
      <w:marLeft w:val="0"/>
      <w:marRight w:val="0"/>
      <w:marTop w:val="0"/>
      <w:marBottom w:val="0"/>
      <w:divBdr>
        <w:top w:val="none" w:sz="0" w:space="0" w:color="auto"/>
        <w:left w:val="none" w:sz="0" w:space="0" w:color="auto"/>
        <w:bottom w:val="none" w:sz="0" w:space="0" w:color="auto"/>
        <w:right w:val="none" w:sz="0" w:space="0" w:color="auto"/>
      </w:divBdr>
    </w:div>
    <w:div w:id="236287229">
      <w:bodyDiv w:val="1"/>
      <w:marLeft w:val="0"/>
      <w:marRight w:val="0"/>
      <w:marTop w:val="0"/>
      <w:marBottom w:val="0"/>
      <w:divBdr>
        <w:top w:val="none" w:sz="0" w:space="0" w:color="auto"/>
        <w:left w:val="none" w:sz="0" w:space="0" w:color="auto"/>
        <w:bottom w:val="none" w:sz="0" w:space="0" w:color="auto"/>
        <w:right w:val="none" w:sz="0" w:space="0" w:color="auto"/>
      </w:divBdr>
    </w:div>
    <w:div w:id="272982023">
      <w:bodyDiv w:val="1"/>
      <w:marLeft w:val="0"/>
      <w:marRight w:val="0"/>
      <w:marTop w:val="0"/>
      <w:marBottom w:val="0"/>
      <w:divBdr>
        <w:top w:val="none" w:sz="0" w:space="0" w:color="auto"/>
        <w:left w:val="none" w:sz="0" w:space="0" w:color="auto"/>
        <w:bottom w:val="none" w:sz="0" w:space="0" w:color="auto"/>
        <w:right w:val="none" w:sz="0" w:space="0" w:color="auto"/>
      </w:divBdr>
    </w:div>
    <w:div w:id="282076809">
      <w:bodyDiv w:val="1"/>
      <w:marLeft w:val="0"/>
      <w:marRight w:val="0"/>
      <w:marTop w:val="0"/>
      <w:marBottom w:val="0"/>
      <w:divBdr>
        <w:top w:val="none" w:sz="0" w:space="0" w:color="auto"/>
        <w:left w:val="none" w:sz="0" w:space="0" w:color="auto"/>
        <w:bottom w:val="none" w:sz="0" w:space="0" w:color="auto"/>
        <w:right w:val="none" w:sz="0" w:space="0" w:color="auto"/>
      </w:divBdr>
    </w:div>
    <w:div w:id="286201271">
      <w:bodyDiv w:val="1"/>
      <w:marLeft w:val="0"/>
      <w:marRight w:val="0"/>
      <w:marTop w:val="0"/>
      <w:marBottom w:val="0"/>
      <w:divBdr>
        <w:top w:val="none" w:sz="0" w:space="0" w:color="auto"/>
        <w:left w:val="none" w:sz="0" w:space="0" w:color="auto"/>
        <w:bottom w:val="none" w:sz="0" w:space="0" w:color="auto"/>
        <w:right w:val="none" w:sz="0" w:space="0" w:color="auto"/>
      </w:divBdr>
    </w:div>
    <w:div w:id="293829471">
      <w:bodyDiv w:val="1"/>
      <w:marLeft w:val="0"/>
      <w:marRight w:val="0"/>
      <w:marTop w:val="0"/>
      <w:marBottom w:val="0"/>
      <w:divBdr>
        <w:top w:val="none" w:sz="0" w:space="0" w:color="auto"/>
        <w:left w:val="none" w:sz="0" w:space="0" w:color="auto"/>
        <w:bottom w:val="none" w:sz="0" w:space="0" w:color="auto"/>
        <w:right w:val="none" w:sz="0" w:space="0" w:color="auto"/>
      </w:divBdr>
    </w:div>
    <w:div w:id="299846508">
      <w:bodyDiv w:val="1"/>
      <w:marLeft w:val="0"/>
      <w:marRight w:val="0"/>
      <w:marTop w:val="0"/>
      <w:marBottom w:val="0"/>
      <w:divBdr>
        <w:top w:val="none" w:sz="0" w:space="0" w:color="auto"/>
        <w:left w:val="none" w:sz="0" w:space="0" w:color="auto"/>
        <w:bottom w:val="none" w:sz="0" w:space="0" w:color="auto"/>
        <w:right w:val="none" w:sz="0" w:space="0" w:color="auto"/>
      </w:divBdr>
    </w:div>
    <w:div w:id="330838751">
      <w:bodyDiv w:val="1"/>
      <w:marLeft w:val="0"/>
      <w:marRight w:val="0"/>
      <w:marTop w:val="0"/>
      <w:marBottom w:val="0"/>
      <w:divBdr>
        <w:top w:val="none" w:sz="0" w:space="0" w:color="auto"/>
        <w:left w:val="none" w:sz="0" w:space="0" w:color="auto"/>
        <w:bottom w:val="none" w:sz="0" w:space="0" w:color="auto"/>
        <w:right w:val="none" w:sz="0" w:space="0" w:color="auto"/>
      </w:divBdr>
    </w:div>
    <w:div w:id="347953031">
      <w:bodyDiv w:val="1"/>
      <w:marLeft w:val="0"/>
      <w:marRight w:val="0"/>
      <w:marTop w:val="0"/>
      <w:marBottom w:val="0"/>
      <w:divBdr>
        <w:top w:val="none" w:sz="0" w:space="0" w:color="auto"/>
        <w:left w:val="none" w:sz="0" w:space="0" w:color="auto"/>
        <w:bottom w:val="none" w:sz="0" w:space="0" w:color="auto"/>
        <w:right w:val="none" w:sz="0" w:space="0" w:color="auto"/>
      </w:divBdr>
    </w:div>
    <w:div w:id="389231411">
      <w:bodyDiv w:val="1"/>
      <w:marLeft w:val="0"/>
      <w:marRight w:val="0"/>
      <w:marTop w:val="0"/>
      <w:marBottom w:val="0"/>
      <w:divBdr>
        <w:top w:val="none" w:sz="0" w:space="0" w:color="auto"/>
        <w:left w:val="none" w:sz="0" w:space="0" w:color="auto"/>
        <w:bottom w:val="none" w:sz="0" w:space="0" w:color="auto"/>
        <w:right w:val="none" w:sz="0" w:space="0" w:color="auto"/>
      </w:divBdr>
    </w:div>
    <w:div w:id="397361039">
      <w:bodyDiv w:val="1"/>
      <w:marLeft w:val="0"/>
      <w:marRight w:val="0"/>
      <w:marTop w:val="0"/>
      <w:marBottom w:val="0"/>
      <w:divBdr>
        <w:top w:val="none" w:sz="0" w:space="0" w:color="auto"/>
        <w:left w:val="none" w:sz="0" w:space="0" w:color="auto"/>
        <w:bottom w:val="none" w:sz="0" w:space="0" w:color="auto"/>
        <w:right w:val="none" w:sz="0" w:space="0" w:color="auto"/>
      </w:divBdr>
    </w:div>
    <w:div w:id="405496679">
      <w:bodyDiv w:val="1"/>
      <w:marLeft w:val="0"/>
      <w:marRight w:val="0"/>
      <w:marTop w:val="0"/>
      <w:marBottom w:val="0"/>
      <w:divBdr>
        <w:top w:val="none" w:sz="0" w:space="0" w:color="auto"/>
        <w:left w:val="none" w:sz="0" w:space="0" w:color="auto"/>
        <w:bottom w:val="none" w:sz="0" w:space="0" w:color="auto"/>
        <w:right w:val="none" w:sz="0" w:space="0" w:color="auto"/>
      </w:divBdr>
    </w:div>
    <w:div w:id="432242332">
      <w:bodyDiv w:val="1"/>
      <w:marLeft w:val="0"/>
      <w:marRight w:val="0"/>
      <w:marTop w:val="0"/>
      <w:marBottom w:val="0"/>
      <w:divBdr>
        <w:top w:val="none" w:sz="0" w:space="0" w:color="auto"/>
        <w:left w:val="none" w:sz="0" w:space="0" w:color="auto"/>
        <w:bottom w:val="none" w:sz="0" w:space="0" w:color="auto"/>
        <w:right w:val="none" w:sz="0" w:space="0" w:color="auto"/>
      </w:divBdr>
    </w:div>
    <w:div w:id="445277130">
      <w:bodyDiv w:val="1"/>
      <w:marLeft w:val="0"/>
      <w:marRight w:val="0"/>
      <w:marTop w:val="0"/>
      <w:marBottom w:val="0"/>
      <w:divBdr>
        <w:top w:val="none" w:sz="0" w:space="0" w:color="auto"/>
        <w:left w:val="none" w:sz="0" w:space="0" w:color="auto"/>
        <w:bottom w:val="none" w:sz="0" w:space="0" w:color="auto"/>
        <w:right w:val="none" w:sz="0" w:space="0" w:color="auto"/>
      </w:divBdr>
    </w:div>
    <w:div w:id="447092116">
      <w:bodyDiv w:val="1"/>
      <w:marLeft w:val="0"/>
      <w:marRight w:val="0"/>
      <w:marTop w:val="0"/>
      <w:marBottom w:val="0"/>
      <w:divBdr>
        <w:top w:val="none" w:sz="0" w:space="0" w:color="auto"/>
        <w:left w:val="none" w:sz="0" w:space="0" w:color="auto"/>
        <w:bottom w:val="none" w:sz="0" w:space="0" w:color="auto"/>
        <w:right w:val="none" w:sz="0" w:space="0" w:color="auto"/>
      </w:divBdr>
    </w:div>
    <w:div w:id="464853895">
      <w:bodyDiv w:val="1"/>
      <w:marLeft w:val="0"/>
      <w:marRight w:val="0"/>
      <w:marTop w:val="0"/>
      <w:marBottom w:val="0"/>
      <w:divBdr>
        <w:top w:val="none" w:sz="0" w:space="0" w:color="auto"/>
        <w:left w:val="none" w:sz="0" w:space="0" w:color="auto"/>
        <w:bottom w:val="none" w:sz="0" w:space="0" w:color="auto"/>
        <w:right w:val="none" w:sz="0" w:space="0" w:color="auto"/>
      </w:divBdr>
    </w:div>
    <w:div w:id="503983890">
      <w:bodyDiv w:val="1"/>
      <w:marLeft w:val="0"/>
      <w:marRight w:val="0"/>
      <w:marTop w:val="0"/>
      <w:marBottom w:val="0"/>
      <w:divBdr>
        <w:top w:val="none" w:sz="0" w:space="0" w:color="auto"/>
        <w:left w:val="none" w:sz="0" w:space="0" w:color="auto"/>
        <w:bottom w:val="none" w:sz="0" w:space="0" w:color="auto"/>
        <w:right w:val="none" w:sz="0" w:space="0" w:color="auto"/>
      </w:divBdr>
    </w:div>
    <w:div w:id="538014193">
      <w:bodyDiv w:val="1"/>
      <w:marLeft w:val="0"/>
      <w:marRight w:val="0"/>
      <w:marTop w:val="0"/>
      <w:marBottom w:val="0"/>
      <w:divBdr>
        <w:top w:val="none" w:sz="0" w:space="0" w:color="auto"/>
        <w:left w:val="none" w:sz="0" w:space="0" w:color="auto"/>
        <w:bottom w:val="none" w:sz="0" w:space="0" w:color="auto"/>
        <w:right w:val="none" w:sz="0" w:space="0" w:color="auto"/>
      </w:divBdr>
    </w:div>
    <w:div w:id="583496259">
      <w:bodyDiv w:val="1"/>
      <w:marLeft w:val="0"/>
      <w:marRight w:val="0"/>
      <w:marTop w:val="0"/>
      <w:marBottom w:val="0"/>
      <w:divBdr>
        <w:top w:val="none" w:sz="0" w:space="0" w:color="auto"/>
        <w:left w:val="none" w:sz="0" w:space="0" w:color="auto"/>
        <w:bottom w:val="none" w:sz="0" w:space="0" w:color="auto"/>
        <w:right w:val="none" w:sz="0" w:space="0" w:color="auto"/>
      </w:divBdr>
    </w:div>
    <w:div w:id="616791310">
      <w:bodyDiv w:val="1"/>
      <w:marLeft w:val="0"/>
      <w:marRight w:val="0"/>
      <w:marTop w:val="0"/>
      <w:marBottom w:val="0"/>
      <w:divBdr>
        <w:top w:val="none" w:sz="0" w:space="0" w:color="auto"/>
        <w:left w:val="none" w:sz="0" w:space="0" w:color="auto"/>
        <w:bottom w:val="none" w:sz="0" w:space="0" w:color="auto"/>
        <w:right w:val="none" w:sz="0" w:space="0" w:color="auto"/>
      </w:divBdr>
    </w:div>
    <w:div w:id="642740545">
      <w:bodyDiv w:val="1"/>
      <w:marLeft w:val="0"/>
      <w:marRight w:val="0"/>
      <w:marTop w:val="0"/>
      <w:marBottom w:val="0"/>
      <w:divBdr>
        <w:top w:val="none" w:sz="0" w:space="0" w:color="auto"/>
        <w:left w:val="none" w:sz="0" w:space="0" w:color="auto"/>
        <w:bottom w:val="none" w:sz="0" w:space="0" w:color="auto"/>
        <w:right w:val="none" w:sz="0" w:space="0" w:color="auto"/>
      </w:divBdr>
    </w:div>
    <w:div w:id="650795775">
      <w:bodyDiv w:val="1"/>
      <w:marLeft w:val="0"/>
      <w:marRight w:val="0"/>
      <w:marTop w:val="0"/>
      <w:marBottom w:val="0"/>
      <w:divBdr>
        <w:top w:val="none" w:sz="0" w:space="0" w:color="auto"/>
        <w:left w:val="none" w:sz="0" w:space="0" w:color="auto"/>
        <w:bottom w:val="none" w:sz="0" w:space="0" w:color="auto"/>
        <w:right w:val="none" w:sz="0" w:space="0" w:color="auto"/>
      </w:divBdr>
    </w:div>
    <w:div w:id="671298129">
      <w:bodyDiv w:val="1"/>
      <w:marLeft w:val="0"/>
      <w:marRight w:val="0"/>
      <w:marTop w:val="0"/>
      <w:marBottom w:val="0"/>
      <w:divBdr>
        <w:top w:val="none" w:sz="0" w:space="0" w:color="auto"/>
        <w:left w:val="none" w:sz="0" w:space="0" w:color="auto"/>
        <w:bottom w:val="none" w:sz="0" w:space="0" w:color="auto"/>
        <w:right w:val="none" w:sz="0" w:space="0" w:color="auto"/>
      </w:divBdr>
    </w:div>
    <w:div w:id="709108434">
      <w:bodyDiv w:val="1"/>
      <w:marLeft w:val="0"/>
      <w:marRight w:val="0"/>
      <w:marTop w:val="0"/>
      <w:marBottom w:val="0"/>
      <w:divBdr>
        <w:top w:val="none" w:sz="0" w:space="0" w:color="auto"/>
        <w:left w:val="none" w:sz="0" w:space="0" w:color="auto"/>
        <w:bottom w:val="none" w:sz="0" w:space="0" w:color="auto"/>
        <w:right w:val="none" w:sz="0" w:space="0" w:color="auto"/>
      </w:divBdr>
    </w:div>
    <w:div w:id="709184204">
      <w:bodyDiv w:val="1"/>
      <w:marLeft w:val="0"/>
      <w:marRight w:val="0"/>
      <w:marTop w:val="0"/>
      <w:marBottom w:val="0"/>
      <w:divBdr>
        <w:top w:val="none" w:sz="0" w:space="0" w:color="auto"/>
        <w:left w:val="none" w:sz="0" w:space="0" w:color="auto"/>
        <w:bottom w:val="none" w:sz="0" w:space="0" w:color="auto"/>
        <w:right w:val="none" w:sz="0" w:space="0" w:color="auto"/>
      </w:divBdr>
    </w:div>
    <w:div w:id="736899431">
      <w:bodyDiv w:val="1"/>
      <w:marLeft w:val="0"/>
      <w:marRight w:val="0"/>
      <w:marTop w:val="0"/>
      <w:marBottom w:val="0"/>
      <w:divBdr>
        <w:top w:val="none" w:sz="0" w:space="0" w:color="auto"/>
        <w:left w:val="none" w:sz="0" w:space="0" w:color="auto"/>
        <w:bottom w:val="none" w:sz="0" w:space="0" w:color="auto"/>
        <w:right w:val="none" w:sz="0" w:space="0" w:color="auto"/>
      </w:divBdr>
    </w:div>
    <w:div w:id="744450989">
      <w:bodyDiv w:val="1"/>
      <w:marLeft w:val="0"/>
      <w:marRight w:val="0"/>
      <w:marTop w:val="0"/>
      <w:marBottom w:val="0"/>
      <w:divBdr>
        <w:top w:val="none" w:sz="0" w:space="0" w:color="auto"/>
        <w:left w:val="none" w:sz="0" w:space="0" w:color="auto"/>
        <w:bottom w:val="none" w:sz="0" w:space="0" w:color="auto"/>
        <w:right w:val="none" w:sz="0" w:space="0" w:color="auto"/>
      </w:divBdr>
    </w:div>
    <w:div w:id="779226270">
      <w:bodyDiv w:val="1"/>
      <w:marLeft w:val="0"/>
      <w:marRight w:val="0"/>
      <w:marTop w:val="0"/>
      <w:marBottom w:val="0"/>
      <w:divBdr>
        <w:top w:val="none" w:sz="0" w:space="0" w:color="auto"/>
        <w:left w:val="none" w:sz="0" w:space="0" w:color="auto"/>
        <w:bottom w:val="none" w:sz="0" w:space="0" w:color="auto"/>
        <w:right w:val="none" w:sz="0" w:space="0" w:color="auto"/>
      </w:divBdr>
    </w:div>
    <w:div w:id="825125686">
      <w:bodyDiv w:val="1"/>
      <w:marLeft w:val="0"/>
      <w:marRight w:val="0"/>
      <w:marTop w:val="0"/>
      <w:marBottom w:val="0"/>
      <w:divBdr>
        <w:top w:val="none" w:sz="0" w:space="0" w:color="auto"/>
        <w:left w:val="none" w:sz="0" w:space="0" w:color="auto"/>
        <w:bottom w:val="none" w:sz="0" w:space="0" w:color="auto"/>
        <w:right w:val="none" w:sz="0" w:space="0" w:color="auto"/>
      </w:divBdr>
    </w:div>
    <w:div w:id="854074903">
      <w:bodyDiv w:val="1"/>
      <w:marLeft w:val="0"/>
      <w:marRight w:val="0"/>
      <w:marTop w:val="0"/>
      <w:marBottom w:val="0"/>
      <w:divBdr>
        <w:top w:val="none" w:sz="0" w:space="0" w:color="auto"/>
        <w:left w:val="none" w:sz="0" w:space="0" w:color="auto"/>
        <w:bottom w:val="none" w:sz="0" w:space="0" w:color="auto"/>
        <w:right w:val="none" w:sz="0" w:space="0" w:color="auto"/>
      </w:divBdr>
    </w:div>
    <w:div w:id="918825271">
      <w:bodyDiv w:val="1"/>
      <w:marLeft w:val="0"/>
      <w:marRight w:val="0"/>
      <w:marTop w:val="0"/>
      <w:marBottom w:val="0"/>
      <w:divBdr>
        <w:top w:val="none" w:sz="0" w:space="0" w:color="auto"/>
        <w:left w:val="none" w:sz="0" w:space="0" w:color="auto"/>
        <w:bottom w:val="none" w:sz="0" w:space="0" w:color="auto"/>
        <w:right w:val="none" w:sz="0" w:space="0" w:color="auto"/>
      </w:divBdr>
    </w:div>
    <w:div w:id="982344247">
      <w:bodyDiv w:val="1"/>
      <w:marLeft w:val="0"/>
      <w:marRight w:val="0"/>
      <w:marTop w:val="0"/>
      <w:marBottom w:val="0"/>
      <w:divBdr>
        <w:top w:val="none" w:sz="0" w:space="0" w:color="auto"/>
        <w:left w:val="none" w:sz="0" w:space="0" w:color="auto"/>
        <w:bottom w:val="none" w:sz="0" w:space="0" w:color="auto"/>
        <w:right w:val="none" w:sz="0" w:space="0" w:color="auto"/>
      </w:divBdr>
    </w:div>
    <w:div w:id="1013457429">
      <w:bodyDiv w:val="1"/>
      <w:marLeft w:val="0"/>
      <w:marRight w:val="0"/>
      <w:marTop w:val="0"/>
      <w:marBottom w:val="0"/>
      <w:divBdr>
        <w:top w:val="none" w:sz="0" w:space="0" w:color="auto"/>
        <w:left w:val="none" w:sz="0" w:space="0" w:color="auto"/>
        <w:bottom w:val="none" w:sz="0" w:space="0" w:color="auto"/>
        <w:right w:val="none" w:sz="0" w:space="0" w:color="auto"/>
      </w:divBdr>
    </w:div>
    <w:div w:id="1029136492">
      <w:bodyDiv w:val="1"/>
      <w:marLeft w:val="0"/>
      <w:marRight w:val="0"/>
      <w:marTop w:val="0"/>
      <w:marBottom w:val="0"/>
      <w:divBdr>
        <w:top w:val="none" w:sz="0" w:space="0" w:color="auto"/>
        <w:left w:val="none" w:sz="0" w:space="0" w:color="auto"/>
        <w:bottom w:val="none" w:sz="0" w:space="0" w:color="auto"/>
        <w:right w:val="none" w:sz="0" w:space="0" w:color="auto"/>
      </w:divBdr>
    </w:div>
    <w:div w:id="1035882991">
      <w:bodyDiv w:val="1"/>
      <w:marLeft w:val="0"/>
      <w:marRight w:val="0"/>
      <w:marTop w:val="0"/>
      <w:marBottom w:val="0"/>
      <w:divBdr>
        <w:top w:val="none" w:sz="0" w:space="0" w:color="auto"/>
        <w:left w:val="none" w:sz="0" w:space="0" w:color="auto"/>
        <w:bottom w:val="none" w:sz="0" w:space="0" w:color="auto"/>
        <w:right w:val="none" w:sz="0" w:space="0" w:color="auto"/>
      </w:divBdr>
    </w:div>
    <w:div w:id="1038506303">
      <w:bodyDiv w:val="1"/>
      <w:marLeft w:val="0"/>
      <w:marRight w:val="0"/>
      <w:marTop w:val="0"/>
      <w:marBottom w:val="0"/>
      <w:divBdr>
        <w:top w:val="none" w:sz="0" w:space="0" w:color="auto"/>
        <w:left w:val="none" w:sz="0" w:space="0" w:color="auto"/>
        <w:bottom w:val="none" w:sz="0" w:space="0" w:color="auto"/>
        <w:right w:val="none" w:sz="0" w:space="0" w:color="auto"/>
      </w:divBdr>
    </w:div>
    <w:div w:id="1045062364">
      <w:bodyDiv w:val="1"/>
      <w:marLeft w:val="0"/>
      <w:marRight w:val="0"/>
      <w:marTop w:val="0"/>
      <w:marBottom w:val="0"/>
      <w:divBdr>
        <w:top w:val="none" w:sz="0" w:space="0" w:color="auto"/>
        <w:left w:val="none" w:sz="0" w:space="0" w:color="auto"/>
        <w:bottom w:val="none" w:sz="0" w:space="0" w:color="auto"/>
        <w:right w:val="none" w:sz="0" w:space="0" w:color="auto"/>
      </w:divBdr>
    </w:div>
    <w:div w:id="1108307058">
      <w:bodyDiv w:val="1"/>
      <w:marLeft w:val="0"/>
      <w:marRight w:val="0"/>
      <w:marTop w:val="0"/>
      <w:marBottom w:val="0"/>
      <w:divBdr>
        <w:top w:val="none" w:sz="0" w:space="0" w:color="auto"/>
        <w:left w:val="none" w:sz="0" w:space="0" w:color="auto"/>
        <w:bottom w:val="none" w:sz="0" w:space="0" w:color="auto"/>
        <w:right w:val="none" w:sz="0" w:space="0" w:color="auto"/>
      </w:divBdr>
    </w:div>
    <w:div w:id="1128205878">
      <w:bodyDiv w:val="1"/>
      <w:marLeft w:val="0"/>
      <w:marRight w:val="0"/>
      <w:marTop w:val="0"/>
      <w:marBottom w:val="0"/>
      <w:divBdr>
        <w:top w:val="none" w:sz="0" w:space="0" w:color="auto"/>
        <w:left w:val="none" w:sz="0" w:space="0" w:color="auto"/>
        <w:bottom w:val="none" w:sz="0" w:space="0" w:color="auto"/>
        <w:right w:val="none" w:sz="0" w:space="0" w:color="auto"/>
      </w:divBdr>
    </w:div>
    <w:div w:id="1168207375">
      <w:bodyDiv w:val="1"/>
      <w:marLeft w:val="0"/>
      <w:marRight w:val="0"/>
      <w:marTop w:val="0"/>
      <w:marBottom w:val="0"/>
      <w:divBdr>
        <w:top w:val="none" w:sz="0" w:space="0" w:color="auto"/>
        <w:left w:val="none" w:sz="0" w:space="0" w:color="auto"/>
        <w:bottom w:val="none" w:sz="0" w:space="0" w:color="auto"/>
        <w:right w:val="none" w:sz="0" w:space="0" w:color="auto"/>
      </w:divBdr>
    </w:div>
    <w:div w:id="1230462107">
      <w:bodyDiv w:val="1"/>
      <w:marLeft w:val="0"/>
      <w:marRight w:val="0"/>
      <w:marTop w:val="0"/>
      <w:marBottom w:val="0"/>
      <w:divBdr>
        <w:top w:val="none" w:sz="0" w:space="0" w:color="auto"/>
        <w:left w:val="none" w:sz="0" w:space="0" w:color="auto"/>
        <w:bottom w:val="none" w:sz="0" w:space="0" w:color="auto"/>
        <w:right w:val="none" w:sz="0" w:space="0" w:color="auto"/>
      </w:divBdr>
    </w:div>
    <w:div w:id="1240750540">
      <w:bodyDiv w:val="1"/>
      <w:marLeft w:val="0"/>
      <w:marRight w:val="0"/>
      <w:marTop w:val="0"/>
      <w:marBottom w:val="0"/>
      <w:divBdr>
        <w:top w:val="none" w:sz="0" w:space="0" w:color="auto"/>
        <w:left w:val="none" w:sz="0" w:space="0" w:color="auto"/>
        <w:bottom w:val="none" w:sz="0" w:space="0" w:color="auto"/>
        <w:right w:val="none" w:sz="0" w:space="0" w:color="auto"/>
      </w:divBdr>
    </w:div>
    <w:div w:id="1281836621">
      <w:bodyDiv w:val="1"/>
      <w:marLeft w:val="0"/>
      <w:marRight w:val="0"/>
      <w:marTop w:val="0"/>
      <w:marBottom w:val="0"/>
      <w:divBdr>
        <w:top w:val="none" w:sz="0" w:space="0" w:color="auto"/>
        <w:left w:val="none" w:sz="0" w:space="0" w:color="auto"/>
        <w:bottom w:val="none" w:sz="0" w:space="0" w:color="auto"/>
        <w:right w:val="none" w:sz="0" w:space="0" w:color="auto"/>
      </w:divBdr>
    </w:div>
    <w:div w:id="1285960889">
      <w:bodyDiv w:val="1"/>
      <w:marLeft w:val="0"/>
      <w:marRight w:val="0"/>
      <w:marTop w:val="0"/>
      <w:marBottom w:val="0"/>
      <w:divBdr>
        <w:top w:val="none" w:sz="0" w:space="0" w:color="auto"/>
        <w:left w:val="none" w:sz="0" w:space="0" w:color="auto"/>
        <w:bottom w:val="none" w:sz="0" w:space="0" w:color="auto"/>
        <w:right w:val="none" w:sz="0" w:space="0" w:color="auto"/>
      </w:divBdr>
    </w:div>
    <w:div w:id="1293897986">
      <w:bodyDiv w:val="1"/>
      <w:marLeft w:val="0"/>
      <w:marRight w:val="0"/>
      <w:marTop w:val="0"/>
      <w:marBottom w:val="0"/>
      <w:divBdr>
        <w:top w:val="none" w:sz="0" w:space="0" w:color="auto"/>
        <w:left w:val="none" w:sz="0" w:space="0" w:color="auto"/>
        <w:bottom w:val="none" w:sz="0" w:space="0" w:color="auto"/>
        <w:right w:val="none" w:sz="0" w:space="0" w:color="auto"/>
      </w:divBdr>
    </w:div>
    <w:div w:id="1307010852">
      <w:bodyDiv w:val="1"/>
      <w:marLeft w:val="0"/>
      <w:marRight w:val="0"/>
      <w:marTop w:val="0"/>
      <w:marBottom w:val="0"/>
      <w:divBdr>
        <w:top w:val="none" w:sz="0" w:space="0" w:color="auto"/>
        <w:left w:val="none" w:sz="0" w:space="0" w:color="auto"/>
        <w:bottom w:val="none" w:sz="0" w:space="0" w:color="auto"/>
        <w:right w:val="none" w:sz="0" w:space="0" w:color="auto"/>
      </w:divBdr>
    </w:div>
    <w:div w:id="1318606863">
      <w:bodyDiv w:val="1"/>
      <w:marLeft w:val="0"/>
      <w:marRight w:val="0"/>
      <w:marTop w:val="0"/>
      <w:marBottom w:val="0"/>
      <w:divBdr>
        <w:top w:val="none" w:sz="0" w:space="0" w:color="auto"/>
        <w:left w:val="none" w:sz="0" w:space="0" w:color="auto"/>
        <w:bottom w:val="none" w:sz="0" w:space="0" w:color="auto"/>
        <w:right w:val="none" w:sz="0" w:space="0" w:color="auto"/>
      </w:divBdr>
    </w:div>
    <w:div w:id="1337423540">
      <w:bodyDiv w:val="1"/>
      <w:marLeft w:val="0"/>
      <w:marRight w:val="0"/>
      <w:marTop w:val="0"/>
      <w:marBottom w:val="0"/>
      <w:divBdr>
        <w:top w:val="none" w:sz="0" w:space="0" w:color="auto"/>
        <w:left w:val="none" w:sz="0" w:space="0" w:color="auto"/>
        <w:bottom w:val="none" w:sz="0" w:space="0" w:color="auto"/>
        <w:right w:val="none" w:sz="0" w:space="0" w:color="auto"/>
      </w:divBdr>
    </w:div>
    <w:div w:id="1339504175">
      <w:bodyDiv w:val="1"/>
      <w:marLeft w:val="0"/>
      <w:marRight w:val="0"/>
      <w:marTop w:val="0"/>
      <w:marBottom w:val="0"/>
      <w:divBdr>
        <w:top w:val="none" w:sz="0" w:space="0" w:color="auto"/>
        <w:left w:val="none" w:sz="0" w:space="0" w:color="auto"/>
        <w:bottom w:val="none" w:sz="0" w:space="0" w:color="auto"/>
        <w:right w:val="none" w:sz="0" w:space="0" w:color="auto"/>
      </w:divBdr>
    </w:div>
    <w:div w:id="1339768751">
      <w:bodyDiv w:val="1"/>
      <w:marLeft w:val="0"/>
      <w:marRight w:val="0"/>
      <w:marTop w:val="0"/>
      <w:marBottom w:val="0"/>
      <w:divBdr>
        <w:top w:val="none" w:sz="0" w:space="0" w:color="auto"/>
        <w:left w:val="none" w:sz="0" w:space="0" w:color="auto"/>
        <w:bottom w:val="none" w:sz="0" w:space="0" w:color="auto"/>
        <w:right w:val="none" w:sz="0" w:space="0" w:color="auto"/>
      </w:divBdr>
    </w:div>
    <w:div w:id="1384712604">
      <w:bodyDiv w:val="1"/>
      <w:marLeft w:val="0"/>
      <w:marRight w:val="0"/>
      <w:marTop w:val="0"/>
      <w:marBottom w:val="0"/>
      <w:divBdr>
        <w:top w:val="none" w:sz="0" w:space="0" w:color="auto"/>
        <w:left w:val="none" w:sz="0" w:space="0" w:color="auto"/>
        <w:bottom w:val="none" w:sz="0" w:space="0" w:color="auto"/>
        <w:right w:val="none" w:sz="0" w:space="0" w:color="auto"/>
      </w:divBdr>
    </w:div>
    <w:div w:id="1416440198">
      <w:bodyDiv w:val="1"/>
      <w:marLeft w:val="0"/>
      <w:marRight w:val="0"/>
      <w:marTop w:val="0"/>
      <w:marBottom w:val="0"/>
      <w:divBdr>
        <w:top w:val="none" w:sz="0" w:space="0" w:color="auto"/>
        <w:left w:val="none" w:sz="0" w:space="0" w:color="auto"/>
        <w:bottom w:val="none" w:sz="0" w:space="0" w:color="auto"/>
        <w:right w:val="none" w:sz="0" w:space="0" w:color="auto"/>
      </w:divBdr>
    </w:div>
    <w:div w:id="1455834028">
      <w:bodyDiv w:val="1"/>
      <w:marLeft w:val="0"/>
      <w:marRight w:val="0"/>
      <w:marTop w:val="0"/>
      <w:marBottom w:val="0"/>
      <w:divBdr>
        <w:top w:val="none" w:sz="0" w:space="0" w:color="auto"/>
        <w:left w:val="none" w:sz="0" w:space="0" w:color="auto"/>
        <w:bottom w:val="none" w:sz="0" w:space="0" w:color="auto"/>
        <w:right w:val="none" w:sz="0" w:space="0" w:color="auto"/>
      </w:divBdr>
    </w:div>
    <w:div w:id="1488008215">
      <w:bodyDiv w:val="1"/>
      <w:marLeft w:val="0"/>
      <w:marRight w:val="0"/>
      <w:marTop w:val="0"/>
      <w:marBottom w:val="0"/>
      <w:divBdr>
        <w:top w:val="none" w:sz="0" w:space="0" w:color="auto"/>
        <w:left w:val="none" w:sz="0" w:space="0" w:color="auto"/>
        <w:bottom w:val="none" w:sz="0" w:space="0" w:color="auto"/>
        <w:right w:val="none" w:sz="0" w:space="0" w:color="auto"/>
      </w:divBdr>
    </w:div>
    <w:div w:id="1502236402">
      <w:bodyDiv w:val="1"/>
      <w:marLeft w:val="0"/>
      <w:marRight w:val="0"/>
      <w:marTop w:val="0"/>
      <w:marBottom w:val="0"/>
      <w:divBdr>
        <w:top w:val="none" w:sz="0" w:space="0" w:color="auto"/>
        <w:left w:val="none" w:sz="0" w:space="0" w:color="auto"/>
        <w:bottom w:val="none" w:sz="0" w:space="0" w:color="auto"/>
        <w:right w:val="none" w:sz="0" w:space="0" w:color="auto"/>
      </w:divBdr>
    </w:div>
    <w:div w:id="1520584351">
      <w:bodyDiv w:val="1"/>
      <w:marLeft w:val="0"/>
      <w:marRight w:val="0"/>
      <w:marTop w:val="0"/>
      <w:marBottom w:val="0"/>
      <w:divBdr>
        <w:top w:val="none" w:sz="0" w:space="0" w:color="auto"/>
        <w:left w:val="none" w:sz="0" w:space="0" w:color="auto"/>
        <w:bottom w:val="none" w:sz="0" w:space="0" w:color="auto"/>
        <w:right w:val="none" w:sz="0" w:space="0" w:color="auto"/>
      </w:divBdr>
    </w:div>
    <w:div w:id="1537546193">
      <w:bodyDiv w:val="1"/>
      <w:marLeft w:val="0"/>
      <w:marRight w:val="0"/>
      <w:marTop w:val="0"/>
      <w:marBottom w:val="0"/>
      <w:divBdr>
        <w:top w:val="none" w:sz="0" w:space="0" w:color="auto"/>
        <w:left w:val="none" w:sz="0" w:space="0" w:color="auto"/>
        <w:bottom w:val="none" w:sz="0" w:space="0" w:color="auto"/>
        <w:right w:val="none" w:sz="0" w:space="0" w:color="auto"/>
      </w:divBdr>
    </w:div>
    <w:div w:id="1625193435">
      <w:bodyDiv w:val="1"/>
      <w:marLeft w:val="0"/>
      <w:marRight w:val="0"/>
      <w:marTop w:val="0"/>
      <w:marBottom w:val="0"/>
      <w:divBdr>
        <w:top w:val="none" w:sz="0" w:space="0" w:color="auto"/>
        <w:left w:val="none" w:sz="0" w:space="0" w:color="auto"/>
        <w:bottom w:val="none" w:sz="0" w:space="0" w:color="auto"/>
        <w:right w:val="none" w:sz="0" w:space="0" w:color="auto"/>
      </w:divBdr>
    </w:div>
    <w:div w:id="1683161779">
      <w:bodyDiv w:val="1"/>
      <w:marLeft w:val="0"/>
      <w:marRight w:val="0"/>
      <w:marTop w:val="0"/>
      <w:marBottom w:val="0"/>
      <w:divBdr>
        <w:top w:val="none" w:sz="0" w:space="0" w:color="auto"/>
        <w:left w:val="none" w:sz="0" w:space="0" w:color="auto"/>
        <w:bottom w:val="none" w:sz="0" w:space="0" w:color="auto"/>
        <w:right w:val="none" w:sz="0" w:space="0" w:color="auto"/>
      </w:divBdr>
    </w:div>
    <w:div w:id="1695299283">
      <w:bodyDiv w:val="1"/>
      <w:marLeft w:val="0"/>
      <w:marRight w:val="0"/>
      <w:marTop w:val="0"/>
      <w:marBottom w:val="0"/>
      <w:divBdr>
        <w:top w:val="none" w:sz="0" w:space="0" w:color="auto"/>
        <w:left w:val="none" w:sz="0" w:space="0" w:color="auto"/>
        <w:bottom w:val="none" w:sz="0" w:space="0" w:color="auto"/>
        <w:right w:val="none" w:sz="0" w:space="0" w:color="auto"/>
      </w:divBdr>
    </w:div>
    <w:div w:id="1698693610">
      <w:bodyDiv w:val="1"/>
      <w:marLeft w:val="0"/>
      <w:marRight w:val="0"/>
      <w:marTop w:val="0"/>
      <w:marBottom w:val="0"/>
      <w:divBdr>
        <w:top w:val="none" w:sz="0" w:space="0" w:color="auto"/>
        <w:left w:val="none" w:sz="0" w:space="0" w:color="auto"/>
        <w:bottom w:val="none" w:sz="0" w:space="0" w:color="auto"/>
        <w:right w:val="none" w:sz="0" w:space="0" w:color="auto"/>
      </w:divBdr>
    </w:div>
    <w:div w:id="1736775830">
      <w:bodyDiv w:val="1"/>
      <w:marLeft w:val="0"/>
      <w:marRight w:val="0"/>
      <w:marTop w:val="0"/>
      <w:marBottom w:val="0"/>
      <w:divBdr>
        <w:top w:val="none" w:sz="0" w:space="0" w:color="auto"/>
        <w:left w:val="none" w:sz="0" w:space="0" w:color="auto"/>
        <w:bottom w:val="none" w:sz="0" w:space="0" w:color="auto"/>
        <w:right w:val="none" w:sz="0" w:space="0" w:color="auto"/>
      </w:divBdr>
    </w:div>
    <w:div w:id="1744987512">
      <w:bodyDiv w:val="1"/>
      <w:marLeft w:val="0"/>
      <w:marRight w:val="0"/>
      <w:marTop w:val="0"/>
      <w:marBottom w:val="0"/>
      <w:divBdr>
        <w:top w:val="none" w:sz="0" w:space="0" w:color="auto"/>
        <w:left w:val="none" w:sz="0" w:space="0" w:color="auto"/>
        <w:bottom w:val="none" w:sz="0" w:space="0" w:color="auto"/>
        <w:right w:val="none" w:sz="0" w:space="0" w:color="auto"/>
      </w:divBdr>
    </w:div>
    <w:div w:id="1745372568">
      <w:bodyDiv w:val="1"/>
      <w:marLeft w:val="0"/>
      <w:marRight w:val="0"/>
      <w:marTop w:val="0"/>
      <w:marBottom w:val="0"/>
      <w:divBdr>
        <w:top w:val="none" w:sz="0" w:space="0" w:color="auto"/>
        <w:left w:val="none" w:sz="0" w:space="0" w:color="auto"/>
        <w:bottom w:val="none" w:sz="0" w:space="0" w:color="auto"/>
        <w:right w:val="none" w:sz="0" w:space="0" w:color="auto"/>
      </w:divBdr>
    </w:div>
    <w:div w:id="1774746652">
      <w:bodyDiv w:val="1"/>
      <w:marLeft w:val="0"/>
      <w:marRight w:val="0"/>
      <w:marTop w:val="0"/>
      <w:marBottom w:val="0"/>
      <w:divBdr>
        <w:top w:val="none" w:sz="0" w:space="0" w:color="auto"/>
        <w:left w:val="none" w:sz="0" w:space="0" w:color="auto"/>
        <w:bottom w:val="none" w:sz="0" w:space="0" w:color="auto"/>
        <w:right w:val="none" w:sz="0" w:space="0" w:color="auto"/>
      </w:divBdr>
    </w:div>
    <w:div w:id="1784686301">
      <w:bodyDiv w:val="1"/>
      <w:marLeft w:val="0"/>
      <w:marRight w:val="0"/>
      <w:marTop w:val="0"/>
      <w:marBottom w:val="0"/>
      <w:divBdr>
        <w:top w:val="none" w:sz="0" w:space="0" w:color="auto"/>
        <w:left w:val="none" w:sz="0" w:space="0" w:color="auto"/>
        <w:bottom w:val="none" w:sz="0" w:space="0" w:color="auto"/>
        <w:right w:val="none" w:sz="0" w:space="0" w:color="auto"/>
      </w:divBdr>
    </w:div>
    <w:div w:id="1788044667">
      <w:bodyDiv w:val="1"/>
      <w:marLeft w:val="0"/>
      <w:marRight w:val="0"/>
      <w:marTop w:val="0"/>
      <w:marBottom w:val="0"/>
      <w:divBdr>
        <w:top w:val="none" w:sz="0" w:space="0" w:color="auto"/>
        <w:left w:val="none" w:sz="0" w:space="0" w:color="auto"/>
        <w:bottom w:val="none" w:sz="0" w:space="0" w:color="auto"/>
        <w:right w:val="none" w:sz="0" w:space="0" w:color="auto"/>
      </w:divBdr>
    </w:div>
    <w:div w:id="1812747490">
      <w:bodyDiv w:val="1"/>
      <w:marLeft w:val="0"/>
      <w:marRight w:val="0"/>
      <w:marTop w:val="0"/>
      <w:marBottom w:val="0"/>
      <w:divBdr>
        <w:top w:val="none" w:sz="0" w:space="0" w:color="auto"/>
        <w:left w:val="none" w:sz="0" w:space="0" w:color="auto"/>
        <w:bottom w:val="none" w:sz="0" w:space="0" w:color="auto"/>
        <w:right w:val="none" w:sz="0" w:space="0" w:color="auto"/>
      </w:divBdr>
    </w:div>
    <w:div w:id="1815246290">
      <w:bodyDiv w:val="1"/>
      <w:marLeft w:val="0"/>
      <w:marRight w:val="0"/>
      <w:marTop w:val="0"/>
      <w:marBottom w:val="0"/>
      <w:divBdr>
        <w:top w:val="none" w:sz="0" w:space="0" w:color="auto"/>
        <w:left w:val="none" w:sz="0" w:space="0" w:color="auto"/>
        <w:bottom w:val="none" w:sz="0" w:space="0" w:color="auto"/>
        <w:right w:val="none" w:sz="0" w:space="0" w:color="auto"/>
      </w:divBdr>
    </w:div>
    <w:div w:id="1841504274">
      <w:bodyDiv w:val="1"/>
      <w:marLeft w:val="0"/>
      <w:marRight w:val="0"/>
      <w:marTop w:val="0"/>
      <w:marBottom w:val="0"/>
      <w:divBdr>
        <w:top w:val="none" w:sz="0" w:space="0" w:color="auto"/>
        <w:left w:val="none" w:sz="0" w:space="0" w:color="auto"/>
        <w:bottom w:val="none" w:sz="0" w:space="0" w:color="auto"/>
        <w:right w:val="none" w:sz="0" w:space="0" w:color="auto"/>
      </w:divBdr>
    </w:div>
    <w:div w:id="1889797483">
      <w:bodyDiv w:val="1"/>
      <w:marLeft w:val="0"/>
      <w:marRight w:val="0"/>
      <w:marTop w:val="0"/>
      <w:marBottom w:val="0"/>
      <w:divBdr>
        <w:top w:val="none" w:sz="0" w:space="0" w:color="auto"/>
        <w:left w:val="none" w:sz="0" w:space="0" w:color="auto"/>
        <w:bottom w:val="none" w:sz="0" w:space="0" w:color="auto"/>
        <w:right w:val="none" w:sz="0" w:space="0" w:color="auto"/>
      </w:divBdr>
    </w:div>
    <w:div w:id="1905138353">
      <w:bodyDiv w:val="1"/>
      <w:marLeft w:val="0"/>
      <w:marRight w:val="0"/>
      <w:marTop w:val="0"/>
      <w:marBottom w:val="0"/>
      <w:divBdr>
        <w:top w:val="none" w:sz="0" w:space="0" w:color="auto"/>
        <w:left w:val="none" w:sz="0" w:space="0" w:color="auto"/>
        <w:bottom w:val="none" w:sz="0" w:space="0" w:color="auto"/>
        <w:right w:val="none" w:sz="0" w:space="0" w:color="auto"/>
      </w:divBdr>
    </w:div>
    <w:div w:id="1925797271">
      <w:bodyDiv w:val="1"/>
      <w:marLeft w:val="0"/>
      <w:marRight w:val="0"/>
      <w:marTop w:val="0"/>
      <w:marBottom w:val="0"/>
      <w:divBdr>
        <w:top w:val="none" w:sz="0" w:space="0" w:color="auto"/>
        <w:left w:val="none" w:sz="0" w:space="0" w:color="auto"/>
        <w:bottom w:val="none" w:sz="0" w:space="0" w:color="auto"/>
        <w:right w:val="none" w:sz="0" w:space="0" w:color="auto"/>
      </w:divBdr>
    </w:div>
    <w:div w:id="2025355852">
      <w:bodyDiv w:val="1"/>
      <w:marLeft w:val="0"/>
      <w:marRight w:val="0"/>
      <w:marTop w:val="0"/>
      <w:marBottom w:val="0"/>
      <w:divBdr>
        <w:top w:val="none" w:sz="0" w:space="0" w:color="auto"/>
        <w:left w:val="none" w:sz="0" w:space="0" w:color="auto"/>
        <w:bottom w:val="none" w:sz="0" w:space="0" w:color="auto"/>
        <w:right w:val="none" w:sz="0" w:space="0" w:color="auto"/>
      </w:divBdr>
    </w:div>
    <w:div w:id="2032759553">
      <w:bodyDiv w:val="1"/>
      <w:marLeft w:val="0"/>
      <w:marRight w:val="0"/>
      <w:marTop w:val="0"/>
      <w:marBottom w:val="0"/>
      <w:divBdr>
        <w:top w:val="none" w:sz="0" w:space="0" w:color="auto"/>
        <w:left w:val="none" w:sz="0" w:space="0" w:color="auto"/>
        <w:bottom w:val="none" w:sz="0" w:space="0" w:color="auto"/>
        <w:right w:val="none" w:sz="0" w:space="0" w:color="auto"/>
      </w:divBdr>
    </w:div>
    <w:div w:id="2073459238">
      <w:bodyDiv w:val="1"/>
      <w:marLeft w:val="0"/>
      <w:marRight w:val="0"/>
      <w:marTop w:val="0"/>
      <w:marBottom w:val="0"/>
      <w:divBdr>
        <w:top w:val="none" w:sz="0" w:space="0" w:color="auto"/>
        <w:left w:val="none" w:sz="0" w:space="0" w:color="auto"/>
        <w:bottom w:val="none" w:sz="0" w:space="0" w:color="auto"/>
        <w:right w:val="none" w:sz="0" w:space="0" w:color="auto"/>
      </w:divBdr>
    </w:div>
    <w:div w:id="2078282390">
      <w:bodyDiv w:val="1"/>
      <w:marLeft w:val="0"/>
      <w:marRight w:val="0"/>
      <w:marTop w:val="0"/>
      <w:marBottom w:val="0"/>
      <w:divBdr>
        <w:top w:val="none" w:sz="0" w:space="0" w:color="auto"/>
        <w:left w:val="none" w:sz="0" w:space="0" w:color="auto"/>
        <w:bottom w:val="none" w:sz="0" w:space="0" w:color="auto"/>
        <w:right w:val="none" w:sz="0" w:space="0" w:color="auto"/>
      </w:divBdr>
    </w:div>
    <w:div w:id="208922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2111919@student.uwtsd.ac.uk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BBC19</b:Tag>
    <b:SourceType>InternetSite</b:SourceType>
    <b:Guid>{2C8C8265-A076-4DE8-8FC2-0B18A74EF7DE}</b:Guid>
    <b:Author>
      <b:Author>
        <b:Corporate>BBC</b:Corporate>
      </b:Author>
    </b:Author>
    <b:Title>Legal challenges to PCCs fire takeover plans dismissed</b:Title>
    <b:Year>2019</b:Year>
    <b:YearAccessed>2023</b:YearAccessed>
    <b:MonthAccessed>January</b:MonthAccessed>
    <b:DayAccessed>4th</b:DayAccessed>
    <b:URL>https://www.bbc.co.uk/news/uk-england-49153497</b:URL>
    <b:RefOrder>55</b:RefOrder>
  </b:Source>
  <b:Source>
    <b:Tag>Cad02</b:Tag>
    <b:SourceType>Book</b:SourceType>
    <b:Guid>{12F47E0E-64DC-4B9A-9431-2189A030E8B7}</b:Guid>
    <b:Title>Corporate Governance and Chairmanship</b:Title>
    <b:Year>2002</b:Year>
    <b:City>Oxford</b:City>
    <b:Publisher>Oxford University Press</b:Publisher>
    <b:Author>
      <b:Author>
        <b:NameList>
          <b:Person>
            <b:Last>Cadbury</b:Last>
            <b:First>A</b:First>
          </b:Person>
        </b:NameList>
      </b:Author>
    </b:Author>
    <b:RefOrder>1</b:RefOrder>
  </b:Source>
  <b:Source>
    <b:Tag>Mer16</b:Tag>
    <b:SourceType>Book</b:SourceType>
    <b:Guid>{EA9B3543-CE77-4808-84F0-DAF5070AF27B}</b:Guid>
    <b:Title>Catalytic Governance:; Leading Change in the Information Age</b:Title>
    <b:Year>2016</b:Year>
    <b:City>Toronto</b:City>
    <b:Publisher>University of Toronto Press</b:Publisher>
    <b:Author>
      <b:Author>
        <b:NameList>
          <b:Person>
            <b:Last>Meredith</b:Last>
            <b:First>P</b:First>
          </b:Person>
          <b:Person>
            <b:Last>Rossell</b:Last>
            <b:Middle>A</b:Middle>
            <b:First>S</b:First>
          </b:Person>
          <b:Person>
            <b:Last>Davis</b:Last>
            <b:Middle>R</b:Middle>
            <b:First>G</b:First>
          </b:Person>
        </b:NameList>
      </b:Author>
    </b:Author>
    <b:RefOrder>2</b:RefOrder>
  </b:Source>
  <b:Source>
    <b:Tag>Ans221</b:Tag>
    <b:SourceType>Book</b:SourceType>
    <b:Guid>{926BC2CF-9582-4131-8293-477333FC98EE}</b:Guid>
    <b:Title>Handbook on Theories of Governance</b:Title>
    <b:Year>2022</b:Year>
    <b:City>Cheltenham, England</b:City>
    <b:Publisher>Edward Elgar</b:Publisher>
    <b:Edition>2nd Edition</b:Edition>
    <b:Author>
      <b:Author>
        <b:NameList>
          <b:Person>
            <b:Last>Ansell</b:Last>
            <b:Middle>K</b:Middle>
            <b:First>C </b:First>
          </b:Person>
          <b:Person>
            <b:Last>Torfing</b:Last>
            <b:First>J</b:First>
          </b:Person>
        </b:NameList>
      </b:Author>
    </b:Author>
    <b:RefOrder>3</b:RefOrder>
  </b:Source>
  <b:Source>
    <b:Tag>Chh08</b:Tag>
    <b:SourceType>Book</b:SourceType>
    <b:Guid>{A1370459-33F3-4316-857B-E99C4199F306}</b:Guid>
    <b:Title>Governance Theorty and Practice; A Cross Disciplinary Approach</b:Title>
    <b:Year>2008</b:Year>
    <b:City>London</b:City>
    <b:Publisher>Palgrave Macmillan UK</b:Publisher>
    <b:Author>
      <b:Author>
        <b:NameList>
          <b:Person>
            <b:Last>Chhotray</b:Last>
            <b:First>V</b:First>
          </b:Person>
          <b:Person>
            <b:Last>Stoker</b:Last>
            <b:First>G</b:First>
          </b:Person>
        </b:NameList>
      </b:Author>
    </b:Author>
    <b:RefOrder>4</b:RefOrder>
  </b:Source>
  <b:Source>
    <b:Tag>Bou16</b:Tag>
    <b:SourceType>Book</b:SourceType>
    <b:Guid>{00382D2A-12D8-4F1F-849B-F87FFFAF0075}</b:Guid>
    <b:Title>Public Management and Governance</b:Title>
    <b:Year>2016</b:Year>
    <b:City>London</b:City>
    <b:Publisher>Routledge</b:Publisher>
    <b:Edition>3rd</b:Edition>
    <b:Author>
      <b:Author>
        <b:NameList>
          <b:Person>
            <b:Last>Bouvaird</b:Last>
            <b:First>T</b:First>
          </b:Person>
          <b:Person>
            <b:Last>Loeffler</b:Last>
            <b:First>E</b:First>
          </b:Person>
        </b:NameList>
      </b:Author>
    </b:Author>
    <b:RefOrder>5</b:RefOrder>
  </b:Source>
  <b:Source>
    <b:Tag>Wei10</b:Tag>
    <b:SourceType>Book</b:SourceType>
    <b:Guid>{1A093CEA-9AE9-492C-9CBD-09757623DE21}</b:Guid>
    <b:Title>Global Governance and the UN: An Unfinished Journey</b:Title>
    <b:Year>2010</b:Year>
    <b:Author>
      <b:Author>
        <b:NameList>
          <b:Person>
            <b:Last>Weiss</b:Last>
            <b:Middle>G</b:Middle>
            <b:First>T</b:First>
          </b:Person>
          <b:Person>
            <b:Last>Thakur</b:Last>
            <b:First>R</b:First>
          </b:Person>
        </b:NameList>
      </b:Author>
    </b:Author>
    <b:City>Bloomington</b:City>
    <b:Publisher>Indiana University Press</b:Publisher>
    <b:RefOrder>7</b:RefOrder>
  </b:Source>
  <b:Source>
    <b:Tag>Bev03</b:Tag>
    <b:SourceType>Book</b:SourceType>
    <b:Guid>{95E7CD6C-8330-46D5-9646-8DCC0ECD657A}</b:Guid>
    <b:Title>Interpreting British Governance</b:Title>
    <b:Year>2003</b:Year>
    <b:City>London</b:City>
    <b:Publisher>Routledge</b:Publisher>
    <b:Edition>1st</b:Edition>
    <b:Author>
      <b:Author>
        <b:NameList>
          <b:Person>
            <b:Last>Bevir</b:Last>
            <b:First>M</b:First>
          </b:Person>
          <b:Person>
            <b:Last>Rhodes</b:Last>
            <b:First>R</b:First>
          </b:Person>
        </b:NameList>
      </b:Author>
    </b:Author>
    <b:RefOrder>8</b:RefOrder>
  </b:Source>
  <b:Source>
    <b:Tag>Jug19</b:Tag>
    <b:SourceType>JournalArticle</b:SourceType>
    <b:Guid>{506B8829-AFC4-404C-B3BE-D72A45B2EEEF}</b:Guid>
    <b:Title>Governance and Governmentality for Projects: Enablers, Practices and Consequences</b:Title>
    <b:Year>2019</b:Year>
    <b:JournalName>International Journal of Managing Projects in Business</b:JournalName>
    <b:Pages>228-234</b:Pages>
    <b:Volume>12</b:Volume>
    <b:Issue>1</b:Issue>
    <b:Author>
      <b:Author>
        <b:NameList>
          <b:Person>
            <b:Last>Jugdev</b:Last>
            <b:First>K</b:First>
          </b:Person>
        </b:NameList>
      </b:Author>
    </b:Author>
    <b:RefOrder>9</b:RefOrder>
  </b:Source>
  <b:Source>
    <b:Tag>Mul19</b:Tag>
    <b:SourceType>Book</b:SourceType>
    <b:Guid>{B3DDB43C-DAB6-4621-BFC4-1DA9BEE58C9B}</b:Guid>
    <b:Title>Organisational Behaviour in the Workplace</b:Title>
    <b:Year>2019</b:Year>
    <b:Author>
      <b:Author>
        <b:NameList>
          <b:Person>
            <b:Last>Mullins</b:Last>
            <b:Middle>J</b:Middle>
            <b:First>L</b:First>
          </b:Person>
          <b:Person>
            <b:Last>McLean</b:Last>
            <b:Middle>E</b:Middle>
            <b:First>J</b:First>
          </b:Person>
        </b:NameList>
      </b:Author>
    </b:Author>
    <b:City>Harlow, England</b:City>
    <b:Publisher>Pearson</b:Publisher>
    <b:Edition>12th</b:Edition>
    <b:RefOrder>10</b:RefOrder>
  </b:Source>
  <b:Source>
    <b:Tag>Alv13</b:Tag>
    <b:SourceType>Book</b:SourceType>
    <b:Guid>{823BDAA5-A9D3-4ACD-A35D-828D7485218B}</b:Guid>
    <b:Title>Understanding Organizational Culture</b:Title>
    <b:Year>2013</b:Year>
    <b:City>Los Angeles</b:City>
    <b:Publisher>Sage Publications</b:Publisher>
    <b:Edition>2nd</b:Edition>
    <b:Author>
      <b:Author>
        <b:NameList>
          <b:Person>
            <b:Last>Alvesson</b:Last>
            <b:First>M</b:First>
          </b:Person>
        </b:NameList>
      </b:Author>
    </b:Author>
    <b:RefOrder>12</b:RefOrder>
  </b:Source>
  <b:Source>
    <b:Tag>Yuk20</b:Tag>
    <b:SourceType>Book</b:SourceType>
    <b:Guid>{B35FCC98-D798-4D8F-AAE6-7E967516FF34}</b:Guid>
    <b:Title>Leadership in Organizations</b:Title>
    <b:Year>2020</b:Year>
    <b:City>Harlow, England</b:City>
    <b:Publisher>Pearson Education</b:Publisher>
    <b:Edition>9th</b:Edition>
    <b:Author>
      <b:Author>
        <b:NameList>
          <b:Person>
            <b:Last>Yuki</b:Last>
            <b:Middle>A</b:Middle>
            <b:First>G </b:First>
          </b:Person>
          <b:Person>
            <b:Last>Gardener</b:Last>
            <b:Middle>M</b:Middle>
            <b:First>W</b:First>
          </b:Person>
        </b:NameList>
      </b:Author>
    </b:Author>
    <b:RefOrder>13</b:RefOrder>
  </b:Source>
  <b:Source>
    <b:Tag>Sch17</b:Tag>
    <b:SourceType>Book</b:SourceType>
    <b:Guid>{1CCA0C26-C75C-496D-BBC6-78B9F42B0616}</b:Guid>
    <b:Title>Organizational Culture and Leadership</b:Title>
    <b:Year>2017</b:Year>
    <b:City>Hoboken, New Jersey</b:City>
    <b:Publisher>John Wiley &amp; Sons, Inc</b:Publisher>
    <b:Edition>5th</b:Edition>
    <b:Author>
      <b:Author>
        <b:NameList>
          <b:Person>
            <b:Last>Schein</b:Last>
            <b:First>P</b:First>
          </b:Person>
          <b:Person>
            <b:Last>Schein</b:Last>
            <b:Middle>H</b:Middle>
            <b:First>E</b:First>
          </b:Person>
        </b:NameList>
      </b:Author>
    </b:Author>
    <b:RefOrder>14</b:RefOrder>
  </b:Source>
  <b:Source>
    <b:Tag>Bea07</b:Tag>
    <b:SourceType>Book</b:SourceType>
    <b:Guid>{4BF9B8F1-2AA9-4D73-B292-B2497AD32B43}</b:Guid>
    <b:Title>Police and Government Relations: Who's Calling the Shots?</b:Title>
    <b:Year>2007</b:Year>
    <b:City>Toronto</b:City>
    <b:Publisher>University of Toronto Press</b:Publisher>
    <b:Edition>1st</b:Edition>
    <b:Author>
      <b:Author>
        <b:NameList>
          <b:Person>
            <b:Last>Beare</b:Last>
            <b:Middle>E</b:Middle>
            <b:First>M</b:First>
          </b:Person>
          <b:Person>
            <b:Last>Murray</b:Last>
            <b:First>T</b:First>
          </b:Person>
        </b:NameList>
      </b:Author>
    </b:Author>
    <b:RefOrder>15</b:RefOrder>
  </b:Source>
  <b:Source>
    <b:Tag>Def12</b:Tag>
    <b:SourceType>InternetSite</b:SourceType>
    <b:Guid>{0F6BC725-B30E-48E1-A627-7F1EB3D34C69}</b:Guid>
    <b:Title>Definition of Policing by Consent</b:Title>
    <b:Year>2012</b:Year>
    <b:YearAccessed>2022</b:YearAccessed>
    <b:MonthAccessed>December</b:MonthAccessed>
    <b:DayAccessed>15th</b:DayAccessed>
    <b:URL>https://www.gov.uk/government/publications/policing-by-consent/definition-of-policing-by-consent</b:URL>
    <b:Author>
      <b:Author>
        <b:NameList>
          <b:Person>
            <b:Last>Home Office</b:Last>
            <b:First>Government</b:First>
            <b:Middle>UK</b:Middle>
          </b:Person>
        </b:NameList>
      </b:Author>
    </b:Author>
    <b:RefOrder>16</b:RefOrder>
  </b:Source>
  <b:Source>
    <b:Tag>Lib10</b:Tag>
    <b:SourceType>InternetSite</b:SourceType>
    <b:Guid>{A55821E0-1B8B-424D-979C-B81EB5944838}</b:Guid>
    <b:Title>Policing: Police and Crime Commissioners - Home Affairs Committee:  </b:Title>
    <b:Year>2010</b:Year>
    <b:Author>
      <b:Author>
        <b:Corporate>Liberty</b:Corporate>
      </b:Author>
    </b:Author>
    <b:YearAccessed>2023</b:YearAccessed>
    <b:MonthAccessed>January</b:MonthAccessed>
    <b:DayAccessed>3rd</b:DayAccessed>
    <b:URL>https://publications.parliament.uk/pa/cm201011/cmselect/cmhaff/511/511uw02.htm</b:URL>
    <b:RefOrder>17</b:RefOrder>
  </b:Source>
  <b:Source>
    <b:Tag>Uni23</b:Tag>
    <b:SourceType>InternetSite</b:SourceType>
    <b:Guid>{2A037148-2704-41E4-8A32-1BFFCD1F3402}</b:Guid>
    <b:Author>
      <b:Author>
        <b:Corporate>University of Washington</b:Corporate>
      </b:Author>
    </b:Author>
    <b:Title>The Peelian Principles.  Sir Robert Peel – Metropolitan Police of London – 1829</b:Title>
    <b:Year>2023</b:Year>
    <b:YearAccessed>2023</b:YearAccessed>
    <b:MonthAccessed>January</b:MonthAccessed>
    <b:DayAccessed>1st</b:DayAccessed>
    <b:URL>http://police.uw.edu/faqs/the-peelian-principles/</b:URL>
    <b:RefOrder>18</b:RefOrder>
  </b:Source>
  <b:Source>
    <b:Tag>Bac16</b:Tag>
    <b:SourceType>Book</b:SourceType>
    <b:Guid>{DAD552CF-D092-460A-A422-4771C5E4FB33}</b:Guid>
    <b:Title>The Agenda Mover: When Your Good Idea Is Not Enough</b:Title>
    <b:Year>2016</b:Year>
    <b:City>New York</b:City>
    <b:Publisher>Cornell University Press, Cornell Publishing</b:Publisher>
    <b:Author>
      <b:Author>
        <b:NameList>
          <b:Person>
            <b:Last>Bacharach</b:Last>
            <b:Middle>B</b:Middle>
            <b:First>S</b:First>
          </b:Person>
        </b:NameList>
      </b:Author>
    </b:Author>
    <b:RefOrder>19</b:RefOrder>
  </b:Source>
  <b:Source>
    <b:Tag>DiL20</b:Tag>
    <b:SourceType>InternetSite</b:SourceType>
    <b:Guid>{BE9E7AF9-2752-4A6D-8978-D6417CE4EFA0}</b:Guid>
    <b:Title>When one size doesn’t fit all: How to make change personal</b:Title>
    <b:Year>2020</b:Year>
    <b:YearAccessed>2022</b:YearAccessed>
    <b:MonthAccessed>December</b:MonthAccessed>
    <b:DayAccessed>15</b:DayAccessed>
    <b:URL>https://www.mckinsey.com/capabilities/people-and-organizational-performance/our-insights/the-organization-blog/when-one-size-doesnt-fit-all-how-to-make-change-personal</b:URL>
    <b:Author>
      <b:Author>
        <b:NameList>
          <b:Person>
            <b:Last>DiLeonardo</b:Last>
            <b:First>A</b:First>
          </b:Person>
          <b:Person>
            <b:Last>Lauricella</b:Last>
            <b:First>T</b:First>
          </b:Person>
          <b:Person>
            <b:Last>Schaninger</b:Last>
            <b:First>B</b:First>
          </b:Person>
        </b:NameList>
      </b:Author>
    </b:Author>
    <b:RefOrder>20</b:RefOrder>
  </b:Source>
  <b:Source>
    <b:Tag>Wal19</b:Tag>
    <b:SourceType>Book</b:SourceType>
    <b:Guid>{E0109C68-CA52-4A1B-AB97-8CF31F3B1627}</b:Guid>
    <b:Title>Police Leadership and Administration:  a 21st Century Strategic Approach</b:Title>
    <b:Year>2019</b:Year>
    <b:Author>
      <b:Author>
        <b:NameList>
          <b:Person>
            <b:Last>Walsh</b:Last>
            <b:Middle>F</b:Middle>
            <b:First>W</b:First>
          </b:Person>
          <b:Person>
            <b:Last>Vito</b:Last>
            <b:Middle>F</b:Middle>
            <b:First>G</b:First>
          </b:Person>
        </b:NameList>
      </b:Author>
    </b:Author>
    <b:City>New York</b:City>
    <b:Publisher>Routledge</b:Publisher>
    <b:RefOrder>21</b:RefOrder>
  </b:Source>
  <b:Source>
    <b:Tag>Adl03</b:Tag>
    <b:SourceType>Book</b:SourceType>
    <b:Guid>{7BB0EBCD-EBF0-4ED3-8512-7ADD666D4CC3}</b:Guid>
    <b:Title>Police Leadership in the Twenty-First Century: Philosophy, Doctorine and Developments</b:Title>
    <b:Year>2003</b:Year>
    <b:Publisher>Waterside Press</b:Publisher>
    <b:Author>
      <b:Author>
        <b:NameList>
          <b:Person>
            <b:Last>Adlam</b:Last>
            <b:First>R</b:First>
          </b:Person>
          <b:Person>
            <b:Last>Villiers</b:Last>
            <b:First>P</b:First>
          </b:Person>
        </b:NameList>
      </b:Author>
    </b:Author>
    <b:City>Hook</b:City>
    <b:RefOrder>22</b:RefOrder>
  </b:Source>
  <b:Source>
    <b:Tag>Rei92</b:Tag>
    <b:SourceType>Book</b:SourceType>
    <b:Guid>{EBE99728-51CA-4708-84BF-7D0E15ADE3FB}</b:Guid>
    <b:Title>Politics of the Police</b:Title>
    <b:Year>1992</b:Year>
    <b:City>New York</b:City>
    <b:Publisher>Havester Wheatsheaf</b:Publisher>
    <b:Edition>2nd</b:Edition>
    <b:Author>
      <b:Author>
        <b:NameList>
          <b:Person>
            <b:Last>Reiner</b:Last>
            <b:First>R</b:First>
          </b:Person>
        </b:NameList>
      </b:Author>
    </b:Author>
    <b:RefOrder>24</b:RefOrder>
  </b:Source>
  <b:Source>
    <b:Tag>The22</b:Tag>
    <b:SourceType>InternetSite</b:SourceType>
    <b:Guid>{9D005145-3A3B-44C4-9A62-518098E610A0}</b:Guid>
    <b:Author>
      <b:Author>
        <b:Corporate>The National Archives</b:Corporate>
      </b:Author>
    </b:Author>
    <b:Title>The Police Act 1964</b:Title>
    <b:Year>2022</b:Year>
    <b:YearAccessed>2023</b:YearAccessed>
    <b:MonthAccessed>January</b:MonthAccessed>
    <b:DayAccessed>2nd</b:DayAccessed>
    <b:URL>https://www.legislation.gov.uk/ukpga/1964/48/contents</b:URL>
    <b:RefOrder>25</b:RefOrder>
  </b:Source>
  <b:Source>
    <b:Tag>Fro83</b:Tag>
    <b:SourceType>InternetSite</b:SourceType>
    <b:Guid>{0061E4DE-A3AF-4E94-A5A0-740A9D1498D3}</b:Guid>
    <b:Title>Role of the Police Authority - A Discussion of the Present Role of the Police Authority, Current Proposals for Change and Their Likely Implications for Both Police and Public</b:Title>
    <b:Year>1983</b:Year>
    <b:YearAccessed>2023</b:YearAccessed>
    <b:MonthAccessed>January</b:MonthAccessed>
    <b:DayAccessed>2nd</b:DayAccessed>
    <b:URL>https://www.ojp.gov/ncjrs/virtual-library/abstracts/role-police-authority-discussion-present-role-police-authority</b:URL>
    <b:Author>
      <b:Author>
        <b:NameList>
          <b:Person>
            <b:Last>Frost</b:Last>
            <b:Middle>B</b:Middle>
            <b:First>T</b:First>
          </b:Person>
        </b:NameList>
      </b:Author>
    </b:Author>
    <b:RefOrder>26</b:RefOrder>
  </b:Source>
  <b:Source>
    <b:Tag>Fle20</b:Tag>
    <b:SourceType>Book</b:SourceType>
    <b:Guid>{D78CCE84-685F-4DA3-8E4A-D221EE0B662B}</b:Guid>
    <b:Title>Police Leadership:  Rising to the Top</b:Title>
    <b:Year>2015</b:Year>
    <b:City>Oxford</b:City>
    <b:Publisher>Oxford University Press</b:Publisher>
    <b:Edition>1st</b:Edition>
    <b:Author>
      <b:Author>
        <b:NameList>
          <b:Person>
            <b:Last>Flemming</b:Last>
            <b:First>J</b:First>
          </b:Person>
        </b:NameList>
      </b:Author>
    </b:Author>
    <b:RefOrder>27</b:RefOrder>
  </b:Source>
  <b:Source>
    <b:Tag>Hou11</b:Tag>
    <b:SourceType>InternetSite</b:SourceType>
    <b:Guid>{884EFE2D-7846-40AA-B59C-169856000DE6}</b:Guid>
    <b:Title>Police Reform and Social Responsibility Act 2011.  Government Bill.</b:Title>
    <b:Year>2011</b:Year>
    <b:Author>
      <b:Author>
        <b:Corporate>House of Commons</b:Corporate>
      </b:Author>
    </b:Author>
    <b:YearAccessed>2023</b:YearAccessed>
    <b:MonthAccessed>January</b:MonthAccessed>
    <b:DayAccessed>2nd</b:DayAccessed>
    <b:URL>https://bills.parliament.uk/bills/754</b:URL>
    <b:RefOrder>28</b:RefOrder>
  </b:Source>
  <b:Source>
    <b:Tag>UKG11</b:Tag>
    <b:SourceType>InternetSite</b:SourceType>
    <b:Guid>{4AE970B6-FA30-48E5-A0C7-DF982F267589}</b:Guid>
    <b:Title>Police Reform and Social Responsibility Act 2011</b:Title>
    <b:Year>2011</b:Year>
    <b:Author>
      <b:Author>
        <b:NameList>
          <b:Person>
            <b:Last>Government</b:Last>
            <b:First>UK</b:First>
          </b:Person>
        </b:NameList>
      </b:Author>
    </b:Author>
    <b:YearAccessed>2022</b:YearAccessed>
    <b:MonthAccessed>December</b:MonthAccessed>
    <b:DayAccessed>16</b:DayAccessed>
    <b:URL>https://www.legislation.gov.uk/ukpga/2011/13/part/1/chapter/1/enacted</b:URL>
    <b:RefOrder>29</b:RefOrder>
  </b:Source>
  <b:Source>
    <b:Tag>Col22</b:Tag>
    <b:SourceType>InternetSite</b:SourceType>
    <b:Guid>{EF3C617C-1A0A-4155-BB98-65CE8971028B}</b:Guid>
    <b:Title>The Chief Constable</b:Title>
    <b:Year>2022</b:Year>
    <b:YearAccessed>2023</b:YearAccessed>
    <b:MonthAccessed>January </b:MonthAccessed>
    <b:DayAccessed>2nd</b:DayAccessed>
    <b:URL>https://profdev.college.police.uk/professional-profile/chief-constable/</b:URL>
    <b:Author>
      <b:Author>
        <b:Corporate>College of Policing</b:Corporate>
      </b:Author>
    </b:Author>
    <b:RefOrder>30</b:RefOrder>
  </b:Source>
  <b:Source>
    <b:Tag>Say22</b:Tag>
    <b:SourceType>InternetSite</b:SourceType>
    <b:Guid>{9C7912E4-7222-402C-842A-3A64437F6175}</b:Guid>
    <b:Title>What is Corporation Sole?</b:Title>
    <b:Year>2022</b:Year>
    <b:YearAccessed>2022</b:YearAccessed>
    <b:MonthAccessed>December</b:MonthAccessed>
    <b:DayAccessed>18th</b:DayAccessed>
    <b:URL>https://www.mylawquestions.com/what-is-a-corporation-sole.htm#:~:text=A%20corporation%20sole%20ensures%20the%20new%20office%20holder,rights%20and%20responsibilities%20as%20his%20or%20her%20predecessor.</b:URL>
    <b:Author>
      <b:Author>
        <b:NameList>
          <b:Person>
            <b:Last>Saylor</b:Last>
            <b:First>D</b:First>
          </b:Person>
        </b:NameList>
      </b:Author>
    </b:Author>
    <b:RefOrder>31</b:RefOrder>
  </b:Source>
  <b:Source>
    <b:Tag>Lle22</b:Tag>
    <b:SourceType>ConferenceProceedings</b:SourceType>
    <b:Guid>{460F065A-6CE9-4858-9C1C-1910F9587D50}</b:Guid>
    <b:Title>Policing Governance: Wales and the Future.  A Seminar delivered for MSc Policing students on 13th December 2022 by the Dyfed Powys Police and Crime Commissioner </b:Title>
    <b:Year>2022</b:Year>
    <b:City>Carmarthen</b:City>
    <b:Author>
      <b:Author>
        <b:NameList>
          <b:Person>
            <b:Last>Llewellyn</b:Last>
            <b:First>D</b:First>
          </b:Person>
        </b:NameList>
      </b:Author>
    </b:Author>
    <b:RefOrder>32</b:RefOrder>
  </b:Source>
  <b:Source>
    <b:Tag>Cal16</b:Tag>
    <b:SourceType>Book</b:SourceType>
    <b:Guid>{7DDDB48F-5ABB-4FF3-ADF2-A3324AAE2419}</b:Guid>
    <b:Title>Police and Crime Commissioners: The transformation of police accountability</b:Title>
    <b:Year>2016</b:Year>
    <b:City>Bristol</b:City>
    <b:Publisher>Bristol University Press</b:Publisher>
    <b:Edition>1st</b:Edition>
    <b:Author>
      <b:Author>
        <b:NameList>
          <b:Person>
            <b:Last>Caless</b:Last>
            <b:First>B</b:First>
          </b:Person>
          <b:Person>
            <b:Last>Owens</b:Last>
            <b:First>J</b:First>
          </b:Person>
        </b:NameList>
      </b:Author>
    </b:Author>
    <b:RefOrder>33</b:RefOrder>
  </b:Source>
  <b:Source>
    <b:Tag>Wal11</b:Tag>
    <b:SourceType>JournalArticle</b:SourceType>
    <b:Guid>{BC454AF8-3DD1-46E6-9B35-DCF17113FA45}</b:Guid>
    <b:Title>Police governance and accountability: overview of current issues</b:Title>
    <b:JournalName>Crime, Law and Social Change</b:JournalName>
    <b:Year>2011</b:Year>
    <b:Pages>61-86</b:Pages>
    <b:Volume>55</b:Volume>
    <b:Issue>2-3</b:Issue>
    <b:Author>
      <b:Author>
        <b:NameList>
          <b:Person>
            <b:Last>Walsh</b:Last>
            <b:Middle>P</b:Middle>
            <b:First>D</b:First>
          </b:Person>
          <b:Person>
            <b:Last>Conway</b:Last>
            <b:First>V</b:First>
          </b:Person>
        </b:NameList>
      </b:Author>
    </b:Author>
    <b:RefOrder>34</b:RefOrder>
  </b:Source>
  <b:Source>
    <b:Tag>Rai12</b:Tag>
    <b:SourceType>JournalArticle</b:SourceType>
    <b:Guid>{B4C24CAD-E38B-4DDB-8504-B3FDBBC44B9C}</b:Guid>
    <b:Title>International Journey of Emergency Services</b:Title>
    <b:Year>2012</b:Year>
    <b:JournalName>From Police Authorities to Police and Crime Commissioners</b:JournalName>
    <b:Pages>122-134</b:Pages>
    <b:Volume>1</b:Volume>
    <b:Issue>2</b:Issue>
    <b:Author>
      <b:Author>
        <b:NameList>
          <b:Person>
            <b:Last>Raine</b:Last>
            <b:Middle>W</b:Middle>
            <b:First>J</b:First>
          </b:Person>
          <b:Person>
            <b:Last>Keasey</b:Last>
            <b:First>P</b:First>
          </b:Person>
        </b:NameList>
      </b:Author>
    </b:Author>
    <b:RefOrder>35</b:RefOrder>
  </b:Source>
  <b:Source>
    <b:Tag>Joy11</b:Tag>
    <b:SourceType>JournalArticle</b:SourceType>
    <b:Guid>{DE1FEFC9-F13E-49BE-86F1-F15473E99617}</b:Guid>
    <b:Title>Police reform: from police authorities to police and crime commissioners</b:Title>
    <b:JournalName>Safer Communities</b:JournalName>
    <b:Year>2011</b:Year>
    <b:Pages>5-13</b:Pages>
    <b:Volume>10</b:Volume>
    <b:Issue>4</b:Issue>
    <b:Author>
      <b:Author>
        <b:NameList>
          <b:Person>
            <b:Last>Joyce</b:Last>
            <b:First>P</b:First>
          </b:Person>
        </b:NameList>
      </b:Author>
    </b:Author>
    <b:RefOrder>36</b:RefOrder>
  </b:Source>
  <b:Source>
    <b:Tag>Bai15</b:Tag>
    <b:SourceType>JournalArticle</b:SourceType>
    <b:Guid>{C7374263-5C93-495F-B767-49552CE50F7D}</b:Guid>
    <b:Title>Policing the Police and Crime Commissioners (PCCs): An Examination of the Current Statutory and Political Frameworks for Holding PCCs to Account—A Case Study of the Surrey Police and Crime Panel </b:Title>
    <b:Year>2015</b:Year>
    <b:JournalName>A Journal of Policy and Practice</b:JournalName>
    <b:Pages>305-313</b:Pages>
    <b:Volume>9</b:Volume>
    <b:Issue>4</b:Issue>
    <b:Author>
      <b:Author>
        <b:NameList>
          <b:Person>
            <b:Last>Bailey</b:Last>
            <b:First>R</b:First>
          </b:Person>
        </b:NameList>
      </b:Author>
    </b:Author>
    <b:RefOrder>37</b:RefOrder>
  </b:Source>
  <b:Source>
    <b:Tag>Lis14</b:Tag>
    <b:SourceType>JournalArticle</b:SourceType>
    <b:Guid>{5E734AA1-35B0-4456-9C11-4F4406ABE74E}</b:Guid>
    <b:Title>Safer Communities</b:Title>
    <b:JournalName>Scrutinising the role of the Police and Crime Panel in the new era of police governance in England and Wales</b:JournalName>
    <b:Year>2014</b:Year>
    <b:Pages>22-31</b:Pages>
    <b:Volume>13</b:Volume>
    <b:Issue>1</b:Issue>
    <b:Author>
      <b:Author>
        <b:NameList>
          <b:Person>
            <b:Last>Lister</b:Last>
            <b:First>S</b:First>
          </b:Person>
        </b:NameList>
      </b:Author>
    </b:Author>
    <b:RefOrder>38</b:RefOrder>
  </b:Source>
  <b:Source>
    <b:Tag>Ass22</b:Tag>
    <b:SourceType>InternetSite</b:SourceType>
    <b:Guid>{61CBA832-BB13-474E-BB2B-D5ECD7FC324F}</b:Guid>
    <b:Author>
      <b:Author>
        <b:Corporate>APCC</b:Corporate>
      </b:Author>
    </b:Author>
    <b:Title>ROLE OF THE PCC</b:Title>
    <b:Year>2022</b:Year>
    <b:YearAccessed>2023</b:YearAccessed>
    <b:MonthAccessed>January</b:MonthAccessed>
    <b:DayAccessed>4th</b:DayAccessed>
    <b:URL>https://apccs.police.uk/role-of-the-pcc/</b:URL>
    <b:RefOrder>39</b:RefOrder>
  </b:Source>
  <b:Source>
    <b:Tag>Jon22</b:Tag>
    <b:SourceType>JournalArticle</b:SourceType>
    <b:Guid>{4052DFA1-FDC0-44E3-A859-EE96E46797BD}</b:Guid>
    <b:Title>Policing and devolution in the UK: The ‘special’ case of Wales</b:Title>
    <b:Year>2022</b:Year>
    <b:JournalName>Policing: A Journal of Policy and Practice</b:JournalName>
    <b:Pages>paac063</b:Pages>
    <b:Author>
      <b:Author>
        <b:NameList>
          <b:Person>
            <b:Last>Jones </b:Last>
            <b:First>R</b:First>
          </b:Person>
          <b:Person>
            <b:Last>Harrison</b:Last>
            <b:First>M</b:First>
          </b:Person>
          <b:Person>
            <b:Last>Jones</b:Last>
            <b:First>T</b:First>
          </b:Person>
        </b:NameList>
      </b:Author>
    </b:Author>
    <b:RefOrder>43</b:RefOrder>
  </b:Source>
  <b:Source>
    <b:Tag>Dav16</b:Tag>
    <b:SourceType>JournalArticle</b:SourceType>
    <b:Guid>{C3D36E2D-5A30-477A-8FE6-0EB8E287BE2F}</b:Guid>
    <b:Title>Navigating the One-on-One Model of Accountability: Lessons for Police and Crime Commissioners and Chief Constables through the Lens of Principal–Agent Theory</b:Title>
    <b:Year>2016</b:Year>
    <b:Author>
      <b:Author>
        <b:NameList>
          <b:Person>
            <b:Last>Davies</b:Last>
            <b:First>M</b:First>
          </b:Person>
          <b:Person>
            <b:Last>Johnson</b:Last>
            <b:First>J</b:First>
          </b:Person>
        </b:NameList>
      </b:Author>
    </b:Author>
    <b:JournalName>Policing: A Journal of Policy and Practice</b:JournalName>
    <b:Pages>278-287</b:Pages>
    <b:Volume>10</b:Volume>
    <b:Issue>3</b:Issue>
    <b:RefOrder>44</b:RefOrder>
  </b:Source>
  <b:Source>
    <b:Tag>Con17</b:Tag>
    <b:SourceType>ElectronicSource</b:SourceType>
    <b:Guid>{042D467F-42DB-4D59-8F89-DF95C1B7EA8C}</b:Guid>
    <b:Title>Former chief constable's Hillsborough sacking was 'unlawful and irrational'</b:Title>
    <b:Year>2017</b:Year>
    <b:City>London</b:City>
    <b:Publisher>The Guardian</b:Publisher>
    <b:Author>
      <b:Author>
        <b:NameList>
          <b:Person>
            <b:Last>Conn</b:Last>
            <b:First>D</b:First>
          </b:Person>
        </b:NameList>
      </b:Author>
    </b:Author>
    <b:RefOrder>46</b:RefOrder>
  </b:Source>
  <b:Source>
    <b:Tag>Cab22</b:Tag>
    <b:SourceType>InternetSite</b:SourceType>
    <b:Guid>{FF220D32-BA39-465B-85E4-3CC644B4A52C}</b:Guid>
    <b:Title>List of Cabinet Committees and their membership</b:Title>
    <b:Year>2022</b:Year>
    <b:Author>
      <b:Author>
        <b:Corporate>Cabinet Office</b:Corporate>
      </b:Author>
    </b:Author>
    <b:YearAccessed>2023</b:YearAccessed>
    <b:MonthAccessed>January</b:MonthAccessed>
    <b:DayAccessed>4th</b:DayAccessed>
    <b:URL>https://committees.parliament.uk/committee/83/home-affairs-committee/</b:URL>
    <b:RefOrder>47</b:RefOrder>
  </b:Source>
  <b:Source>
    <b:Tag>Hom13</b:Tag>
    <b:SourceType>InternetSite</b:SourceType>
    <b:Guid>{ECC16A47-5015-4715-AF7A-51EC1561515C}</b:Guid>
    <b:Author>
      <b:Author>
        <b:Corporate>Home Affairs Committee</b:Corporate>
      </b:Author>
    </b:Author>
    <b:Title>Written evidence submitted by Carmel Napier QPM, Former Chief Constable of Gwent Police (PCC 16)</b:Title>
    <b:Year>2013</b:Year>
    <b:YearAccessed>2023</b:YearAccessed>
    <b:MonthAccessed>January</b:MonthAccessed>
    <b:DayAccessed>4th</b:DayAccessed>
    <b:URL>https://publications.parliament.uk/pa/cm201314/cmselect/cmhaff/487/487we04.htm</b:URL>
    <b:RefOrder>48</b:RefOrder>
  </b:Source>
  <b:Source>
    <b:Tag>BBC13</b:Tag>
    <b:SourceType>InternetSite</b:SourceType>
    <b:Guid>{43693826-E6DB-4126-B261-5DAB9C99B60E}</b:Guid>
    <b:Author>
      <b:Author>
        <b:Corporate>BBC</b:Corporate>
      </b:Author>
    </b:Author>
    <b:Title>Carmel Napier 'bullied' into retiring as Gwent Police chief</b:Title>
    <b:Year>2013</b:Year>
    <b:YearAccessed>2023</b:YearAccessed>
    <b:MonthAccessed>January</b:MonthAccessed>
    <b:DayAccessed>4th</b:DayAccessed>
    <b:URL>https://www.bbc.co.uk/news/uk-wales-south-east-wales-23136222</b:URL>
    <b:RefOrder>49</b:RefOrder>
  </b:Source>
  <b:Source>
    <b:Tag>Hom131</b:Tag>
    <b:SourceType>InternetSite</b:SourceType>
    <b:Guid>{819AFCED-ADED-443D-A643-EB580ACC0EC5}</b:Guid>
    <b:Title>Police and Crime Commissioners: power to remove Chief Constables</b:Title>
    <b:Year>2013</b:Year>
    <b:Author>
      <b:Author>
        <b:Corporate>Home Office</b:Corporate>
      </b:Author>
    </b:Author>
    <b:YearAccessed>2023</b:YearAccessed>
    <b:MonthAccessed>January</b:MonthAccessed>
    <b:DayAccessed>4th</b:DayAccessed>
    <b:URL>https://publications.parliament.uk/pa/cm201314/cmselect/cmhaff/487/48703.htm#:~:text=The%20procedures%20for%20a%20police%20and%20crime%20commissioner,crime%20panel%20that%20he%20has%20done%20so.%203.</b:URL>
    <b:RefOrder>50</b:RefOrder>
  </b:Source>
  <b:Source>
    <b:Tag>Mor23</b:Tag>
    <b:SourceType>InternetSite</b:SourceType>
    <b:Guid>{3BDB566C-76C9-4218-AE2C-F594407E3EB6}</b:Guid>
    <b:Title>Nick Gargan resigns as Avon and Somerset chief constable</b:Title>
    <b:Year>2023</b:Year>
    <b:YearAccessed>2023</b:YearAccessed>
    <b:MonthAccessed>January</b:MonthAccessed>
    <b:DayAccessed>4th</b:DayAccessed>
    <b:URL>https://www.theguardian.com/uk-news/2015/oct/16/nick-gargan-resigns-as-avon-and-somerset-chief-constable</b:URL>
    <b:Author>
      <b:Author>
        <b:NameList>
          <b:Person>
            <b:Last>Morris</b:Last>
            <b:First>S</b:First>
          </b:Person>
        </b:NameList>
      </b:Author>
    </b:Author>
    <b:RefOrder>51</b:RefOrder>
  </b:Source>
  <b:Source>
    <b:Tag>Col17</b:Tag>
    <b:SourceType>InternetSite</b:SourceType>
    <b:Guid>{67CC3514-1E5E-4C2E-9C5C-CE06B0C9BC24}</b:Guid>
    <b:Author>
      <b:Author>
        <b:Corporate>College of Policing</b:Corporate>
      </b:Author>
    </b:Author>
    <b:Title>Complaints and misconduct</b:Title>
    <b:Year>2017</b:Year>
    <b:YearAccessed>2023</b:YearAccessed>
    <b:MonthAccessed>January</b:MonthAccessed>
    <b:DayAccessed>3rd</b:DayAccessed>
    <b:URL>https://www.college.police.uk/app/professional-standards/complaints-and-misconduct</b:URL>
    <b:RefOrder>52</b:RefOrder>
  </b:Source>
  <b:Source>
    <b:Tag>Sav13</b:Tag>
    <b:SourceType>JournalArticle</b:SourceType>
    <b:Guid>{4FC7C3A7-EB9D-4A10-9C77-DAB7298BD01D}</b:Guid>
    <b:Title>The British Journal of Criminology</b:Title>
    <b:JournalName>Thinking Independence: Calling the Police to Account through the Independent Investigation of Police Complaints</b:JournalName>
    <b:Year>2013</b:Year>
    <b:Pages>94-112</b:Pages>
    <b:Volume>53</b:Volume>
    <b:Issue>1</b:Issue>
    <b:Author>
      <b:Author>
        <b:NameList>
          <b:Person>
            <b:Last>Savage</b:Last>
            <b:Middle>P</b:Middle>
            <b:First>S</b:First>
          </b:Person>
        </b:NameList>
      </b:Author>
    </b:Author>
    <b:RefOrder>53</b:RefOrder>
  </b:Source>
  <b:Source>
    <b:Tag>Mar14</b:Tag>
    <b:SourceType>Book</b:SourceType>
    <b:Guid>{F3BB6C57-2491-450A-95E3-B306973A3769}</b:Guid>
    <b:Title>“Dimensions of Governance.” Governance, Commissioning and Public Health</b:Title>
    <b:Year>2014</b:Year>
    <b:City>Bristol</b:City>
    <b:Publisher>Bristol University Press</b:Publisher>
    <b:Edition>1st</b:Edition>
    <b:Author>
      <b:Author>
        <b:NameList>
          <b:Person>
            <b:Last>Marks</b:Last>
            <b:First>L</b:First>
          </b:Person>
        </b:NameList>
      </b:Author>
    </b:Author>
    <b:RefOrder>6</b:RefOrder>
  </b:Source>
  <b:Source>
    <b:Tag>Atk90</b:Tag>
    <b:SourceType>JournalArticle</b:SourceType>
    <b:Guid>{FABBF852-7DE7-4763-A395-8921E3667E29}</b:Guid>
    <b:Title>'Creating Cultural Change'</b:Title>
    <b:JournalName>Management Services</b:JournalName>
    <b:Year>1990</b:Year>
    <b:Pages>6-10</b:Pages>
    <b:Volume>34</b:Volume>
    <b:Issue>7</b:Issue>
    <b:Author>
      <b:Author>
        <b:NameList>
          <b:Person>
            <b:Last>Atkinson</b:Last>
            <b:Middle>E</b:Middle>
            <b:First>P</b:First>
          </b:Person>
        </b:NameList>
      </b:Author>
    </b:Author>
    <b:RefOrder>11</b:RefOrder>
  </b:Source>
  <b:Source>
    <b:Tag>The21</b:Tag>
    <b:SourceType>ElectronicSource</b:SourceType>
    <b:Guid>{BF5423A8-5C0C-4B7A-BCD9-617A9E7A3816}</b:Guid>
    <b:Title>What Sarah Everard’s murder means for the Metropolitan Police: In the spotlight</b:Title>
    <b:Year>2021</b:Year>
    <b:Author>
      <b:Author>
        <b:Corporate>The Economist (online)</b:Corporate>
      </b:Author>
    </b:Author>
    <b:Publisher>The Economist</b:Publisher>
    <b:City>London</b:City>
    <b:RefOrder>23</b:RefOrder>
  </b:Source>
  <b:Source>
    <b:Tag>Bel22</b:Tag>
    <b:SourceType>InternetSite</b:SourceType>
    <b:Guid>{F08C2818-059A-413E-8682-8BEC123381CA}</b:Guid>
    <b:Title>Dame Cressida Dick: Crises and controversies of Met chief</b:Title>
    <b:Year>2022</b:Year>
    <b:YearAccessed>2023</b:YearAccessed>
    <b:MonthAccessed>January</b:MonthAccessed>
    <b:DayAccessed>4th</b:DayAccessed>
    <b:URL>https://www.bbc.co.uk/news/uk-england-london-58514848</b:URL>
    <b:Author>
      <b:Author>
        <b:NameList>
          <b:Person>
            <b:Last>Bell</b:Last>
            <b:First>B</b:First>
          </b:Person>
        </b:NameList>
      </b:Author>
    </b:Author>
    <b:RefOrder>54</b:RefOrder>
  </b:Source>
  <b:Source>
    <b:Tag>The19</b:Tag>
    <b:SourceType>InternetSite</b:SourceType>
    <b:Guid>{1D598976-D192-4034-9D20-1DEEA2ED6BE1}</b:Guid>
    <b:Author>
      <b:Author>
        <b:Corporate>The Electoral Commission</b:Corporate>
      </b:Author>
    </b:Author>
    <b:Title>Report: How the 2012 Police and Crime Commissioner elections were run</b:Title>
    <b:Year>2019</b:Year>
    <b:YearAccessed>2023</b:YearAccessed>
    <b:MonthAccessed>January</b:MonthAccessed>
    <b:DayAccessed>5th</b:DayAccessed>
    <b:URL>https://www.electoralcommission.org.uk/who-we-are-and-what-we-do/elections-and-referendums/past-elections-and-referendums/police-and-crime-commissioner-elections/report-how-2012-police-and-crime-commissioner-elections-were-run</b:URL>
    <b:RefOrder>40</b:RefOrder>
  </b:Source>
  <b:Source>
    <b:Tag>Wat98</b:Tag>
    <b:SourceType>JournalArticle</b:SourceType>
    <b:Guid>{94E7F424-2459-4C3B-8FC3-BD95DE437EA3}</b:Guid>
    <b:Title>Principal-Agent Models: An Expansion?</b:Title>
    <b:Year>1998</b:Year>
    <b:JournalName>Journal of public administration research and theory</b:JournalName>
    <b:Pages>173-202</b:Pages>
    <b:Author>
      <b:Author>
        <b:NameList>
          <b:Person>
            <b:Last>Waterman</b:Last>
            <b:Middle>W</b:Middle>
            <b:First>R</b:First>
          </b:Person>
          <b:Person>
            <b:Last>Meier</b:Last>
            <b:Middle>J</b:Middle>
            <b:First>K</b:First>
          </b:Person>
        </b:NameList>
      </b:Author>
    </b:Author>
    <b:Volume>8</b:Volume>
    <b:Issue>2</b:Issue>
    <b:RefOrder>45</b:RefOrder>
  </b:Source>
  <b:Source>
    <b:Tag>Joy17</b:Tag>
    <b:SourceType>JournalArticle</b:SourceType>
    <b:Guid>{38B03B7A-74EF-47D6-9725-611888F73B21}</b:Guid>
    <b:Title>The 2016 Police and Crime Commissioner elections</b:Title>
    <b:JournalName>Safer Communities</b:JournalName>
    <b:Year>2017</b:Year>
    <b:Pages>41-54</b:Pages>
    <b:Volume>16</b:Volume>
    <b:Issue>2</b:Issue>
    <b:Author>
      <b:Author>
        <b:NameList>
          <b:Person>
            <b:Last>Joyce</b:Last>
            <b:First>P</b:First>
          </b:Person>
        </b:NameList>
      </b:Author>
    </b:Author>
    <b:RefOrder>41</b:RefOrder>
  </b:Source>
  <b:Source>
    <b:Tag>BBC16</b:Tag>
    <b:SourceType>InternetSite</b:SourceType>
    <b:Guid>{94C453E5-D6F2-4925-B039-12BA0D49E318}</b:Guid>
    <b:Title>Q&amp;A: Police and crime commissioners</b:Title>
    <b:Year>2016</b:Year>
    <b:Author>
      <b:Author>
        <b:Corporate>BBC News</b:Corporate>
      </b:Author>
    </b:Author>
    <b:YearAccessed>2023</b:YearAccessed>
    <b:MonthAccessed>January</b:MonthAccessed>
    <b:DayAccessed>5th</b:DayAccessed>
    <b:URL>https://www.bbc.co.uk/news/uk-politics-19504639</b:URL>
    <b:RefOrder>42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C70111-1059-4D98-97C2-80408568A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27</Pages>
  <Words>6934</Words>
  <Characters>39530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in Policing</dc:title>
  <dc:subject>The Governance Challenges of 21st Century Policing</dc:subject>
  <dc:creator>Samantha Gregory</dc:creator>
  <cp:keywords/>
  <dc:description/>
  <cp:lastModifiedBy>Sam Gregory</cp:lastModifiedBy>
  <cp:revision>151</cp:revision>
  <dcterms:created xsi:type="dcterms:W3CDTF">2023-01-07T16:23:00Z</dcterms:created>
  <dcterms:modified xsi:type="dcterms:W3CDTF">2023-01-09T19:30:00Z</dcterms:modified>
</cp:coreProperties>
</file>