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356AD4" w14:textId="77777777" w:rsidR="001F1B72" w:rsidRDefault="001F1B72"/>
    <w:p w14:paraId="61DF6989" w14:textId="77777777" w:rsidR="002977C7" w:rsidRDefault="002977C7"/>
    <w:p w14:paraId="0A6522AD" w14:textId="77777777" w:rsidR="002977C7" w:rsidRDefault="002977C7"/>
    <w:p w14:paraId="3BEE10C1" w14:textId="77777777" w:rsidR="00CB2BA4" w:rsidRPr="001A346D" w:rsidRDefault="00CB2BA4" w:rsidP="00CB2BA4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1A346D">
        <w:rPr>
          <w:rFonts w:ascii="Arial" w:hAnsi="Arial" w:cs="Arial"/>
          <w:b/>
          <w:bCs/>
          <w:sz w:val="36"/>
          <w:szCs w:val="36"/>
        </w:rPr>
        <w:t>Student: Azra Bi</w:t>
      </w:r>
    </w:p>
    <w:p w14:paraId="370590A2" w14:textId="77777777" w:rsidR="00CB2BA4" w:rsidRPr="001A346D" w:rsidRDefault="00CB2BA4" w:rsidP="00CB2BA4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6B8A6C7E" w14:textId="77777777" w:rsidR="00CB2BA4" w:rsidRPr="001A346D" w:rsidRDefault="00CB2BA4" w:rsidP="00CB2BA4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1A346D">
        <w:rPr>
          <w:rFonts w:ascii="Arial" w:hAnsi="Arial" w:cs="Arial"/>
          <w:b/>
          <w:bCs/>
          <w:sz w:val="36"/>
          <w:szCs w:val="36"/>
        </w:rPr>
        <w:t>Student ID: 2312900</w:t>
      </w:r>
    </w:p>
    <w:p w14:paraId="38710F37" w14:textId="3E1375F9" w:rsidR="00CB2BA4" w:rsidRPr="00CB2BA4" w:rsidRDefault="00CB2BA4" w:rsidP="00CB2BA4">
      <w:pPr>
        <w:spacing w:line="360" w:lineRule="auto"/>
        <w:jc w:val="center"/>
        <w:rPr>
          <w:rFonts w:ascii="Arial" w:hAnsi="Arial" w:cs="Arial"/>
          <w:b/>
          <w:bCs/>
          <w:color w:val="242130"/>
          <w:sz w:val="36"/>
          <w:szCs w:val="36"/>
          <w:shd w:val="clear" w:color="auto" w:fill="FFFFFF"/>
        </w:rPr>
      </w:pPr>
      <w:r w:rsidRPr="00CB2BA4">
        <w:rPr>
          <w:rFonts w:ascii="Arial" w:hAnsi="Arial" w:cs="Arial"/>
          <w:b/>
          <w:bCs/>
          <w:sz w:val="36"/>
          <w:szCs w:val="36"/>
        </w:rPr>
        <w:t>Lecturer</w:t>
      </w:r>
      <w:r w:rsidRPr="00CB2BA4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: </w:t>
      </w:r>
      <w:r w:rsidRPr="00CB2BA4">
        <w:rPr>
          <w:rFonts w:ascii="Arial" w:eastAsia="Arial" w:hAnsi="Arial" w:cs="Arial"/>
          <w:b/>
          <w:bCs/>
          <w:color w:val="000000" w:themeColor="text1"/>
          <w:sz w:val="36"/>
          <w:szCs w:val="36"/>
        </w:rPr>
        <w:t>Parese Ahmed</w:t>
      </w:r>
    </w:p>
    <w:p w14:paraId="29D8640D" w14:textId="6D83110D" w:rsidR="00CB2BA4" w:rsidRDefault="00CB2BA4" w:rsidP="00CB2BA4">
      <w:pPr>
        <w:spacing w:before="120" w:after="120"/>
        <w:jc w:val="center"/>
        <w:rPr>
          <w:rFonts w:ascii="Arial" w:hAnsi="Arial" w:cs="Arial"/>
          <w:b/>
        </w:rPr>
      </w:pPr>
      <w:r w:rsidRPr="001A346D">
        <w:rPr>
          <w:rFonts w:ascii="Arial" w:hAnsi="Arial" w:cs="Arial"/>
          <w:b/>
          <w:bCs/>
          <w:sz w:val="36"/>
          <w:szCs w:val="36"/>
        </w:rPr>
        <w:t>Mod</w:t>
      </w:r>
      <w:r w:rsidRPr="00CB2BA4">
        <w:rPr>
          <w:rFonts w:ascii="Arial" w:hAnsi="Arial" w:cs="Arial"/>
          <w:b/>
          <w:bCs/>
          <w:sz w:val="36"/>
          <w:szCs w:val="36"/>
        </w:rPr>
        <w:t>ule: Health, Wellbeing and Sustainable Development</w:t>
      </w:r>
    </w:p>
    <w:p w14:paraId="0D22EB72" w14:textId="25B5319D" w:rsidR="00CB2BA4" w:rsidRDefault="00CB2BA4" w:rsidP="00CB2BA4">
      <w:pPr>
        <w:spacing w:before="120" w:after="120"/>
        <w:jc w:val="center"/>
        <w:rPr>
          <w:rFonts w:ascii="Arial" w:hAnsi="Arial" w:cs="Arial"/>
          <w:b/>
        </w:rPr>
      </w:pPr>
    </w:p>
    <w:p w14:paraId="0FAF3D53" w14:textId="6DA383F6" w:rsidR="00CB2BA4" w:rsidRPr="00215D76" w:rsidRDefault="00CB2BA4" w:rsidP="00CB2BA4">
      <w:pPr>
        <w:spacing w:before="120" w:after="120"/>
        <w:jc w:val="center"/>
        <w:rPr>
          <w:rFonts w:ascii="Arial" w:hAnsi="Arial" w:cs="Arial"/>
          <w:b/>
          <w:sz w:val="36"/>
          <w:szCs w:val="36"/>
        </w:rPr>
      </w:pPr>
      <w:r>
        <w:rPr>
          <w:rFonts w:ascii="Arial" w:hAnsi="Arial" w:cs="Arial"/>
          <w:b/>
        </w:rPr>
        <w:t xml:space="preserve"> </w:t>
      </w:r>
      <w:r w:rsidRPr="001A346D">
        <w:rPr>
          <w:rFonts w:ascii="Arial" w:hAnsi="Arial" w:cs="Arial"/>
          <w:b/>
          <w:bCs/>
          <w:sz w:val="36"/>
          <w:szCs w:val="36"/>
        </w:rPr>
        <w:t xml:space="preserve">Module </w:t>
      </w:r>
      <w:r w:rsidRPr="00861355">
        <w:rPr>
          <w:rFonts w:ascii="Arial" w:hAnsi="Arial" w:cs="Arial"/>
          <w:b/>
          <w:bCs/>
          <w:sz w:val="36"/>
          <w:szCs w:val="36"/>
        </w:rPr>
        <w:t>code</w:t>
      </w:r>
      <w:r w:rsidRPr="00215D76">
        <w:rPr>
          <w:rFonts w:ascii="Arial" w:hAnsi="Arial" w:cs="Arial"/>
          <w:b/>
          <w:bCs/>
          <w:sz w:val="36"/>
          <w:szCs w:val="36"/>
        </w:rPr>
        <w:t xml:space="preserve">: </w:t>
      </w:r>
      <w:r w:rsidRPr="00CB2BA4">
        <w:rPr>
          <w:rFonts w:ascii="Arial" w:hAnsi="Arial" w:cs="Arial"/>
          <w:b/>
          <w:sz w:val="36"/>
          <w:szCs w:val="36"/>
        </w:rPr>
        <w:t>BMHP6030</w:t>
      </w:r>
    </w:p>
    <w:p w14:paraId="50D04283" w14:textId="77777777" w:rsidR="00CB2BA4" w:rsidRPr="001A346D" w:rsidRDefault="00CB2BA4" w:rsidP="00CB2BA4">
      <w:pPr>
        <w:spacing w:line="360" w:lineRule="auto"/>
        <w:jc w:val="center"/>
        <w:rPr>
          <w:rFonts w:ascii="Arial" w:hAnsi="Arial" w:cs="Arial"/>
          <w:b/>
          <w:sz w:val="36"/>
          <w:szCs w:val="36"/>
        </w:rPr>
      </w:pPr>
    </w:p>
    <w:p w14:paraId="3BF0BD0C" w14:textId="09152814" w:rsidR="00CB2BA4" w:rsidRPr="00CB2BA4" w:rsidRDefault="00CB2BA4" w:rsidP="00CB2BA4">
      <w:pPr>
        <w:spacing w:line="256" w:lineRule="auto"/>
        <w:rPr>
          <w:rFonts w:ascii="Arial" w:hAnsi="Arial" w:cs="Arial"/>
          <w:b/>
          <w:bCs/>
          <w:sz w:val="36"/>
          <w:szCs w:val="36"/>
        </w:rPr>
      </w:pPr>
      <w:r w:rsidRPr="001A346D">
        <w:rPr>
          <w:rFonts w:ascii="Arial" w:hAnsi="Arial" w:cs="Arial"/>
          <w:b/>
          <w:bCs/>
          <w:sz w:val="36"/>
          <w:szCs w:val="36"/>
        </w:rPr>
        <w:t xml:space="preserve">Assignment </w:t>
      </w:r>
      <w:r w:rsidRPr="00CB2BA4">
        <w:rPr>
          <w:rFonts w:ascii="Arial" w:hAnsi="Arial" w:cs="Arial"/>
          <w:b/>
          <w:bCs/>
          <w:sz w:val="36"/>
          <w:szCs w:val="36"/>
        </w:rPr>
        <w:t>title:</w:t>
      </w:r>
      <w:r w:rsidRPr="00CB2BA4">
        <w:rPr>
          <w:rFonts w:ascii="Arial" w:hAnsi="Arial" w:cs="Arial"/>
          <w:b/>
          <w:sz w:val="36"/>
          <w:szCs w:val="36"/>
        </w:rPr>
        <w:t xml:space="preserve"> </w:t>
      </w:r>
      <w:r w:rsidRPr="00CB2BA4">
        <w:rPr>
          <w:rFonts w:ascii="Arial" w:hAnsi="Arial" w:cs="Arial"/>
          <w:b/>
          <w:bCs/>
          <w:sz w:val="36"/>
          <w:szCs w:val="36"/>
        </w:rPr>
        <w:t>Component 2: Written Assignment (Report)</w:t>
      </w:r>
    </w:p>
    <w:p w14:paraId="64F018FF" w14:textId="77777777" w:rsidR="002977C7" w:rsidRDefault="002977C7"/>
    <w:p w14:paraId="7CEA6F1B" w14:textId="77777777" w:rsidR="002977C7" w:rsidRDefault="002977C7"/>
    <w:p w14:paraId="72CB33A9" w14:textId="77777777" w:rsidR="002977C7" w:rsidRDefault="002977C7"/>
    <w:p w14:paraId="5832B854" w14:textId="77777777" w:rsidR="002977C7" w:rsidRDefault="002977C7"/>
    <w:p w14:paraId="37966F35" w14:textId="77777777" w:rsidR="002977C7" w:rsidRDefault="002977C7"/>
    <w:p w14:paraId="0ED304C1" w14:textId="77777777" w:rsidR="002977C7" w:rsidRDefault="002977C7"/>
    <w:p w14:paraId="1255C452" w14:textId="77777777" w:rsidR="002977C7" w:rsidRDefault="002977C7"/>
    <w:p w14:paraId="1DE5F6CE" w14:textId="77777777" w:rsidR="002977C7" w:rsidRDefault="002977C7"/>
    <w:p w14:paraId="3F17D874" w14:textId="77777777" w:rsidR="002977C7" w:rsidRDefault="002977C7"/>
    <w:p w14:paraId="3F3A292F" w14:textId="77777777" w:rsidR="002977C7" w:rsidRDefault="002977C7"/>
    <w:p w14:paraId="0E178B61" w14:textId="77777777" w:rsidR="002977C7" w:rsidRDefault="002977C7"/>
    <w:p w14:paraId="23F98535" w14:textId="77777777" w:rsidR="002977C7" w:rsidRDefault="002977C7"/>
    <w:p w14:paraId="69331917" w14:textId="77777777" w:rsidR="003A6407" w:rsidRDefault="003A6407" w:rsidP="002977C7">
      <w:pPr>
        <w:spacing w:line="360" w:lineRule="auto"/>
      </w:pPr>
    </w:p>
    <w:p w14:paraId="711555B0" w14:textId="27A111C2" w:rsidR="002977C7" w:rsidRPr="00CA7118" w:rsidRDefault="002977C7" w:rsidP="002977C7">
      <w:pPr>
        <w:spacing w:line="360" w:lineRule="auto"/>
        <w:rPr>
          <w:rFonts w:ascii="Arial" w:hAnsi="Arial" w:cs="Arial"/>
          <w:b/>
          <w:bCs/>
        </w:rPr>
      </w:pPr>
      <w:r w:rsidRPr="00CA7118">
        <w:rPr>
          <w:rFonts w:ascii="Arial" w:hAnsi="Arial" w:cs="Arial"/>
          <w:b/>
          <w:bCs/>
        </w:rPr>
        <w:lastRenderedPageBreak/>
        <w:t>Introduction</w:t>
      </w:r>
    </w:p>
    <w:p w14:paraId="6DF26920" w14:textId="4C255AE7" w:rsidR="002977C7" w:rsidRDefault="002977C7" w:rsidP="002977C7">
      <w:pPr>
        <w:spacing w:line="360" w:lineRule="auto"/>
        <w:rPr>
          <w:rFonts w:ascii="Arial" w:hAnsi="Arial" w:cs="Arial"/>
        </w:rPr>
      </w:pPr>
      <w:r w:rsidRPr="002977C7">
        <w:rPr>
          <w:rFonts w:ascii="Arial" w:hAnsi="Arial" w:cs="Arial"/>
        </w:rPr>
        <w:t>The United Nations Sustainable Development Goals (UN SDGs) set the international agenda for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achieving social, economic and environmental wellbeing by 2030 (Krannich and Reiser, 2023).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Of these targets, SDG 3 (Good Health and Wellbeing) targets healthy lives and promotes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wellbeing for everybody and SDG 10 (Reduced Inequalities) aims to reduce disparities within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and between them. Research suggests that social determinants of health like income, education,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employment and access to health care strongly influence health outcomes (Marmot et al., 2022</w:t>
      </w:r>
      <w:r w:rsidR="00CA7118" w:rsidRPr="002977C7">
        <w:rPr>
          <w:rFonts w:ascii="Arial" w:hAnsi="Arial" w:cs="Arial"/>
        </w:rPr>
        <w:t>). The</w:t>
      </w:r>
      <w:r w:rsidRPr="002977C7">
        <w:rPr>
          <w:rFonts w:ascii="Arial" w:hAnsi="Arial" w:cs="Arial"/>
        </w:rPr>
        <w:t xml:space="preserve"> World Health Organisation also points out that inequalities must be tackled to attain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equitable population health. Life expectancy, HLE and health service access gaps between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socioeconomic groups and regions continue in the United Kingdom. The healthy life expectancy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of people in the most deprived areas of England is significantly shorter than that of people in the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least deprived areas (ONS 2025). This report captures the impact of SDG 3 and SDG 10 on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health and wellbeing of UK citizens in policies and initiatives both at a global, national and local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level.</w:t>
      </w:r>
    </w:p>
    <w:p w14:paraId="7D41D63B" w14:textId="77777777" w:rsidR="002977C7" w:rsidRDefault="002977C7" w:rsidP="002977C7">
      <w:pPr>
        <w:spacing w:line="360" w:lineRule="auto"/>
        <w:rPr>
          <w:rFonts w:ascii="Arial" w:hAnsi="Arial" w:cs="Arial"/>
        </w:rPr>
      </w:pPr>
    </w:p>
    <w:p w14:paraId="4EA9E71E" w14:textId="77777777" w:rsidR="002977C7" w:rsidRPr="002977C7" w:rsidRDefault="002977C7" w:rsidP="002977C7">
      <w:pPr>
        <w:spacing w:line="360" w:lineRule="auto"/>
        <w:rPr>
          <w:rFonts w:ascii="Arial" w:hAnsi="Arial" w:cs="Arial"/>
          <w:b/>
          <w:bCs/>
        </w:rPr>
      </w:pPr>
      <w:r w:rsidRPr="002977C7">
        <w:rPr>
          <w:rFonts w:ascii="Arial" w:hAnsi="Arial" w:cs="Arial"/>
          <w:b/>
          <w:bCs/>
        </w:rPr>
        <w:t>Section 1: SDG 3 - Good Health and Wellbeing</w:t>
      </w:r>
    </w:p>
    <w:p w14:paraId="67143FC4" w14:textId="77777777" w:rsidR="002977C7" w:rsidRPr="002977C7" w:rsidRDefault="002977C7" w:rsidP="002977C7">
      <w:pPr>
        <w:spacing w:line="360" w:lineRule="auto"/>
        <w:rPr>
          <w:rFonts w:ascii="Arial" w:hAnsi="Arial" w:cs="Arial"/>
        </w:rPr>
      </w:pPr>
      <w:r w:rsidRPr="002977C7">
        <w:rPr>
          <w:rFonts w:ascii="Arial" w:hAnsi="Arial" w:cs="Arial"/>
        </w:rPr>
        <w:t>Overview of SDG 3</w:t>
      </w:r>
    </w:p>
    <w:p w14:paraId="4E93559D" w14:textId="2523E65F" w:rsidR="002977C7" w:rsidRDefault="002977C7" w:rsidP="002977C7">
      <w:pPr>
        <w:spacing w:line="360" w:lineRule="auto"/>
        <w:rPr>
          <w:rFonts w:ascii="Arial" w:hAnsi="Arial" w:cs="Arial"/>
        </w:rPr>
      </w:pPr>
      <w:r w:rsidRPr="002977C7">
        <w:rPr>
          <w:rFonts w:ascii="Arial" w:hAnsi="Arial" w:cs="Arial"/>
        </w:rPr>
        <w:t>Through SDG 3 the UN aims to reduce preventable mortality, combat communicable and non-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communicable diseases, strengthen mental health services and ensure universal health coverage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by improving access to safe and effective healthcare for all at every age (United Nations 2015).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These targets are connected to priorities within the UK, including reducing avoidable health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inequalities, improving mental health outcomes and preventing chronic diseases. Adoption will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achieve part of SDG 3, which includes greater life expectancy, better quality of life and a more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resilient health system that will be able to respond to new population health needs (Monaco,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2024).</w:t>
      </w:r>
    </w:p>
    <w:p w14:paraId="3AF6DC1B" w14:textId="77777777" w:rsidR="002977C7" w:rsidRDefault="002977C7" w:rsidP="002977C7">
      <w:pPr>
        <w:spacing w:line="360" w:lineRule="auto"/>
        <w:rPr>
          <w:rFonts w:ascii="Arial" w:hAnsi="Arial" w:cs="Arial"/>
        </w:rPr>
      </w:pPr>
    </w:p>
    <w:p w14:paraId="217B4042" w14:textId="77777777" w:rsidR="002977C7" w:rsidRPr="002977C7" w:rsidRDefault="002977C7" w:rsidP="002977C7">
      <w:pPr>
        <w:spacing w:line="360" w:lineRule="auto"/>
        <w:rPr>
          <w:rFonts w:ascii="Arial" w:hAnsi="Arial" w:cs="Arial"/>
        </w:rPr>
      </w:pPr>
      <w:r w:rsidRPr="002977C7">
        <w:rPr>
          <w:rFonts w:ascii="Arial" w:hAnsi="Arial" w:cs="Arial"/>
        </w:rPr>
        <w:t>Critical Evaluation of Global Policies and Initiatives</w:t>
      </w:r>
    </w:p>
    <w:p w14:paraId="1EE248E1" w14:textId="76922142" w:rsidR="002977C7" w:rsidRDefault="002977C7" w:rsidP="002977C7">
      <w:pPr>
        <w:spacing w:line="360" w:lineRule="auto"/>
        <w:rPr>
          <w:rFonts w:ascii="Arial" w:hAnsi="Arial" w:cs="Arial"/>
        </w:rPr>
      </w:pPr>
      <w:r w:rsidRPr="002977C7">
        <w:rPr>
          <w:rFonts w:ascii="Arial" w:hAnsi="Arial" w:cs="Arial"/>
        </w:rPr>
        <w:t>The World Health Organisation (WHO) and the UN' global programs have made considerable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strides in helping make healthcare more accessible and improving disease-preventing measures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to help implement SDG 3. As stated in the UN Political Declaration of 2019 and by the WHO,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commitment to Universal Health Coverage (UHC) is a goal of providing all people with timely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and high-quality health services without financial stress (Ranbhat et al., 2023). While the figures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 xml:space="preserve">highlight significant progress made in achieving </w:t>
      </w:r>
      <w:r w:rsidRPr="002977C7">
        <w:rPr>
          <w:rFonts w:ascii="Arial" w:hAnsi="Arial" w:cs="Arial"/>
        </w:rPr>
        <w:lastRenderedPageBreak/>
        <w:t>universal health coverage, the estimated access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 xml:space="preserve">to essential health services still leaves over 4.5 </w:t>
      </w:r>
      <w:r w:rsidR="004C7CB8" w:rsidRPr="002977C7">
        <w:rPr>
          <w:rFonts w:ascii="Arial" w:hAnsi="Arial" w:cs="Arial"/>
        </w:rPr>
        <w:t>billion</w:t>
      </w:r>
      <w:r w:rsidRPr="002977C7">
        <w:rPr>
          <w:rFonts w:ascii="Arial" w:hAnsi="Arial" w:cs="Arial"/>
        </w:rPr>
        <w:t xml:space="preserve"> individuals without coverage in 2021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(WHO 2025). The WHO Global Action Plan for the Prevention and Control of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Noncommunicable Diseases puts cardiovascular diseases, cancer, diabetes and chronic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respiratory conditions as the main causes of premature death around a 74% (World Health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Organisation, 2023).</w:t>
      </w:r>
    </w:p>
    <w:p w14:paraId="121BBFB2" w14:textId="77777777" w:rsidR="002977C7" w:rsidRDefault="002977C7" w:rsidP="002977C7">
      <w:pPr>
        <w:spacing w:line="360" w:lineRule="auto"/>
        <w:rPr>
          <w:rFonts w:ascii="Arial" w:hAnsi="Arial" w:cs="Arial"/>
        </w:rPr>
      </w:pPr>
    </w:p>
    <w:p w14:paraId="0512F1C3" w14:textId="4884A4A8" w:rsidR="002977C7" w:rsidRDefault="002977C7" w:rsidP="002977C7">
      <w:pPr>
        <w:spacing w:line="360" w:lineRule="auto"/>
        <w:rPr>
          <w:rFonts w:ascii="Arial" w:hAnsi="Arial" w:cs="Arial"/>
        </w:rPr>
      </w:pPr>
      <w:r w:rsidRPr="002977C7">
        <w:rPr>
          <w:rFonts w:ascii="Arial" w:hAnsi="Arial" w:cs="Arial"/>
        </w:rPr>
        <w:t>Qazi et al. (2024) maintain that these frameworks have helped better coordinate international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policy and led to increased investment in preventive care over reactive treatment. The United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Nations (2024a) however, stated that the momentum towards SDG 3 had significantly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diminished since the COVID-19 Pandemic, and has now slipped behind in many health areas.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Debie et al. (2022) argue that strategies to address international health demand often leave out a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serious effort to identify system failures in health delivery and management, while focusing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instead on policy commitments. Overall, this criticism is applicable to the UK, where the NHS is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still similar to the UHC principles in being heavily demanded, understaffed, and with health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inequalities growing.</w:t>
      </w:r>
    </w:p>
    <w:p w14:paraId="5609EF75" w14:textId="77777777" w:rsidR="002977C7" w:rsidRDefault="002977C7" w:rsidP="002977C7">
      <w:pPr>
        <w:spacing w:line="360" w:lineRule="auto"/>
        <w:rPr>
          <w:rFonts w:ascii="Arial" w:hAnsi="Arial" w:cs="Arial"/>
        </w:rPr>
      </w:pPr>
    </w:p>
    <w:p w14:paraId="16F4FCF4" w14:textId="77777777" w:rsidR="002977C7" w:rsidRPr="002977C7" w:rsidRDefault="002977C7" w:rsidP="002977C7">
      <w:pPr>
        <w:spacing w:line="360" w:lineRule="auto"/>
        <w:rPr>
          <w:rFonts w:ascii="Arial" w:hAnsi="Arial" w:cs="Arial"/>
        </w:rPr>
      </w:pPr>
      <w:r w:rsidRPr="002977C7">
        <w:rPr>
          <w:rFonts w:ascii="Arial" w:hAnsi="Arial" w:cs="Arial"/>
        </w:rPr>
        <w:t>Critical Evaluation of National and Local Policies and Initiatives</w:t>
      </w:r>
    </w:p>
    <w:p w14:paraId="2F9298BE" w14:textId="485C6A2C" w:rsidR="002977C7" w:rsidRDefault="002977C7" w:rsidP="002977C7">
      <w:pPr>
        <w:spacing w:line="360" w:lineRule="auto"/>
        <w:rPr>
          <w:rFonts w:ascii="Arial" w:hAnsi="Arial" w:cs="Arial"/>
        </w:rPr>
      </w:pPr>
      <w:r w:rsidRPr="002977C7">
        <w:rPr>
          <w:rFonts w:ascii="Arial" w:hAnsi="Arial" w:cs="Arial"/>
        </w:rPr>
        <w:t>In the UK, SDG 3 has been mirrored with national level reforms seeking to tackle preventable ill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health and improve the health of the population. The NHS Long Term Plan (England, 2023) has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a specific focus on prevention, early diagnosis, mental health services and digitally enabled care.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Further, the Health and Care Act 2022 introduced the concept of the Integrated Care System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(ICS) to enhance integration of health services, local authorities and community organisations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(GOV.UK, 2022). In addition, Office for Health Improvement and Disparities (OHID) has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broadened its focus on the issue of obesity and smoking and cardiovascular disease through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specific public health interventions. Progress in extension of service provision is indicated by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over 1 million people now accessing NHS funded mental health services monthly (NHS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England, 2024). While improvements are being felt, inequalities are also apparent, with the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Office for National Statistics (2025) noting significant disparities in healthy life expectancy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levels between the most and least deprived communities.</w:t>
      </w:r>
    </w:p>
    <w:p w14:paraId="77BC4CD4" w14:textId="77777777" w:rsidR="002977C7" w:rsidRDefault="002977C7" w:rsidP="002977C7">
      <w:pPr>
        <w:spacing w:line="360" w:lineRule="auto"/>
        <w:rPr>
          <w:rFonts w:ascii="Arial" w:hAnsi="Arial" w:cs="Arial"/>
        </w:rPr>
      </w:pPr>
    </w:p>
    <w:p w14:paraId="5A22F7BF" w14:textId="3FB1BD87" w:rsidR="002977C7" w:rsidRDefault="002977C7" w:rsidP="002977C7">
      <w:pPr>
        <w:spacing w:line="360" w:lineRule="auto"/>
        <w:rPr>
          <w:rFonts w:ascii="Arial" w:hAnsi="Arial" w:cs="Arial"/>
        </w:rPr>
      </w:pPr>
      <w:r w:rsidRPr="002977C7">
        <w:rPr>
          <w:rFonts w:ascii="Arial" w:hAnsi="Arial" w:cs="Arial"/>
        </w:rPr>
        <w:t>At a local level, the NHS Health Check Programme has been linked with earlier detection of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cardiovascular disease risk factors but uptake is limited in disadvantaged groups (Tanner et al.,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 xml:space="preserve">2022). Knight (2023) states that ICSs have improved approaches to integrated working </w:t>
      </w:r>
      <w:r w:rsidRPr="002977C7">
        <w:rPr>
          <w:rFonts w:ascii="Arial" w:hAnsi="Arial" w:cs="Arial"/>
        </w:rPr>
        <w:lastRenderedPageBreak/>
        <w:t>but that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they are limited in impact as a result of financial restrictions and staff shortages in the NHS. This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criticism is echoed by NHS England (2024) with over 100,000 vacancies in NHS trusts in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England reducing the capacity of services. In addition, Marmot et al. (2022) state that healthcare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changes do not have the capacity to close health inequalities until there is parallel investment in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housing, education, employment and upgrades in other sectors, including wider cross sectoral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policies, because these factors play a crucial role in shaping the health landscape.</w:t>
      </w:r>
    </w:p>
    <w:p w14:paraId="1EA008FF" w14:textId="77777777" w:rsidR="002977C7" w:rsidRDefault="002977C7" w:rsidP="002977C7">
      <w:pPr>
        <w:spacing w:line="360" w:lineRule="auto"/>
        <w:rPr>
          <w:rFonts w:ascii="Arial" w:hAnsi="Arial" w:cs="Arial"/>
        </w:rPr>
      </w:pPr>
    </w:p>
    <w:p w14:paraId="379A1D0B" w14:textId="77777777" w:rsidR="002977C7" w:rsidRPr="002977C7" w:rsidRDefault="002977C7" w:rsidP="002977C7">
      <w:pPr>
        <w:spacing w:line="360" w:lineRule="auto"/>
        <w:rPr>
          <w:rFonts w:ascii="Arial" w:hAnsi="Arial" w:cs="Arial"/>
        </w:rPr>
      </w:pPr>
      <w:r w:rsidRPr="002977C7">
        <w:rPr>
          <w:rFonts w:ascii="Arial" w:hAnsi="Arial" w:cs="Arial"/>
        </w:rPr>
        <w:t>Relevant Theory or Model</w:t>
      </w:r>
    </w:p>
    <w:p w14:paraId="39EDB9C1" w14:textId="59EE435D" w:rsidR="002977C7" w:rsidRDefault="002977C7" w:rsidP="002977C7">
      <w:pPr>
        <w:spacing w:line="360" w:lineRule="auto"/>
        <w:rPr>
          <w:rFonts w:ascii="Arial" w:hAnsi="Arial" w:cs="Arial"/>
        </w:rPr>
      </w:pPr>
      <w:r w:rsidRPr="002977C7">
        <w:rPr>
          <w:rFonts w:ascii="Arial" w:hAnsi="Arial" w:cs="Arial"/>
        </w:rPr>
        <w:t>Dahlgren and Whitehead's Social Determinants of Health Model offers a useful tool to consider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SDG 3 as it acknowledges that wider social, economic, and environmental factors influence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health outcomes – not just health care. The Social Determinants of Health Model developed by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Dahlgren and Whitehead is a valuable framework to take into account when considering SDG 3,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as it recognises that social, economic and environmental factors influence health outcomes in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addition to healthcare. The model is consistent with the evidence Marmot et al., (2022), which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posits that laying the groundwork for tackling inequalities in income, education, and housing is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the cornerstone of the fight for better population health. The model has nonetheless been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criticised for providing inadequate tools for determining how to prioritise policy options and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assess their impact in an integrated healthcare system (Dyar et al., 2022).</w:t>
      </w:r>
    </w:p>
    <w:p w14:paraId="6D9E7309" w14:textId="77777777" w:rsidR="002977C7" w:rsidRDefault="002977C7" w:rsidP="002977C7">
      <w:pPr>
        <w:spacing w:line="360" w:lineRule="auto"/>
        <w:rPr>
          <w:rFonts w:ascii="Arial" w:hAnsi="Arial" w:cs="Arial"/>
        </w:rPr>
      </w:pPr>
    </w:p>
    <w:p w14:paraId="525C4D98" w14:textId="77777777" w:rsidR="002977C7" w:rsidRPr="002977C7" w:rsidRDefault="002977C7" w:rsidP="002977C7">
      <w:pPr>
        <w:spacing w:line="360" w:lineRule="auto"/>
        <w:rPr>
          <w:rFonts w:ascii="Arial" w:hAnsi="Arial" w:cs="Arial"/>
        </w:rPr>
      </w:pPr>
      <w:r w:rsidRPr="002977C7">
        <w:rPr>
          <w:rFonts w:ascii="Arial" w:hAnsi="Arial" w:cs="Arial"/>
        </w:rPr>
        <w:t>Evidence-Based Recommendations</w:t>
      </w:r>
    </w:p>
    <w:p w14:paraId="69E05371" w14:textId="14D87D3B" w:rsidR="002977C7" w:rsidRDefault="002977C7" w:rsidP="002977C7">
      <w:pPr>
        <w:spacing w:line="360" w:lineRule="auto"/>
        <w:rPr>
          <w:rFonts w:ascii="Arial" w:hAnsi="Arial" w:cs="Arial"/>
        </w:rPr>
      </w:pPr>
      <w:r w:rsidRPr="002977C7">
        <w:rPr>
          <w:rFonts w:ascii="Arial" w:hAnsi="Arial" w:cs="Arial"/>
        </w:rPr>
        <w:t>To meet SDG 3 in the UK, there needs to be an increased focus on investment in preventive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health care, as this will mitigate the health burden of chronic diseases and relieve pressure on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NHS services. To address ongoing service gaps and improve workforce recruitment and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retention, there should be a focus on expanding community based mental health services and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training. Alawode et al. (2025) conclude that a sustainable approach to workforce planning is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vital for the quality and access to healthcare. Moreover, enhancing digital health infrastructure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should not be a replacement however a complement to the delivery of physical-in-person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services in order to avoid creating greater digital inequalities (van de Vijver et al., 2023). Finally,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better connection between NHS, local government and social care, would allow more impact on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wider determinants of health (Marmot et al., 2022).</w:t>
      </w:r>
    </w:p>
    <w:p w14:paraId="1D963738" w14:textId="77777777" w:rsidR="002977C7" w:rsidRDefault="002977C7" w:rsidP="002977C7">
      <w:pPr>
        <w:spacing w:line="360" w:lineRule="auto"/>
        <w:rPr>
          <w:rFonts w:ascii="Arial" w:hAnsi="Arial" w:cs="Arial"/>
        </w:rPr>
      </w:pPr>
    </w:p>
    <w:p w14:paraId="647A01C7" w14:textId="77777777" w:rsidR="002977C7" w:rsidRPr="002977C7" w:rsidRDefault="002977C7" w:rsidP="002977C7">
      <w:pPr>
        <w:spacing w:line="360" w:lineRule="auto"/>
        <w:rPr>
          <w:rFonts w:ascii="Arial" w:hAnsi="Arial" w:cs="Arial"/>
          <w:b/>
          <w:bCs/>
        </w:rPr>
      </w:pPr>
      <w:r w:rsidRPr="002977C7">
        <w:rPr>
          <w:rFonts w:ascii="Arial" w:hAnsi="Arial" w:cs="Arial"/>
          <w:b/>
          <w:bCs/>
        </w:rPr>
        <w:lastRenderedPageBreak/>
        <w:t>Section 2: SDG 10 - Reduced Inequalities</w:t>
      </w:r>
    </w:p>
    <w:p w14:paraId="37A31319" w14:textId="77777777" w:rsidR="002977C7" w:rsidRPr="002977C7" w:rsidRDefault="002977C7" w:rsidP="002977C7">
      <w:pPr>
        <w:spacing w:line="360" w:lineRule="auto"/>
        <w:rPr>
          <w:rFonts w:ascii="Arial" w:hAnsi="Arial" w:cs="Arial"/>
        </w:rPr>
      </w:pPr>
      <w:r w:rsidRPr="002977C7">
        <w:rPr>
          <w:rFonts w:ascii="Arial" w:hAnsi="Arial" w:cs="Arial"/>
        </w:rPr>
        <w:t>Overview of SDG 10</w:t>
      </w:r>
    </w:p>
    <w:p w14:paraId="3FD9DC4B" w14:textId="73BCB64B" w:rsidR="002977C7" w:rsidRDefault="002977C7" w:rsidP="002977C7">
      <w:pPr>
        <w:spacing w:line="360" w:lineRule="auto"/>
        <w:rPr>
          <w:rFonts w:ascii="Arial" w:hAnsi="Arial" w:cs="Arial"/>
        </w:rPr>
      </w:pPr>
      <w:r w:rsidRPr="002977C7">
        <w:rPr>
          <w:rFonts w:ascii="Arial" w:hAnsi="Arial" w:cs="Arial"/>
        </w:rPr>
        <w:t>SDG 10 targets to achieve equality in and between countries, through inclusive and equitable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economic, political and social development and ensuring equal opportunities and access to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resources and reduced discrimination (United Nations, 2015). There is an understanding that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inequalities in income level, education, employment and access to services have a significant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impact on health and wellbeing outcomes, recognising this as a goal. Marmot et al. (2022)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conclude that the extent of socioeconomic disadvantage is a significant driver of health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inequalities in the UK and that SDG 10 will play an essential role in helping to reduce the gap in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life expectancy, access to and quality of health care among population groups.</w:t>
      </w:r>
    </w:p>
    <w:p w14:paraId="04725FE9" w14:textId="77777777" w:rsidR="002977C7" w:rsidRDefault="002977C7" w:rsidP="002977C7">
      <w:pPr>
        <w:spacing w:line="360" w:lineRule="auto"/>
        <w:rPr>
          <w:rFonts w:ascii="Arial" w:hAnsi="Arial" w:cs="Arial"/>
        </w:rPr>
      </w:pPr>
    </w:p>
    <w:p w14:paraId="6F7EE1B4" w14:textId="77777777" w:rsidR="002977C7" w:rsidRPr="002977C7" w:rsidRDefault="002977C7" w:rsidP="002977C7">
      <w:pPr>
        <w:spacing w:line="360" w:lineRule="auto"/>
        <w:rPr>
          <w:rFonts w:ascii="Arial" w:hAnsi="Arial" w:cs="Arial"/>
        </w:rPr>
      </w:pPr>
      <w:r w:rsidRPr="002977C7">
        <w:rPr>
          <w:rFonts w:ascii="Arial" w:hAnsi="Arial" w:cs="Arial"/>
        </w:rPr>
        <w:t>Critical Evaluation of Global Policies and Initiatives</w:t>
      </w:r>
    </w:p>
    <w:p w14:paraId="59E72945" w14:textId="22A6C065" w:rsidR="002977C7" w:rsidRDefault="002977C7" w:rsidP="002977C7">
      <w:pPr>
        <w:spacing w:line="360" w:lineRule="auto"/>
        <w:rPr>
          <w:rFonts w:ascii="Arial" w:hAnsi="Arial" w:cs="Arial"/>
        </w:rPr>
      </w:pPr>
      <w:r w:rsidRPr="002977C7">
        <w:rPr>
          <w:rFonts w:ascii="Arial" w:hAnsi="Arial" w:cs="Arial"/>
        </w:rPr>
        <w:t>SDG 10's progress through global programmes has been notable, with programmes urging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government action on the structural determinants of inequities which affect health and wellbeing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at both present and future. Inclusive economic growth, equal opportunities and social protection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are key points of the UN 2030 Agenda for Sustainable Development, while the WHO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Commission on Social Determinants of Health stresses need action on education, employment,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housing, and living conditions, not just on health care systems in order to reduce health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inequalities (Walsh et al., 2022). Likewise, the goal of the Health Equity Framework and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Universal Health Coverage (UHC) programs is to create equitable and quality health care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provision, especially for the underserved and underserved too. In addition, Saputra (2024)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encourages the implementation of thorough social protection measures to help alleviate poverty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and enhance health.</w:t>
      </w:r>
    </w:p>
    <w:p w14:paraId="2B8EA885" w14:textId="77777777" w:rsidR="002977C7" w:rsidRDefault="002977C7" w:rsidP="002977C7">
      <w:pPr>
        <w:spacing w:line="360" w:lineRule="auto"/>
        <w:rPr>
          <w:rFonts w:ascii="Arial" w:hAnsi="Arial" w:cs="Arial"/>
        </w:rPr>
      </w:pPr>
    </w:p>
    <w:p w14:paraId="2FBE2B54" w14:textId="2F52E957" w:rsidR="002977C7" w:rsidRDefault="002977C7" w:rsidP="002977C7">
      <w:pPr>
        <w:spacing w:line="360" w:lineRule="auto"/>
        <w:rPr>
          <w:rFonts w:ascii="Arial" w:hAnsi="Arial" w:cs="Arial"/>
        </w:rPr>
      </w:pPr>
      <w:r w:rsidRPr="002977C7">
        <w:rPr>
          <w:rFonts w:ascii="Arial" w:hAnsi="Arial" w:cs="Arial"/>
        </w:rPr>
        <w:t>Despite this, the United Nations (2024b) states that persistent inequalities in income, health care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and social protection services exist in many countries and that vulnerable groups continue to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suffer from poorer health outcomes. Marmot et al. (2022) claim that agreements give good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normative guidance, but are not well implemented or enforced and are not actually coherent in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political-economic terms. Similarly, Mamun and Alam (2025) criticise the fact that many global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equity strategies fail to focus on some of the inequities which maintain health inequities, in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particular the inequity of power and commercial determinants. The drawbacks outlined above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have significant implications for the UK, where universal health care has led to better access. In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 xml:space="preserve">this regard, the results of Tan et al., (2023) showed that the COVID-19 </w:t>
      </w:r>
      <w:r w:rsidRPr="002977C7">
        <w:rPr>
          <w:rFonts w:ascii="Arial" w:hAnsi="Arial" w:cs="Arial"/>
        </w:rPr>
        <w:lastRenderedPageBreak/>
        <w:t>pandemic was more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strongly experienced by deprived communities and that, in addition to the healthcare policy,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continuous, systemic efforts are needed to reach health equity.</w:t>
      </w:r>
    </w:p>
    <w:p w14:paraId="00E228C1" w14:textId="77777777" w:rsidR="002977C7" w:rsidRDefault="002977C7" w:rsidP="002977C7">
      <w:pPr>
        <w:spacing w:line="360" w:lineRule="auto"/>
        <w:rPr>
          <w:rFonts w:ascii="Arial" w:hAnsi="Arial" w:cs="Arial"/>
        </w:rPr>
      </w:pPr>
    </w:p>
    <w:p w14:paraId="40C1ECC1" w14:textId="77777777" w:rsidR="002977C7" w:rsidRPr="002977C7" w:rsidRDefault="002977C7" w:rsidP="002977C7">
      <w:pPr>
        <w:spacing w:line="360" w:lineRule="auto"/>
        <w:rPr>
          <w:rFonts w:ascii="Arial" w:hAnsi="Arial" w:cs="Arial"/>
        </w:rPr>
      </w:pPr>
      <w:r w:rsidRPr="002977C7">
        <w:rPr>
          <w:rFonts w:ascii="Arial" w:hAnsi="Arial" w:cs="Arial"/>
        </w:rPr>
        <w:t>Critical Evaluation of National and Local Policies and Initiatives</w:t>
      </w:r>
    </w:p>
    <w:p w14:paraId="26604FC4" w14:textId="77404A76" w:rsidR="002977C7" w:rsidRDefault="002977C7" w:rsidP="002977C7">
      <w:pPr>
        <w:spacing w:line="360" w:lineRule="auto"/>
        <w:rPr>
          <w:rFonts w:ascii="Arial" w:hAnsi="Arial" w:cs="Arial"/>
        </w:rPr>
      </w:pPr>
      <w:r w:rsidRPr="002977C7">
        <w:rPr>
          <w:rFonts w:ascii="Arial" w:hAnsi="Arial" w:cs="Arial"/>
        </w:rPr>
        <w:t>The UK government has developed a number of national policies which directly aim to tackle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inequalities which have an impact on health and wellbeing. The Equality Act 2010 (GOV.UK,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2010) give legal enforcement against discrimination, and the NHS Core20PLUS5 concentrates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on healthcare improvements for the bottom 20% of deprivation and the groups facing poor health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outcomes (Anderson et al., 2026). The NHS also has a Race and Health Observatory, which aims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to tackle ethnic health inequalities through evidence-based policy, and the Office for Health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Improvement and Disparities (OHID) has programmes whose work goes through smoking,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obesity and cardiovascular disease. Nevertheless, the inequalities in England remain at a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significant level, as healthy life expectancy is still a lot shorter in most deprived areas of the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country, according to the Office for National Statistics (2025).</w:t>
      </w:r>
    </w:p>
    <w:p w14:paraId="516DAFBC" w14:textId="77777777" w:rsidR="002977C7" w:rsidRDefault="002977C7" w:rsidP="002977C7">
      <w:pPr>
        <w:spacing w:line="360" w:lineRule="auto"/>
        <w:rPr>
          <w:rFonts w:ascii="Arial" w:hAnsi="Arial" w:cs="Arial"/>
        </w:rPr>
      </w:pPr>
    </w:p>
    <w:p w14:paraId="09822D26" w14:textId="7BA0C0EA" w:rsidR="002977C7" w:rsidRDefault="002977C7" w:rsidP="002977C7">
      <w:pPr>
        <w:spacing w:line="360" w:lineRule="auto"/>
        <w:rPr>
          <w:rFonts w:ascii="Arial" w:hAnsi="Arial" w:cs="Arial"/>
        </w:rPr>
      </w:pPr>
      <w:r w:rsidRPr="002977C7">
        <w:rPr>
          <w:rFonts w:ascii="Arial" w:hAnsi="Arial" w:cs="Arial"/>
        </w:rPr>
        <w:t>Integrated Care Systems (ICSs), local authority health inequality strategies, community outreach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programmes and social prescribing schemes are designed to be local systems that seek to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enhance access to health care by meeting the needs of their communities. Social prescribing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continues to grow, though it continues to be more prevalent amongst those with social isolation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and long-term conditions (LTC) NHS England, 2024). However, McPake et al., (2024) states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that there are significant financial, staffing or service distribution difficulties with local systems.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Marmot et al. (2022) also argue that the approach of trying to tackle health inequities through a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health care response is not enough, as they are linked to broader socio-economic disadvantage.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The results of Tan et al. (2023) support this, with the effects of the pandemic on deprived and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ethnic minority communities found to be associated with disproportionately poorer health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outcomes, and the need to continue investing in the social determinants of health and in health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service delivery.</w:t>
      </w:r>
    </w:p>
    <w:p w14:paraId="1A3EF670" w14:textId="77777777" w:rsidR="002977C7" w:rsidRDefault="002977C7" w:rsidP="002977C7">
      <w:pPr>
        <w:spacing w:line="360" w:lineRule="auto"/>
        <w:rPr>
          <w:rFonts w:ascii="Arial" w:hAnsi="Arial" w:cs="Arial"/>
        </w:rPr>
      </w:pPr>
    </w:p>
    <w:p w14:paraId="7786073D" w14:textId="77777777" w:rsidR="002977C7" w:rsidRPr="002977C7" w:rsidRDefault="002977C7" w:rsidP="002977C7">
      <w:pPr>
        <w:spacing w:line="360" w:lineRule="auto"/>
        <w:rPr>
          <w:rFonts w:ascii="Arial" w:hAnsi="Arial" w:cs="Arial"/>
        </w:rPr>
      </w:pPr>
      <w:r w:rsidRPr="002977C7">
        <w:rPr>
          <w:rFonts w:ascii="Arial" w:hAnsi="Arial" w:cs="Arial"/>
        </w:rPr>
        <w:t>Relevant Theory or Model</w:t>
      </w:r>
    </w:p>
    <w:p w14:paraId="7AE73942" w14:textId="3F23501C" w:rsidR="002977C7" w:rsidRDefault="002977C7" w:rsidP="002977C7">
      <w:pPr>
        <w:spacing w:line="360" w:lineRule="auto"/>
        <w:rPr>
          <w:rFonts w:ascii="Arial" w:hAnsi="Arial" w:cs="Arial"/>
        </w:rPr>
      </w:pPr>
      <w:r w:rsidRPr="002977C7">
        <w:rPr>
          <w:rFonts w:ascii="Arial" w:hAnsi="Arial" w:cs="Arial"/>
        </w:rPr>
        <w:t>The Marmot Review Framework considers health inequalities as the result of unequal social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conditions resulting from and influencing biological development (from birth to childhood),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everyday living (adulthood), and the process of ageing (old age) (Marmot et al., 2022). It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 xml:space="preserve">addresses SDG10 by highlighting the need for action in education, employment, housing </w:t>
      </w:r>
      <w:r w:rsidRPr="002977C7">
        <w:rPr>
          <w:rFonts w:ascii="Arial" w:hAnsi="Arial" w:cs="Arial"/>
        </w:rPr>
        <w:lastRenderedPageBreak/>
        <w:t>and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healthcare to reduce inequalities. It's its emphasis on understanding that health equity is the result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of a broader vision of public policy, not health care alone. Vargas et al., (2024) notes, however,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that providing local, measurable and sustainable interventions in accordance with these broad</w:t>
      </w:r>
      <w:r>
        <w:rPr>
          <w:rFonts w:ascii="Arial" w:hAnsi="Arial" w:cs="Arial"/>
        </w:rPr>
        <w:t xml:space="preserve"> </w:t>
      </w:r>
      <w:r w:rsidRPr="002977C7">
        <w:rPr>
          <w:rFonts w:ascii="Arial" w:hAnsi="Arial" w:cs="Arial"/>
        </w:rPr>
        <w:t>recommendations is a challenge</w:t>
      </w:r>
      <w:r w:rsidR="00556609">
        <w:rPr>
          <w:rFonts w:ascii="Arial" w:hAnsi="Arial" w:cs="Arial"/>
        </w:rPr>
        <w:t>.</w:t>
      </w:r>
    </w:p>
    <w:p w14:paraId="44938B56" w14:textId="77777777" w:rsidR="00F43556" w:rsidRDefault="00F43556" w:rsidP="002977C7">
      <w:pPr>
        <w:spacing w:line="360" w:lineRule="auto"/>
        <w:rPr>
          <w:rFonts w:ascii="Arial" w:hAnsi="Arial" w:cs="Arial"/>
        </w:rPr>
      </w:pPr>
    </w:p>
    <w:p w14:paraId="060A0F50" w14:textId="77777777" w:rsidR="00F43556" w:rsidRP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Evidence-Based Recommendations</w:t>
      </w:r>
    </w:p>
    <w:p w14:paraId="40843C93" w14:textId="61EAA55D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Greater investment in deprived communities is needed to tackle the socioeconomic determinants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of health inequalities in order to achieve SDG 10. Access to healthcare for ethnic minorities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would be enhanced by both a broadening of culturally competent health care and strengthening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of health care workforce diversity (Theodosopoulos et al., 2024). More social prescribing and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social preventive services should be expanded in areas of social disadvantage for better long-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term health outcomes (Melam et al., 2025). Transfer information also, by improving collection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and monitoring, would facilitate more specific interventions. Overall, Marmot et al. (2022)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conclude that coordinated action between the government and healthcare would be necessary to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secure sustainable reductions in health inequalities.</w:t>
      </w:r>
    </w:p>
    <w:p w14:paraId="2820E283" w14:textId="77777777" w:rsidR="00F43556" w:rsidRDefault="00F43556" w:rsidP="00F43556">
      <w:pPr>
        <w:spacing w:line="360" w:lineRule="auto"/>
        <w:rPr>
          <w:rFonts w:ascii="Arial" w:hAnsi="Arial" w:cs="Arial"/>
        </w:rPr>
      </w:pPr>
    </w:p>
    <w:p w14:paraId="50C53E8A" w14:textId="77777777" w:rsidR="00F43556" w:rsidRPr="00F43556" w:rsidRDefault="00F43556" w:rsidP="00F43556">
      <w:pPr>
        <w:spacing w:line="360" w:lineRule="auto"/>
        <w:rPr>
          <w:rFonts w:ascii="Arial" w:hAnsi="Arial" w:cs="Arial"/>
          <w:b/>
          <w:bCs/>
        </w:rPr>
      </w:pPr>
      <w:r w:rsidRPr="00F43556">
        <w:rPr>
          <w:rFonts w:ascii="Arial" w:hAnsi="Arial" w:cs="Arial"/>
          <w:b/>
          <w:bCs/>
        </w:rPr>
        <w:t>Conclusion</w:t>
      </w:r>
    </w:p>
    <w:p w14:paraId="3907A0F7" w14:textId="4F0A98A9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This report has highlighted how complementary roles can be expected to exist between SDG 3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and SDG 10 in relation to improving the health and well-being of people in the United Kingdom.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The assessment showed that global, national and local policies have improved disease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prevention, access to health services and mental health care, but this has been stunted by a lack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of personnel, financial resources and region-based disparities. Likewise, SDG 10 highlighted that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policies for addressing social and economic inequalities have resulted in more inclusive health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care systems despite persistent socioeconomic and ethnic health disparities.</w:t>
      </w:r>
    </w:p>
    <w:p w14:paraId="40E4E226" w14:textId="77777777" w:rsidR="00F43556" w:rsidRPr="00F43556" w:rsidRDefault="00F43556" w:rsidP="00F43556">
      <w:pPr>
        <w:spacing w:line="360" w:lineRule="auto"/>
        <w:rPr>
          <w:rFonts w:ascii="Arial" w:hAnsi="Arial" w:cs="Arial"/>
        </w:rPr>
      </w:pPr>
    </w:p>
    <w:p w14:paraId="2AF21283" w14:textId="2C0D5B4C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The results show that tackling inequalities is essential to improving population health as social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and economic disadvantage remains important for access to opportunities, health services and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health outcomes. SDG 3 and SDG 10 are therefore deeply intertwined, and action on both must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be coordinated to tackle determinants of health and healthcare delivery. In the future, policy must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prioritise preventive health care, reduce structural inequalities and make services equally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 xml:space="preserve">accessible by continuing a sustained investment. The ability to </w:t>
      </w:r>
      <w:r w:rsidRPr="00F43556">
        <w:rPr>
          <w:rFonts w:ascii="Arial" w:hAnsi="Arial" w:cs="Arial"/>
        </w:rPr>
        <w:lastRenderedPageBreak/>
        <w:t>achieve sustainable development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in the UK and long-term health equity improvements is likely to depend on strong relationships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between the health systems and the UK government, local authorities and communities.</w:t>
      </w:r>
    </w:p>
    <w:p w14:paraId="6135E583" w14:textId="77777777" w:rsidR="00F43556" w:rsidRPr="00F43556" w:rsidRDefault="00F43556" w:rsidP="00F43556">
      <w:pPr>
        <w:rPr>
          <w:rFonts w:ascii="Arial" w:hAnsi="Arial" w:cs="Arial"/>
        </w:rPr>
      </w:pPr>
    </w:p>
    <w:p w14:paraId="424595D9" w14:textId="77777777" w:rsidR="00F43556" w:rsidRPr="00F43556" w:rsidRDefault="00F43556" w:rsidP="00F43556">
      <w:pPr>
        <w:rPr>
          <w:rFonts w:ascii="Arial" w:hAnsi="Arial" w:cs="Arial"/>
        </w:rPr>
      </w:pPr>
    </w:p>
    <w:p w14:paraId="46A958A4" w14:textId="77777777" w:rsidR="00F43556" w:rsidRDefault="00F43556" w:rsidP="00F43556">
      <w:pPr>
        <w:spacing w:line="360" w:lineRule="auto"/>
        <w:rPr>
          <w:rFonts w:ascii="Arial" w:hAnsi="Arial" w:cs="Arial"/>
        </w:rPr>
      </w:pPr>
    </w:p>
    <w:p w14:paraId="407614A3" w14:textId="77777777" w:rsidR="00F43556" w:rsidRPr="00F43556" w:rsidRDefault="00F43556" w:rsidP="00F43556">
      <w:pPr>
        <w:spacing w:line="360" w:lineRule="auto"/>
        <w:rPr>
          <w:rFonts w:ascii="Arial" w:hAnsi="Arial" w:cs="Arial"/>
          <w:b/>
          <w:bCs/>
        </w:rPr>
      </w:pPr>
      <w:r w:rsidRPr="00F43556">
        <w:rPr>
          <w:rFonts w:ascii="Arial" w:hAnsi="Arial" w:cs="Arial"/>
          <w:b/>
          <w:bCs/>
        </w:rPr>
        <w:t>References</w:t>
      </w:r>
    </w:p>
    <w:p w14:paraId="3194C2BC" w14:textId="35EC23EA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Alawode, G.B., Ajibola, A.R.A., Sanusi, M.S., Adewoyin, A.B. and Alawode, K.A. (2025).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Optimising the health workforce for Universal Health Coverage: a framework for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analysis and action. Human resources for health, 23(1), p.27.</w:t>
      </w:r>
    </w:p>
    <w:p w14:paraId="61FFEE75" w14:textId="77777777" w:rsidR="00F43556" w:rsidRDefault="00F43556" w:rsidP="00F43556">
      <w:pPr>
        <w:spacing w:line="360" w:lineRule="auto"/>
        <w:rPr>
          <w:rFonts w:ascii="Arial" w:hAnsi="Arial" w:cs="Arial"/>
        </w:rPr>
      </w:pPr>
    </w:p>
    <w:p w14:paraId="3518BA8F" w14:textId="77C88695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Anderson, M., Pitchforth, E., McGuire, A. and Mossialos, E. (2026). The NHS 10-year plan: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between aspiration and implementation. The Lancet.</w:t>
      </w:r>
    </w:p>
    <w:p w14:paraId="42FAB457" w14:textId="77777777" w:rsidR="00F43556" w:rsidRPr="00F43556" w:rsidRDefault="00F43556" w:rsidP="00F43556">
      <w:pPr>
        <w:spacing w:line="360" w:lineRule="auto"/>
        <w:rPr>
          <w:rFonts w:ascii="Arial" w:hAnsi="Arial" w:cs="Arial"/>
        </w:rPr>
      </w:pPr>
    </w:p>
    <w:p w14:paraId="72EF24BE" w14:textId="02D70AB1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Debie, A., Khatri, R.B. and Assefa, Y. (2022). Successes and challenges of health systems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governance towards universal health coverage and global health security: a narrative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review and synthesis of the literature. Health research policy and systems, 20(1), p.50.</w:t>
      </w:r>
    </w:p>
    <w:p w14:paraId="3EEB0987" w14:textId="77777777" w:rsidR="00F43556" w:rsidRDefault="00F43556" w:rsidP="00F43556">
      <w:pPr>
        <w:spacing w:line="360" w:lineRule="auto"/>
        <w:rPr>
          <w:rFonts w:ascii="Arial" w:hAnsi="Arial" w:cs="Arial"/>
        </w:rPr>
      </w:pPr>
    </w:p>
    <w:p w14:paraId="6D675116" w14:textId="481953EB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Dyar, O.J., Haglund, B.J., Melder, C., Skillington, T., Kristenson, M. and Sarkadi, A. (2022).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Rainbows over the world’s public health: determinants of health models in the past,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present, and future. Scandinavian Journal of Public Health, 50(7), pp.1047-1058.</w:t>
      </w:r>
    </w:p>
    <w:p w14:paraId="5952A106" w14:textId="77777777" w:rsidR="00F43556" w:rsidRPr="00F43556" w:rsidRDefault="00F43556" w:rsidP="00F43556">
      <w:pPr>
        <w:spacing w:line="360" w:lineRule="auto"/>
        <w:rPr>
          <w:rFonts w:ascii="Arial" w:hAnsi="Arial" w:cs="Arial"/>
        </w:rPr>
      </w:pPr>
    </w:p>
    <w:p w14:paraId="00E45597" w14:textId="2F9EB79F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England, N.H.S. (2023). NHS long term workforce plan [online]</w:t>
      </w:r>
    </w:p>
    <w:p w14:paraId="59E99966" w14:textId="77777777" w:rsidR="00F43556" w:rsidRDefault="00F43556" w:rsidP="00F43556">
      <w:pPr>
        <w:spacing w:line="360" w:lineRule="auto"/>
        <w:rPr>
          <w:rFonts w:ascii="Arial" w:hAnsi="Arial" w:cs="Arial"/>
        </w:rPr>
      </w:pPr>
    </w:p>
    <w:p w14:paraId="25487674" w14:textId="3C6C875E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GOV.UK (2010). Equality Act 2010. [online] Legislation.gov.uk. Available at: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https://www.legislation.gov.uk/ukpga/2010/15/contents [Accessed 10 July 2026].</w:t>
      </w:r>
    </w:p>
    <w:p w14:paraId="3DDAC7A2" w14:textId="77777777" w:rsidR="00F43556" w:rsidRPr="00F43556" w:rsidRDefault="00F43556" w:rsidP="00F43556">
      <w:pPr>
        <w:spacing w:line="360" w:lineRule="auto"/>
        <w:rPr>
          <w:rFonts w:ascii="Arial" w:hAnsi="Arial" w:cs="Arial"/>
        </w:rPr>
      </w:pPr>
    </w:p>
    <w:p w14:paraId="3B7D7829" w14:textId="095A33DF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GOV.UK (2022). Health and Care Act. [online] Legislation.gov.uk. Available at: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https://www.legislation.gov.uk/ukpga/2022/31/contents [Accessed 10 July 2026].</w:t>
      </w:r>
    </w:p>
    <w:p w14:paraId="58A41816" w14:textId="03C67C3A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lastRenderedPageBreak/>
        <w:t>Jahnel, T., Dassow, H.H., Gerhardus, A. and Schüz, B. (2022). The digital rainbow: digital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determinants of health inequities. Digital Health, 8, p.20552076221129093.</w:t>
      </w:r>
    </w:p>
    <w:p w14:paraId="23DA7442" w14:textId="77777777" w:rsidR="00F43556" w:rsidRPr="00F43556" w:rsidRDefault="00F43556" w:rsidP="00F43556">
      <w:pPr>
        <w:spacing w:line="360" w:lineRule="auto"/>
        <w:rPr>
          <w:rFonts w:ascii="Arial" w:hAnsi="Arial" w:cs="Arial"/>
        </w:rPr>
      </w:pPr>
    </w:p>
    <w:p w14:paraId="522922EC" w14:textId="47929B0E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Knight, L. (2025). Emerging challenges in integrated care system leadership: a qualitative case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study. British Journal of Healthcare Management, 31(11), pp.1-9.</w:t>
      </w:r>
    </w:p>
    <w:p w14:paraId="38745108" w14:textId="77777777" w:rsidR="00F43556" w:rsidRDefault="00F43556" w:rsidP="00F43556">
      <w:pPr>
        <w:rPr>
          <w:rFonts w:ascii="Arial" w:hAnsi="Arial" w:cs="Arial"/>
        </w:rPr>
      </w:pPr>
    </w:p>
    <w:p w14:paraId="74FE4ED6" w14:textId="0FBBD048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Krannich, A.L. and Reiser, D. (2023). United nations sustainable development goals 2030, the.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In Encyclopedia of sustainable management (pp. 3862-3867). Cham: Springer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International Publishing.</w:t>
      </w:r>
    </w:p>
    <w:p w14:paraId="208FC50E" w14:textId="77777777" w:rsidR="00F43556" w:rsidRPr="00F43556" w:rsidRDefault="00F43556" w:rsidP="00F43556">
      <w:pPr>
        <w:spacing w:line="360" w:lineRule="auto"/>
        <w:rPr>
          <w:rFonts w:ascii="Arial" w:hAnsi="Arial" w:cs="Arial"/>
        </w:rPr>
      </w:pPr>
    </w:p>
    <w:p w14:paraId="27E45DC9" w14:textId="5350C125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Mamun, A.A. and Alam, M. (2025). Promoting equity in public health: Addressing inequality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and social disparities. Health science reports, 8(5), p.e70821.</w:t>
      </w:r>
    </w:p>
    <w:p w14:paraId="3680151C" w14:textId="77777777" w:rsidR="00F43556" w:rsidRDefault="00F43556" w:rsidP="00F43556">
      <w:pPr>
        <w:rPr>
          <w:rFonts w:ascii="Arial" w:hAnsi="Arial" w:cs="Arial"/>
        </w:rPr>
      </w:pPr>
    </w:p>
    <w:p w14:paraId="23E928D1" w14:textId="0D0CF99C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Marmot, M.G. (2022). Social inequalities in mortality: the social environment. In Class and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health (pp. 21-33). Routledge.</w:t>
      </w:r>
    </w:p>
    <w:p w14:paraId="6DCB15B9" w14:textId="77777777" w:rsidR="00F43556" w:rsidRPr="00F43556" w:rsidRDefault="00F43556" w:rsidP="00F43556">
      <w:pPr>
        <w:spacing w:line="360" w:lineRule="auto"/>
        <w:rPr>
          <w:rFonts w:ascii="Arial" w:hAnsi="Arial" w:cs="Arial"/>
        </w:rPr>
      </w:pPr>
    </w:p>
    <w:p w14:paraId="7C014A4E" w14:textId="606F8E66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McPake, B., Dayal, P., Zimmermann, J. and Williams, G.A. (2024). How can countries respond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to the health and care workforce crisis? Insights from international evidence. The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International Journal of Health Planning and Management, 39(3), pp.879-887.</w:t>
      </w:r>
    </w:p>
    <w:p w14:paraId="4E122EC4" w14:textId="77777777" w:rsidR="00F43556" w:rsidRDefault="00F43556" w:rsidP="00F43556">
      <w:pPr>
        <w:spacing w:line="360" w:lineRule="auto"/>
        <w:rPr>
          <w:rFonts w:ascii="Arial" w:hAnsi="Arial" w:cs="Arial"/>
        </w:rPr>
      </w:pPr>
    </w:p>
    <w:p w14:paraId="34166A7F" w14:textId="1040CC9B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Melam, C., Dyson, J. and Thomson, K. (2025). The role of social prescribing interventions in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addressing health inequalities in the United Kingdom: a narrative review. Health &amp;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Social Care in the Community, 2025(1), p.6613809.</w:t>
      </w:r>
    </w:p>
    <w:p w14:paraId="1C211BD4" w14:textId="77777777" w:rsidR="00F43556" w:rsidRPr="00F43556" w:rsidRDefault="00F43556" w:rsidP="00F43556">
      <w:pPr>
        <w:spacing w:line="360" w:lineRule="auto"/>
        <w:rPr>
          <w:rFonts w:ascii="Arial" w:hAnsi="Arial" w:cs="Arial"/>
        </w:rPr>
      </w:pPr>
    </w:p>
    <w:p w14:paraId="2880C81D" w14:textId="4FD4E560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Monaco, S. (2024). SDG 3. Ensure healthy lives and promote well-being for all at all ages.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In Identity, territories, and sustainability: challenges and opportunities for achieving the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UN sustainable development goals (pp. 33-41). Emerald Publishing Limited.</w:t>
      </w:r>
    </w:p>
    <w:p w14:paraId="052196DE" w14:textId="77777777" w:rsidR="00F43556" w:rsidRDefault="00F43556" w:rsidP="00F43556">
      <w:pPr>
        <w:spacing w:line="360" w:lineRule="auto"/>
        <w:rPr>
          <w:rFonts w:ascii="Arial" w:hAnsi="Arial" w:cs="Arial"/>
        </w:rPr>
      </w:pPr>
    </w:p>
    <w:p w14:paraId="70777C00" w14:textId="03B54749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lastRenderedPageBreak/>
        <w:t>NHS England (2024). NHS England - NHS Long Term Workforce Plan. [online] NHS England.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 xml:space="preserve">Available at: </w:t>
      </w:r>
      <w:hyperlink r:id="rId4" w:history="1">
        <w:r w:rsidRPr="00A649D1">
          <w:rPr>
            <w:rStyle w:val="Hyperlink"/>
            <w:rFonts w:ascii="Arial" w:hAnsi="Arial" w:cs="Arial"/>
          </w:rPr>
          <w:t>https://www.england.nhs.uk/long-read/nhs-long-term-workforce-plan-2/</w:t>
        </w:r>
      </w:hyperlink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[Accessed 10 July 2026].</w:t>
      </w:r>
    </w:p>
    <w:p w14:paraId="530669C5" w14:textId="77777777" w:rsidR="00F43556" w:rsidRPr="00F43556" w:rsidRDefault="00F43556" w:rsidP="00F43556">
      <w:pPr>
        <w:spacing w:line="360" w:lineRule="auto"/>
        <w:rPr>
          <w:rFonts w:ascii="Arial" w:hAnsi="Arial" w:cs="Arial"/>
        </w:rPr>
      </w:pPr>
    </w:p>
    <w:p w14:paraId="34E31A84" w14:textId="5E5D6A21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NHS England (2024). NHS England » Mental Health Five Year Forward View Dashboard.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 xml:space="preserve">[online] England.nhs.uk. Available at: </w:t>
      </w:r>
      <w:hyperlink r:id="rId5" w:history="1">
        <w:r w:rsidRPr="00A649D1">
          <w:rPr>
            <w:rStyle w:val="Hyperlink"/>
            <w:rFonts w:ascii="Arial" w:hAnsi="Arial" w:cs="Arial"/>
          </w:rPr>
          <w:t>https://www.england.nhs.uk/mental-</w:t>
        </w:r>
      </w:hyperlink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health/taskforce/imp/mh-dashboard/ [Accessed 10 July 2026].</w:t>
      </w:r>
    </w:p>
    <w:p w14:paraId="10AD9B1A" w14:textId="77777777" w:rsidR="00F43556" w:rsidRDefault="00F43556" w:rsidP="00F43556">
      <w:pPr>
        <w:spacing w:line="360" w:lineRule="auto"/>
        <w:rPr>
          <w:rFonts w:ascii="Arial" w:hAnsi="Arial" w:cs="Arial"/>
        </w:rPr>
      </w:pPr>
    </w:p>
    <w:p w14:paraId="3BF85328" w14:textId="1825231C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ONS (2025). Healthy life expectancy by national area deprivation, England and Wales. [online]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Ons.gov.uk. Available at:</w:t>
      </w:r>
      <w:r>
        <w:rPr>
          <w:rFonts w:ascii="Arial" w:hAnsi="Arial" w:cs="Arial"/>
        </w:rPr>
        <w:t xml:space="preserve"> </w:t>
      </w:r>
      <w:hyperlink r:id="rId6" w:history="1">
        <w:r w:rsidRPr="00A649D1">
          <w:rPr>
            <w:rStyle w:val="Hyperlink"/>
            <w:rFonts w:ascii="Arial" w:hAnsi="Arial" w:cs="Arial"/>
          </w:rPr>
          <w:t>https://www.ons.gov.uk/peoplepopulationandcommunity/healthandsocialcare/healthinequ</w:t>
        </w:r>
      </w:hyperlink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alities/bulletins/healthylifeexpectancybynationalareadeprivationenglandandwales/betwee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n2013to2015and2020to2022 [Accessed 10 July 2026].</w:t>
      </w:r>
    </w:p>
    <w:p w14:paraId="4CA85F6C" w14:textId="77777777" w:rsidR="00F43556" w:rsidRPr="00F43556" w:rsidRDefault="00F43556" w:rsidP="00F43556">
      <w:pPr>
        <w:spacing w:line="360" w:lineRule="auto"/>
        <w:rPr>
          <w:rFonts w:ascii="Arial" w:hAnsi="Arial" w:cs="Arial"/>
        </w:rPr>
      </w:pPr>
    </w:p>
    <w:p w14:paraId="4FBBB7F3" w14:textId="5B9C0AE7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Qazi, A., Simsekler, M.C.E. and Al-Mhdawi, M.K.S. (2024). From prevention to response: A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holistic exploration of factors shaping Global Health Security. Progress in Disaster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Science, 23, p.100344.</w:t>
      </w:r>
    </w:p>
    <w:p w14:paraId="1ECCAF95" w14:textId="77777777" w:rsidR="00F43556" w:rsidRDefault="00F43556" w:rsidP="00F43556">
      <w:pPr>
        <w:spacing w:line="360" w:lineRule="auto"/>
        <w:rPr>
          <w:rFonts w:ascii="Arial" w:hAnsi="Arial" w:cs="Arial"/>
        </w:rPr>
      </w:pPr>
    </w:p>
    <w:p w14:paraId="7EF72F68" w14:textId="79D9A2C1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Ranabhat, C.L., Acharya, S.P., Adhikari, C. and Kim, C.B. (2023). Universal health coverage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evolution, ongoing trend, and future challenge: A conceptual and historical policy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review. Frontiers in public health, 11, p.1041459.</w:t>
      </w:r>
    </w:p>
    <w:p w14:paraId="69C19891" w14:textId="77777777" w:rsidR="00F43556" w:rsidRPr="00F43556" w:rsidRDefault="00F43556" w:rsidP="00F43556">
      <w:pPr>
        <w:spacing w:line="360" w:lineRule="auto"/>
        <w:rPr>
          <w:rFonts w:ascii="Arial" w:hAnsi="Arial" w:cs="Arial"/>
        </w:rPr>
      </w:pPr>
    </w:p>
    <w:p w14:paraId="632B32E7" w14:textId="1D0368AF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Saputra, G.R. (2024). Analysing the Impact of Government Policy on Poverty Alleviation: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Evaluating Social Protection Programs, Healthcare Access, and Economic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Reforms. Inspirasi &amp; Strategi (INSPIRAT): Jurnal Kebijakan Publik &amp; Bisnis, 15(1),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pp.27-36.</w:t>
      </w:r>
    </w:p>
    <w:p w14:paraId="243155C0" w14:textId="77777777" w:rsidR="00F43556" w:rsidRDefault="00F43556" w:rsidP="00F43556">
      <w:pPr>
        <w:spacing w:line="360" w:lineRule="auto"/>
        <w:rPr>
          <w:rFonts w:ascii="Arial" w:hAnsi="Arial" w:cs="Arial"/>
        </w:rPr>
      </w:pPr>
    </w:p>
    <w:p w14:paraId="0EB4640B" w14:textId="3FFDE53F" w:rsidR="00F43556" w:rsidRP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Tan, S.Y., De Foo, C., Verma, M., Hanvoravongchai, P., Cheh, P.L.J., Pholpark, A., Marthias,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T., Hafidz, F., Putri, L.P., Mahendradhata, Y. and Giang, K.B. (2023). Mitigating the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impacts of the COVID-19 pandemic on vulnerable populations: lessons for improving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health and social equity. Social Science &amp; Medicine, 328, p.116007.</w:t>
      </w:r>
    </w:p>
    <w:p w14:paraId="628AD563" w14:textId="4D8F715E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lastRenderedPageBreak/>
        <w:t>Tanner, L., Kenny, R.P.W., Still, M., Ling, J., Pearson, F., Thompson, K. and Bhardwaj-Gosling,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R. (2022). NHS Health Check programme: a rapid review update. BMJ open, 12(2), p.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e052832.</w:t>
      </w:r>
    </w:p>
    <w:p w14:paraId="132A2D7A" w14:textId="77777777" w:rsidR="00F43556" w:rsidRDefault="00F43556" w:rsidP="00F43556">
      <w:pPr>
        <w:spacing w:line="360" w:lineRule="auto"/>
        <w:rPr>
          <w:rFonts w:ascii="Arial" w:hAnsi="Arial" w:cs="Arial"/>
        </w:rPr>
      </w:pPr>
    </w:p>
    <w:p w14:paraId="6FC0DCC2" w14:textId="31614A5F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Theodosopoulos, L., Fradelos, E.C., Panagiotou, A., Dreliozi, A. and Tzavella, F. (2024).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Delivering culturally competent care to migrants by healthcare personnel: A crucial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aspect of delivering culturally sensitive care. Social Sciences, 13(10), p.530.</w:t>
      </w:r>
    </w:p>
    <w:p w14:paraId="47B34C72" w14:textId="77777777" w:rsidR="00F43556" w:rsidRPr="00F43556" w:rsidRDefault="00F43556" w:rsidP="00F43556">
      <w:pPr>
        <w:spacing w:line="360" w:lineRule="auto"/>
        <w:rPr>
          <w:rFonts w:ascii="Arial" w:hAnsi="Arial" w:cs="Arial"/>
        </w:rPr>
      </w:pPr>
    </w:p>
    <w:p w14:paraId="0D90D273" w14:textId="458C8BB3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United Nations (2015). The 17 sustainable development goals. [online] United Nations.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Available at: https://sdgs.un.org/goals [Accessed 10 July 2026].</w:t>
      </w:r>
    </w:p>
    <w:p w14:paraId="6E2BFFEC" w14:textId="77777777" w:rsidR="00F43556" w:rsidRDefault="00F43556" w:rsidP="00F43556">
      <w:pPr>
        <w:spacing w:line="360" w:lineRule="auto"/>
        <w:rPr>
          <w:rFonts w:ascii="Arial" w:hAnsi="Arial" w:cs="Arial"/>
        </w:rPr>
      </w:pPr>
    </w:p>
    <w:p w14:paraId="74B62574" w14:textId="76FF1E7B" w:rsidR="00F43556" w:rsidRP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United Nations (2024a). The Sustainable Development Goals Report 2024. [online] United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 xml:space="preserve">Nations, pp.1–51. Available at: </w:t>
      </w:r>
      <w:hyperlink r:id="rId7" w:history="1">
        <w:r w:rsidRPr="00A649D1">
          <w:rPr>
            <w:rStyle w:val="Hyperlink"/>
            <w:rFonts w:ascii="Arial" w:hAnsi="Arial" w:cs="Arial"/>
          </w:rPr>
          <w:t>https://unstats.un.org/sdgs/report/2024/The-Sustainable-</w:t>
        </w:r>
      </w:hyperlink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Development-Goals-Report-2024.pdf [Accessed 10 July 2026].</w:t>
      </w:r>
    </w:p>
    <w:p w14:paraId="0AC7D572" w14:textId="77777777" w:rsidR="00F43556" w:rsidRPr="00F43556" w:rsidRDefault="00F43556" w:rsidP="00F43556">
      <w:pPr>
        <w:spacing w:line="360" w:lineRule="auto"/>
        <w:rPr>
          <w:rFonts w:ascii="Arial" w:hAnsi="Arial" w:cs="Arial"/>
        </w:rPr>
      </w:pPr>
    </w:p>
    <w:p w14:paraId="6533D662" w14:textId="0EAE38BD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United Nations (2024b). World Social Report 2024 Social Development in Times of Converging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Crises: A Call for Global Action. [online] Available at:</w:t>
      </w:r>
      <w:r>
        <w:rPr>
          <w:rFonts w:ascii="Arial" w:hAnsi="Arial" w:cs="Arial"/>
        </w:rPr>
        <w:t xml:space="preserve"> </w:t>
      </w:r>
      <w:hyperlink r:id="rId8" w:history="1">
        <w:r w:rsidRPr="00A649D1">
          <w:rPr>
            <w:rStyle w:val="Hyperlink"/>
            <w:rFonts w:ascii="Arial" w:hAnsi="Arial" w:cs="Arial"/>
          </w:rPr>
          <w:t>https://www.un.org/development/desa/dpad/wp-content/uploads/sites/45/DESA-World-</w:t>
        </w:r>
      </w:hyperlink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Social-Report_2024_FINAL_WEB.pdf [Accessed 10 July 2026].</w:t>
      </w:r>
    </w:p>
    <w:p w14:paraId="5FD9D5DB" w14:textId="77777777" w:rsidR="00F43556" w:rsidRDefault="00F43556" w:rsidP="00F43556">
      <w:pPr>
        <w:spacing w:line="360" w:lineRule="auto"/>
        <w:rPr>
          <w:rFonts w:ascii="Arial" w:hAnsi="Arial" w:cs="Arial"/>
        </w:rPr>
      </w:pPr>
    </w:p>
    <w:p w14:paraId="541B16AF" w14:textId="31090600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van de Vijver, S., Tensen, P., Asiki, G., Requena-Méndez, A., Heidenrijk, M., Stronks, K.,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Cobelens, F., Bont, J. and Agyemang, C. (2023). Digital health for all: how digital health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could reduce inequality and increase universal health coverage. Digital health, 9,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p.20552076231185434.</w:t>
      </w:r>
    </w:p>
    <w:p w14:paraId="798920AC" w14:textId="77777777" w:rsidR="00F43556" w:rsidRPr="00F43556" w:rsidRDefault="00F43556" w:rsidP="00F43556">
      <w:pPr>
        <w:spacing w:line="360" w:lineRule="auto"/>
        <w:rPr>
          <w:rFonts w:ascii="Arial" w:hAnsi="Arial" w:cs="Arial"/>
        </w:rPr>
      </w:pPr>
    </w:p>
    <w:p w14:paraId="41DFD0E8" w14:textId="422D8838" w:rsidR="00F43556" w:rsidRDefault="00F43556" w:rsidP="00F43556">
      <w:pPr>
        <w:spacing w:line="360" w:lineRule="auto"/>
        <w:rPr>
          <w:rFonts w:ascii="Arial" w:hAnsi="Arial" w:cs="Arial"/>
        </w:rPr>
      </w:pPr>
      <w:r w:rsidRPr="00F43556">
        <w:rPr>
          <w:rFonts w:ascii="Arial" w:hAnsi="Arial" w:cs="Arial"/>
        </w:rPr>
        <w:t>Vargas, C.M. and Cooper, P.J. (2024). Implementing sustainable development: From global</w:t>
      </w:r>
      <w:r>
        <w:rPr>
          <w:rFonts w:ascii="Arial" w:hAnsi="Arial" w:cs="Arial"/>
        </w:rPr>
        <w:t xml:space="preserve"> </w:t>
      </w:r>
      <w:r w:rsidRPr="00F43556">
        <w:rPr>
          <w:rFonts w:ascii="Arial" w:hAnsi="Arial" w:cs="Arial"/>
        </w:rPr>
        <w:t>policy to local action. Bloomsbury Publishing USA.</w:t>
      </w:r>
    </w:p>
    <w:p w14:paraId="25A5798C" w14:textId="77777777" w:rsidR="00F43556" w:rsidRDefault="00F43556" w:rsidP="00F43556">
      <w:pPr>
        <w:spacing w:line="360" w:lineRule="auto"/>
        <w:rPr>
          <w:rFonts w:ascii="Arial" w:hAnsi="Arial" w:cs="Arial"/>
        </w:rPr>
      </w:pPr>
    </w:p>
    <w:p w14:paraId="341A8190" w14:textId="62F70A52" w:rsidR="00CB2BA4" w:rsidRPr="00CB2BA4" w:rsidRDefault="00CB2BA4" w:rsidP="00CB2BA4">
      <w:pPr>
        <w:spacing w:line="360" w:lineRule="auto"/>
        <w:rPr>
          <w:rFonts w:ascii="Arial" w:hAnsi="Arial" w:cs="Arial"/>
        </w:rPr>
      </w:pPr>
      <w:r w:rsidRPr="00CB2BA4">
        <w:rPr>
          <w:rFonts w:ascii="Arial" w:hAnsi="Arial" w:cs="Arial"/>
        </w:rPr>
        <w:t>Walsh, P.P., Banerjee, A. and Murphy, E. (2022). The UN 2030 agenda for sustainable</w:t>
      </w:r>
      <w:r>
        <w:rPr>
          <w:rFonts w:ascii="Arial" w:hAnsi="Arial" w:cs="Arial"/>
        </w:rPr>
        <w:t xml:space="preserve"> </w:t>
      </w:r>
      <w:r w:rsidRPr="00CB2BA4">
        <w:rPr>
          <w:rFonts w:ascii="Arial" w:hAnsi="Arial" w:cs="Arial"/>
        </w:rPr>
        <w:t>development. In Partnerships and the sustainable development goals (pp. 1-12). Cham:</w:t>
      </w:r>
      <w:r>
        <w:rPr>
          <w:rFonts w:ascii="Arial" w:hAnsi="Arial" w:cs="Arial"/>
        </w:rPr>
        <w:t xml:space="preserve"> </w:t>
      </w:r>
      <w:r w:rsidRPr="00CB2BA4">
        <w:rPr>
          <w:rFonts w:ascii="Arial" w:hAnsi="Arial" w:cs="Arial"/>
        </w:rPr>
        <w:t>Springer International Publishing.</w:t>
      </w:r>
    </w:p>
    <w:p w14:paraId="18B989DA" w14:textId="796B3471" w:rsidR="00CB2BA4" w:rsidRPr="00CB2BA4" w:rsidRDefault="00CB2BA4" w:rsidP="00CB2BA4">
      <w:pPr>
        <w:spacing w:line="360" w:lineRule="auto"/>
        <w:rPr>
          <w:rFonts w:ascii="Arial" w:hAnsi="Arial" w:cs="Arial"/>
        </w:rPr>
      </w:pPr>
      <w:r w:rsidRPr="00CB2BA4">
        <w:rPr>
          <w:rFonts w:ascii="Arial" w:hAnsi="Arial" w:cs="Arial"/>
        </w:rPr>
        <w:lastRenderedPageBreak/>
        <w:t>World Health Organization (2025). Universal Health Coverage (UHC). [online] World Health</w:t>
      </w:r>
      <w:r>
        <w:rPr>
          <w:rFonts w:ascii="Arial" w:hAnsi="Arial" w:cs="Arial"/>
        </w:rPr>
        <w:t xml:space="preserve"> </w:t>
      </w:r>
      <w:r w:rsidRPr="00CB2BA4">
        <w:rPr>
          <w:rFonts w:ascii="Arial" w:hAnsi="Arial" w:cs="Arial"/>
        </w:rPr>
        <w:t xml:space="preserve">Organization. Available at: </w:t>
      </w:r>
      <w:hyperlink r:id="rId9" w:history="1">
        <w:r w:rsidRPr="00A649D1">
          <w:rPr>
            <w:rStyle w:val="Hyperlink"/>
            <w:rFonts w:ascii="Arial" w:hAnsi="Arial" w:cs="Arial"/>
          </w:rPr>
          <w:t>https://www.who.int/news-room/fact-sheets/detail/universal-</w:t>
        </w:r>
      </w:hyperlink>
      <w:r>
        <w:rPr>
          <w:rFonts w:ascii="Arial" w:hAnsi="Arial" w:cs="Arial"/>
        </w:rPr>
        <w:t xml:space="preserve"> </w:t>
      </w:r>
      <w:r w:rsidRPr="00CB2BA4">
        <w:rPr>
          <w:rFonts w:ascii="Arial" w:hAnsi="Arial" w:cs="Arial"/>
        </w:rPr>
        <w:t>health-coverage-(uhc) [Accessed 10 July 2026].</w:t>
      </w:r>
    </w:p>
    <w:p w14:paraId="20EA35CE" w14:textId="77777777" w:rsidR="00CB2BA4" w:rsidRPr="00CB2BA4" w:rsidRDefault="00CB2BA4" w:rsidP="00CB2BA4">
      <w:pPr>
        <w:spacing w:line="360" w:lineRule="auto"/>
        <w:rPr>
          <w:rFonts w:ascii="Arial" w:hAnsi="Arial" w:cs="Arial"/>
        </w:rPr>
      </w:pPr>
    </w:p>
    <w:p w14:paraId="7A72DD7C" w14:textId="43EC84D7" w:rsidR="00F43556" w:rsidRPr="00F43556" w:rsidRDefault="00CB2BA4" w:rsidP="00CB2BA4">
      <w:pPr>
        <w:spacing w:line="360" w:lineRule="auto"/>
        <w:rPr>
          <w:rFonts w:ascii="Arial" w:hAnsi="Arial" w:cs="Arial"/>
        </w:rPr>
      </w:pPr>
      <w:r w:rsidRPr="00CB2BA4">
        <w:rPr>
          <w:rFonts w:ascii="Arial" w:hAnsi="Arial" w:cs="Arial"/>
        </w:rPr>
        <w:t>World Health Organization (2023). Assessing national capacity for the prevention and control of</w:t>
      </w:r>
      <w:r>
        <w:rPr>
          <w:rFonts w:ascii="Arial" w:hAnsi="Arial" w:cs="Arial"/>
        </w:rPr>
        <w:t xml:space="preserve"> </w:t>
      </w:r>
      <w:r w:rsidRPr="00CB2BA4">
        <w:rPr>
          <w:rFonts w:ascii="Arial" w:hAnsi="Arial" w:cs="Arial"/>
        </w:rPr>
        <w:t>noncommunicable diseases: report of the 2021 global survey. World Health</w:t>
      </w:r>
      <w:r>
        <w:rPr>
          <w:rFonts w:ascii="Arial" w:hAnsi="Arial" w:cs="Arial"/>
        </w:rPr>
        <w:t xml:space="preserve"> </w:t>
      </w:r>
      <w:r w:rsidRPr="00CB2BA4">
        <w:rPr>
          <w:rFonts w:ascii="Arial" w:hAnsi="Arial" w:cs="Arial"/>
        </w:rPr>
        <w:t>Organization.</w:t>
      </w:r>
    </w:p>
    <w:sectPr w:rsidR="00F43556" w:rsidRPr="00F435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77C7"/>
    <w:rsid w:val="001F1B72"/>
    <w:rsid w:val="002977C7"/>
    <w:rsid w:val="003A6407"/>
    <w:rsid w:val="0042079C"/>
    <w:rsid w:val="004C7CB8"/>
    <w:rsid w:val="00556609"/>
    <w:rsid w:val="009710D4"/>
    <w:rsid w:val="00CA7118"/>
    <w:rsid w:val="00CB2BA4"/>
    <w:rsid w:val="00DD1C81"/>
    <w:rsid w:val="00F43556"/>
    <w:rsid w:val="00F62D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B5CDA1"/>
  <w15:chartTrackingRefBased/>
  <w15:docId w15:val="{E56503C7-08F5-4A72-96EB-AABF88D053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77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77C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77C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77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77C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77C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77C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77C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77C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77C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77C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77C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77C7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77C7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77C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77C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77C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77C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77C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77C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77C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77C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77C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77C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77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77C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77C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77C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77C7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4355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355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n.org/development/desa/dpad/wp-content/uploads/sites/45/DESA-World-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unstats.un.org/sdgs/report/2024/The-Sustainable-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ons.gov.uk/peoplepopulationandcommunity/healthandsocialcare/healthinequ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england.nhs.uk/mental-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england.nhs.uk/long-read/nhs-long-term-workforce-plan-2/" TargetMode="External"/><Relationship Id="rId9" Type="http://schemas.openxmlformats.org/officeDocument/2006/relationships/hyperlink" Target="https://www.who.int/news-room/fact-sheets/detail/universal-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12</Pages>
  <Words>3379</Words>
  <Characters>19264</Characters>
  <Application>Microsoft Office Word</Application>
  <DocSecurity>0</DocSecurity>
  <Lines>160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Azra Bi (2312900)</dc:creator>
  <cp:keywords/>
  <dc:description/>
  <cp:lastModifiedBy>Azra Bi (2312900)</cp:lastModifiedBy>
  <cp:revision>3</cp:revision>
  <dcterms:created xsi:type="dcterms:W3CDTF">2026-07-12T11:25:00Z</dcterms:created>
  <dcterms:modified xsi:type="dcterms:W3CDTF">2026-07-12T16:04:00Z</dcterms:modified>
</cp:coreProperties>
</file>