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244ADB" w14:textId="77777777" w:rsidR="00812F90" w:rsidRDefault="00812F90" w:rsidP="00812F90">
      <w:pPr>
        <w:rPr>
          <w:rFonts w:ascii="Times New Roman" w:hAnsi="Times New Roman" w:cs="Times New Roman"/>
          <w:sz w:val="28"/>
          <w:szCs w:val="28"/>
          <w:u w:val="single"/>
        </w:rPr>
      </w:pPr>
      <w:r>
        <w:rPr>
          <w:rFonts w:ascii="Times New Roman" w:hAnsi="Times New Roman" w:cs="Times New Roman"/>
          <w:sz w:val="28"/>
          <w:szCs w:val="28"/>
          <w:u w:val="single"/>
        </w:rPr>
        <w:t>Bernadette Horton</w:t>
      </w:r>
    </w:p>
    <w:p w14:paraId="66586B01" w14:textId="77777777" w:rsidR="00812F90" w:rsidRDefault="00812F90" w:rsidP="00812F90">
      <w:pPr>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14:paraId="690DEF16" w14:textId="77777777" w:rsidR="00812F90" w:rsidRDefault="00812F90" w:rsidP="00812F90">
      <w:pPr>
        <w:rPr>
          <w:rFonts w:ascii="Times New Roman" w:hAnsi="Times New Roman" w:cs="Times New Roman"/>
          <w:sz w:val="28"/>
          <w:szCs w:val="28"/>
          <w:u w:val="single"/>
        </w:rPr>
      </w:pPr>
      <w:r>
        <w:rPr>
          <w:rFonts w:ascii="Times New Roman" w:hAnsi="Times New Roman" w:cs="Times New Roman"/>
          <w:sz w:val="28"/>
          <w:szCs w:val="28"/>
          <w:u w:val="single"/>
        </w:rPr>
        <w:t>Module: HPEN 5017</w:t>
      </w:r>
    </w:p>
    <w:p w14:paraId="569A0425" w14:textId="4797E877" w:rsidR="00812F90" w:rsidRDefault="00812F90" w:rsidP="00812F90">
      <w:pPr>
        <w:rPr>
          <w:rFonts w:ascii="Times New Roman" w:hAnsi="Times New Roman" w:cs="Times New Roman"/>
          <w:sz w:val="28"/>
          <w:szCs w:val="28"/>
          <w:u w:val="single"/>
        </w:rPr>
      </w:pPr>
      <w:r>
        <w:rPr>
          <w:rFonts w:ascii="Times New Roman" w:hAnsi="Times New Roman" w:cs="Times New Roman"/>
          <w:sz w:val="28"/>
          <w:szCs w:val="28"/>
          <w:u w:val="single"/>
        </w:rPr>
        <w:t>English Independent Project</w:t>
      </w:r>
    </w:p>
    <w:p w14:paraId="29BE0934" w14:textId="7A73DFE9" w:rsidR="00812F90" w:rsidRDefault="00812F90" w:rsidP="00812F90">
      <w:pPr>
        <w:rPr>
          <w:rFonts w:ascii="Times New Roman" w:hAnsi="Times New Roman" w:cs="Times New Roman"/>
          <w:sz w:val="28"/>
          <w:szCs w:val="28"/>
          <w:u w:val="single"/>
        </w:rPr>
      </w:pPr>
    </w:p>
    <w:p w14:paraId="4A61ED8C" w14:textId="0F579733" w:rsidR="00812F90" w:rsidRDefault="00812F90" w:rsidP="00D64B97">
      <w:pPr>
        <w:spacing w:line="360" w:lineRule="auto"/>
        <w:jc w:val="center"/>
        <w:rPr>
          <w:rFonts w:ascii="Times New Roman" w:hAnsi="Times New Roman" w:cs="Times New Roman"/>
          <w:b/>
          <w:bCs/>
          <w:sz w:val="28"/>
          <w:szCs w:val="28"/>
          <w:u w:val="single"/>
        </w:rPr>
      </w:pPr>
      <w:r w:rsidRPr="00812F90">
        <w:rPr>
          <w:rFonts w:ascii="Times New Roman" w:hAnsi="Times New Roman" w:cs="Times New Roman"/>
          <w:b/>
          <w:bCs/>
          <w:sz w:val="28"/>
          <w:szCs w:val="28"/>
          <w:u w:val="single"/>
        </w:rPr>
        <w:t>Exercise on Encyclopaedias and Subject Dictionaries</w:t>
      </w:r>
    </w:p>
    <w:p w14:paraId="20F2B9CE" w14:textId="4D69DA44" w:rsidR="003823A6" w:rsidRPr="003823A6" w:rsidRDefault="003823A6" w:rsidP="00D64B97">
      <w:pPr>
        <w:spacing w:line="360" w:lineRule="auto"/>
        <w:rPr>
          <w:rFonts w:ascii="Times New Roman" w:hAnsi="Times New Roman" w:cs="Times New Roman"/>
          <w:b/>
          <w:bCs/>
          <w:sz w:val="24"/>
          <w:szCs w:val="24"/>
        </w:rPr>
      </w:pPr>
      <w:r w:rsidRPr="003823A6">
        <w:rPr>
          <w:rFonts w:ascii="Times New Roman" w:hAnsi="Times New Roman" w:cs="Times New Roman"/>
          <w:b/>
          <w:bCs/>
          <w:sz w:val="24"/>
          <w:szCs w:val="24"/>
        </w:rPr>
        <w:t xml:space="preserve">Picart, Bernard, </w:t>
      </w:r>
      <w:r w:rsidRPr="009F7DF4">
        <w:rPr>
          <w:rFonts w:ascii="Times New Roman" w:hAnsi="Times New Roman" w:cs="Times New Roman"/>
          <w:b/>
          <w:bCs/>
          <w:i/>
          <w:iCs/>
          <w:sz w:val="24"/>
          <w:szCs w:val="24"/>
        </w:rPr>
        <w:t>The Ceremonies and Religious Customs of the Various Nations of the Known World : Together with Historical Annotations and Several Curious Discourses E</w:t>
      </w:r>
      <w:r w:rsidR="009F7DF4">
        <w:rPr>
          <w:rFonts w:ascii="Times New Roman" w:hAnsi="Times New Roman" w:cs="Times New Roman"/>
          <w:b/>
          <w:bCs/>
          <w:i/>
          <w:iCs/>
          <w:sz w:val="24"/>
          <w:szCs w:val="24"/>
        </w:rPr>
        <w:t>q</w:t>
      </w:r>
      <w:r w:rsidRPr="009F7DF4">
        <w:rPr>
          <w:rFonts w:ascii="Times New Roman" w:hAnsi="Times New Roman" w:cs="Times New Roman"/>
          <w:b/>
          <w:bCs/>
          <w:i/>
          <w:iCs/>
          <w:sz w:val="24"/>
          <w:szCs w:val="24"/>
        </w:rPr>
        <w:t>u</w:t>
      </w:r>
      <w:r w:rsidR="009F7DF4">
        <w:rPr>
          <w:rFonts w:ascii="Times New Roman" w:hAnsi="Times New Roman" w:cs="Times New Roman"/>
          <w:b/>
          <w:bCs/>
          <w:i/>
          <w:iCs/>
          <w:sz w:val="24"/>
          <w:szCs w:val="24"/>
        </w:rPr>
        <w:t>a</w:t>
      </w:r>
      <w:r w:rsidRPr="009F7DF4">
        <w:rPr>
          <w:rFonts w:ascii="Times New Roman" w:hAnsi="Times New Roman" w:cs="Times New Roman"/>
          <w:b/>
          <w:bCs/>
          <w:i/>
          <w:iCs/>
          <w:sz w:val="24"/>
          <w:szCs w:val="24"/>
        </w:rPr>
        <w:t>lly Instructive and Entertaining : Written Originally in French, and Illustrated with a large number of Folio Copper Plates</w:t>
      </w:r>
      <w:r w:rsidRPr="003823A6">
        <w:rPr>
          <w:rFonts w:ascii="Times New Roman" w:hAnsi="Times New Roman" w:cs="Times New Roman"/>
          <w:b/>
          <w:bCs/>
          <w:sz w:val="24"/>
          <w:szCs w:val="24"/>
        </w:rPr>
        <w:t>, 6 vols (London: Printed by William Jackson, 1733-37) PHI 00229</w:t>
      </w:r>
    </w:p>
    <w:p w14:paraId="6D9DE185" w14:textId="3F4B94D7" w:rsidR="00936399" w:rsidRDefault="00936399" w:rsidP="00D64B97">
      <w:pPr>
        <w:spacing w:line="360" w:lineRule="auto"/>
      </w:pPr>
    </w:p>
    <w:p w14:paraId="5199E17C" w14:textId="7F72B7C4" w:rsidR="003823A6" w:rsidRDefault="003823A6" w:rsidP="00D64B97">
      <w:pPr>
        <w:spacing w:line="360" w:lineRule="auto"/>
        <w:rPr>
          <w:rFonts w:ascii="Times New Roman" w:hAnsi="Times New Roman" w:cs="Times New Roman"/>
          <w:sz w:val="24"/>
          <w:szCs w:val="24"/>
        </w:rPr>
      </w:pPr>
      <w:r>
        <w:rPr>
          <w:rFonts w:ascii="Times New Roman" w:hAnsi="Times New Roman" w:cs="Times New Roman"/>
          <w:sz w:val="24"/>
          <w:szCs w:val="24"/>
        </w:rPr>
        <w:t>This immense undertaking of work is printed in 6 huge volumes. Essentially it is a religious encyclopaedia, detailing in particular some of the world religions such as Christianity and looks in depth at Catholicism and Protestan</w:t>
      </w:r>
      <w:r w:rsidR="00D64B97">
        <w:rPr>
          <w:rFonts w:ascii="Times New Roman" w:hAnsi="Times New Roman" w:cs="Times New Roman"/>
          <w:sz w:val="24"/>
          <w:szCs w:val="24"/>
        </w:rPr>
        <w:t>t</w:t>
      </w:r>
      <w:r>
        <w:rPr>
          <w:rFonts w:ascii="Times New Roman" w:hAnsi="Times New Roman" w:cs="Times New Roman"/>
          <w:sz w:val="24"/>
          <w:szCs w:val="24"/>
        </w:rPr>
        <w:t>ism but then explores the religions of individual countries at length plus ceremonies and festivals</w:t>
      </w:r>
      <w:r w:rsidR="00A413DC">
        <w:rPr>
          <w:rFonts w:ascii="Times New Roman" w:hAnsi="Times New Roman" w:cs="Times New Roman"/>
          <w:sz w:val="24"/>
          <w:szCs w:val="24"/>
        </w:rPr>
        <w:t>. There are also some lengthy essays on aspects of Catholicism, what we now know as Islam, ceremonies and customs of Jews, and historical memoirs of the Inquisition among others.</w:t>
      </w:r>
    </w:p>
    <w:p w14:paraId="6F00CB7E" w14:textId="31FCDA22" w:rsidR="00A413DC" w:rsidRDefault="00A413DC" w:rsidP="00D64B9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volumes are broken up into main sections with a title and under these main sections are subsections relating to the title subject. Volume 1 has </w:t>
      </w:r>
      <w:r w:rsidR="0086270F">
        <w:rPr>
          <w:rFonts w:ascii="Times New Roman" w:hAnsi="Times New Roman" w:cs="Times New Roman"/>
          <w:sz w:val="24"/>
          <w:szCs w:val="24"/>
        </w:rPr>
        <w:t>a first part and a second part. The first part is titled ‘</w:t>
      </w:r>
      <w:r w:rsidR="0086270F" w:rsidRPr="0086270F">
        <w:rPr>
          <w:rFonts w:ascii="Times New Roman" w:hAnsi="Times New Roman" w:cs="Times New Roman"/>
          <w:i/>
          <w:iCs/>
          <w:sz w:val="24"/>
          <w:szCs w:val="24"/>
        </w:rPr>
        <w:t>Ceremonies and Customs of Modern Jews’</w:t>
      </w:r>
      <w:r w:rsidR="00882DE6">
        <w:rPr>
          <w:rStyle w:val="FootnoteReference"/>
          <w:rFonts w:ascii="Times New Roman" w:hAnsi="Times New Roman" w:cs="Times New Roman"/>
          <w:i/>
          <w:iCs/>
          <w:sz w:val="24"/>
          <w:szCs w:val="24"/>
        </w:rPr>
        <w:footnoteReference w:id="1"/>
      </w:r>
      <w:r w:rsidR="0086270F">
        <w:rPr>
          <w:rFonts w:ascii="Times New Roman" w:hAnsi="Times New Roman" w:cs="Times New Roman"/>
          <w:sz w:val="24"/>
          <w:szCs w:val="24"/>
        </w:rPr>
        <w:t xml:space="preserve"> with subsections – ‘</w:t>
      </w:r>
      <w:r w:rsidR="0086270F" w:rsidRPr="0086270F">
        <w:rPr>
          <w:rFonts w:ascii="Times New Roman" w:hAnsi="Times New Roman" w:cs="Times New Roman"/>
          <w:i/>
          <w:iCs/>
          <w:sz w:val="24"/>
          <w:szCs w:val="24"/>
        </w:rPr>
        <w:t>Sects of the Jews, Alms of the Jews, The Ablutions of the Jews.’</w:t>
      </w:r>
      <w:r w:rsidR="0086270F">
        <w:rPr>
          <w:rFonts w:ascii="Times New Roman" w:hAnsi="Times New Roman" w:cs="Times New Roman"/>
          <w:sz w:val="24"/>
          <w:szCs w:val="24"/>
        </w:rPr>
        <w:t xml:space="preserve"> There follows the second part of Volume 1 which itself is then divided into three subsections, and again divided into subheadings. The first part is ‘</w:t>
      </w:r>
      <w:r w:rsidR="0086270F" w:rsidRPr="0086270F">
        <w:rPr>
          <w:rFonts w:ascii="Times New Roman" w:hAnsi="Times New Roman" w:cs="Times New Roman"/>
          <w:i/>
          <w:iCs/>
          <w:sz w:val="24"/>
          <w:szCs w:val="24"/>
        </w:rPr>
        <w:t>A dissertation of the Christian Religion according to the principles of the Roman Catholics’</w:t>
      </w:r>
      <w:r w:rsidR="0086270F">
        <w:rPr>
          <w:rFonts w:ascii="Times New Roman" w:hAnsi="Times New Roman" w:cs="Times New Roman"/>
          <w:sz w:val="24"/>
          <w:szCs w:val="24"/>
        </w:rPr>
        <w:t xml:space="preserve"> and its subheadings are, </w:t>
      </w:r>
      <w:r w:rsidR="0086270F" w:rsidRPr="0086270F">
        <w:rPr>
          <w:rFonts w:ascii="Times New Roman" w:hAnsi="Times New Roman" w:cs="Times New Roman"/>
          <w:i/>
          <w:iCs/>
          <w:sz w:val="24"/>
          <w:szCs w:val="24"/>
        </w:rPr>
        <w:t>‘An idea of Christianity in general’, ‘An idea of the Christian religion according to the principles of the Roman Catholics’</w:t>
      </w:r>
      <w:r w:rsidR="0086270F">
        <w:rPr>
          <w:rFonts w:ascii="Times New Roman" w:hAnsi="Times New Roman" w:cs="Times New Roman"/>
          <w:i/>
          <w:iCs/>
          <w:sz w:val="24"/>
          <w:szCs w:val="24"/>
        </w:rPr>
        <w:t>.</w:t>
      </w:r>
      <w:r w:rsidR="0086270F">
        <w:rPr>
          <w:rFonts w:ascii="Times New Roman" w:hAnsi="Times New Roman" w:cs="Times New Roman"/>
          <w:sz w:val="24"/>
          <w:szCs w:val="24"/>
        </w:rPr>
        <w:t xml:space="preserve"> This is followed by Part 2 – </w:t>
      </w:r>
      <w:r w:rsidR="0086270F" w:rsidRPr="00434D06">
        <w:rPr>
          <w:rFonts w:ascii="Times New Roman" w:hAnsi="Times New Roman" w:cs="Times New Roman"/>
          <w:i/>
          <w:iCs/>
          <w:sz w:val="24"/>
          <w:szCs w:val="24"/>
        </w:rPr>
        <w:t>The Authority of the Church,</w:t>
      </w:r>
      <w:r w:rsidR="0086270F">
        <w:rPr>
          <w:rFonts w:ascii="Times New Roman" w:hAnsi="Times New Roman" w:cs="Times New Roman"/>
          <w:sz w:val="24"/>
          <w:szCs w:val="24"/>
        </w:rPr>
        <w:t xml:space="preserve"> which is then broken down into numerous subheadings such as the Authority of the Pope, the governance of the church etc</w:t>
      </w:r>
      <w:r w:rsidR="00434D06">
        <w:rPr>
          <w:rFonts w:ascii="Times New Roman" w:hAnsi="Times New Roman" w:cs="Times New Roman"/>
          <w:sz w:val="24"/>
          <w:szCs w:val="24"/>
        </w:rPr>
        <w:t xml:space="preserve">. Part 3 is titled – </w:t>
      </w:r>
      <w:r w:rsidR="00434D06" w:rsidRPr="00434D06">
        <w:rPr>
          <w:rFonts w:ascii="Times New Roman" w:hAnsi="Times New Roman" w:cs="Times New Roman"/>
          <w:i/>
          <w:iCs/>
          <w:sz w:val="24"/>
          <w:szCs w:val="24"/>
        </w:rPr>
        <w:t xml:space="preserve">‘The </w:t>
      </w:r>
      <w:r w:rsidR="00434D06" w:rsidRPr="00434D06">
        <w:rPr>
          <w:rFonts w:ascii="Times New Roman" w:hAnsi="Times New Roman" w:cs="Times New Roman"/>
          <w:i/>
          <w:iCs/>
          <w:sz w:val="24"/>
          <w:szCs w:val="24"/>
        </w:rPr>
        <w:lastRenderedPageBreak/>
        <w:t>Saints, the ceremonies the Festival</w:t>
      </w:r>
      <w:r w:rsidR="00434D06">
        <w:rPr>
          <w:rFonts w:ascii="Times New Roman" w:hAnsi="Times New Roman" w:cs="Times New Roman"/>
          <w:sz w:val="24"/>
          <w:szCs w:val="24"/>
        </w:rPr>
        <w:t xml:space="preserve">s’ with yet again numerous subheadings of particular saints feast days in the church calendar, and religious ceremonies and festivals. </w:t>
      </w:r>
    </w:p>
    <w:p w14:paraId="095285F5" w14:textId="0C2E08EC" w:rsidR="00434D06" w:rsidRDefault="00434D06" w:rsidP="00D64B97">
      <w:pPr>
        <w:spacing w:line="360" w:lineRule="auto"/>
        <w:rPr>
          <w:rFonts w:ascii="Times New Roman" w:hAnsi="Times New Roman" w:cs="Times New Roman"/>
          <w:sz w:val="24"/>
          <w:szCs w:val="24"/>
        </w:rPr>
      </w:pPr>
      <w:r>
        <w:rPr>
          <w:rFonts w:ascii="Times New Roman" w:hAnsi="Times New Roman" w:cs="Times New Roman"/>
          <w:sz w:val="24"/>
          <w:szCs w:val="24"/>
        </w:rPr>
        <w:t>Volume 2 seems to be a continuation of Volume 1 as it starts with Part 4 which is –‘</w:t>
      </w:r>
      <w:r w:rsidRPr="00434D06">
        <w:rPr>
          <w:rFonts w:ascii="Times New Roman" w:hAnsi="Times New Roman" w:cs="Times New Roman"/>
          <w:i/>
          <w:iCs/>
          <w:sz w:val="24"/>
          <w:szCs w:val="24"/>
        </w:rPr>
        <w:t>A Continuation of the Dissertations concerning the customs and religious ceremonies of the Roman Catholics’</w:t>
      </w:r>
      <w:r w:rsidR="00882DE6">
        <w:rPr>
          <w:rStyle w:val="FootnoteReference"/>
          <w:rFonts w:ascii="Times New Roman" w:hAnsi="Times New Roman" w:cs="Times New Roman"/>
          <w:i/>
          <w:iCs/>
          <w:sz w:val="24"/>
          <w:szCs w:val="24"/>
        </w:rPr>
        <w:footnoteReference w:id="2"/>
      </w:r>
      <w:r>
        <w:rPr>
          <w:rFonts w:ascii="Times New Roman" w:hAnsi="Times New Roman" w:cs="Times New Roman"/>
          <w:sz w:val="24"/>
          <w:szCs w:val="24"/>
        </w:rPr>
        <w:t xml:space="preserve"> with a subsection on ‘</w:t>
      </w:r>
      <w:r w:rsidRPr="00434D06">
        <w:rPr>
          <w:rFonts w:ascii="Times New Roman" w:hAnsi="Times New Roman" w:cs="Times New Roman"/>
          <w:i/>
          <w:iCs/>
          <w:sz w:val="24"/>
          <w:szCs w:val="24"/>
        </w:rPr>
        <w:t>Festivals, Sacraments and the Ceremonies of the Catholic Church’</w:t>
      </w:r>
      <w:r>
        <w:rPr>
          <w:rFonts w:ascii="Times New Roman" w:hAnsi="Times New Roman" w:cs="Times New Roman"/>
          <w:i/>
          <w:iCs/>
          <w:sz w:val="24"/>
          <w:szCs w:val="24"/>
        </w:rPr>
        <w:t>.</w:t>
      </w:r>
      <w:r>
        <w:rPr>
          <w:rFonts w:ascii="Times New Roman" w:hAnsi="Times New Roman" w:cs="Times New Roman"/>
          <w:sz w:val="24"/>
          <w:szCs w:val="24"/>
        </w:rPr>
        <w:t xml:space="preserve"> A new section is then titled – Book 1 which is titled </w:t>
      </w:r>
      <w:r w:rsidRPr="00434D06">
        <w:rPr>
          <w:rFonts w:ascii="Times New Roman" w:hAnsi="Times New Roman" w:cs="Times New Roman"/>
          <w:i/>
          <w:iCs/>
          <w:sz w:val="24"/>
          <w:szCs w:val="24"/>
        </w:rPr>
        <w:t xml:space="preserve">‘ Historical memoirs relating to the </w:t>
      </w:r>
      <w:r w:rsidR="003E0BAB" w:rsidRPr="00434D06">
        <w:rPr>
          <w:rFonts w:ascii="Times New Roman" w:hAnsi="Times New Roman" w:cs="Times New Roman"/>
          <w:i/>
          <w:iCs/>
          <w:sz w:val="24"/>
          <w:szCs w:val="24"/>
        </w:rPr>
        <w:t>Inquisition</w:t>
      </w:r>
      <w:r w:rsidRPr="00434D06">
        <w:rPr>
          <w:rFonts w:ascii="Times New Roman" w:hAnsi="Times New Roman" w:cs="Times New Roman"/>
          <w:i/>
          <w:iCs/>
          <w:sz w:val="24"/>
          <w:szCs w:val="24"/>
        </w:rPr>
        <w:t>’</w:t>
      </w:r>
    </w:p>
    <w:p w14:paraId="3AD23EA2" w14:textId="49DE630E" w:rsidR="00434D06" w:rsidRDefault="00434D06" w:rsidP="00D64B97">
      <w:pPr>
        <w:spacing w:line="360" w:lineRule="auto"/>
        <w:rPr>
          <w:rFonts w:ascii="Times New Roman" w:hAnsi="Times New Roman" w:cs="Times New Roman"/>
          <w:sz w:val="24"/>
          <w:szCs w:val="24"/>
        </w:rPr>
      </w:pPr>
      <w:r>
        <w:rPr>
          <w:rFonts w:ascii="Times New Roman" w:hAnsi="Times New Roman" w:cs="Times New Roman"/>
          <w:sz w:val="24"/>
          <w:szCs w:val="24"/>
        </w:rPr>
        <w:t xml:space="preserve">Volume 3 is remarkable in the fact that it has one title only – </w:t>
      </w:r>
      <w:r w:rsidRPr="00434D06">
        <w:rPr>
          <w:rFonts w:ascii="Times New Roman" w:hAnsi="Times New Roman" w:cs="Times New Roman"/>
          <w:i/>
          <w:iCs/>
          <w:sz w:val="24"/>
          <w:szCs w:val="24"/>
        </w:rPr>
        <w:t>‘ A dissertation on the American and the conformity of their customs with those of other nations, ancient and modern.</w:t>
      </w:r>
      <w:r w:rsidR="00882DE6">
        <w:rPr>
          <w:rStyle w:val="FootnoteReference"/>
          <w:rFonts w:ascii="Times New Roman" w:hAnsi="Times New Roman" w:cs="Times New Roman"/>
          <w:i/>
          <w:iCs/>
          <w:sz w:val="24"/>
          <w:szCs w:val="24"/>
        </w:rPr>
        <w:footnoteReference w:id="3"/>
      </w:r>
      <w:r w:rsidRPr="00434D06">
        <w:rPr>
          <w:rFonts w:ascii="Times New Roman" w:hAnsi="Times New Roman" w:cs="Times New Roman"/>
          <w:i/>
          <w:i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a</w:t>
      </w:r>
      <w:r w:rsidRPr="00434D06">
        <w:rPr>
          <w:rFonts w:ascii="Times New Roman" w:hAnsi="Times New Roman" w:cs="Times New Roman"/>
          <w:sz w:val="24"/>
          <w:szCs w:val="24"/>
        </w:rPr>
        <w:t xml:space="preserve">nd has no </w:t>
      </w:r>
      <w:r>
        <w:rPr>
          <w:rFonts w:ascii="Times New Roman" w:hAnsi="Times New Roman" w:cs="Times New Roman"/>
          <w:sz w:val="24"/>
          <w:szCs w:val="24"/>
        </w:rPr>
        <w:t>parts or subsections or subheadings. Volume 4 however, in contrast, has the main title ‘</w:t>
      </w:r>
      <w:r w:rsidR="00882DE6">
        <w:rPr>
          <w:rFonts w:ascii="Times New Roman" w:hAnsi="Times New Roman" w:cs="Times New Roman"/>
          <w:sz w:val="24"/>
          <w:szCs w:val="24"/>
        </w:rPr>
        <w:t>-‘</w:t>
      </w:r>
      <w:r w:rsidRPr="00882DE6">
        <w:rPr>
          <w:rFonts w:ascii="Times New Roman" w:hAnsi="Times New Roman" w:cs="Times New Roman"/>
          <w:i/>
          <w:iCs/>
          <w:sz w:val="24"/>
          <w:szCs w:val="24"/>
        </w:rPr>
        <w:t>The Religion of the Banian</w:t>
      </w:r>
      <w:r w:rsidR="00882DE6" w:rsidRPr="00882DE6">
        <w:rPr>
          <w:rFonts w:ascii="Times New Roman" w:hAnsi="Times New Roman" w:cs="Times New Roman"/>
          <w:i/>
          <w:iCs/>
          <w:sz w:val="24"/>
          <w:szCs w:val="24"/>
        </w:rPr>
        <w:t>s’</w:t>
      </w:r>
      <w:r>
        <w:rPr>
          <w:rFonts w:ascii="Times New Roman" w:hAnsi="Times New Roman" w:cs="Times New Roman"/>
          <w:sz w:val="24"/>
          <w:szCs w:val="24"/>
        </w:rPr>
        <w:t xml:space="preserve"> then a subtitle</w:t>
      </w:r>
      <w:r w:rsidR="00882DE6">
        <w:rPr>
          <w:rFonts w:ascii="Times New Roman" w:hAnsi="Times New Roman" w:cs="Times New Roman"/>
          <w:sz w:val="24"/>
          <w:szCs w:val="24"/>
        </w:rPr>
        <w:t xml:space="preserve"> –‘</w:t>
      </w:r>
      <w:r>
        <w:rPr>
          <w:rFonts w:ascii="Times New Roman" w:hAnsi="Times New Roman" w:cs="Times New Roman"/>
          <w:sz w:val="24"/>
          <w:szCs w:val="24"/>
        </w:rPr>
        <w:t xml:space="preserve"> </w:t>
      </w:r>
      <w:r w:rsidRPr="00882DE6">
        <w:rPr>
          <w:rFonts w:ascii="Times New Roman" w:hAnsi="Times New Roman" w:cs="Times New Roman"/>
          <w:i/>
          <w:iCs/>
          <w:sz w:val="24"/>
          <w:szCs w:val="24"/>
        </w:rPr>
        <w:t>The Religion of the Kingdoms and Provinces of Decan, Golcard, Carnate and Bifanagor</w:t>
      </w:r>
      <w:r w:rsidR="00882DE6" w:rsidRPr="00882DE6">
        <w:rPr>
          <w:rFonts w:ascii="Times New Roman" w:hAnsi="Times New Roman" w:cs="Times New Roman"/>
          <w:i/>
          <w:iCs/>
          <w:sz w:val="24"/>
          <w:szCs w:val="24"/>
        </w:rPr>
        <w:t>’</w:t>
      </w:r>
      <w:r w:rsidR="00882DE6">
        <w:rPr>
          <w:rStyle w:val="FootnoteReference"/>
          <w:rFonts w:ascii="Times New Roman" w:hAnsi="Times New Roman" w:cs="Times New Roman"/>
          <w:i/>
          <w:iCs/>
          <w:sz w:val="24"/>
          <w:szCs w:val="24"/>
        </w:rPr>
        <w:footnoteReference w:id="4"/>
      </w:r>
      <w:r w:rsidR="00882DE6">
        <w:rPr>
          <w:rFonts w:ascii="Times New Roman" w:hAnsi="Times New Roman" w:cs="Times New Roman"/>
          <w:sz w:val="24"/>
          <w:szCs w:val="24"/>
        </w:rPr>
        <w:t xml:space="preserve"> then numerous subheadings of the religions around the world, </w:t>
      </w:r>
      <w:r w:rsidR="003E0BAB">
        <w:rPr>
          <w:rFonts w:ascii="Times New Roman" w:hAnsi="Times New Roman" w:cs="Times New Roman"/>
          <w:sz w:val="24"/>
          <w:szCs w:val="24"/>
        </w:rPr>
        <w:t>e.g.</w:t>
      </w:r>
      <w:r w:rsidR="00882DE6">
        <w:rPr>
          <w:rFonts w:ascii="Times New Roman" w:hAnsi="Times New Roman" w:cs="Times New Roman"/>
          <w:sz w:val="24"/>
          <w:szCs w:val="24"/>
        </w:rPr>
        <w:t xml:space="preserve"> </w:t>
      </w:r>
      <w:r w:rsidR="00882DE6" w:rsidRPr="00882DE6">
        <w:rPr>
          <w:rFonts w:ascii="Times New Roman" w:hAnsi="Times New Roman" w:cs="Times New Roman"/>
          <w:i/>
          <w:iCs/>
          <w:sz w:val="24"/>
          <w:szCs w:val="24"/>
        </w:rPr>
        <w:t>The Religion of Siam, The Religion of J</w:t>
      </w:r>
      <w:r w:rsidR="00882DE6">
        <w:rPr>
          <w:rFonts w:ascii="Times New Roman" w:hAnsi="Times New Roman" w:cs="Times New Roman"/>
          <w:i/>
          <w:iCs/>
          <w:sz w:val="24"/>
          <w:szCs w:val="24"/>
        </w:rPr>
        <w:t>a</w:t>
      </w:r>
      <w:r w:rsidR="00882DE6" w:rsidRPr="00882DE6">
        <w:rPr>
          <w:rFonts w:ascii="Times New Roman" w:hAnsi="Times New Roman" w:cs="Times New Roman"/>
          <w:i/>
          <w:iCs/>
          <w:sz w:val="24"/>
          <w:szCs w:val="24"/>
        </w:rPr>
        <w:t>pan, The Religion of Iceland, The Religion of Lapland</w:t>
      </w:r>
      <w:r w:rsidR="00882DE6">
        <w:rPr>
          <w:rFonts w:ascii="Times New Roman" w:hAnsi="Times New Roman" w:cs="Times New Roman"/>
          <w:sz w:val="24"/>
          <w:szCs w:val="24"/>
        </w:rPr>
        <w:t xml:space="preserve"> etc</w:t>
      </w:r>
      <w:r w:rsidR="00882DE6">
        <w:rPr>
          <w:rFonts w:ascii="Times New Roman" w:hAnsi="Times New Roman" w:cs="Times New Roman"/>
          <w:i/>
          <w:iCs/>
          <w:sz w:val="24"/>
          <w:szCs w:val="24"/>
        </w:rPr>
        <w:t>.</w:t>
      </w:r>
    </w:p>
    <w:p w14:paraId="60AB7FF3" w14:textId="7255B345" w:rsidR="00882DE6" w:rsidRPr="00882DE6" w:rsidRDefault="00882DE6" w:rsidP="00D64B97">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Volume 5 again has one main title only – </w:t>
      </w:r>
      <w:r w:rsidRPr="00882DE6">
        <w:rPr>
          <w:rFonts w:ascii="Times New Roman" w:hAnsi="Times New Roman" w:cs="Times New Roman"/>
          <w:i/>
          <w:iCs/>
          <w:sz w:val="24"/>
          <w:szCs w:val="24"/>
        </w:rPr>
        <w:t>‘ Ceremonies of the Greeks and Protestants’</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while Volume 6 is divided into 2 parts. Part 1 is ‘</w:t>
      </w:r>
      <w:r w:rsidRPr="00882DE6">
        <w:rPr>
          <w:rFonts w:ascii="Times New Roman" w:hAnsi="Times New Roman" w:cs="Times New Roman"/>
          <w:i/>
          <w:iCs/>
          <w:sz w:val="24"/>
          <w:szCs w:val="24"/>
        </w:rPr>
        <w:t>The doctrine and discipline of the Church of England, of the Presbyterian, Independents, Anabaptists, Quakers.</w:t>
      </w:r>
      <w:r>
        <w:rPr>
          <w:rFonts w:ascii="Times New Roman" w:hAnsi="Times New Roman" w:cs="Times New Roman"/>
          <w:sz w:val="24"/>
          <w:szCs w:val="24"/>
        </w:rPr>
        <w:t xml:space="preserve"> Part 2 is ‘</w:t>
      </w:r>
      <w:r w:rsidRPr="00882DE6">
        <w:rPr>
          <w:rFonts w:ascii="Times New Roman" w:hAnsi="Times New Roman" w:cs="Times New Roman"/>
          <w:i/>
          <w:iCs/>
          <w:sz w:val="24"/>
          <w:szCs w:val="24"/>
        </w:rPr>
        <w:t>Various sects of Mahomatans with an appendix on the lives of Mohamed, Omar and Ali.’</w:t>
      </w:r>
      <w:r>
        <w:rPr>
          <w:rStyle w:val="FootnoteReference"/>
          <w:rFonts w:ascii="Times New Roman" w:hAnsi="Times New Roman" w:cs="Times New Roman"/>
          <w:i/>
          <w:iCs/>
          <w:sz w:val="24"/>
          <w:szCs w:val="24"/>
        </w:rPr>
        <w:footnoteReference w:id="6"/>
      </w:r>
    </w:p>
    <w:p w14:paraId="3C309797" w14:textId="7622C47A" w:rsidR="009F7DF4" w:rsidRDefault="009F7DF4" w:rsidP="00D64B97">
      <w:pPr>
        <w:spacing w:line="360" w:lineRule="auto"/>
        <w:rPr>
          <w:rFonts w:ascii="Times New Roman" w:hAnsi="Times New Roman" w:cs="Times New Roman"/>
          <w:sz w:val="24"/>
          <w:szCs w:val="24"/>
        </w:rPr>
      </w:pPr>
      <w:r>
        <w:rPr>
          <w:rFonts w:ascii="Times New Roman" w:hAnsi="Times New Roman" w:cs="Times New Roman"/>
          <w:sz w:val="24"/>
          <w:szCs w:val="24"/>
        </w:rPr>
        <w:t>The title page reveals that the person who translated the volumes into English is anonymous – ‘Faithfully translated into English by a Gentleman fome time fince of St.John’s College in Oxford’</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but we do know the name of the printer, William Jackson</w:t>
      </w:r>
      <w:r w:rsidR="00FB17FD">
        <w:rPr>
          <w:rFonts w:ascii="Times New Roman" w:hAnsi="Times New Roman" w:cs="Times New Roman"/>
          <w:sz w:val="24"/>
          <w:szCs w:val="24"/>
        </w:rPr>
        <w:t xml:space="preserve">. </w:t>
      </w:r>
      <w:r>
        <w:rPr>
          <w:rFonts w:ascii="Times New Roman" w:hAnsi="Times New Roman" w:cs="Times New Roman"/>
          <w:sz w:val="24"/>
          <w:szCs w:val="24"/>
        </w:rPr>
        <w:t>In the Dictionary of</w:t>
      </w:r>
      <w:r w:rsidR="00FB17FD">
        <w:rPr>
          <w:rFonts w:ascii="Times New Roman" w:hAnsi="Times New Roman" w:cs="Times New Roman"/>
          <w:sz w:val="24"/>
          <w:szCs w:val="24"/>
        </w:rPr>
        <w:t xml:space="preserve"> Printers and Booksellers</w:t>
      </w:r>
      <w:r>
        <w:rPr>
          <w:rFonts w:ascii="Times New Roman" w:hAnsi="Times New Roman" w:cs="Times New Roman"/>
          <w:sz w:val="24"/>
          <w:szCs w:val="24"/>
        </w:rPr>
        <w:t xml:space="preserve"> we learn that</w:t>
      </w:r>
      <w:r w:rsidR="00341565">
        <w:rPr>
          <w:rFonts w:ascii="Times New Roman" w:hAnsi="Times New Roman" w:cs="Times New Roman"/>
          <w:sz w:val="24"/>
          <w:szCs w:val="24"/>
        </w:rPr>
        <w:t xml:space="preserve"> William Jackson was -</w:t>
      </w:r>
    </w:p>
    <w:p w14:paraId="37F3A8F0" w14:textId="4A29A895" w:rsidR="00D64B97" w:rsidRDefault="00D64B97" w:rsidP="00D64B97">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Printer in Oxford 1753-95. He was proprietor and publisher of the Oxford Journal from its first establishment in 1753. He was lessee of the Oxford Bible Press and was partner for a few years with Archibald Hamilton in the University Press. He </w:t>
      </w:r>
      <w:r>
        <w:rPr>
          <w:rFonts w:ascii="Times New Roman" w:hAnsi="Times New Roman" w:cs="Times New Roman"/>
          <w:sz w:val="24"/>
          <w:szCs w:val="24"/>
        </w:rPr>
        <w:lastRenderedPageBreak/>
        <w:t>afterwards became a banker and was one of the founders of the Old Bank, Oxford now amalgamated with Barclays. He died April 22</w:t>
      </w:r>
      <w:r w:rsidRPr="00D64B97">
        <w:rPr>
          <w:rFonts w:ascii="Times New Roman" w:hAnsi="Times New Roman" w:cs="Times New Roman"/>
          <w:sz w:val="24"/>
          <w:szCs w:val="24"/>
          <w:vertAlign w:val="superscript"/>
        </w:rPr>
        <w:t>nd</w:t>
      </w:r>
      <w:r w:rsidR="003E0BAB">
        <w:rPr>
          <w:rFonts w:ascii="Times New Roman" w:hAnsi="Times New Roman" w:cs="Times New Roman"/>
          <w:sz w:val="24"/>
          <w:szCs w:val="24"/>
        </w:rPr>
        <w:t>, 1795</w:t>
      </w:r>
      <w:r>
        <w:rPr>
          <w:rFonts w:ascii="Times New Roman" w:hAnsi="Times New Roman" w:cs="Times New Roman"/>
          <w:sz w:val="24"/>
          <w:szCs w:val="24"/>
        </w:rPr>
        <w:t>, over 70</w:t>
      </w:r>
      <w:r>
        <w:rPr>
          <w:rStyle w:val="FootnoteReference"/>
          <w:rFonts w:ascii="Times New Roman" w:hAnsi="Times New Roman" w:cs="Times New Roman"/>
          <w:sz w:val="24"/>
          <w:szCs w:val="24"/>
        </w:rPr>
        <w:footnoteReference w:id="8"/>
      </w:r>
    </w:p>
    <w:p w14:paraId="423988D6" w14:textId="3C2A140D" w:rsidR="00FB17FD" w:rsidRDefault="00FB17FD" w:rsidP="00FB17FD">
      <w:pPr>
        <w:spacing w:line="360" w:lineRule="auto"/>
        <w:rPr>
          <w:rFonts w:ascii="Times New Roman" w:hAnsi="Times New Roman" w:cs="Times New Roman"/>
          <w:sz w:val="24"/>
          <w:szCs w:val="24"/>
        </w:rPr>
      </w:pPr>
    </w:p>
    <w:p w14:paraId="355011C3" w14:textId="588B7218" w:rsidR="00FB17FD" w:rsidRDefault="00FB17FD" w:rsidP="00FB17FD">
      <w:pPr>
        <w:spacing w:line="360" w:lineRule="auto"/>
        <w:rPr>
          <w:rFonts w:ascii="Times New Roman" w:hAnsi="Times New Roman" w:cs="Times New Roman"/>
          <w:sz w:val="24"/>
          <w:szCs w:val="24"/>
        </w:rPr>
      </w:pPr>
      <w:r>
        <w:rPr>
          <w:rFonts w:ascii="Times New Roman" w:hAnsi="Times New Roman" w:cs="Times New Roman"/>
          <w:sz w:val="24"/>
          <w:szCs w:val="24"/>
        </w:rPr>
        <w:t>From the title page we also learn that although the main engraver was Bernard Picart, the book was ‘</w:t>
      </w:r>
      <w:r w:rsidRPr="00FB17FD">
        <w:rPr>
          <w:rFonts w:ascii="Times New Roman" w:hAnsi="Times New Roman" w:cs="Times New Roman"/>
          <w:sz w:val="24"/>
          <w:szCs w:val="24"/>
        </w:rPr>
        <w:t>printed by William Jackson for Claude du Bosc, Engraver at The Golden Head in Charles Street, Covent Garden MDCCXXX111’</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Consulting</w:t>
      </w:r>
      <w:r w:rsidR="008C1534">
        <w:rPr>
          <w:rFonts w:ascii="Times New Roman" w:hAnsi="Times New Roman" w:cs="Times New Roman"/>
          <w:sz w:val="24"/>
          <w:szCs w:val="24"/>
        </w:rPr>
        <w:t>, Bryan’s Dictionary of Painters and Engravers we learn a lot more about Picart –</w:t>
      </w:r>
    </w:p>
    <w:p w14:paraId="03D51771" w14:textId="060A9E40" w:rsidR="008C1534" w:rsidRDefault="008C1534" w:rsidP="008C1534">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Picart, Bernard, an engraver and the son of Etienne Picart, was born in Paris in 1673. He was instructed in design and engraving by his </w:t>
      </w:r>
      <w:r w:rsidR="003E0BAB">
        <w:rPr>
          <w:rFonts w:ascii="Times New Roman" w:hAnsi="Times New Roman" w:cs="Times New Roman"/>
          <w:sz w:val="24"/>
          <w:szCs w:val="24"/>
        </w:rPr>
        <w:t>father but</w:t>
      </w:r>
      <w:r>
        <w:rPr>
          <w:rFonts w:ascii="Times New Roman" w:hAnsi="Times New Roman" w:cs="Times New Roman"/>
          <w:sz w:val="24"/>
          <w:szCs w:val="24"/>
        </w:rPr>
        <w:t xml:space="preserve"> </w:t>
      </w:r>
      <w:bookmarkStart w:id="0" w:name="_GoBack"/>
      <w:bookmarkEnd w:id="0"/>
      <w:r>
        <w:rPr>
          <w:rFonts w:ascii="Times New Roman" w:hAnsi="Times New Roman" w:cs="Times New Roman"/>
          <w:sz w:val="24"/>
          <w:szCs w:val="24"/>
        </w:rPr>
        <w:t>obtained further help from Le Brun and Jouvenet. At the age of sixteen he gained honours at the academy in Paris. He distinguished himself both as designer and engraver and executed a vast number of plates. He used both the point and the burin; but in his larger plates the execution was not equal to the drawing and his later productions were inferior to his earlier ones. His works chiefly consist of plates for books and other ornam</w:t>
      </w:r>
      <w:r w:rsidR="00510E02">
        <w:rPr>
          <w:rFonts w:ascii="Times New Roman" w:hAnsi="Times New Roman" w:cs="Times New Roman"/>
          <w:sz w:val="24"/>
          <w:szCs w:val="24"/>
        </w:rPr>
        <w:t>e</w:t>
      </w:r>
      <w:r>
        <w:rPr>
          <w:rFonts w:ascii="Times New Roman" w:hAnsi="Times New Roman" w:cs="Times New Roman"/>
          <w:sz w:val="24"/>
          <w:szCs w:val="24"/>
        </w:rPr>
        <w:t>ntal engravings. In 1710 he left Paris and settled at Amsterdam where he was greatly employed by the booksellers and died there in 1733.</w:t>
      </w:r>
      <w:r w:rsidR="00510E02">
        <w:rPr>
          <w:rFonts w:ascii="Times New Roman" w:hAnsi="Times New Roman" w:cs="Times New Roman"/>
          <w:sz w:val="24"/>
          <w:szCs w:val="24"/>
        </w:rPr>
        <w:t xml:space="preserve"> The following are his most esteemed works – </w:t>
      </w:r>
      <w:r w:rsidR="00510E02" w:rsidRPr="00510E02">
        <w:rPr>
          <w:rFonts w:ascii="Times New Roman" w:hAnsi="Times New Roman" w:cs="Times New Roman"/>
          <w:i/>
          <w:iCs/>
          <w:sz w:val="24"/>
          <w:szCs w:val="24"/>
        </w:rPr>
        <w:t>The Frontpieces to Ceremonies Religieuses 1723-1743</w:t>
      </w:r>
      <w:r w:rsidR="00510E02">
        <w:rPr>
          <w:rFonts w:ascii="Times New Roman" w:hAnsi="Times New Roman" w:cs="Times New Roman"/>
          <w:sz w:val="24"/>
          <w:szCs w:val="24"/>
        </w:rPr>
        <w:t>.</w:t>
      </w:r>
      <w:r w:rsidR="00510E02">
        <w:rPr>
          <w:rStyle w:val="FootnoteReference"/>
          <w:rFonts w:ascii="Times New Roman" w:hAnsi="Times New Roman" w:cs="Times New Roman"/>
          <w:sz w:val="24"/>
          <w:szCs w:val="24"/>
        </w:rPr>
        <w:footnoteReference w:id="10"/>
      </w:r>
    </w:p>
    <w:p w14:paraId="14F471E7" w14:textId="63029CF0" w:rsidR="00510E02" w:rsidRDefault="00510E02" w:rsidP="00510E02">
      <w:pPr>
        <w:spacing w:line="360" w:lineRule="auto"/>
        <w:rPr>
          <w:rFonts w:ascii="Times New Roman" w:hAnsi="Times New Roman" w:cs="Times New Roman"/>
          <w:sz w:val="24"/>
          <w:szCs w:val="24"/>
        </w:rPr>
      </w:pPr>
      <w:r>
        <w:rPr>
          <w:rFonts w:ascii="Times New Roman" w:hAnsi="Times New Roman" w:cs="Times New Roman"/>
          <w:sz w:val="24"/>
          <w:szCs w:val="24"/>
        </w:rPr>
        <w:t>From this we know that this particular work was one of his best. Moving onto Claude du Bosc, in the same dictionary of Painters and Engravers –</w:t>
      </w:r>
    </w:p>
    <w:p w14:paraId="575E4E06" w14:textId="1544EB2D" w:rsidR="00510E02" w:rsidRDefault="00510E02" w:rsidP="00510E02">
      <w:pPr>
        <w:spacing w:line="360" w:lineRule="auto"/>
        <w:ind w:left="720"/>
        <w:rPr>
          <w:rFonts w:ascii="Times New Roman" w:hAnsi="Times New Roman" w:cs="Times New Roman"/>
          <w:sz w:val="24"/>
          <w:szCs w:val="24"/>
        </w:rPr>
      </w:pPr>
      <w:r>
        <w:rPr>
          <w:rFonts w:ascii="Times New Roman" w:hAnsi="Times New Roman" w:cs="Times New Roman"/>
          <w:sz w:val="24"/>
          <w:szCs w:val="24"/>
        </w:rPr>
        <w:t>Claude Du Bosc, a French engraver came to England about the year 1712 by the invitation of N. Dorigny to assist him in engraving the cartoons of Raphael; but on account of some dispute he left Dorigny and engaged to engrave cartoons for the printsellers. He also undertook the Duke of Marlborough’s battles and sent to Paris for Baron and Beauvais to assist him in that undertaking which occupied him two years. He published an English translation of Picart’s ‘</w:t>
      </w:r>
      <w:r w:rsidRPr="00C952AB">
        <w:rPr>
          <w:rFonts w:ascii="Times New Roman" w:hAnsi="Times New Roman" w:cs="Times New Roman"/>
          <w:i/>
          <w:iCs/>
          <w:sz w:val="24"/>
          <w:szCs w:val="24"/>
        </w:rPr>
        <w:t>Religious Ceremonies’</w:t>
      </w:r>
      <w:r w:rsidR="00C952AB">
        <w:rPr>
          <w:rFonts w:ascii="Times New Roman" w:hAnsi="Times New Roman" w:cs="Times New Roman"/>
          <w:sz w:val="24"/>
          <w:szCs w:val="24"/>
        </w:rPr>
        <w:t xml:space="preserve"> in which part of the plates were engraved by himself and the others by Scotin and Gravelot. He engraved a plate of the ‘Conscience of Scipio’ after Nicolas Poussin and others after </w:t>
      </w:r>
      <w:r w:rsidR="00C952AB">
        <w:rPr>
          <w:rFonts w:ascii="Times New Roman" w:hAnsi="Times New Roman" w:cs="Times New Roman"/>
          <w:sz w:val="24"/>
          <w:szCs w:val="24"/>
        </w:rPr>
        <w:lastRenderedPageBreak/>
        <w:t>some of the most ominent masters. His manner is coarse and heavy and his drawing incorrect.</w:t>
      </w:r>
      <w:r w:rsidR="00C952AB">
        <w:rPr>
          <w:rStyle w:val="FootnoteReference"/>
          <w:rFonts w:ascii="Times New Roman" w:hAnsi="Times New Roman" w:cs="Times New Roman"/>
          <w:sz w:val="24"/>
          <w:szCs w:val="24"/>
        </w:rPr>
        <w:footnoteReference w:id="11"/>
      </w:r>
    </w:p>
    <w:p w14:paraId="0FFECC8E" w14:textId="3CFA27B2" w:rsidR="00C952AB" w:rsidRDefault="00C952AB" w:rsidP="00510E02">
      <w:pPr>
        <w:spacing w:line="360" w:lineRule="auto"/>
        <w:ind w:left="720"/>
        <w:rPr>
          <w:rFonts w:ascii="Times New Roman" w:hAnsi="Times New Roman" w:cs="Times New Roman"/>
          <w:sz w:val="24"/>
          <w:szCs w:val="24"/>
        </w:rPr>
      </w:pPr>
    </w:p>
    <w:p w14:paraId="63D1B5C6" w14:textId="52E73B01" w:rsidR="00C952AB" w:rsidRDefault="00C952AB" w:rsidP="00510E02">
      <w:pPr>
        <w:spacing w:line="360" w:lineRule="auto"/>
        <w:ind w:left="720"/>
        <w:rPr>
          <w:rFonts w:ascii="Times New Roman" w:hAnsi="Times New Roman" w:cs="Times New Roman"/>
          <w:sz w:val="24"/>
          <w:szCs w:val="24"/>
        </w:rPr>
      </w:pPr>
      <w:r>
        <w:rPr>
          <w:rFonts w:ascii="Times New Roman" w:hAnsi="Times New Roman" w:cs="Times New Roman"/>
          <w:sz w:val="24"/>
          <w:szCs w:val="24"/>
        </w:rPr>
        <w:t>From this we deduce that du Bosc played a part in publishing ‘Religious Ceremonies’ and also engraved some of the plates for it too. The 6 volumes are complex and would have taken a great deal of time to both translate into English and to engrave.</w:t>
      </w:r>
    </w:p>
    <w:p w14:paraId="41C74FA1" w14:textId="77777777" w:rsidR="00D64B97" w:rsidRPr="003823A6" w:rsidRDefault="00D64B97" w:rsidP="00D64B97">
      <w:pPr>
        <w:spacing w:line="360" w:lineRule="auto"/>
        <w:ind w:left="720"/>
        <w:rPr>
          <w:rFonts w:ascii="Times New Roman" w:hAnsi="Times New Roman" w:cs="Times New Roman"/>
          <w:sz w:val="24"/>
          <w:szCs w:val="24"/>
        </w:rPr>
      </w:pPr>
    </w:p>
    <w:p w14:paraId="162F8D71" w14:textId="3951E485" w:rsidR="003823A6" w:rsidRDefault="003823A6" w:rsidP="00D64B97">
      <w:pPr>
        <w:spacing w:line="360" w:lineRule="auto"/>
      </w:pPr>
    </w:p>
    <w:p w14:paraId="15B88C33" w14:textId="77777777" w:rsidR="003823A6" w:rsidRPr="003823A6" w:rsidRDefault="003823A6" w:rsidP="00D64B97">
      <w:pPr>
        <w:spacing w:line="360" w:lineRule="auto"/>
        <w:rPr>
          <w:rFonts w:ascii="Times New Roman" w:hAnsi="Times New Roman" w:cs="Times New Roman"/>
          <w:sz w:val="24"/>
          <w:szCs w:val="24"/>
        </w:rPr>
      </w:pPr>
    </w:p>
    <w:p w14:paraId="2E340A13" w14:textId="77777777" w:rsidR="00812F90" w:rsidRPr="00812F90" w:rsidRDefault="00812F90" w:rsidP="00D64B97">
      <w:pPr>
        <w:spacing w:line="360" w:lineRule="auto"/>
        <w:rPr>
          <w:rFonts w:ascii="Times New Roman" w:hAnsi="Times New Roman" w:cs="Times New Roman"/>
          <w:sz w:val="24"/>
          <w:szCs w:val="24"/>
        </w:rPr>
      </w:pPr>
    </w:p>
    <w:sectPr w:rsidR="00812F90" w:rsidRPr="00812F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42A4B" w14:textId="77777777" w:rsidR="00D7076E" w:rsidRDefault="00D7076E" w:rsidP="009F7DF4">
      <w:pPr>
        <w:spacing w:after="0" w:line="240" w:lineRule="auto"/>
      </w:pPr>
      <w:r>
        <w:separator/>
      </w:r>
    </w:p>
  </w:endnote>
  <w:endnote w:type="continuationSeparator" w:id="0">
    <w:p w14:paraId="48ADE080" w14:textId="77777777" w:rsidR="00D7076E" w:rsidRDefault="00D7076E" w:rsidP="009F7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3A177" w14:textId="77777777" w:rsidR="00D7076E" w:rsidRDefault="00D7076E" w:rsidP="009F7DF4">
      <w:pPr>
        <w:spacing w:after="0" w:line="240" w:lineRule="auto"/>
      </w:pPr>
      <w:r>
        <w:separator/>
      </w:r>
    </w:p>
  </w:footnote>
  <w:footnote w:type="continuationSeparator" w:id="0">
    <w:p w14:paraId="2B8891BF" w14:textId="77777777" w:rsidR="00D7076E" w:rsidRDefault="00D7076E" w:rsidP="009F7DF4">
      <w:pPr>
        <w:spacing w:after="0" w:line="240" w:lineRule="auto"/>
      </w:pPr>
      <w:r>
        <w:continuationSeparator/>
      </w:r>
    </w:p>
  </w:footnote>
  <w:footnote w:id="1">
    <w:p w14:paraId="4C4921CB" w14:textId="170025B7" w:rsidR="00882DE6" w:rsidRDefault="00882DE6">
      <w:pPr>
        <w:pStyle w:val="FootnoteText"/>
      </w:pPr>
      <w:r>
        <w:rPr>
          <w:rStyle w:val="FootnoteReference"/>
        </w:rPr>
        <w:footnoteRef/>
      </w:r>
      <w:r>
        <w:t xml:space="preserve"> </w:t>
      </w:r>
      <w:r w:rsidRPr="009F7DF4">
        <w:rPr>
          <w:rFonts w:ascii="Times New Roman" w:hAnsi="Times New Roman" w:cs="Times New Roman"/>
        </w:rPr>
        <w:t xml:space="preserve">Picart, Bernard, </w:t>
      </w:r>
      <w:r w:rsidRPr="009F7DF4">
        <w:rPr>
          <w:rFonts w:ascii="Times New Roman" w:hAnsi="Times New Roman" w:cs="Times New Roman"/>
          <w:i/>
          <w:iCs/>
        </w:rPr>
        <w:t>The Ceremonies and Religious Customs of the Various Nations of the Known World: Together with Historical Annotations and Several Curious Discourses Equally Instructive and Entertaining: Written Originally in French, and Illustrated with a Large number of Folio Copper Plates,</w:t>
      </w:r>
      <w:r w:rsidRPr="009F7DF4">
        <w:rPr>
          <w:rFonts w:ascii="Times New Roman" w:hAnsi="Times New Roman" w:cs="Times New Roman"/>
        </w:rPr>
        <w:t xml:space="preserve"> </w:t>
      </w:r>
      <w:r w:rsidRPr="00D64B97">
        <w:rPr>
          <w:rFonts w:ascii="Times New Roman" w:hAnsi="Times New Roman" w:cs="Times New Roman"/>
        </w:rPr>
        <w:t>Vol 1</w:t>
      </w:r>
      <w:r>
        <w:rPr>
          <w:rFonts w:ascii="Times New Roman" w:hAnsi="Times New Roman" w:cs="Times New Roman"/>
        </w:rPr>
        <w:t xml:space="preserve"> </w:t>
      </w:r>
      <w:r w:rsidRPr="009F7DF4">
        <w:rPr>
          <w:rFonts w:ascii="Times New Roman" w:hAnsi="Times New Roman" w:cs="Times New Roman"/>
        </w:rPr>
        <w:t xml:space="preserve"> (London: Printed by William Jackson, 1733-37)</w:t>
      </w:r>
    </w:p>
  </w:footnote>
  <w:footnote w:id="2">
    <w:p w14:paraId="351CFE09" w14:textId="6A52E587" w:rsidR="00882DE6" w:rsidRPr="00FB17FD" w:rsidRDefault="00882DE6">
      <w:pPr>
        <w:pStyle w:val="FootnoteText"/>
        <w:rPr>
          <w:rFonts w:ascii="Times New Roman" w:hAnsi="Times New Roman" w:cs="Times New Roman"/>
        </w:rPr>
      </w:pPr>
      <w:r>
        <w:rPr>
          <w:rStyle w:val="FootnoteReference"/>
        </w:rPr>
        <w:footnoteRef/>
      </w:r>
      <w:r>
        <w:t xml:space="preserve"> </w:t>
      </w:r>
      <w:r w:rsidRPr="00FB17FD">
        <w:rPr>
          <w:rFonts w:ascii="Times New Roman" w:hAnsi="Times New Roman" w:cs="Times New Roman"/>
        </w:rPr>
        <w:t>Picart, Vol 2.</w:t>
      </w:r>
    </w:p>
  </w:footnote>
  <w:footnote w:id="3">
    <w:p w14:paraId="69CD2FB3" w14:textId="5965E944" w:rsidR="00882DE6" w:rsidRPr="00FB17FD" w:rsidRDefault="00882DE6">
      <w:pPr>
        <w:pStyle w:val="FootnoteText"/>
        <w:rPr>
          <w:rFonts w:ascii="Times New Roman" w:hAnsi="Times New Roman" w:cs="Times New Roman"/>
        </w:rPr>
      </w:pPr>
      <w:r w:rsidRPr="00FB17FD">
        <w:rPr>
          <w:rStyle w:val="FootnoteReference"/>
          <w:rFonts w:ascii="Times New Roman" w:hAnsi="Times New Roman" w:cs="Times New Roman"/>
        </w:rPr>
        <w:footnoteRef/>
      </w:r>
      <w:r w:rsidRPr="00FB17FD">
        <w:rPr>
          <w:rFonts w:ascii="Times New Roman" w:hAnsi="Times New Roman" w:cs="Times New Roman"/>
        </w:rPr>
        <w:t xml:space="preserve"> Picart, Vol 3.</w:t>
      </w:r>
    </w:p>
  </w:footnote>
  <w:footnote w:id="4">
    <w:p w14:paraId="26BCAE5D" w14:textId="7E091E6B" w:rsidR="00882DE6" w:rsidRPr="00FB17FD" w:rsidRDefault="00882DE6">
      <w:pPr>
        <w:pStyle w:val="FootnoteText"/>
        <w:rPr>
          <w:rFonts w:ascii="Times New Roman" w:hAnsi="Times New Roman" w:cs="Times New Roman"/>
        </w:rPr>
      </w:pPr>
      <w:r w:rsidRPr="00FB17FD">
        <w:rPr>
          <w:rStyle w:val="FootnoteReference"/>
          <w:rFonts w:ascii="Times New Roman" w:hAnsi="Times New Roman" w:cs="Times New Roman"/>
        </w:rPr>
        <w:footnoteRef/>
      </w:r>
      <w:r w:rsidRPr="00FB17FD">
        <w:rPr>
          <w:rFonts w:ascii="Times New Roman" w:hAnsi="Times New Roman" w:cs="Times New Roman"/>
        </w:rPr>
        <w:t xml:space="preserve"> Picart, Vol 4.</w:t>
      </w:r>
    </w:p>
  </w:footnote>
  <w:footnote w:id="5">
    <w:p w14:paraId="535ADF04" w14:textId="3557549C" w:rsidR="00882DE6" w:rsidRPr="00FB17FD" w:rsidRDefault="00882DE6">
      <w:pPr>
        <w:pStyle w:val="FootnoteText"/>
        <w:rPr>
          <w:rFonts w:ascii="Times New Roman" w:hAnsi="Times New Roman" w:cs="Times New Roman"/>
        </w:rPr>
      </w:pPr>
      <w:r w:rsidRPr="00FB17FD">
        <w:rPr>
          <w:rStyle w:val="FootnoteReference"/>
          <w:rFonts w:ascii="Times New Roman" w:hAnsi="Times New Roman" w:cs="Times New Roman"/>
        </w:rPr>
        <w:footnoteRef/>
      </w:r>
      <w:r w:rsidRPr="00FB17FD">
        <w:rPr>
          <w:rFonts w:ascii="Times New Roman" w:hAnsi="Times New Roman" w:cs="Times New Roman"/>
        </w:rPr>
        <w:t xml:space="preserve"> Picart, Vol 5.</w:t>
      </w:r>
    </w:p>
  </w:footnote>
  <w:footnote w:id="6">
    <w:p w14:paraId="5CCB4CA9" w14:textId="4947DBB5" w:rsidR="00882DE6" w:rsidRPr="00FB17FD" w:rsidRDefault="00882DE6">
      <w:pPr>
        <w:pStyle w:val="FootnoteText"/>
        <w:rPr>
          <w:rFonts w:ascii="Times New Roman" w:hAnsi="Times New Roman" w:cs="Times New Roman"/>
        </w:rPr>
      </w:pPr>
      <w:r w:rsidRPr="00FB17FD">
        <w:rPr>
          <w:rStyle w:val="FootnoteReference"/>
          <w:rFonts w:ascii="Times New Roman" w:hAnsi="Times New Roman" w:cs="Times New Roman"/>
        </w:rPr>
        <w:footnoteRef/>
      </w:r>
      <w:r w:rsidRPr="00FB17FD">
        <w:rPr>
          <w:rFonts w:ascii="Times New Roman" w:hAnsi="Times New Roman" w:cs="Times New Roman"/>
        </w:rPr>
        <w:t xml:space="preserve"> Picart, Vol 6.</w:t>
      </w:r>
    </w:p>
  </w:footnote>
  <w:footnote w:id="7">
    <w:p w14:paraId="1FE30DEC" w14:textId="4CDF4A15" w:rsidR="009F7DF4" w:rsidRDefault="009F7DF4">
      <w:pPr>
        <w:pStyle w:val="FootnoteText"/>
      </w:pPr>
      <w:r w:rsidRPr="00FB17FD">
        <w:rPr>
          <w:rStyle w:val="FootnoteReference"/>
          <w:rFonts w:ascii="Times New Roman" w:hAnsi="Times New Roman" w:cs="Times New Roman"/>
        </w:rPr>
        <w:footnoteRef/>
      </w:r>
      <w:r w:rsidRPr="00FB17FD">
        <w:rPr>
          <w:rFonts w:ascii="Times New Roman" w:hAnsi="Times New Roman" w:cs="Times New Roman"/>
        </w:rPr>
        <w:t xml:space="preserve"> Picart, </w:t>
      </w:r>
      <w:r w:rsidR="00FB17FD" w:rsidRPr="00FB17FD">
        <w:rPr>
          <w:rFonts w:ascii="Times New Roman" w:hAnsi="Times New Roman" w:cs="Times New Roman"/>
        </w:rPr>
        <w:t>Vol 1.</w:t>
      </w:r>
    </w:p>
  </w:footnote>
  <w:footnote w:id="8">
    <w:p w14:paraId="47E8F52A" w14:textId="39C029AA" w:rsidR="00D64B97" w:rsidRDefault="00D64B97">
      <w:pPr>
        <w:pStyle w:val="FootnoteText"/>
      </w:pPr>
      <w:r>
        <w:rPr>
          <w:rStyle w:val="FootnoteReference"/>
        </w:rPr>
        <w:footnoteRef/>
      </w:r>
      <w:r>
        <w:t xml:space="preserve"> </w:t>
      </w:r>
      <w:r w:rsidR="00FB17FD">
        <w:rPr>
          <w:rFonts w:ascii="Times New Roman" w:hAnsi="Times New Roman" w:cs="Times New Roman"/>
        </w:rPr>
        <w:t xml:space="preserve">Plomer, Henry R., G. H. Bushnell and E.R. McC.Dix, </w:t>
      </w:r>
      <w:r w:rsidR="00FB17FD" w:rsidRPr="00FB17FD">
        <w:rPr>
          <w:rFonts w:ascii="Times New Roman" w:hAnsi="Times New Roman" w:cs="Times New Roman"/>
          <w:i/>
          <w:iCs/>
        </w:rPr>
        <w:t>A Dictionary of the Printers and Booksellers Who Were At Work in England, Scotland and Ireland from 1726 to 1775</w:t>
      </w:r>
      <w:r w:rsidR="00FB17FD">
        <w:rPr>
          <w:rFonts w:ascii="Times New Roman" w:hAnsi="Times New Roman" w:cs="Times New Roman"/>
        </w:rPr>
        <w:t xml:space="preserve"> (Oxford: The Bibliographical Society, 1932; repr. 1968)</w:t>
      </w:r>
      <w:r w:rsidR="008C1534">
        <w:rPr>
          <w:rFonts w:ascii="Times New Roman" w:hAnsi="Times New Roman" w:cs="Times New Roman"/>
        </w:rPr>
        <w:t xml:space="preserve"> p.138.</w:t>
      </w:r>
    </w:p>
  </w:footnote>
  <w:footnote w:id="9">
    <w:p w14:paraId="5DA49369" w14:textId="376B8241" w:rsidR="00FB17FD" w:rsidRDefault="00FB17FD">
      <w:pPr>
        <w:pStyle w:val="FootnoteText"/>
      </w:pPr>
      <w:r>
        <w:rPr>
          <w:rStyle w:val="FootnoteReference"/>
        </w:rPr>
        <w:footnoteRef/>
      </w:r>
      <w:r>
        <w:t xml:space="preserve"> Picart, Vol 1.</w:t>
      </w:r>
    </w:p>
  </w:footnote>
  <w:footnote w:id="10">
    <w:p w14:paraId="7DA8B12D" w14:textId="18507C90" w:rsidR="00510E02" w:rsidRDefault="00510E02">
      <w:pPr>
        <w:pStyle w:val="FootnoteText"/>
      </w:pPr>
      <w:r>
        <w:rPr>
          <w:rStyle w:val="FootnoteReference"/>
        </w:rPr>
        <w:footnoteRef/>
      </w:r>
      <w:r>
        <w:t xml:space="preserve"> </w:t>
      </w:r>
      <w:r w:rsidRPr="00510E02">
        <w:rPr>
          <w:i/>
          <w:iCs/>
        </w:rPr>
        <w:t>Bryan’s Dictionary of Painters and Engravers,</w:t>
      </w:r>
      <w:r>
        <w:t xml:space="preserve"> new edn revised and enlarged under the supervision of George C. Williamson, Vol 4 (Port Washington, N.Y: Kennikat Press, 1964) p.112.</w:t>
      </w:r>
    </w:p>
  </w:footnote>
  <w:footnote w:id="11">
    <w:p w14:paraId="67F9C76C" w14:textId="4DD8E7E4" w:rsidR="00C952AB" w:rsidRDefault="00C952AB">
      <w:pPr>
        <w:pStyle w:val="FootnoteText"/>
      </w:pPr>
      <w:r>
        <w:rPr>
          <w:rStyle w:val="FootnoteReference"/>
        </w:rPr>
        <w:footnoteRef/>
      </w:r>
      <w:r>
        <w:t xml:space="preserve"> </w:t>
      </w:r>
      <w:r w:rsidRPr="00C952AB">
        <w:rPr>
          <w:i/>
          <w:iCs/>
        </w:rPr>
        <w:t>Bryans Dictionary of Painters and Engravers</w:t>
      </w:r>
      <w:r>
        <w:t>, Vol 1, p.92.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F90"/>
    <w:rsid w:val="00224AA1"/>
    <w:rsid w:val="00266BC7"/>
    <w:rsid w:val="00341565"/>
    <w:rsid w:val="003823A6"/>
    <w:rsid w:val="003E0BAB"/>
    <w:rsid w:val="00434D06"/>
    <w:rsid w:val="00510E02"/>
    <w:rsid w:val="00812F90"/>
    <w:rsid w:val="0086270F"/>
    <w:rsid w:val="00882DE6"/>
    <w:rsid w:val="008C1534"/>
    <w:rsid w:val="00936399"/>
    <w:rsid w:val="009F7DF4"/>
    <w:rsid w:val="00A413DC"/>
    <w:rsid w:val="00BB0987"/>
    <w:rsid w:val="00C952AB"/>
    <w:rsid w:val="00D64B97"/>
    <w:rsid w:val="00D7076E"/>
    <w:rsid w:val="00FB1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C85DA"/>
  <w15:chartTrackingRefBased/>
  <w15:docId w15:val="{E8AF0D68-B459-4BE3-9242-84317C908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12F90"/>
    <w:pPr>
      <w:spacing w:after="160" w:line="252" w:lineRule="auto"/>
      <w:ind w:left="0" w:right="0"/>
    </w:pPr>
    <w:rPr>
      <w:rFonts w:asciiTheme="minorHAnsi" w:hAnsiTheme="minorHAnsi" w:cstheme="minorBidi"/>
      <w:color w:val="auto"/>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F7D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7DF4"/>
    <w:rPr>
      <w:rFonts w:asciiTheme="minorHAnsi" w:hAnsiTheme="minorHAnsi" w:cstheme="minorBidi"/>
      <w:color w:val="auto"/>
      <w:sz w:val="20"/>
      <w:szCs w:val="20"/>
    </w:rPr>
  </w:style>
  <w:style w:type="character" w:styleId="FootnoteReference">
    <w:name w:val="footnote reference"/>
    <w:basedOn w:val="DefaultParagraphFont"/>
    <w:uiPriority w:val="99"/>
    <w:semiHidden/>
    <w:unhideWhenUsed/>
    <w:rsid w:val="009F7DF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1405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7E4DA5-42BC-4B23-A939-7AECD51A8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Pages>
  <Words>958</Words>
  <Characters>5465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8</cp:revision>
  <dcterms:created xsi:type="dcterms:W3CDTF">2019-09-26T17:22:00Z</dcterms:created>
  <dcterms:modified xsi:type="dcterms:W3CDTF">2019-09-27T10:37:00Z</dcterms:modified>
</cp:coreProperties>
</file>