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CB77F" w14:textId="23BAFAB8" w:rsidR="00E572DD" w:rsidRPr="00E572DD" w:rsidRDefault="00E572DD">
      <w:pPr>
        <w:rPr>
          <w:rFonts w:ascii="Abadi" w:hAnsi="Abadi"/>
          <w:sz w:val="40"/>
          <w:szCs w:val="40"/>
        </w:rPr>
      </w:pPr>
      <w:r w:rsidRPr="00E572DD">
        <w:rPr>
          <w:rFonts w:ascii="Abadi" w:hAnsi="Abadi"/>
          <w:sz w:val="40"/>
          <w:szCs w:val="40"/>
        </w:rPr>
        <w:t xml:space="preserve">Legal process </w:t>
      </w:r>
    </w:p>
    <w:p w14:paraId="6BAEA815" w14:textId="791AAF84" w:rsidR="00E572DD" w:rsidRPr="00E572DD" w:rsidRDefault="00E572DD">
      <w:pPr>
        <w:rPr>
          <w:rFonts w:ascii="Abadi" w:hAnsi="Abadi"/>
          <w:sz w:val="56"/>
          <w:szCs w:val="56"/>
        </w:rPr>
      </w:pPr>
      <w:r>
        <w:rPr>
          <w:rFonts w:ascii="Abadi" w:hAnsi="Abadi"/>
          <w:sz w:val="56"/>
          <w:szCs w:val="56"/>
        </w:rPr>
        <w:t>Judges</w:t>
      </w:r>
    </w:p>
    <w:p w14:paraId="0D54263D" w14:textId="4F5BD1DE" w:rsidR="00E572DD" w:rsidRDefault="00E572DD">
      <w:pPr>
        <w:rPr>
          <w:sz w:val="32"/>
          <w:szCs w:val="32"/>
        </w:rPr>
      </w:pPr>
      <w:r>
        <w:rPr>
          <w:sz w:val="32"/>
          <w:szCs w:val="32"/>
        </w:rPr>
        <w:t>BMLW4006</w:t>
      </w:r>
    </w:p>
    <w:p w14:paraId="5CE632FE" w14:textId="50791D04" w:rsidR="00E572DD" w:rsidRDefault="00E572DD">
      <w:pPr>
        <w:rPr>
          <w:sz w:val="32"/>
          <w:szCs w:val="32"/>
        </w:rPr>
      </w:pPr>
      <w:r>
        <w:rPr>
          <w:sz w:val="32"/>
          <w:szCs w:val="32"/>
        </w:rPr>
        <w:t>BMPL4005</w:t>
      </w:r>
    </w:p>
    <w:p w14:paraId="22D9CD18" w14:textId="1099695A" w:rsidR="00E572DD" w:rsidRDefault="00E572DD">
      <w:pPr>
        <w:rPr>
          <w:sz w:val="32"/>
          <w:szCs w:val="32"/>
        </w:rPr>
      </w:pPr>
      <w:r>
        <w:rPr>
          <w:sz w:val="32"/>
          <w:szCs w:val="32"/>
        </w:rPr>
        <w:t>———————————————————————————————</w:t>
      </w:r>
    </w:p>
    <w:p w14:paraId="7AA53E2C" w14:textId="77777777" w:rsidR="00E572DD" w:rsidRDefault="00E572DD">
      <w:pPr>
        <w:rPr>
          <w:sz w:val="32"/>
          <w:szCs w:val="32"/>
        </w:rPr>
      </w:pPr>
    </w:p>
    <w:p w14:paraId="676B1BFE" w14:textId="77777777" w:rsidR="00E572DD" w:rsidRDefault="00E572DD">
      <w:pPr>
        <w:rPr>
          <w:sz w:val="32"/>
          <w:szCs w:val="32"/>
        </w:rPr>
      </w:pPr>
    </w:p>
    <w:p w14:paraId="778CB11B" w14:textId="77777777" w:rsidR="00E572DD" w:rsidRDefault="00E572DD">
      <w:pPr>
        <w:rPr>
          <w:sz w:val="32"/>
          <w:szCs w:val="32"/>
        </w:rPr>
      </w:pPr>
    </w:p>
    <w:p w14:paraId="44C5A76B" w14:textId="77777777" w:rsidR="00E572DD" w:rsidRDefault="00E572DD">
      <w:pPr>
        <w:rPr>
          <w:sz w:val="32"/>
          <w:szCs w:val="32"/>
        </w:rPr>
      </w:pPr>
    </w:p>
    <w:p w14:paraId="42A1D14E" w14:textId="77777777" w:rsidR="00E572DD" w:rsidRDefault="00E572DD">
      <w:pPr>
        <w:rPr>
          <w:sz w:val="32"/>
          <w:szCs w:val="32"/>
        </w:rPr>
      </w:pPr>
    </w:p>
    <w:p w14:paraId="5140AF16" w14:textId="77777777" w:rsidR="00E572DD" w:rsidRDefault="00E572DD">
      <w:pPr>
        <w:rPr>
          <w:sz w:val="32"/>
          <w:szCs w:val="32"/>
        </w:rPr>
      </w:pPr>
    </w:p>
    <w:p w14:paraId="72486346" w14:textId="77777777" w:rsidR="00E572DD" w:rsidRDefault="00E572DD">
      <w:pPr>
        <w:rPr>
          <w:sz w:val="32"/>
          <w:szCs w:val="32"/>
        </w:rPr>
      </w:pPr>
    </w:p>
    <w:p w14:paraId="7708C987" w14:textId="77777777" w:rsidR="00E572DD" w:rsidRDefault="00E572DD">
      <w:pPr>
        <w:rPr>
          <w:sz w:val="32"/>
          <w:szCs w:val="32"/>
        </w:rPr>
      </w:pPr>
    </w:p>
    <w:p w14:paraId="4DB42887" w14:textId="77777777" w:rsidR="00E572DD" w:rsidRDefault="00E572DD">
      <w:pPr>
        <w:rPr>
          <w:sz w:val="32"/>
          <w:szCs w:val="32"/>
        </w:rPr>
      </w:pPr>
    </w:p>
    <w:p w14:paraId="3C376F7D" w14:textId="77777777" w:rsidR="00E572DD" w:rsidRDefault="00E572DD">
      <w:pPr>
        <w:rPr>
          <w:sz w:val="32"/>
          <w:szCs w:val="32"/>
        </w:rPr>
      </w:pPr>
    </w:p>
    <w:p w14:paraId="29E79F47" w14:textId="77777777" w:rsidR="00E572DD" w:rsidRDefault="00E572DD">
      <w:pPr>
        <w:rPr>
          <w:sz w:val="32"/>
          <w:szCs w:val="32"/>
        </w:rPr>
      </w:pPr>
    </w:p>
    <w:p w14:paraId="76F8FE57" w14:textId="77777777" w:rsidR="00E572DD" w:rsidRDefault="00E572DD">
      <w:pPr>
        <w:rPr>
          <w:sz w:val="32"/>
          <w:szCs w:val="32"/>
        </w:rPr>
      </w:pPr>
    </w:p>
    <w:p w14:paraId="0EF6F5A5" w14:textId="77777777" w:rsidR="00E572DD" w:rsidRDefault="00E572DD">
      <w:pPr>
        <w:rPr>
          <w:sz w:val="32"/>
          <w:szCs w:val="32"/>
        </w:rPr>
      </w:pPr>
    </w:p>
    <w:p w14:paraId="624F0031" w14:textId="77777777" w:rsidR="00E572DD" w:rsidRDefault="00E572DD">
      <w:pPr>
        <w:rPr>
          <w:sz w:val="32"/>
          <w:szCs w:val="32"/>
        </w:rPr>
      </w:pPr>
    </w:p>
    <w:p w14:paraId="73B41327" w14:textId="77777777" w:rsidR="00E572DD" w:rsidRDefault="00E572DD">
      <w:pPr>
        <w:rPr>
          <w:sz w:val="32"/>
          <w:szCs w:val="32"/>
        </w:rPr>
      </w:pPr>
    </w:p>
    <w:p w14:paraId="7BB767BC" w14:textId="77777777" w:rsidR="00E572DD" w:rsidRDefault="00E572DD">
      <w:pPr>
        <w:rPr>
          <w:sz w:val="32"/>
          <w:szCs w:val="32"/>
        </w:rPr>
      </w:pPr>
    </w:p>
    <w:p w14:paraId="7890DC47" w14:textId="77777777" w:rsidR="00E572DD" w:rsidRDefault="00E572DD">
      <w:pPr>
        <w:rPr>
          <w:sz w:val="32"/>
          <w:szCs w:val="32"/>
        </w:rPr>
      </w:pPr>
    </w:p>
    <w:p w14:paraId="354F1985" w14:textId="77777777" w:rsidR="00E572DD" w:rsidRDefault="00E572DD">
      <w:pPr>
        <w:rPr>
          <w:sz w:val="32"/>
          <w:szCs w:val="32"/>
        </w:rPr>
      </w:pPr>
    </w:p>
    <w:p w14:paraId="39BCCA67" w14:textId="77777777" w:rsidR="00E572DD" w:rsidRDefault="00E572DD">
      <w:pPr>
        <w:rPr>
          <w:sz w:val="32"/>
          <w:szCs w:val="32"/>
        </w:rPr>
      </w:pPr>
    </w:p>
    <w:p w14:paraId="1525226B" w14:textId="77777777" w:rsidR="00E572DD" w:rsidRDefault="00E572DD">
      <w:pPr>
        <w:rPr>
          <w:sz w:val="32"/>
          <w:szCs w:val="32"/>
        </w:rPr>
      </w:pPr>
    </w:p>
    <w:p w14:paraId="19CB507B" w14:textId="77777777" w:rsidR="00E572DD" w:rsidRDefault="00E572DD">
      <w:pPr>
        <w:rPr>
          <w:sz w:val="32"/>
          <w:szCs w:val="32"/>
        </w:rPr>
      </w:pPr>
    </w:p>
    <w:p w14:paraId="2316D2EB" w14:textId="77777777" w:rsidR="00E572DD" w:rsidRDefault="00E572DD">
      <w:pPr>
        <w:rPr>
          <w:sz w:val="32"/>
          <w:szCs w:val="32"/>
        </w:rPr>
      </w:pPr>
    </w:p>
    <w:p w14:paraId="2CAAD5FB" w14:textId="77777777" w:rsidR="00E572DD" w:rsidRDefault="00E572DD">
      <w:pPr>
        <w:rPr>
          <w:sz w:val="32"/>
          <w:szCs w:val="32"/>
        </w:rPr>
      </w:pPr>
    </w:p>
    <w:p w14:paraId="11FFC2F0" w14:textId="77777777" w:rsidR="00E572DD" w:rsidRDefault="00E572DD">
      <w:pPr>
        <w:rPr>
          <w:sz w:val="32"/>
          <w:szCs w:val="32"/>
        </w:rPr>
      </w:pPr>
    </w:p>
    <w:p w14:paraId="6983639F" w14:textId="77777777" w:rsidR="00E572DD" w:rsidRDefault="00E572DD">
      <w:pPr>
        <w:rPr>
          <w:sz w:val="32"/>
          <w:szCs w:val="32"/>
        </w:rPr>
      </w:pPr>
    </w:p>
    <w:p w14:paraId="23861E84" w14:textId="77777777" w:rsidR="00E572DD" w:rsidRDefault="00E572DD">
      <w:pPr>
        <w:rPr>
          <w:sz w:val="32"/>
          <w:szCs w:val="32"/>
        </w:rPr>
      </w:pPr>
    </w:p>
    <w:p w14:paraId="69B57433" w14:textId="77777777" w:rsidR="00E572DD" w:rsidRDefault="00E572DD" w:rsidP="00E572DD">
      <w:pPr>
        <w:ind w:left="7200"/>
        <w:rPr>
          <w:sz w:val="32"/>
          <w:szCs w:val="32"/>
        </w:rPr>
      </w:pPr>
    </w:p>
    <w:p w14:paraId="4CA8C935" w14:textId="77A0AA62" w:rsidR="00E572DD" w:rsidRDefault="00E572DD" w:rsidP="00E572DD">
      <w:pPr>
        <w:ind w:left="7200"/>
        <w:rPr>
          <w:sz w:val="32"/>
          <w:szCs w:val="32"/>
        </w:rPr>
      </w:pPr>
      <w:r>
        <w:rPr>
          <w:sz w:val="32"/>
          <w:szCs w:val="32"/>
        </w:rPr>
        <w:t>Sophie Evans</w:t>
      </w:r>
    </w:p>
    <w:p w14:paraId="07DB9E2C" w14:textId="104B7650" w:rsidR="008B6A57" w:rsidRDefault="00E572DD" w:rsidP="00E572DD">
      <w:pPr>
        <w:ind w:left="7200"/>
        <w:rPr>
          <w:sz w:val="32"/>
          <w:szCs w:val="32"/>
        </w:rPr>
      </w:pPr>
      <w:r>
        <w:rPr>
          <w:sz w:val="32"/>
          <w:szCs w:val="32"/>
        </w:rPr>
        <w:t>2204080</w:t>
      </w:r>
    </w:p>
    <w:p w14:paraId="5817CA57" w14:textId="77777777" w:rsidR="00C77EA7" w:rsidRDefault="00C4587B" w:rsidP="00C4587B">
      <w:pPr>
        <w:rPr>
          <w:sz w:val="32"/>
          <w:szCs w:val="32"/>
        </w:rPr>
      </w:pPr>
      <w:r w:rsidRPr="00C4587B">
        <w:rPr>
          <w:sz w:val="32"/>
          <w:szCs w:val="32"/>
        </w:rPr>
        <w:lastRenderedPageBreak/>
        <w:t xml:space="preserve">A judge is an individual who presides over court proceedings, they form conclusions or decide cases in court. Judges have an important interpretative role, even in relation to legislation. They have an essential developmental role concerning common law. Judges hear evidence in both civil courts and criminal, they acknowledge the information presented and make educated decisions on sentencing. It is important for a judge to interpret the law accurately regarding the case, as it is not necessarily intelligible, the law is open to interpretation and can be adjusted based on context. Legislation is written in a manner in which it can be applied in various cases functionally, it is up to the individual judge to elucidate the ambiguous language used in the legislation; a large part of a judge's role is to construe the words used in the legislation to help come to a conclusion. It is stated that; </w:t>
      </w:r>
    </w:p>
    <w:p w14:paraId="5C17A633" w14:textId="4E095BE9" w:rsidR="00C4587B" w:rsidRPr="00C4587B" w:rsidRDefault="00C4587B" w:rsidP="00C77EA7">
      <w:pPr>
        <w:ind w:left="720"/>
        <w:rPr>
          <w:sz w:val="32"/>
          <w:szCs w:val="32"/>
        </w:rPr>
      </w:pPr>
      <w:r w:rsidRPr="00C4587B">
        <w:rPr>
          <w:sz w:val="32"/>
          <w:szCs w:val="32"/>
        </w:rPr>
        <w:t>“In the field of statute law Parliament makes and unmakes the law, the judge’s duty is to interpret and apply the law, not to change it to meet the judge’s idea of what justice requires. Interpretation does, of course, imply in the interpreter a power of choice when differing constructions which in his judgment best meets the legislative purpose of the enactment” (Online,2013)</w:t>
      </w:r>
    </w:p>
    <w:p w14:paraId="124FD656" w14:textId="77777777" w:rsidR="00C4587B" w:rsidRPr="00C4587B" w:rsidRDefault="00C4587B" w:rsidP="00C4587B">
      <w:pPr>
        <w:rPr>
          <w:sz w:val="32"/>
          <w:szCs w:val="32"/>
        </w:rPr>
      </w:pPr>
      <w:r w:rsidRPr="00C4587B">
        <w:rPr>
          <w:sz w:val="32"/>
          <w:szCs w:val="32"/>
        </w:rPr>
        <w:t xml:space="preserve">This recommences the fact that one of the main roles of a judge is to interpret statutes without personal bias and to interpret most accurately in regard to the case. </w:t>
      </w:r>
    </w:p>
    <w:p w14:paraId="1BDE529F" w14:textId="77777777" w:rsidR="00C4587B" w:rsidRPr="00C4587B" w:rsidRDefault="00C4587B" w:rsidP="00C4587B">
      <w:pPr>
        <w:rPr>
          <w:sz w:val="32"/>
          <w:szCs w:val="32"/>
        </w:rPr>
      </w:pPr>
      <w:r w:rsidRPr="00C4587B">
        <w:rPr>
          <w:sz w:val="32"/>
          <w:szCs w:val="32"/>
        </w:rPr>
        <w:t xml:space="preserve">   If the law was clear and intelligible, the public and those who serve the law would know what to expect. “The law should be certain, so it can be easily enforced” (</w:t>
      </w:r>
      <w:proofErr w:type="spellStart"/>
      <w:r w:rsidRPr="00C4587B">
        <w:rPr>
          <w:sz w:val="32"/>
          <w:szCs w:val="32"/>
        </w:rPr>
        <w:t>Mance</w:t>
      </w:r>
      <w:proofErr w:type="spellEnd"/>
      <w:r w:rsidRPr="00C4587B">
        <w:rPr>
          <w:sz w:val="32"/>
          <w:szCs w:val="32"/>
        </w:rPr>
        <w:t xml:space="preserve"> 2011). As individuals, we expect intelligibility in our relations to others and with the law, so it is equally important for people to understand the law. “The law must be accessible and so far as possible intelligible, clear and predictable.” (Lane, 2010) Every aspect of the law is subject to a general duty of fair dealing and providing good faith to the public by way of a fair trial. Therefore, the law should be clear and intelligible in order to provide a fair public service and preclude mistrial or injustice. All discussions of law follow the idea of certainty, the idea </w:t>
      </w:r>
      <w:r w:rsidRPr="00C4587B">
        <w:rPr>
          <w:sz w:val="32"/>
          <w:szCs w:val="32"/>
        </w:rPr>
        <w:lastRenderedPageBreak/>
        <w:t>of the law being completely clear and intelligible is ideal; however, human error and bias create room for uncertainty or even a state of undue influence. The increased idea of certainty in law can, in turn, encourage intelligibility as it wouldn’t be open to interpretation.</w:t>
      </w:r>
    </w:p>
    <w:p w14:paraId="3B146C23" w14:textId="7C693495" w:rsidR="00C4587B" w:rsidRPr="00C4587B" w:rsidRDefault="00C4587B" w:rsidP="00C4587B">
      <w:pPr>
        <w:rPr>
          <w:sz w:val="32"/>
          <w:szCs w:val="32"/>
        </w:rPr>
      </w:pPr>
      <w:r w:rsidRPr="00C4587B">
        <w:rPr>
          <w:sz w:val="32"/>
          <w:szCs w:val="32"/>
        </w:rPr>
        <w:t>In law, there is “a requirement of good administration, by which public bodies ought to deal straightforwardly and consistently with the public” (</w:t>
      </w:r>
      <w:proofErr w:type="spellStart"/>
      <w:r w:rsidRPr="00C4587B">
        <w:rPr>
          <w:sz w:val="32"/>
          <w:szCs w:val="32"/>
        </w:rPr>
        <w:t>Nadarajah</w:t>
      </w:r>
      <w:proofErr w:type="spellEnd"/>
      <w:r w:rsidRPr="00C4587B">
        <w:rPr>
          <w:sz w:val="32"/>
          <w:szCs w:val="32"/>
        </w:rPr>
        <w:t xml:space="preserve"> and Abdi 2005). As legislation is constructed with complex vocabulary and open to such exposition, there are three rules of statutory interpretation in order to apply a purposive approach to interpretation; the mischief rule</w:t>
      </w:r>
      <w:r w:rsidR="00566D6A">
        <w:rPr>
          <w:sz w:val="32"/>
          <w:szCs w:val="32"/>
        </w:rPr>
        <w:t xml:space="preserve">, </w:t>
      </w:r>
      <w:r w:rsidR="00C77EA7">
        <w:rPr>
          <w:sz w:val="32"/>
          <w:szCs w:val="32"/>
        </w:rPr>
        <w:t>the literal rule</w:t>
      </w:r>
      <w:r w:rsidR="00566D6A">
        <w:rPr>
          <w:sz w:val="32"/>
          <w:szCs w:val="32"/>
        </w:rPr>
        <w:t xml:space="preserve"> and the golden rule. </w:t>
      </w:r>
      <w:r w:rsidRPr="00C4587B">
        <w:rPr>
          <w:sz w:val="32"/>
          <w:szCs w:val="32"/>
        </w:rPr>
        <w:t>Under the literal rule, the judge must consider the literal terms used in the legislation rather than using wide interpretation. It could be argued that the literal meaning of the statute has a negative effect on the interpretation as there are not necessarily sing</w:t>
      </w:r>
      <w:r w:rsidR="00BC01B4">
        <w:rPr>
          <w:sz w:val="32"/>
          <w:szCs w:val="32"/>
        </w:rPr>
        <w:t>ular</w:t>
      </w:r>
      <w:r w:rsidRPr="00C4587B">
        <w:rPr>
          <w:sz w:val="32"/>
          <w:szCs w:val="32"/>
        </w:rPr>
        <w:t xml:space="preserve"> meanings for words. The golden rule is considered an extension of the literal rule as it gives preference to words in the statute that apply to the case most accurately. The mischief rule is a flexible rule of interpretation and considers the meaning of the statute at the time of its creation. All of these rules aid in ensuring a version of intelligibility and are applied depending on the case, this helps to apply a clear interpretation of the law. “What is really undesirable about uncertain rules of law is that they leave persons unsure of their entitlements while affording unfettered discretion to official decision-makers.” (</w:t>
      </w:r>
      <w:proofErr w:type="spellStart"/>
      <w:r w:rsidRPr="00C4587B">
        <w:rPr>
          <w:sz w:val="32"/>
          <w:szCs w:val="32"/>
        </w:rPr>
        <w:t>D’Amato</w:t>
      </w:r>
      <w:proofErr w:type="spellEnd"/>
      <w:r w:rsidRPr="00C4587B">
        <w:rPr>
          <w:sz w:val="32"/>
          <w:szCs w:val="32"/>
        </w:rPr>
        <w:t>, 2010).</w:t>
      </w:r>
    </w:p>
    <w:p w14:paraId="19855468" w14:textId="77777777" w:rsidR="00C4587B" w:rsidRPr="00C4587B" w:rsidRDefault="00C4587B" w:rsidP="00C4587B">
      <w:pPr>
        <w:rPr>
          <w:sz w:val="32"/>
          <w:szCs w:val="32"/>
        </w:rPr>
      </w:pPr>
      <w:r w:rsidRPr="00C4587B">
        <w:rPr>
          <w:sz w:val="32"/>
          <w:szCs w:val="32"/>
        </w:rPr>
        <w:t xml:space="preserve">   Judges are considered public servants as they are employed by the government. They are also an important part of representing democracy, “they are conscious that it is a privilege to serve the community” (Supreme court, 2019). In order to maintain trust and confidence between the public and judges, it is important to engage effectively. The judiciary is important in representing correctness in the government and provides an individual authoritative figure to the public, one that appears morally separate from other government members and MPs. To the public, a judge is a non-biased authority figure who is hypothesised to be fair and equal when making vital choices. Whether or not this statement is true is </w:t>
      </w:r>
      <w:r w:rsidRPr="00C4587B">
        <w:rPr>
          <w:sz w:val="32"/>
          <w:szCs w:val="32"/>
        </w:rPr>
        <w:lastRenderedPageBreak/>
        <w:t>determined by the individual and their morals; whether their actions reciprocate a good moral stance of legally required judicial behaviour. Although judges are figuratively servants of the public, there is always a gap that may allow human error or corrupt behaviour; in turn, this represents the whole of the judiciary in a bad light, severing the interrelation with the public.</w:t>
      </w:r>
    </w:p>
    <w:p w14:paraId="2B03DD85" w14:textId="08B84247" w:rsidR="00C4587B" w:rsidRPr="00C4587B" w:rsidRDefault="00C4587B" w:rsidP="00C4587B">
      <w:pPr>
        <w:rPr>
          <w:sz w:val="32"/>
          <w:szCs w:val="32"/>
        </w:rPr>
      </w:pPr>
      <w:r w:rsidRPr="00C4587B">
        <w:rPr>
          <w:sz w:val="32"/>
          <w:szCs w:val="32"/>
        </w:rPr>
        <w:t xml:space="preserve">   “A judge must also be both honest and incorruptible and independent of the parties and issues before him” (</w:t>
      </w:r>
      <w:proofErr w:type="spellStart"/>
      <w:r w:rsidRPr="00C4587B">
        <w:rPr>
          <w:sz w:val="32"/>
          <w:szCs w:val="32"/>
        </w:rPr>
        <w:t>Mance</w:t>
      </w:r>
      <w:proofErr w:type="spellEnd"/>
      <w:r w:rsidRPr="00C4587B">
        <w:rPr>
          <w:sz w:val="32"/>
          <w:szCs w:val="32"/>
        </w:rPr>
        <w:t xml:space="preserve"> 2017). Judges are to be considered individuals in a position of trust, this is because they are trusted to make decisions that affect the safety and comfortability of the public. They are entrusted to ensure the law is transparent and use legislation correctly to ensure justice for the public. There is a low likelihood of a judge interpreting the legislation </w:t>
      </w:r>
      <w:r w:rsidR="00BC01B4">
        <w:rPr>
          <w:sz w:val="32"/>
          <w:szCs w:val="32"/>
        </w:rPr>
        <w:t>in</w:t>
      </w:r>
      <w:r w:rsidRPr="00C4587B">
        <w:rPr>
          <w:sz w:val="32"/>
          <w:szCs w:val="32"/>
        </w:rPr>
        <w:t xml:space="preserve"> a personal point of view in order to adjust the outcome of a case, so accordingly judges hold a position of trust. When a trial begins, all members trust the judge in question to accurately interpret and use the relative legislation to correctly provide a service. “The judiciary cannot exist without the trust and confidence of the people” (</w:t>
      </w:r>
      <w:proofErr w:type="spellStart"/>
      <w:r w:rsidRPr="00C4587B">
        <w:rPr>
          <w:sz w:val="32"/>
          <w:szCs w:val="32"/>
        </w:rPr>
        <w:t>Sachar</w:t>
      </w:r>
      <w:proofErr w:type="spellEnd"/>
      <w:r w:rsidRPr="00C4587B">
        <w:rPr>
          <w:sz w:val="32"/>
          <w:szCs w:val="32"/>
        </w:rPr>
        <w:t>), it is said that the judiciary is mostly built on a foundation of trust and that any purposeful misinterpretation is a violation of moral conduct. It is also argued that judges may not be trusted due to an inclination or prejudice against someone. In natural justice, there is a principle in which “no person can be a judge in a case in which they have an interest” (</w:t>
      </w:r>
      <w:proofErr w:type="spellStart"/>
      <w:r w:rsidRPr="00C4587B">
        <w:rPr>
          <w:sz w:val="32"/>
          <w:szCs w:val="32"/>
        </w:rPr>
        <w:t>Orr,2019</w:t>
      </w:r>
      <w:proofErr w:type="spellEnd"/>
      <w:r w:rsidRPr="00C4587B">
        <w:rPr>
          <w:sz w:val="32"/>
          <w:szCs w:val="32"/>
        </w:rPr>
        <w:t>). In order to maintain a position of trust; honesty is a moral quality that judges are expected to hold, this encourages intellectual humility. The modern argument for not trusting judges is, “it is a case for not trusting them to the extent that there is no check or balance on their conduct” (</w:t>
      </w:r>
      <w:proofErr w:type="spellStart"/>
      <w:r w:rsidRPr="00C4587B">
        <w:rPr>
          <w:sz w:val="32"/>
          <w:szCs w:val="32"/>
        </w:rPr>
        <w:t>Macnair</w:t>
      </w:r>
      <w:proofErr w:type="spellEnd"/>
      <w:r w:rsidRPr="00C4587B">
        <w:rPr>
          <w:sz w:val="32"/>
          <w:szCs w:val="32"/>
        </w:rPr>
        <w:t xml:space="preserve">, 2018). </w:t>
      </w:r>
      <w:proofErr w:type="spellStart"/>
      <w:r w:rsidRPr="00C4587B">
        <w:rPr>
          <w:sz w:val="32"/>
          <w:szCs w:val="32"/>
        </w:rPr>
        <w:t>Macnair</w:t>
      </w:r>
      <w:proofErr w:type="spellEnd"/>
      <w:r w:rsidRPr="00C4587B">
        <w:rPr>
          <w:sz w:val="32"/>
          <w:szCs w:val="32"/>
        </w:rPr>
        <w:t xml:space="preserve"> suggests that there is a sum of leftist support for judicial review on human rights-related legislation, this proposes that the public has a lack of trust for the judiciary.</w:t>
      </w:r>
    </w:p>
    <w:p w14:paraId="4E55F296" w14:textId="77777777" w:rsidR="00C4587B" w:rsidRPr="00C4587B" w:rsidRDefault="00C4587B" w:rsidP="00BC01B4">
      <w:pPr>
        <w:ind w:left="720"/>
        <w:rPr>
          <w:sz w:val="32"/>
          <w:szCs w:val="32"/>
        </w:rPr>
      </w:pPr>
      <w:r w:rsidRPr="00C4587B">
        <w:rPr>
          <w:sz w:val="32"/>
          <w:szCs w:val="32"/>
        </w:rPr>
        <w:t xml:space="preserve">“It is vitally important in a democracy that individual judges and the judiciary as a whole are impartial and independent of all external reassures and of each other so that those who appear before them and the wider public can have confidence that </w:t>
      </w:r>
      <w:r w:rsidRPr="00C4587B">
        <w:rPr>
          <w:sz w:val="32"/>
          <w:szCs w:val="32"/>
        </w:rPr>
        <w:lastRenderedPageBreak/>
        <w:t xml:space="preserve">their cases will be decided fairly and in accordance with the law.” (Courts and tribunals judiciary) </w:t>
      </w:r>
    </w:p>
    <w:p w14:paraId="36B1C9E4" w14:textId="77777777" w:rsidR="00C4587B" w:rsidRPr="00C4587B" w:rsidRDefault="00C4587B" w:rsidP="00C4587B">
      <w:pPr>
        <w:rPr>
          <w:sz w:val="32"/>
          <w:szCs w:val="32"/>
        </w:rPr>
      </w:pPr>
      <w:r w:rsidRPr="00C4587B">
        <w:rPr>
          <w:sz w:val="32"/>
          <w:szCs w:val="32"/>
        </w:rPr>
        <w:t xml:space="preserve">Public confidence in the judiciary is vital; a sense of trust that cases will be decided fairly without bias. </w:t>
      </w:r>
    </w:p>
    <w:p w14:paraId="5D9AFEA7" w14:textId="13FD777B" w:rsidR="00C4587B" w:rsidRPr="00C4587B" w:rsidRDefault="00C4587B" w:rsidP="00C4587B">
      <w:pPr>
        <w:rPr>
          <w:sz w:val="32"/>
          <w:szCs w:val="32"/>
        </w:rPr>
      </w:pPr>
      <w:r w:rsidRPr="00C4587B">
        <w:rPr>
          <w:sz w:val="32"/>
          <w:szCs w:val="32"/>
        </w:rPr>
        <w:t xml:space="preserve">   In conclusion, it is in an ideal world that legislation is completely intelligible and clear. However, it is a strong role of a judge to interpret this effectively in relation to the case; “During the policy development process things can happen that can generate unnecessarily complex legislation” (Heaton, 2013). As a result of these complex statutes, a judge's position becomes more complicated as they are to decide what interpretation is most legally necessary rather than what they feel morally obliged to do. There is a vast amount of public trust within the judiciary, to do what is right and produce accurate expositions relevant to the case presented. Although it is not up to judges to ensure that the law itself is transparent and intelligible, it is vital that they accurately interpret it in order to provide a trusted service to the public without bias</w:t>
      </w:r>
      <w:r w:rsidR="00BC01B4">
        <w:rPr>
          <w:sz w:val="32"/>
          <w:szCs w:val="32"/>
        </w:rPr>
        <w:t>;</w:t>
      </w:r>
    </w:p>
    <w:p w14:paraId="1E2829CE" w14:textId="77777777" w:rsidR="00C4587B" w:rsidRPr="00C4587B" w:rsidRDefault="00C4587B" w:rsidP="00C4587B">
      <w:pPr>
        <w:rPr>
          <w:sz w:val="32"/>
          <w:szCs w:val="32"/>
        </w:rPr>
      </w:pPr>
    </w:p>
    <w:p w14:paraId="5FC34A91" w14:textId="7DDD664C" w:rsidR="008C1ADD" w:rsidRDefault="00C4587B">
      <w:pPr>
        <w:rPr>
          <w:sz w:val="32"/>
          <w:szCs w:val="32"/>
        </w:rPr>
      </w:pPr>
      <w:r w:rsidRPr="00C4587B">
        <w:rPr>
          <w:sz w:val="32"/>
          <w:szCs w:val="32"/>
        </w:rPr>
        <w:t>“We believe in the liberty of the individual under the law; in equal rights for all citizens regardless of gender, race, colour, creed or political belief; and in the individual’s inalienable right to participate by means of free and democratic political processes in framing the society in which he or she lives.” (Lord Phillips, 2007)</w:t>
      </w:r>
      <w:r w:rsidR="00BC01B4">
        <w:rPr>
          <w:sz w:val="32"/>
          <w:szCs w:val="32"/>
        </w:rPr>
        <w:t>.</w:t>
      </w:r>
    </w:p>
    <w:p w14:paraId="23CB6276" w14:textId="77777777" w:rsidR="00666CFD" w:rsidRDefault="00666CFD">
      <w:pPr>
        <w:rPr>
          <w:sz w:val="32"/>
          <w:szCs w:val="32"/>
        </w:rPr>
      </w:pPr>
    </w:p>
    <w:p w14:paraId="5BCFDE91" w14:textId="77777777" w:rsidR="00666CFD" w:rsidRDefault="00666CFD">
      <w:pPr>
        <w:rPr>
          <w:sz w:val="32"/>
          <w:szCs w:val="32"/>
        </w:rPr>
      </w:pPr>
    </w:p>
    <w:p w14:paraId="471CF320" w14:textId="77777777" w:rsidR="00666CFD" w:rsidRDefault="00666CFD">
      <w:pPr>
        <w:rPr>
          <w:sz w:val="32"/>
          <w:szCs w:val="32"/>
        </w:rPr>
      </w:pPr>
    </w:p>
    <w:p w14:paraId="1269546C" w14:textId="77777777" w:rsidR="00666CFD" w:rsidRDefault="00666CFD">
      <w:pPr>
        <w:rPr>
          <w:sz w:val="32"/>
          <w:szCs w:val="32"/>
        </w:rPr>
      </w:pPr>
    </w:p>
    <w:p w14:paraId="21A9E8A3" w14:textId="77777777" w:rsidR="00666CFD" w:rsidRDefault="00666CFD">
      <w:pPr>
        <w:rPr>
          <w:sz w:val="32"/>
          <w:szCs w:val="32"/>
        </w:rPr>
      </w:pPr>
    </w:p>
    <w:p w14:paraId="731888B1" w14:textId="77777777" w:rsidR="00666CFD" w:rsidRDefault="00666CFD">
      <w:pPr>
        <w:rPr>
          <w:sz w:val="32"/>
          <w:szCs w:val="32"/>
        </w:rPr>
      </w:pPr>
    </w:p>
    <w:p w14:paraId="470AF3A1" w14:textId="77777777" w:rsidR="00666CFD" w:rsidRDefault="00666CFD">
      <w:pPr>
        <w:rPr>
          <w:sz w:val="32"/>
          <w:szCs w:val="32"/>
        </w:rPr>
      </w:pPr>
    </w:p>
    <w:p w14:paraId="2DCA6A2D" w14:textId="49581325" w:rsidR="008C1ADD" w:rsidRDefault="008C1ADD">
      <w:pPr>
        <w:rPr>
          <w:sz w:val="32"/>
          <w:szCs w:val="32"/>
        </w:rPr>
      </w:pPr>
    </w:p>
    <w:p w14:paraId="52E34144" w14:textId="734BAAD6" w:rsidR="008C1ADD" w:rsidRDefault="008C1ADD">
      <w:pPr>
        <w:rPr>
          <w:sz w:val="32"/>
          <w:szCs w:val="32"/>
        </w:rPr>
      </w:pPr>
    </w:p>
    <w:p w14:paraId="12441195" w14:textId="77777777" w:rsidR="00BC01B4" w:rsidRDefault="00BC01B4">
      <w:pPr>
        <w:rPr>
          <w:sz w:val="32"/>
          <w:szCs w:val="32"/>
        </w:rPr>
      </w:pPr>
    </w:p>
    <w:p w14:paraId="70421759" w14:textId="31AA6FCA" w:rsidR="00BC01B4" w:rsidRDefault="00BC01B4">
      <w:pPr>
        <w:rPr>
          <w:sz w:val="32"/>
          <w:szCs w:val="32"/>
        </w:rPr>
      </w:pPr>
    </w:p>
    <w:p w14:paraId="728F6DB9" w14:textId="77777777" w:rsidR="00BC01B4" w:rsidRDefault="00BC01B4">
      <w:pPr>
        <w:rPr>
          <w:sz w:val="32"/>
          <w:szCs w:val="32"/>
        </w:rPr>
      </w:pPr>
    </w:p>
    <w:p w14:paraId="38E5CB7A" w14:textId="58633055" w:rsidR="008C1ADD" w:rsidRDefault="008C1ADD">
      <w:pPr>
        <w:rPr>
          <w:sz w:val="32"/>
          <w:szCs w:val="32"/>
        </w:rPr>
      </w:pPr>
      <w:r>
        <w:rPr>
          <w:sz w:val="32"/>
          <w:szCs w:val="32"/>
        </w:rPr>
        <w:lastRenderedPageBreak/>
        <w:t xml:space="preserve">References – </w:t>
      </w:r>
    </w:p>
    <w:p w14:paraId="57F5B94C" w14:textId="455CA92B" w:rsidR="008C1ADD" w:rsidRDefault="008C1ADD" w:rsidP="008C1ADD">
      <w:pPr>
        <w:pStyle w:val="ListParagraph"/>
        <w:numPr>
          <w:ilvl w:val="0"/>
          <w:numId w:val="1"/>
        </w:numPr>
        <w:rPr>
          <w:sz w:val="32"/>
          <w:szCs w:val="32"/>
        </w:rPr>
      </w:pPr>
      <w:r>
        <w:rPr>
          <w:sz w:val="32"/>
          <w:szCs w:val="32"/>
        </w:rPr>
        <w:t>Allen Lane, The rule of law, 2010</w:t>
      </w:r>
    </w:p>
    <w:p w14:paraId="56314CB2" w14:textId="450AFE99" w:rsidR="00A60F98" w:rsidRDefault="00A60F98" w:rsidP="008C1ADD">
      <w:pPr>
        <w:pStyle w:val="ListParagraph"/>
        <w:numPr>
          <w:ilvl w:val="0"/>
          <w:numId w:val="1"/>
        </w:numPr>
        <w:rPr>
          <w:sz w:val="32"/>
          <w:szCs w:val="32"/>
        </w:rPr>
      </w:pPr>
      <w:r>
        <w:rPr>
          <w:sz w:val="32"/>
          <w:szCs w:val="32"/>
        </w:rPr>
        <w:t xml:space="preserve">Anthony </w:t>
      </w:r>
      <w:proofErr w:type="spellStart"/>
      <w:r>
        <w:rPr>
          <w:sz w:val="32"/>
          <w:szCs w:val="32"/>
        </w:rPr>
        <w:t>D’Amato</w:t>
      </w:r>
      <w:proofErr w:type="spellEnd"/>
      <w:r>
        <w:rPr>
          <w:sz w:val="32"/>
          <w:szCs w:val="32"/>
        </w:rPr>
        <w:t xml:space="preserve">, Legal Uncertainty, </w:t>
      </w:r>
      <w:proofErr w:type="spellStart"/>
      <w:r>
        <w:rPr>
          <w:sz w:val="32"/>
          <w:szCs w:val="32"/>
        </w:rPr>
        <w:t>Norrthwestern</w:t>
      </w:r>
      <w:proofErr w:type="spellEnd"/>
      <w:r>
        <w:rPr>
          <w:sz w:val="32"/>
          <w:szCs w:val="32"/>
        </w:rPr>
        <w:t xml:space="preserve"> School of Law Scholarly Commons, 2010, </w:t>
      </w:r>
      <w:hyperlink r:id="rId7" w:history="1">
        <w:r w:rsidRPr="00532F3D">
          <w:rPr>
            <w:rStyle w:val="Hyperlink"/>
            <w:sz w:val="32"/>
            <w:szCs w:val="32"/>
          </w:rPr>
          <w:t>https://scholarlycommons.law.northwestern.edu/cgi/viewcontent.cgi?referer=&amp;httpsredir=1&amp;article=1107&amp;context=facultyworkingpapers</w:t>
        </w:r>
      </w:hyperlink>
      <w:r>
        <w:rPr>
          <w:sz w:val="32"/>
          <w:szCs w:val="32"/>
        </w:rPr>
        <w:t xml:space="preserve"> </w:t>
      </w:r>
    </w:p>
    <w:p w14:paraId="0ED2B9E8" w14:textId="7C8A3D5E" w:rsidR="00A64CDF" w:rsidRDefault="00A64CDF" w:rsidP="00A64CDF">
      <w:pPr>
        <w:pStyle w:val="ListParagraph"/>
        <w:numPr>
          <w:ilvl w:val="0"/>
          <w:numId w:val="1"/>
        </w:numPr>
        <w:rPr>
          <w:sz w:val="32"/>
          <w:szCs w:val="32"/>
        </w:rPr>
      </w:pPr>
      <w:r>
        <w:rPr>
          <w:sz w:val="32"/>
          <w:szCs w:val="32"/>
        </w:rPr>
        <w:t xml:space="preserve">David J. </w:t>
      </w:r>
      <w:proofErr w:type="spellStart"/>
      <w:r>
        <w:rPr>
          <w:sz w:val="32"/>
          <w:szCs w:val="32"/>
        </w:rPr>
        <w:t>Sachar</w:t>
      </w:r>
      <w:proofErr w:type="spellEnd"/>
      <w:r>
        <w:rPr>
          <w:sz w:val="32"/>
          <w:szCs w:val="32"/>
        </w:rPr>
        <w:t xml:space="preserve">, Judicial Misconduct and Public </w:t>
      </w:r>
      <w:r w:rsidR="00B827BA">
        <w:rPr>
          <w:sz w:val="32"/>
          <w:szCs w:val="32"/>
        </w:rPr>
        <w:t>Confidence</w:t>
      </w:r>
      <w:r>
        <w:rPr>
          <w:sz w:val="32"/>
          <w:szCs w:val="32"/>
        </w:rPr>
        <w:t xml:space="preserve"> in the Rule of Law, United Nations Office on Drugs and Crime, </w:t>
      </w:r>
      <w:hyperlink r:id="rId8" w:history="1">
        <w:r w:rsidRPr="00532F3D">
          <w:rPr>
            <w:rStyle w:val="Hyperlink"/>
            <w:sz w:val="32"/>
            <w:szCs w:val="32"/>
          </w:rPr>
          <w:t>https://www.unodc.org/dohadeclaration/en/news/2019/08/judicial-misconduct-and-public-confidence-in-the-rule-of-law.html</w:t>
        </w:r>
      </w:hyperlink>
      <w:r>
        <w:rPr>
          <w:sz w:val="32"/>
          <w:szCs w:val="32"/>
        </w:rPr>
        <w:t xml:space="preserve"> </w:t>
      </w:r>
    </w:p>
    <w:p w14:paraId="6C629103" w14:textId="71EACAA0" w:rsidR="00A60F98" w:rsidRPr="00A64CDF" w:rsidRDefault="00A60F98" w:rsidP="00A64CDF">
      <w:pPr>
        <w:pStyle w:val="ListParagraph"/>
        <w:numPr>
          <w:ilvl w:val="0"/>
          <w:numId w:val="1"/>
        </w:numPr>
        <w:rPr>
          <w:sz w:val="32"/>
          <w:szCs w:val="32"/>
        </w:rPr>
      </w:pPr>
      <w:r w:rsidRPr="00A60F98">
        <w:rPr>
          <w:sz w:val="32"/>
          <w:szCs w:val="32"/>
        </w:rPr>
        <w:t>LawTeacher</w:t>
      </w:r>
      <w:r>
        <w:rPr>
          <w:sz w:val="32"/>
          <w:szCs w:val="32"/>
        </w:rPr>
        <w:t>,</w:t>
      </w:r>
      <w:r w:rsidRPr="00A60F98">
        <w:rPr>
          <w:sz w:val="32"/>
          <w:szCs w:val="32"/>
        </w:rPr>
        <w:t xml:space="preserve"> The Judge's Role in England</w:t>
      </w:r>
      <w:r>
        <w:rPr>
          <w:sz w:val="32"/>
          <w:szCs w:val="32"/>
        </w:rPr>
        <w:t xml:space="preserve">, November 2013, </w:t>
      </w:r>
      <w:hyperlink r:id="rId9" w:history="1">
        <w:r w:rsidRPr="00532F3D">
          <w:rPr>
            <w:rStyle w:val="Hyperlink"/>
            <w:sz w:val="32"/>
            <w:szCs w:val="32"/>
          </w:rPr>
          <w:t>https://www.lawteacher.net/free-law-essays/constitutional-law/the-judges-role-in-england-law-essays.php?vref=1</w:t>
        </w:r>
      </w:hyperlink>
      <w:r>
        <w:rPr>
          <w:sz w:val="32"/>
          <w:szCs w:val="32"/>
        </w:rPr>
        <w:t xml:space="preserve"> </w:t>
      </w:r>
    </w:p>
    <w:p w14:paraId="4AE9BC3C" w14:textId="59A211BA" w:rsidR="00666CFD" w:rsidRPr="00A64CDF" w:rsidRDefault="00C45806" w:rsidP="00A64CDF">
      <w:pPr>
        <w:pStyle w:val="ListParagraph"/>
        <w:numPr>
          <w:ilvl w:val="0"/>
          <w:numId w:val="1"/>
        </w:numPr>
        <w:rPr>
          <w:sz w:val="32"/>
          <w:szCs w:val="32"/>
        </w:rPr>
      </w:pPr>
      <w:r>
        <w:rPr>
          <w:sz w:val="32"/>
          <w:szCs w:val="32"/>
        </w:rPr>
        <w:t xml:space="preserve">Lord </w:t>
      </w:r>
      <w:proofErr w:type="spellStart"/>
      <w:r w:rsidR="00A0583A">
        <w:rPr>
          <w:sz w:val="32"/>
          <w:szCs w:val="32"/>
        </w:rPr>
        <w:t>Manc</w:t>
      </w:r>
      <w:r>
        <w:rPr>
          <w:sz w:val="32"/>
          <w:szCs w:val="32"/>
        </w:rPr>
        <w:t>e</w:t>
      </w:r>
      <w:proofErr w:type="spellEnd"/>
      <w:r>
        <w:rPr>
          <w:sz w:val="32"/>
          <w:szCs w:val="32"/>
        </w:rPr>
        <w:t xml:space="preserve">, Should the law be certain?, The Oxford </w:t>
      </w:r>
      <w:proofErr w:type="spellStart"/>
      <w:r>
        <w:rPr>
          <w:sz w:val="32"/>
          <w:szCs w:val="32"/>
        </w:rPr>
        <w:t>Shreival</w:t>
      </w:r>
      <w:proofErr w:type="spellEnd"/>
      <w:r>
        <w:rPr>
          <w:sz w:val="32"/>
          <w:szCs w:val="32"/>
        </w:rPr>
        <w:t xml:space="preserve"> Lecture,</w:t>
      </w:r>
      <w:r w:rsidR="00A0583A">
        <w:rPr>
          <w:sz w:val="32"/>
          <w:szCs w:val="32"/>
        </w:rPr>
        <w:t xml:space="preserve"> </w:t>
      </w:r>
      <w:r>
        <w:rPr>
          <w:sz w:val="32"/>
          <w:szCs w:val="32"/>
        </w:rPr>
        <w:t>11</w:t>
      </w:r>
      <w:r w:rsidRPr="00C45806">
        <w:rPr>
          <w:sz w:val="32"/>
          <w:szCs w:val="32"/>
          <w:vertAlign w:val="superscript"/>
        </w:rPr>
        <w:t>th</w:t>
      </w:r>
      <w:r>
        <w:rPr>
          <w:sz w:val="32"/>
          <w:szCs w:val="32"/>
        </w:rPr>
        <w:t xml:space="preserve"> October 2011</w:t>
      </w:r>
      <w:r w:rsidR="00666CFD">
        <w:rPr>
          <w:sz w:val="32"/>
          <w:szCs w:val="32"/>
        </w:rPr>
        <w:t xml:space="preserve">, </w:t>
      </w:r>
      <w:hyperlink r:id="rId10" w:history="1">
        <w:r w:rsidR="00666CFD" w:rsidRPr="00532F3D">
          <w:rPr>
            <w:rStyle w:val="Hyperlink"/>
            <w:sz w:val="32"/>
            <w:szCs w:val="32"/>
          </w:rPr>
          <w:t>https://www.supremecourt.uk/docs/speech_111011.pdf</w:t>
        </w:r>
      </w:hyperlink>
      <w:r w:rsidR="00666CFD">
        <w:rPr>
          <w:sz w:val="32"/>
          <w:szCs w:val="32"/>
        </w:rPr>
        <w:t xml:space="preserve"> </w:t>
      </w:r>
    </w:p>
    <w:p w14:paraId="3EEC8F49" w14:textId="6090FF5C" w:rsidR="00637ACA" w:rsidRDefault="00637ACA" w:rsidP="00944879">
      <w:pPr>
        <w:pStyle w:val="ListParagraph"/>
        <w:numPr>
          <w:ilvl w:val="0"/>
          <w:numId w:val="1"/>
        </w:numPr>
        <w:rPr>
          <w:sz w:val="32"/>
          <w:szCs w:val="32"/>
        </w:rPr>
      </w:pPr>
      <w:r>
        <w:rPr>
          <w:sz w:val="32"/>
          <w:szCs w:val="32"/>
        </w:rPr>
        <w:t xml:space="preserve">Lord </w:t>
      </w:r>
      <w:proofErr w:type="spellStart"/>
      <w:r>
        <w:rPr>
          <w:sz w:val="32"/>
          <w:szCs w:val="32"/>
        </w:rPr>
        <w:t>Mance</w:t>
      </w:r>
      <w:proofErr w:type="spellEnd"/>
      <w:r>
        <w:rPr>
          <w:sz w:val="32"/>
          <w:szCs w:val="32"/>
        </w:rPr>
        <w:t>, The Role of Judges in a Representative Democracy, 24</w:t>
      </w:r>
      <w:r w:rsidRPr="00637ACA">
        <w:rPr>
          <w:sz w:val="32"/>
          <w:szCs w:val="32"/>
          <w:vertAlign w:val="superscript"/>
        </w:rPr>
        <w:t>th</w:t>
      </w:r>
      <w:r>
        <w:rPr>
          <w:sz w:val="32"/>
          <w:szCs w:val="32"/>
        </w:rPr>
        <w:t xml:space="preserve"> February 2017</w:t>
      </w:r>
      <w:r w:rsidR="00944879">
        <w:rPr>
          <w:sz w:val="32"/>
          <w:szCs w:val="32"/>
        </w:rPr>
        <w:t>,</w:t>
      </w:r>
      <w:r w:rsidRPr="00944879">
        <w:rPr>
          <w:sz w:val="32"/>
          <w:szCs w:val="32"/>
        </w:rPr>
        <w:t xml:space="preserve"> </w:t>
      </w:r>
      <w:hyperlink r:id="rId11" w:history="1">
        <w:r w:rsidRPr="00944879">
          <w:rPr>
            <w:rStyle w:val="Hyperlink"/>
            <w:sz w:val="32"/>
            <w:szCs w:val="32"/>
          </w:rPr>
          <w:t>https://www.supremecourt.uk/docs/speech-170224.pdf</w:t>
        </w:r>
      </w:hyperlink>
      <w:r w:rsidRPr="00944879">
        <w:rPr>
          <w:sz w:val="32"/>
          <w:szCs w:val="32"/>
        </w:rPr>
        <w:t xml:space="preserve"> </w:t>
      </w:r>
    </w:p>
    <w:p w14:paraId="51E8CB67" w14:textId="119A2BED" w:rsidR="000116DC" w:rsidRDefault="000116DC" w:rsidP="00944879">
      <w:pPr>
        <w:pStyle w:val="ListParagraph"/>
        <w:numPr>
          <w:ilvl w:val="0"/>
          <w:numId w:val="1"/>
        </w:numPr>
        <w:rPr>
          <w:sz w:val="32"/>
          <w:szCs w:val="32"/>
        </w:rPr>
      </w:pPr>
      <w:r>
        <w:rPr>
          <w:sz w:val="32"/>
          <w:szCs w:val="32"/>
        </w:rPr>
        <w:t xml:space="preserve">Lord Phillips of Worth </w:t>
      </w:r>
      <w:proofErr w:type="spellStart"/>
      <w:r>
        <w:rPr>
          <w:sz w:val="32"/>
          <w:szCs w:val="32"/>
        </w:rPr>
        <w:t>Matravers</w:t>
      </w:r>
      <w:proofErr w:type="spellEnd"/>
      <w:r>
        <w:rPr>
          <w:sz w:val="32"/>
          <w:szCs w:val="32"/>
        </w:rPr>
        <w:t>, Lord Chief Justice of England and Wales, Judicial Independence”, Commonwealth law conference, 12</w:t>
      </w:r>
      <w:r w:rsidRPr="000116DC">
        <w:rPr>
          <w:sz w:val="32"/>
          <w:szCs w:val="32"/>
          <w:vertAlign w:val="superscript"/>
        </w:rPr>
        <w:t>th</w:t>
      </w:r>
      <w:r>
        <w:rPr>
          <w:sz w:val="32"/>
          <w:szCs w:val="32"/>
        </w:rPr>
        <w:t xml:space="preserve"> September 2007, </w:t>
      </w:r>
      <w:hyperlink r:id="rId12" w:history="1">
        <w:r w:rsidRPr="00532F3D">
          <w:rPr>
            <w:rStyle w:val="Hyperlink"/>
            <w:sz w:val="32"/>
            <w:szCs w:val="32"/>
          </w:rPr>
          <w:t>https://www.judiciary.uk/wp-content/uploads/2020/08/lcj_kenya_clc_120907.pdf</w:t>
        </w:r>
      </w:hyperlink>
      <w:r>
        <w:rPr>
          <w:sz w:val="32"/>
          <w:szCs w:val="32"/>
        </w:rPr>
        <w:t xml:space="preserve"> </w:t>
      </w:r>
    </w:p>
    <w:p w14:paraId="0778C55C" w14:textId="6E618F89" w:rsidR="00944879" w:rsidRDefault="00944879" w:rsidP="00944879">
      <w:pPr>
        <w:pStyle w:val="ListParagraph"/>
        <w:numPr>
          <w:ilvl w:val="0"/>
          <w:numId w:val="1"/>
        </w:numPr>
        <w:rPr>
          <w:sz w:val="32"/>
          <w:szCs w:val="32"/>
        </w:rPr>
      </w:pPr>
      <w:r>
        <w:rPr>
          <w:sz w:val="32"/>
          <w:szCs w:val="32"/>
        </w:rPr>
        <w:t xml:space="preserve">Lucinda Orr, </w:t>
      </w:r>
      <w:proofErr w:type="spellStart"/>
      <w:r>
        <w:rPr>
          <w:sz w:val="32"/>
          <w:szCs w:val="32"/>
        </w:rPr>
        <w:t>Enyo</w:t>
      </w:r>
      <w:proofErr w:type="spellEnd"/>
      <w:r>
        <w:rPr>
          <w:sz w:val="32"/>
          <w:szCs w:val="32"/>
        </w:rPr>
        <w:t xml:space="preserve"> Law, Without prejudice? Judicial bias and unfair conduct, 5</w:t>
      </w:r>
      <w:r w:rsidRPr="00944879">
        <w:rPr>
          <w:sz w:val="32"/>
          <w:szCs w:val="32"/>
          <w:vertAlign w:val="superscript"/>
        </w:rPr>
        <w:t>th</w:t>
      </w:r>
      <w:r>
        <w:rPr>
          <w:sz w:val="32"/>
          <w:szCs w:val="32"/>
        </w:rPr>
        <w:t xml:space="preserve"> June 2019, </w:t>
      </w:r>
      <w:hyperlink r:id="rId13" w:history="1">
        <w:r w:rsidRPr="00532F3D">
          <w:rPr>
            <w:rStyle w:val="Hyperlink"/>
            <w:sz w:val="32"/>
            <w:szCs w:val="32"/>
          </w:rPr>
          <w:t>https://www.enyolaw.com/posts/111/without-prejudice-judicial-bias-and-unfair-conduct</w:t>
        </w:r>
      </w:hyperlink>
      <w:r>
        <w:rPr>
          <w:sz w:val="32"/>
          <w:szCs w:val="32"/>
        </w:rPr>
        <w:t xml:space="preserve"> </w:t>
      </w:r>
    </w:p>
    <w:p w14:paraId="6B7E3FA2" w14:textId="2288D9F1" w:rsidR="002C10A1" w:rsidRPr="00944879" w:rsidRDefault="002C10A1" w:rsidP="00944879">
      <w:pPr>
        <w:pStyle w:val="ListParagraph"/>
        <w:numPr>
          <w:ilvl w:val="0"/>
          <w:numId w:val="1"/>
        </w:numPr>
        <w:rPr>
          <w:sz w:val="32"/>
          <w:szCs w:val="32"/>
        </w:rPr>
      </w:pPr>
      <w:r>
        <w:rPr>
          <w:sz w:val="32"/>
          <w:szCs w:val="32"/>
        </w:rPr>
        <w:t xml:space="preserve">Mike </w:t>
      </w:r>
      <w:proofErr w:type="spellStart"/>
      <w:r>
        <w:rPr>
          <w:sz w:val="32"/>
          <w:szCs w:val="32"/>
        </w:rPr>
        <w:t>Macnair</w:t>
      </w:r>
      <w:proofErr w:type="spellEnd"/>
      <w:r>
        <w:rPr>
          <w:sz w:val="32"/>
          <w:szCs w:val="32"/>
        </w:rPr>
        <w:t xml:space="preserve">, Can judges be trusted with the common law?, </w:t>
      </w:r>
      <w:proofErr w:type="spellStart"/>
      <w:r>
        <w:rPr>
          <w:sz w:val="32"/>
          <w:szCs w:val="32"/>
        </w:rPr>
        <w:t>Judicil</w:t>
      </w:r>
      <w:proofErr w:type="spellEnd"/>
      <w:r>
        <w:rPr>
          <w:sz w:val="32"/>
          <w:szCs w:val="32"/>
        </w:rPr>
        <w:t xml:space="preserve"> power project, 9</w:t>
      </w:r>
      <w:r w:rsidRPr="002C10A1">
        <w:rPr>
          <w:sz w:val="32"/>
          <w:szCs w:val="32"/>
          <w:vertAlign w:val="superscript"/>
        </w:rPr>
        <w:t>th</w:t>
      </w:r>
      <w:r>
        <w:rPr>
          <w:sz w:val="32"/>
          <w:szCs w:val="32"/>
        </w:rPr>
        <w:t xml:space="preserve"> January 2018, </w:t>
      </w:r>
      <w:hyperlink r:id="rId14" w:history="1">
        <w:r w:rsidRPr="00532F3D">
          <w:rPr>
            <w:rStyle w:val="Hyperlink"/>
            <w:sz w:val="32"/>
            <w:szCs w:val="32"/>
          </w:rPr>
          <w:t>https://judicialpowerproject.org.uk/mike-macnair-can-judges-be-trusted-with-the-common-law/</w:t>
        </w:r>
      </w:hyperlink>
      <w:r>
        <w:rPr>
          <w:sz w:val="32"/>
          <w:szCs w:val="32"/>
        </w:rPr>
        <w:t xml:space="preserve"> </w:t>
      </w:r>
    </w:p>
    <w:p w14:paraId="44C51502" w14:textId="77777777" w:rsidR="00A64CDF" w:rsidRDefault="00A64CDF" w:rsidP="00A64CDF">
      <w:pPr>
        <w:pStyle w:val="ListParagraph"/>
        <w:numPr>
          <w:ilvl w:val="0"/>
          <w:numId w:val="1"/>
        </w:numPr>
        <w:rPr>
          <w:sz w:val="32"/>
          <w:szCs w:val="32"/>
        </w:rPr>
      </w:pPr>
      <w:proofErr w:type="spellStart"/>
      <w:r w:rsidRPr="008C1ADD">
        <w:rPr>
          <w:sz w:val="32"/>
          <w:szCs w:val="32"/>
        </w:rPr>
        <w:lastRenderedPageBreak/>
        <w:t>Nadarajah</w:t>
      </w:r>
      <w:proofErr w:type="spellEnd"/>
      <w:r w:rsidRPr="008C1ADD">
        <w:rPr>
          <w:sz w:val="32"/>
          <w:szCs w:val="32"/>
        </w:rPr>
        <w:t xml:space="preserve"> and Abdi, Secretary of writing state for the home department, 200</w:t>
      </w:r>
      <w:r>
        <w:rPr>
          <w:sz w:val="32"/>
          <w:szCs w:val="32"/>
        </w:rPr>
        <w:t>5</w:t>
      </w:r>
    </w:p>
    <w:p w14:paraId="7EEEFDC8" w14:textId="7015C410" w:rsidR="002C10A1" w:rsidRDefault="002C10A1" w:rsidP="00A64CDF">
      <w:pPr>
        <w:pStyle w:val="ListParagraph"/>
        <w:numPr>
          <w:ilvl w:val="0"/>
          <w:numId w:val="1"/>
        </w:numPr>
        <w:rPr>
          <w:sz w:val="32"/>
          <w:szCs w:val="32"/>
        </w:rPr>
      </w:pPr>
      <w:r>
        <w:rPr>
          <w:sz w:val="32"/>
          <w:szCs w:val="32"/>
        </w:rPr>
        <w:t xml:space="preserve">Richard Heaton, When laws become too complex, a review into the causes of complex legislation, office of the parliamentary counsel, Cabinet Office, March 2013, </w:t>
      </w:r>
      <w:hyperlink r:id="rId15" w:history="1">
        <w:r w:rsidRPr="00532F3D">
          <w:rPr>
            <w:rStyle w:val="Hyperlink"/>
            <w:sz w:val="32"/>
            <w:szCs w:val="32"/>
          </w:rPr>
          <w:t>https://assets.publishing.service.gov.uk/government/uploads/system/uploads/attachment_data/file/187015/GoodLaw_report_8April_AP.pdf</w:t>
        </w:r>
      </w:hyperlink>
      <w:r>
        <w:rPr>
          <w:sz w:val="32"/>
          <w:szCs w:val="32"/>
        </w:rPr>
        <w:t xml:space="preserve"> </w:t>
      </w:r>
    </w:p>
    <w:p w14:paraId="101B86D8" w14:textId="726917DB" w:rsidR="00E7352B" w:rsidRDefault="00E7352B" w:rsidP="00A64CDF">
      <w:pPr>
        <w:pStyle w:val="ListParagraph"/>
        <w:numPr>
          <w:ilvl w:val="0"/>
          <w:numId w:val="1"/>
        </w:numPr>
        <w:rPr>
          <w:sz w:val="32"/>
          <w:szCs w:val="32"/>
        </w:rPr>
      </w:pPr>
      <w:r w:rsidRPr="00A64CDF">
        <w:rPr>
          <w:sz w:val="32"/>
          <w:szCs w:val="32"/>
        </w:rPr>
        <w:t>United Kingdom Supreme Court</w:t>
      </w:r>
      <w:r w:rsidR="00DF4A1C" w:rsidRPr="00A64CDF">
        <w:rPr>
          <w:sz w:val="32"/>
          <w:szCs w:val="32"/>
        </w:rPr>
        <w:t xml:space="preserve">, </w:t>
      </w:r>
      <w:r w:rsidR="00A64CDF" w:rsidRPr="00A64CDF">
        <w:rPr>
          <w:sz w:val="32"/>
          <w:szCs w:val="32"/>
        </w:rPr>
        <w:t xml:space="preserve">Guide to Judicial Conduct, Integrity, 2019, </w:t>
      </w:r>
      <w:hyperlink r:id="rId16" w:history="1">
        <w:r w:rsidR="00A64CDF" w:rsidRPr="00A64CDF">
          <w:rPr>
            <w:rStyle w:val="Hyperlink"/>
            <w:sz w:val="32"/>
            <w:szCs w:val="32"/>
          </w:rPr>
          <w:t>https://www.supremecourt.uk/docs/guide-to-judicial-conduct.pdf</w:t>
        </w:r>
      </w:hyperlink>
      <w:r w:rsidR="00A64CDF" w:rsidRPr="00A64CDF">
        <w:rPr>
          <w:sz w:val="32"/>
          <w:szCs w:val="32"/>
        </w:rPr>
        <w:t xml:space="preserve"> </w:t>
      </w:r>
    </w:p>
    <w:p w14:paraId="4A1AED09" w14:textId="77777777" w:rsidR="002C10A1" w:rsidRPr="00A64CDF" w:rsidRDefault="002C10A1" w:rsidP="00BC01B4">
      <w:pPr>
        <w:pStyle w:val="ListParagraph"/>
        <w:rPr>
          <w:sz w:val="32"/>
          <w:szCs w:val="32"/>
        </w:rPr>
      </w:pPr>
    </w:p>
    <w:sectPr w:rsidR="002C10A1" w:rsidRPr="00A64C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DE0D" w14:textId="77777777" w:rsidR="00602BDB" w:rsidRDefault="00602BDB" w:rsidP="00E572DD">
      <w:r>
        <w:separator/>
      </w:r>
    </w:p>
  </w:endnote>
  <w:endnote w:type="continuationSeparator" w:id="0">
    <w:p w14:paraId="50F836B6" w14:textId="77777777" w:rsidR="00602BDB" w:rsidRDefault="00602BDB" w:rsidP="00E57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7E225" w14:textId="77777777" w:rsidR="00602BDB" w:rsidRDefault="00602BDB" w:rsidP="00E572DD">
      <w:r>
        <w:separator/>
      </w:r>
    </w:p>
  </w:footnote>
  <w:footnote w:type="continuationSeparator" w:id="0">
    <w:p w14:paraId="535ECF62" w14:textId="77777777" w:rsidR="00602BDB" w:rsidRDefault="00602BDB" w:rsidP="00E572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C933B4"/>
    <w:multiLevelType w:val="hybridMultilevel"/>
    <w:tmpl w:val="713209AC"/>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13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EE"/>
    <w:rsid w:val="00001AE8"/>
    <w:rsid w:val="000116DC"/>
    <w:rsid w:val="001C58FE"/>
    <w:rsid w:val="001D4EE9"/>
    <w:rsid w:val="00267FDC"/>
    <w:rsid w:val="00274DBE"/>
    <w:rsid w:val="002C10A1"/>
    <w:rsid w:val="00382686"/>
    <w:rsid w:val="00397712"/>
    <w:rsid w:val="003B081D"/>
    <w:rsid w:val="003B3840"/>
    <w:rsid w:val="003E572A"/>
    <w:rsid w:val="004C2290"/>
    <w:rsid w:val="004D29C3"/>
    <w:rsid w:val="0052568E"/>
    <w:rsid w:val="00566D6A"/>
    <w:rsid w:val="00602BDB"/>
    <w:rsid w:val="00636C20"/>
    <w:rsid w:val="00637ACA"/>
    <w:rsid w:val="00666CFD"/>
    <w:rsid w:val="00671125"/>
    <w:rsid w:val="00680385"/>
    <w:rsid w:val="00682163"/>
    <w:rsid w:val="00712795"/>
    <w:rsid w:val="007B067B"/>
    <w:rsid w:val="007E1EF1"/>
    <w:rsid w:val="00821B5D"/>
    <w:rsid w:val="008B6A57"/>
    <w:rsid w:val="008C1ADD"/>
    <w:rsid w:val="00910895"/>
    <w:rsid w:val="00914D08"/>
    <w:rsid w:val="00944879"/>
    <w:rsid w:val="009558CF"/>
    <w:rsid w:val="009579E4"/>
    <w:rsid w:val="009D5874"/>
    <w:rsid w:val="00A0583A"/>
    <w:rsid w:val="00A60F98"/>
    <w:rsid w:val="00A610E5"/>
    <w:rsid w:val="00A64CDF"/>
    <w:rsid w:val="00AA4F65"/>
    <w:rsid w:val="00AD6023"/>
    <w:rsid w:val="00B03F1C"/>
    <w:rsid w:val="00B45152"/>
    <w:rsid w:val="00B55408"/>
    <w:rsid w:val="00B576B2"/>
    <w:rsid w:val="00B827BA"/>
    <w:rsid w:val="00BA26EB"/>
    <w:rsid w:val="00BC01B4"/>
    <w:rsid w:val="00BD4677"/>
    <w:rsid w:val="00C45806"/>
    <w:rsid w:val="00C4587B"/>
    <w:rsid w:val="00C77EA7"/>
    <w:rsid w:val="00C862D3"/>
    <w:rsid w:val="00CD50BE"/>
    <w:rsid w:val="00D67B7A"/>
    <w:rsid w:val="00D852BD"/>
    <w:rsid w:val="00DB5301"/>
    <w:rsid w:val="00DF2F24"/>
    <w:rsid w:val="00DF4A1C"/>
    <w:rsid w:val="00E572DD"/>
    <w:rsid w:val="00E6001F"/>
    <w:rsid w:val="00E7352B"/>
    <w:rsid w:val="00EE46EE"/>
    <w:rsid w:val="00EF4FE9"/>
    <w:rsid w:val="00F306EA"/>
    <w:rsid w:val="00F32FB7"/>
    <w:rsid w:val="00F4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240BFD"/>
  <w15:chartTrackingRefBased/>
  <w15:docId w15:val="{FB236A6B-657B-B045-ABFC-AC0B181D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ADD"/>
    <w:pPr>
      <w:ind w:left="720"/>
      <w:contextualSpacing/>
    </w:pPr>
  </w:style>
  <w:style w:type="table" w:styleId="TableGrid">
    <w:name w:val="Table Grid"/>
    <w:basedOn w:val="TableNormal"/>
    <w:uiPriority w:val="39"/>
    <w:rsid w:val="00E57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2DD"/>
    <w:pPr>
      <w:tabs>
        <w:tab w:val="center" w:pos="4513"/>
        <w:tab w:val="right" w:pos="9026"/>
      </w:tabs>
    </w:pPr>
  </w:style>
  <w:style w:type="character" w:customStyle="1" w:styleId="HeaderChar">
    <w:name w:val="Header Char"/>
    <w:basedOn w:val="DefaultParagraphFont"/>
    <w:link w:val="Header"/>
    <w:uiPriority w:val="99"/>
    <w:rsid w:val="00E572DD"/>
  </w:style>
  <w:style w:type="paragraph" w:styleId="Footer">
    <w:name w:val="footer"/>
    <w:basedOn w:val="Normal"/>
    <w:link w:val="FooterChar"/>
    <w:uiPriority w:val="99"/>
    <w:unhideWhenUsed/>
    <w:rsid w:val="00E572DD"/>
    <w:pPr>
      <w:tabs>
        <w:tab w:val="center" w:pos="4513"/>
        <w:tab w:val="right" w:pos="9026"/>
      </w:tabs>
    </w:pPr>
  </w:style>
  <w:style w:type="character" w:customStyle="1" w:styleId="FooterChar">
    <w:name w:val="Footer Char"/>
    <w:basedOn w:val="DefaultParagraphFont"/>
    <w:link w:val="Footer"/>
    <w:uiPriority w:val="99"/>
    <w:rsid w:val="00E572DD"/>
  </w:style>
  <w:style w:type="character" w:styleId="Hyperlink">
    <w:name w:val="Hyperlink"/>
    <w:basedOn w:val="DefaultParagraphFont"/>
    <w:uiPriority w:val="99"/>
    <w:unhideWhenUsed/>
    <w:rsid w:val="00666CFD"/>
    <w:rPr>
      <w:color w:val="0563C1" w:themeColor="hyperlink"/>
      <w:u w:val="single"/>
    </w:rPr>
  </w:style>
  <w:style w:type="character" w:styleId="UnresolvedMention">
    <w:name w:val="Unresolved Mention"/>
    <w:basedOn w:val="DefaultParagraphFont"/>
    <w:uiPriority w:val="99"/>
    <w:semiHidden/>
    <w:unhideWhenUsed/>
    <w:rsid w:val="00666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dc.org/dohadeclaration/en/news/2019/08/judicial-misconduct-and-public-confidence-in-the-rule-of-law.html" TargetMode="External"/><Relationship Id="rId13" Type="http://schemas.openxmlformats.org/officeDocument/2006/relationships/hyperlink" Target="https://www.enyolaw.com/posts/111/without-prejudice-judicial-bias-and-unfair-conduc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lycommons.law.northwestern.edu/cgi/viewcontent.cgi?referer=&amp;httpsredir=1&amp;article=1107&amp;context=facultyworkingpapers" TargetMode="External"/><Relationship Id="rId12" Type="http://schemas.openxmlformats.org/officeDocument/2006/relationships/hyperlink" Target="https://www.judiciary.uk/wp-content/uploads/2020/08/lcj_kenya_clc_12090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upremecourt.uk/docs/guide-to-judicial-conduc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premecourt.uk/docs/speech-170224.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87015/GoodLaw_report_8April_AP.pdf" TargetMode="External"/><Relationship Id="rId10" Type="http://schemas.openxmlformats.org/officeDocument/2006/relationships/hyperlink" Target="https://www.supremecourt.uk/docs/speech_111011.pdf" TargetMode="External"/><Relationship Id="rId4" Type="http://schemas.openxmlformats.org/officeDocument/2006/relationships/webSettings" Target="webSettings.xml"/><Relationship Id="rId9" Type="http://schemas.openxmlformats.org/officeDocument/2006/relationships/hyperlink" Target="https://www.lawteacher.net/free-law-essays/constitutional-law/the-judges-role-in-england-law-essays.php?vref=1" TargetMode="External"/><Relationship Id="rId14" Type="http://schemas.openxmlformats.org/officeDocument/2006/relationships/hyperlink" Target="https://judicialpowerproject.org.uk/mike-macnair-can-judges-be-trusted-with-the-common-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1724</Words>
  <Characters>9829</Characters>
  <Application>Microsoft Office Word</Application>
  <DocSecurity>0</DocSecurity>
  <Lines>81</Lines>
  <Paragraphs>23</Paragraphs>
  <ScaleCrop>false</ScaleCrop>
  <Company/>
  <LinksUpToDate>false</LinksUpToDate>
  <CharactersWithSpaces>11530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 (2204080)</dc:creator>
  <cp:keywords/>
  <dc:description/>
  <cp:lastModifiedBy>Sophie Evans (2204080)</cp:lastModifiedBy>
  <cp:revision>2</cp:revision>
  <dcterms:created xsi:type="dcterms:W3CDTF">2022-11-11T17:49:00Z</dcterms:created>
  <dcterms:modified xsi:type="dcterms:W3CDTF">2022-11-11T17:49:00Z</dcterms:modified>
</cp:coreProperties>
</file>