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2171B" w14:textId="17DF404F" w:rsidR="00AD1170" w:rsidRPr="001159B3" w:rsidRDefault="00AD1170" w:rsidP="001159B3">
      <w:pPr>
        <w:jc w:val="left"/>
        <w:rPr>
          <w:rFonts w:ascii="Arial" w:hAnsi="Arial" w:cs="Arial"/>
          <w:b/>
          <w:bCs/>
        </w:rPr>
      </w:pPr>
    </w:p>
    <w:p w14:paraId="3B32171C" w14:textId="467BA24B" w:rsidR="00AD1170" w:rsidRPr="001159B3" w:rsidRDefault="002F46B7" w:rsidP="001159B3">
      <w:pPr>
        <w:jc w:val="center"/>
        <w:rPr>
          <w:rFonts w:ascii="Arial" w:hAnsi="Arial" w:cs="Arial"/>
          <w:b/>
          <w:bCs/>
        </w:rPr>
      </w:pPr>
      <w:r>
        <w:rPr>
          <w:noProof/>
        </w:rPr>
        <w:drawing>
          <wp:anchor distT="0" distB="0" distL="114300" distR="114300" simplePos="0" relativeHeight="251658240" behindDoc="1" locked="0" layoutInCell="1" allowOverlap="1" wp14:anchorId="631C8202" wp14:editId="0971E4BB">
            <wp:simplePos x="0" y="0"/>
            <wp:positionH relativeFrom="column">
              <wp:posOffset>1112520</wp:posOffset>
            </wp:positionH>
            <wp:positionV relativeFrom="paragraph">
              <wp:posOffset>195580</wp:posOffset>
            </wp:positionV>
            <wp:extent cx="3337560" cy="1760220"/>
            <wp:effectExtent l="0" t="0" r="0" b="0"/>
            <wp:wrapTight wrapText="bothSides">
              <wp:wrapPolygon edited="0">
                <wp:start x="0" y="0"/>
                <wp:lineTo x="0" y="21273"/>
                <wp:lineTo x="21452" y="21273"/>
                <wp:lineTo x="21452" y="0"/>
                <wp:lineTo x="0" y="0"/>
              </wp:wrapPolygon>
            </wp:wrapTight>
            <wp:docPr id="1555600137" name="Picture 1" descr="Home - CUC Board Vacan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CUC Board Vacanci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37560" cy="1760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32171D" w14:textId="5C65BFCA" w:rsidR="00AD1170" w:rsidRPr="001159B3" w:rsidRDefault="00AD1170" w:rsidP="001159B3">
      <w:pPr>
        <w:jc w:val="center"/>
        <w:rPr>
          <w:rFonts w:ascii="Arial" w:hAnsi="Arial" w:cs="Arial"/>
        </w:rPr>
      </w:pPr>
    </w:p>
    <w:p w14:paraId="3B32171E" w14:textId="77777777" w:rsidR="00AD1170" w:rsidRPr="001159B3" w:rsidRDefault="00AD1170" w:rsidP="001159B3">
      <w:pPr>
        <w:jc w:val="center"/>
        <w:rPr>
          <w:rFonts w:ascii="Arial" w:hAnsi="Arial" w:cs="Arial"/>
          <w:b/>
          <w:bCs/>
        </w:rPr>
      </w:pPr>
    </w:p>
    <w:p w14:paraId="3B32171F" w14:textId="77777777" w:rsidR="00AD1170" w:rsidRPr="001159B3" w:rsidRDefault="00AD1170" w:rsidP="001159B3">
      <w:pPr>
        <w:jc w:val="center"/>
        <w:rPr>
          <w:rFonts w:ascii="Arial" w:hAnsi="Arial" w:cs="Arial"/>
          <w:b/>
          <w:bCs/>
        </w:rPr>
      </w:pPr>
    </w:p>
    <w:p w14:paraId="3B321720" w14:textId="77777777" w:rsidR="00AD1170" w:rsidRPr="001159B3" w:rsidRDefault="00AD1170" w:rsidP="001159B3">
      <w:pPr>
        <w:jc w:val="center"/>
        <w:rPr>
          <w:rFonts w:ascii="Arial" w:hAnsi="Arial" w:cs="Arial"/>
          <w:b/>
          <w:bCs/>
        </w:rPr>
      </w:pPr>
    </w:p>
    <w:p w14:paraId="3B321721" w14:textId="77777777" w:rsidR="00AD1170" w:rsidRPr="001159B3" w:rsidRDefault="00AD1170" w:rsidP="001159B3">
      <w:pPr>
        <w:jc w:val="center"/>
        <w:rPr>
          <w:rFonts w:ascii="Arial" w:hAnsi="Arial" w:cs="Arial"/>
          <w:b/>
          <w:bCs/>
        </w:rPr>
      </w:pPr>
    </w:p>
    <w:p w14:paraId="3B321722" w14:textId="77777777" w:rsidR="00AD1170" w:rsidRPr="001159B3" w:rsidRDefault="00AD1170" w:rsidP="001159B3">
      <w:pPr>
        <w:jc w:val="center"/>
        <w:rPr>
          <w:rFonts w:ascii="Arial" w:hAnsi="Arial" w:cs="Arial"/>
          <w:b/>
          <w:bCs/>
        </w:rPr>
      </w:pPr>
    </w:p>
    <w:p w14:paraId="3B321723" w14:textId="77777777" w:rsidR="00AD1170" w:rsidRPr="001159B3" w:rsidRDefault="00AD1170" w:rsidP="001159B3">
      <w:pPr>
        <w:jc w:val="center"/>
        <w:rPr>
          <w:rFonts w:ascii="Arial" w:hAnsi="Arial" w:cs="Arial"/>
          <w:b/>
          <w:bCs/>
        </w:rPr>
      </w:pPr>
    </w:p>
    <w:p w14:paraId="3B321724" w14:textId="77777777" w:rsidR="00AD1170" w:rsidRPr="001159B3" w:rsidRDefault="00AD1170" w:rsidP="001159B3">
      <w:pPr>
        <w:jc w:val="center"/>
        <w:rPr>
          <w:rFonts w:ascii="Arial" w:hAnsi="Arial" w:cs="Arial"/>
          <w:b/>
          <w:bCs/>
        </w:rPr>
      </w:pPr>
    </w:p>
    <w:p w14:paraId="3B321725" w14:textId="77777777" w:rsidR="00AD1170" w:rsidRPr="001159B3" w:rsidRDefault="00941804" w:rsidP="001159B3">
      <w:pPr>
        <w:jc w:val="center"/>
        <w:rPr>
          <w:rFonts w:ascii="Arial" w:hAnsi="Arial" w:cs="Arial"/>
        </w:rPr>
      </w:pPr>
      <w:r w:rsidRPr="001159B3">
        <w:rPr>
          <w:rFonts w:ascii="Arial" w:hAnsi="Arial" w:cs="Arial"/>
          <w:b/>
          <w:bCs/>
        </w:rPr>
        <w:t>Assignment Title:</w:t>
      </w:r>
      <w:r w:rsidRPr="001159B3">
        <w:rPr>
          <w:rFonts w:ascii="Arial" w:hAnsi="Arial" w:cs="Arial"/>
        </w:rPr>
        <w:t xml:space="preserve"> Marketing Environment Analysis of BHP Group Limited</w:t>
      </w:r>
    </w:p>
    <w:p w14:paraId="3B321726" w14:textId="77777777" w:rsidR="00AD1170" w:rsidRPr="001159B3" w:rsidRDefault="00941804" w:rsidP="001159B3">
      <w:pPr>
        <w:jc w:val="center"/>
        <w:rPr>
          <w:rFonts w:ascii="Arial" w:hAnsi="Arial" w:cs="Arial"/>
        </w:rPr>
      </w:pPr>
      <w:r w:rsidRPr="001159B3">
        <w:rPr>
          <w:rFonts w:ascii="Arial" w:hAnsi="Arial" w:cs="Arial"/>
          <w:b/>
          <w:bCs/>
        </w:rPr>
        <w:t>Programme:</w:t>
      </w:r>
      <w:r w:rsidRPr="001159B3">
        <w:rPr>
          <w:rFonts w:ascii="Arial" w:hAnsi="Arial" w:cs="Arial"/>
        </w:rPr>
        <w:t xml:space="preserve"> Master of Business Administration (MBA)</w:t>
      </w:r>
    </w:p>
    <w:p w14:paraId="3B321727" w14:textId="77777777" w:rsidR="00AD1170" w:rsidRPr="001159B3" w:rsidRDefault="00941804" w:rsidP="001159B3">
      <w:pPr>
        <w:jc w:val="center"/>
        <w:rPr>
          <w:rFonts w:ascii="Arial" w:hAnsi="Arial" w:cs="Arial"/>
        </w:rPr>
      </w:pPr>
      <w:r w:rsidRPr="001159B3">
        <w:rPr>
          <w:rFonts w:ascii="Arial" w:hAnsi="Arial" w:cs="Arial"/>
          <w:b/>
          <w:bCs/>
        </w:rPr>
        <w:t>Module:</w:t>
      </w:r>
      <w:r w:rsidRPr="001159B3">
        <w:rPr>
          <w:rFonts w:ascii="Arial" w:hAnsi="Arial" w:cs="Arial"/>
        </w:rPr>
        <w:t xml:space="preserve"> Marketing Management</w:t>
      </w:r>
    </w:p>
    <w:p w14:paraId="3B321728" w14:textId="77777777" w:rsidR="00AD1170" w:rsidRPr="001159B3" w:rsidRDefault="00941804" w:rsidP="001159B3">
      <w:pPr>
        <w:jc w:val="center"/>
        <w:rPr>
          <w:rFonts w:ascii="Arial" w:hAnsi="Arial" w:cs="Arial"/>
        </w:rPr>
      </w:pPr>
      <w:r w:rsidRPr="001159B3">
        <w:rPr>
          <w:rFonts w:ascii="Arial" w:hAnsi="Arial" w:cs="Arial"/>
          <w:b/>
          <w:bCs/>
        </w:rPr>
        <w:t>Module Code</w:t>
      </w:r>
      <w:r w:rsidRPr="001159B3">
        <w:rPr>
          <w:rFonts w:ascii="Arial" w:hAnsi="Arial" w:cs="Arial"/>
        </w:rPr>
        <w:t>: LCMB7024</w:t>
      </w:r>
    </w:p>
    <w:p w14:paraId="3B321729" w14:textId="1D1C6A4C" w:rsidR="00AD1170" w:rsidRPr="001159B3" w:rsidRDefault="00941804" w:rsidP="001159B3">
      <w:pPr>
        <w:jc w:val="center"/>
        <w:rPr>
          <w:rFonts w:ascii="Arial" w:hAnsi="Arial" w:cs="Arial"/>
          <w:b/>
          <w:bCs/>
        </w:rPr>
      </w:pPr>
      <w:r w:rsidRPr="001159B3">
        <w:rPr>
          <w:rFonts w:ascii="Arial" w:hAnsi="Arial" w:cs="Arial"/>
          <w:b/>
          <w:bCs/>
        </w:rPr>
        <w:t xml:space="preserve">Student Name: </w:t>
      </w:r>
      <w:r w:rsidR="001159B3">
        <w:rPr>
          <w:rFonts w:ascii="Arial" w:hAnsi="Arial" w:cs="Arial"/>
          <w:b/>
          <w:bCs/>
          <w:lang w:val="en-US"/>
        </w:rPr>
        <w:t>Khushi Jayeshkumar Patel</w:t>
      </w:r>
    </w:p>
    <w:p w14:paraId="3B32172A" w14:textId="77777777" w:rsidR="00AD1170" w:rsidRPr="001159B3" w:rsidRDefault="00941804" w:rsidP="001159B3">
      <w:pPr>
        <w:jc w:val="center"/>
        <w:rPr>
          <w:rFonts w:ascii="Arial" w:hAnsi="Arial" w:cs="Arial"/>
          <w:b/>
          <w:bCs/>
          <w:lang w:val="en-US"/>
        </w:rPr>
      </w:pPr>
      <w:r w:rsidRPr="001159B3">
        <w:rPr>
          <w:rFonts w:ascii="Arial" w:hAnsi="Arial" w:cs="Arial"/>
          <w:b/>
          <w:bCs/>
        </w:rPr>
        <w:t xml:space="preserve">Student ID: </w:t>
      </w:r>
      <w:r w:rsidRPr="001159B3">
        <w:rPr>
          <w:rFonts w:ascii="Arial" w:hAnsi="Arial" w:cs="Arial"/>
          <w:b/>
          <w:bCs/>
          <w:lang w:val="en-US"/>
        </w:rPr>
        <w:t>2604434</w:t>
      </w:r>
    </w:p>
    <w:p w14:paraId="4415769E" w14:textId="2E97D82B" w:rsidR="00417851" w:rsidRDefault="00417851" w:rsidP="0028022F">
      <w:pPr>
        <w:jc w:val="center"/>
        <w:rPr>
          <w:rFonts w:ascii="Arial" w:hAnsi="Arial" w:cs="Arial"/>
          <w:color w:val="000000" w:themeColor="text1"/>
        </w:rPr>
      </w:pPr>
      <w:r w:rsidRPr="00BF1A0D">
        <w:rPr>
          <w:rFonts w:ascii="Arial" w:hAnsi="Arial" w:cs="Arial"/>
          <w:b/>
          <w:bCs/>
          <w:color w:val="000000" w:themeColor="text1"/>
        </w:rPr>
        <w:t xml:space="preserve">Lecturer Name: </w:t>
      </w:r>
      <w:r w:rsidR="0028022F">
        <w:rPr>
          <w:rFonts w:ascii="Arial" w:hAnsi="Arial" w:cs="Arial"/>
          <w:color w:val="000000" w:themeColor="text1"/>
        </w:rPr>
        <w:t xml:space="preserve"> </w:t>
      </w:r>
      <w:r w:rsidRPr="00BF1A0D">
        <w:rPr>
          <w:rFonts w:ascii="Arial" w:hAnsi="Arial" w:cs="Arial"/>
          <w:color w:val="000000" w:themeColor="text1"/>
        </w:rPr>
        <w:t xml:space="preserve">Taonga Kaonga </w:t>
      </w:r>
      <w:proofErr w:type="spellStart"/>
      <w:r w:rsidRPr="00BF1A0D">
        <w:rPr>
          <w:rFonts w:ascii="Arial" w:hAnsi="Arial" w:cs="Arial"/>
          <w:color w:val="000000" w:themeColor="text1"/>
        </w:rPr>
        <w:t>Sobere-Snithers</w:t>
      </w:r>
      <w:proofErr w:type="spellEnd"/>
      <w:r w:rsidRPr="00BF1A0D">
        <w:rPr>
          <w:rFonts w:ascii="Arial" w:hAnsi="Arial" w:cs="Arial"/>
          <w:color w:val="000000" w:themeColor="text1"/>
        </w:rPr>
        <w:t xml:space="preserve"> (Birmingham)</w:t>
      </w:r>
    </w:p>
    <w:p w14:paraId="124CA3FE" w14:textId="68E319A0" w:rsidR="0028022F" w:rsidRDefault="0028022F" w:rsidP="0028022F">
      <w:pPr>
        <w:jc w:val="center"/>
        <w:rPr>
          <w:rFonts w:ascii="Arial" w:hAnsi="Arial" w:cs="Arial"/>
          <w:color w:val="000000" w:themeColor="text1"/>
        </w:rPr>
      </w:pPr>
      <w:r w:rsidRPr="002F46B7">
        <w:rPr>
          <w:rFonts w:ascii="Arial" w:hAnsi="Arial" w:cs="Arial"/>
          <w:b/>
          <w:bCs/>
          <w:color w:val="000000" w:themeColor="text1"/>
        </w:rPr>
        <w:t>Submission Date:</w:t>
      </w:r>
      <w:r>
        <w:rPr>
          <w:rFonts w:ascii="Arial" w:hAnsi="Arial" w:cs="Arial"/>
          <w:color w:val="000000" w:themeColor="text1"/>
        </w:rPr>
        <w:t xml:space="preserve"> 21.10.2026</w:t>
      </w:r>
    </w:p>
    <w:p w14:paraId="0D192FDB" w14:textId="234E448B" w:rsidR="0028022F" w:rsidRPr="00BF1A0D" w:rsidRDefault="0028022F" w:rsidP="0028022F">
      <w:pPr>
        <w:jc w:val="center"/>
        <w:rPr>
          <w:rFonts w:ascii="Arial" w:hAnsi="Arial" w:cs="Arial"/>
          <w:color w:val="000000" w:themeColor="text1"/>
        </w:rPr>
      </w:pPr>
      <w:r w:rsidRPr="002F46B7">
        <w:rPr>
          <w:rFonts w:ascii="Arial" w:hAnsi="Arial" w:cs="Arial"/>
          <w:b/>
          <w:bCs/>
          <w:color w:val="000000" w:themeColor="text1"/>
        </w:rPr>
        <w:t>Word Counts:</w:t>
      </w:r>
      <w:r>
        <w:rPr>
          <w:rFonts w:ascii="Arial" w:hAnsi="Arial" w:cs="Arial"/>
          <w:color w:val="000000" w:themeColor="text1"/>
        </w:rPr>
        <w:t xml:space="preserve"> 2633</w:t>
      </w:r>
    </w:p>
    <w:p w14:paraId="0A436BC1" w14:textId="6EB5DDEB" w:rsidR="001159B3" w:rsidRPr="001159B3" w:rsidRDefault="001159B3">
      <w:pPr>
        <w:rPr>
          <w:rFonts w:ascii="Arial" w:hAnsi="Arial" w:cs="Arial"/>
        </w:rPr>
      </w:pPr>
      <w:r>
        <w:rPr>
          <w:rFonts w:ascii="Arial" w:hAnsi="Arial" w:cs="Arial"/>
          <w:b/>
          <w:bCs/>
        </w:rPr>
        <w:br w:type="page"/>
      </w:r>
    </w:p>
    <w:sdt>
      <w:sdtPr>
        <w:rPr>
          <w:rFonts w:ascii="Times New Roman" w:eastAsia="Times New Roman" w:hAnsi="Times New Roman" w:cs="Times New Roman"/>
          <w:b/>
          <w:bCs/>
          <w:color w:val="auto"/>
          <w:sz w:val="24"/>
          <w:szCs w:val="24"/>
          <w:lang w:val="en-GB" w:eastAsia="en-IN"/>
        </w:rPr>
        <w:id w:val="-1316484414"/>
        <w:docPartObj>
          <w:docPartGallery w:val="Table of Contents"/>
          <w:docPartUnique/>
        </w:docPartObj>
      </w:sdtPr>
      <w:sdtEndPr>
        <w:rPr>
          <w:noProof/>
        </w:rPr>
      </w:sdtEndPr>
      <w:sdtContent>
        <w:p w14:paraId="4FBAF1FF" w14:textId="204CF466" w:rsidR="001159B3" w:rsidRPr="001159B3" w:rsidRDefault="001159B3" w:rsidP="001159B3">
          <w:pPr>
            <w:pStyle w:val="TOCHeading"/>
            <w:spacing w:before="0" w:line="360" w:lineRule="auto"/>
            <w:jc w:val="center"/>
            <w:rPr>
              <w:rFonts w:ascii="Arial" w:hAnsi="Arial" w:cs="Arial"/>
              <w:b/>
              <w:bCs/>
              <w:color w:val="000000" w:themeColor="text1"/>
              <w:sz w:val="24"/>
              <w:szCs w:val="24"/>
            </w:rPr>
          </w:pPr>
          <w:r w:rsidRPr="001159B3">
            <w:rPr>
              <w:rFonts w:ascii="Arial" w:hAnsi="Arial" w:cs="Arial"/>
              <w:b/>
              <w:bCs/>
              <w:color w:val="000000" w:themeColor="text1"/>
              <w:sz w:val="24"/>
              <w:szCs w:val="24"/>
            </w:rPr>
            <w:t>Table of Contents</w:t>
          </w:r>
        </w:p>
        <w:p w14:paraId="32127DF3" w14:textId="1E988E11" w:rsidR="001159B3" w:rsidRPr="001159B3" w:rsidRDefault="001159B3" w:rsidP="001159B3">
          <w:pPr>
            <w:pStyle w:val="TOC1"/>
            <w:tabs>
              <w:tab w:val="right" w:leader="dot" w:pos="9350"/>
            </w:tabs>
            <w:spacing w:after="0"/>
            <w:rPr>
              <w:rFonts w:ascii="Arial" w:eastAsiaTheme="minorEastAsia" w:hAnsi="Arial" w:cs="Arial"/>
              <w:noProof/>
              <w:kern w:val="2"/>
              <w:lang w:val="en-IN"/>
              <w14:ligatures w14:val="standardContextual"/>
            </w:rPr>
          </w:pPr>
          <w:r w:rsidRPr="001159B3">
            <w:rPr>
              <w:rFonts w:ascii="Arial" w:hAnsi="Arial" w:cs="Arial"/>
              <w:color w:val="000000" w:themeColor="text1"/>
            </w:rPr>
            <w:fldChar w:fldCharType="begin"/>
          </w:r>
          <w:r w:rsidRPr="001159B3">
            <w:rPr>
              <w:rFonts w:ascii="Arial" w:hAnsi="Arial" w:cs="Arial"/>
              <w:color w:val="000000" w:themeColor="text1"/>
            </w:rPr>
            <w:instrText xml:space="preserve"> TOC \o "1-3" \h \z \u </w:instrText>
          </w:r>
          <w:r w:rsidRPr="001159B3">
            <w:rPr>
              <w:rFonts w:ascii="Arial" w:hAnsi="Arial" w:cs="Arial"/>
              <w:color w:val="000000" w:themeColor="text1"/>
            </w:rPr>
            <w:fldChar w:fldCharType="separate"/>
          </w:r>
          <w:hyperlink w:anchor="_Toc243482243" w:history="1">
            <w:r w:rsidRPr="001159B3">
              <w:rPr>
                <w:rStyle w:val="Hyperlink"/>
                <w:rFonts w:ascii="Arial" w:hAnsi="Arial" w:cs="Arial"/>
                <w:noProof/>
              </w:rPr>
              <w:t>1. Introduction</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_Toc243482243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4</w:t>
            </w:r>
            <w:r w:rsidRPr="001159B3">
              <w:rPr>
                <w:rFonts w:ascii="Arial" w:hAnsi="Arial" w:cs="Arial"/>
                <w:noProof/>
                <w:webHidden/>
              </w:rPr>
              <w:fldChar w:fldCharType="end"/>
            </w:r>
          </w:hyperlink>
        </w:p>
        <w:p w14:paraId="0A769F8F" w14:textId="4EB5162A" w:rsidR="001159B3" w:rsidRPr="001159B3" w:rsidRDefault="001159B3" w:rsidP="001159B3">
          <w:pPr>
            <w:pStyle w:val="TOC1"/>
            <w:tabs>
              <w:tab w:val="right" w:leader="dot" w:pos="9350"/>
            </w:tabs>
            <w:spacing w:after="0"/>
            <w:rPr>
              <w:rFonts w:ascii="Arial" w:eastAsiaTheme="minorEastAsia" w:hAnsi="Arial" w:cs="Arial"/>
              <w:noProof/>
              <w:kern w:val="2"/>
              <w:lang w:val="en-IN"/>
              <w14:ligatures w14:val="standardContextual"/>
            </w:rPr>
          </w:pPr>
          <w:hyperlink w:anchor="_Toc243482244" w:history="1">
            <w:r w:rsidRPr="001159B3">
              <w:rPr>
                <w:rStyle w:val="Hyperlink"/>
                <w:rFonts w:ascii="Arial" w:hAnsi="Arial" w:cs="Arial"/>
                <w:noProof/>
              </w:rPr>
              <w:t>2. Task 1: Marketing Environment Analysis</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_Toc243482244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4</w:t>
            </w:r>
            <w:r w:rsidRPr="001159B3">
              <w:rPr>
                <w:rFonts w:ascii="Arial" w:hAnsi="Arial" w:cs="Arial"/>
                <w:noProof/>
                <w:webHidden/>
              </w:rPr>
              <w:fldChar w:fldCharType="end"/>
            </w:r>
          </w:hyperlink>
        </w:p>
        <w:p w14:paraId="03D3E0FB" w14:textId="2E9C1704" w:rsidR="001159B3" w:rsidRPr="001159B3" w:rsidRDefault="001159B3" w:rsidP="001159B3">
          <w:pPr>
            <w:pStyle w:val="TOC2"/>
            <w:tabs>
              <w:tab w:val="right" w:leader="dot" w:pos="9350"/>
            </w:tabs>
            <w:spacing w:after="0"/>
            <w:rPr>
              <w:rFonts w:ascii="Arial" w:eastAsiaTheme="minorEastAsia" w:hAnsi="Arial" w:cs="Arial"/>
              <w:noProof/>
              <w:kern w:val="2"/>
              <w:lang w:val="en-IN"/>
              <w14:ligatures w14:val="standardContextual"/>
            </w:rPr>
          </w:pPr>
          <w:hyperlink w:anchor="_Toc243482245" w:history="1">
            <w:r w:rsidRPr="001159B3">
              <w:rPr>
                <w:rStyle w:val="Hyperlink"/>
                <w:rFonts w:ascii="Arial" w:hAnsi="Arial" w:cs="Arial"/>
                <w:noProof/>
              </w:rPr>
              <w:t>2.1 External Marketing Environment and Actor Selection</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_Toc243482245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4</w:t>
            </w:r>
            <w:r w:rsidRPr="001159B3">
              <w:rPr>
                <w:rFonts w:ascii="Arial" w:hAnsi="Arial" w:cs="Arial"/>
                <w:noProof/>
                <w:webHidden/>
              </w:rPr>
              <w:fldChar w:fldCharType="end"/>
            </w:r>
          </w:hyperlink>
        </w:p>
        <w:p w14:paraId="726AC137" w14:textId="6AA77B29" w:rsidR="001159B3" w:rsidRPr="001159B3" w:rsidRDefault="001159B3" w:rsidP="001159B3">
          <w:pPr>
            <w:pStyle w:val="TOC2"/>
            <w:tabs>
              <w:tab w:val="right" w:leader="dot" w:pos="9350"/>
            </w:tabs>
            <w:spacing w:after="0"/>
            <w:rPr>
              <w:rFonts w:ascii="Arial" w:eastAsiaTheme="minorEastAsia" w:hAnsi="Arial" w:cs="Arial"/>
              <w:noProof/>
              <w:kern w:val="2"/>
              <w:lang w:val="en-IN"/>
              <w14:ligatures w14:val="standardContextual"/>
            </w:rPr>
          </w:pPr>
          <w:hyperlink w:anchor="_Toc243482246" w:history="1">
            <w:r w:rsidRPr="001159B3">
              <w:rPr>
                <w:rStyle w:val="Hyperlink"/>
                <w:rFonts w:ascii="Arial" w:hAnsi="Arial" w:cs="Arial"/>
                <w:noProof/>
              </w:rPr>
              <w:t>2.2 Natural Environment: Emissions Performance and Value-Chain Accountability</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_Toc243482246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4</w:t>
            </w:r>
            <w:r w:rsidRPr="001159B3">
              <w:rPr>
                <w:rFonts w:ascii="Arial" w:hAnsi="Arial" w:cs="Arial"/>
                <w:noProof/>
                <w:webHidden/>
              </w:rPr>
              <w:fldChar w:fldCharType="end"/>
            </w:r>
          </w:hyperlink>
        </w:p>
        <w:p w14:paraId="0483587D" w14:textId="6DBDF830" w:rsidR="001159B3" w:rsidRPr="001159B3" w:rsidRDefault="001159B3" w:rsidP="001159B3">
          <w:pPr>
            <w:pStyle w:val="TOC2"/>
            <w:tabs>
              <w:tab w:val="right" w:leader="dot" w:pos="9350"/>
            </w:tabs>
            <w:spacing w:after="0"/>
            <w:rPr>
              <w:rFonts w:ascii="Arial" w:eastAsiaTheme="minorEastAsia" w:hAnsi="Arial" w:cs="Arial"/>
              <w:noProof/>
              <w:kern w:val="2"/>
              <w:lang w:val="en-IN"/>
              <w14:ligatures w14:val="standardContextual"/>
            </w:rPr>
          </w:pPr>
          <w:hyperlink w:anchor="_Toc243482247" w:history="1">
            <w:r w:rsidRPr="001159B3">
              <w:rPr>
                <w:rStyle w:val="Hyperlink"/>
                <w:rFonts w:ascii="Arial" w:hAnsi="Arial" w:cs="Arial"/>
                <w:noProof/>
              </w:rPr>
              <w:t>2.3 Natural Environment: Clean Energy Transition and Commercial Feasibility</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_Toc243482247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6</w:t>
            </w:r>
            <w:r w:rsidRPr="001159B3">
              <w:rPr>
                <w:rFonts w:ascii="Arial" w:hAnsi="Arial" w:cs="Arial"/>
                <w:noProof/>
                <w:webHidden/>
              </w:rPr>
              <w:fldChar w:fldCharType="end"/>
            </w:r>
          </w:hyperlink>
        </w:p>
        <w:p w14:paraId="3DE6707A" w14:textId="5FAE109B" w:rsidR="001159B3" w:rsidRPr="001159B3" w:rsidRDefault="001159B3" w:rsidP="001159B3">
          <w:pPr>
            <w:pStyle w:val="TOC2"/>
            <w:tabs>
              <w:tab w:val="right" w:leader="dot" w:pos="9350"/>
            </w:tabs>
            <w:spacing w:after="0"/>
            <w:rPr>
              <w:rFonts w:ascii="Arial" w:eastAsiaTheme="minorEastAsia" w:hAnsi="Arial" w:cs="Arial"/>
              <w:noProof/>
              <w:kern w:val="2"/>
              <w:lang w:val="en-IN"/>
              <w14:ligatures w14:val="standardContextual"/>
            </w:rPr>
          </w:pPr>
          <w:hyperlink w:anchor="_Toc243482248" w:history="1">
            <w:r w:rsidRPr="001159B3">
              <w:rPr>
                <w:rStyle w:val="Hyperlink"/>
                <w:rFonts w:ascii="Arial" w:hAnsi="Arial" w:cs="Arial"/>
                <w:noProof/>
              </w:rPr>
              <w:t>2.4 Economic Environment: Global Steel Demand and Low-Carbon Investment</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_Toc243482248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7</w:t>
            </w:r>
            <w:r w:rsidRPr="001159B3">
              <w:rPr>
                <w:rFonts w:ascii="Arial" w:hAnsi="Arial" w:cs="Arial"/>
                <w:noProof/>
                <w:webHidden/>
              </w:rPr>
              <w:fldChar w:fldCharType="end"/>
            </w:r>
          </w:hyperlink>
        </w:p>
        <w:p w14:paraId="4C75D395" w14:textId="636F79AC" w:rsidR="001159B3" w:rsidRPr="001159B3" w:rsidRDefault="001159B3" w:rsidP="001159B3">
          <w:pPr>
            <w:pStyle w:val="TOC2"/>
            <w:tabs>
              <w:tab w:val="right" w:leader="dot" w:pos="9350"/>
            </w:tabs>
            <w:spacing w:after="0"/>
            <w:rPr>
              <w:rFonts w:ascii="Arial" w:eastAsiaTheme="minorEastAsia" w:hAnsi="Arial" w:cs="Arial"/>
              <w:noProof/>
              <w:kern w:val="2"/>
              <w:lang w:val="en-IN"/>
              <w14:ligatures w14:val="standardContextual"/>
            </w:rPr>
          </w:pPr>
          <w:hyperlink w:anchor="_Toc243482249" w:history="1">
            <w:r w:rsidRPr="001159B3">
              <w:rPr>
                <w:rStyle w:val="Hyperlink"/>
                <w:rFonts w:ascii="Arial" w:hAnsi="Arial" w:cs="Arial"/>
                <w:noProof/>
              </w:rPr>
              <w:t>2.5 Technological Environment: Low-Carbon Steelmaking Innovation and Commercial Feasibility</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_Toc243482249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8</w:t>
            </w:r>
            <w:r w:rsidRPr="001159B3">
              <w:rPr>
                <w:rFonts w:ascii="Arial" w:hAnsi="Arial" w:cs="Arial"/>
                <w:noProof/>
                <w:webHidden/>
              </w:rPr>
              <w:fldChar w:fldCharType="end"/>
            </w:r>
          </w:hyperlink>
        </w:p>
        <w:p w14:paraId="5F42DE1C" w14:textId="5E6B0CE5" w:rsidR="001159B3" w:rsidRPr="001159B3" w:rsidRDefault="001159B3" w:rsidP="001159B3">
          <w:pPr>
            <w:pStyle w:val="TOC2"/>
            <w:tabs>
              <w:tab w:val="right" w:leader="dot" w:pos="9350"/>
            </w:tabs>
            <w:spacing w:after="0"/>
            <w:rPr>
              <w:rFonts w:ascii="Arial" w:eastAsiaTheme="minorEastAsia" w:hAnsi="Arial" w:cs="Arial"/>
              <w:noProof/>
              <w:kern w:val="2"/>
              <w:lang w:val="en-IN"/>
              <w14:ligatures w14:val="standardContextual"/>
            </w:rPr>
          </w:pPr>
          <w:hyperlink w:anchor="_Toc243482250" w:history="1">
            <w:r w:rsidRPr="001159B3">
              <w:rPr>
                <w:rStyle w:val="Hyperlink"/>
                <w:rFonts w:ascii="Arial" w:hAnsi="Arial" w:cs="Arial"/>
                <w:noProof/>
              </w:rPr>
              <w:t>2.6 Synthesis of External Opportunities and Commercial Risks</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_Toc243482250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9</w:t>
            </w:r>
            <w:r w:rsidRPr="001159B3">
              <w:rPr>
                <w:rFonts w:ascii="Arial" w:hAnsi="Arial" w:cs="Arial"/>
                <w:noProof/>
                <w:webHidden/>
              </w:rPr>
              <w:fldChar w:fldCharType="end"/>
            </w:r>
          </w:hyperlink>
        </w:p>
        <w:p w14:paraId="234FAFFD" w14:textId="1A97A2C7" w:rsidR="001159B3" w:rsidRPr="001159B3" w:rsidRDefault="001159B3" w:rsidP="001159B3">
          <w:pPr>
            <w:pStyle w:val="TOC1"/>
            <w:tabs>
              <w:tab w:val="right" w:leader="dot" w:pos="9350"/>
            </w:tabs>
            <w:spacing w:after="0"/>
            <w:rPr>
              <w:rFonts w:ascii="Arial" w:eastAsiaTheme="minorEastAsia" w:hAnsi="Arial" w:cs="Arial"/>
              <w:noProof/>
              <w:kern w:val="2"/>
              <w:lang w:val="en-IN"/>
              <w14:ligatures w14:val="standardContextual"/>
            </w:rPr>
          </w:pPr>
          <w:hyperlink w:anchor="_Toc243482251" w:history="1">
            <w:r w:rsidRPr="001159B3">
              <w:rPr>
                <w:rStyle w:val="Hyperlink"/>
                <w:rFonts w:ascii="Arial" w:hAnsi="Arial" w:cs="Arial"/>
                <w:noProof/>
              </w:rPr>
              <w:t>3. Task 2: Strategic Growth and Competitive Positioning</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_Toc243482251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10</w:t>
            </w:r>
            <w:r w:rsidRPr="001159B3">
              <w:rPr>
                <w:rFonts w:ascii="Arial" w:hAnsi="Arial" w:cs="Arial"/>
                <w:noProof/>
                <w:webHidden/>
              </w:rPr>
              <w:fldChar w:fldCharType="end"/>
            </w:r>
          </w:hyperlink>
        </w:p>
        <w:p w14:paraId="431F5241" w14:textId="7D0B22D4" w:rsidR="001159B3" w:rsidRPr="001159B3" w:rsidRDefault="001159B3" w:rsidP="001159B3">
          <w:pPr>
            <w:pStyle w:val="TOC2"/>
            <w:tabs>
              <w:tab w:val="right" w:leader="dot" w:pos="9350"/>
            </w:tabs>
            <w:spacing w:after="0"/>
            <w:rPr>
              <w:rFonts w:ascii="Arial" w:eastAsiaTheme="minorEastAsia" w:hAnsi="Arial" w:cs="Arial"/>
              <w:noProof/>
              <w:kern w:val="2"/>
              <w:lang w:val="en-IN"/>
              <w14:ligatures w14:val="standardContextual"/>
            </w:rPr>
          </w:pPr>
          <w:hyperlink w:anchor="_Toc243482252" w:history="1">
            <w:r w:rsidRPr="001159B3">
              <w:rPr>
                <w:rStyle w:val="Hyperlink"/>
                <w:rFonts w:ascii="Arial" w:hAnsi="Arial" w:cs="Arial"/>
                <w:noProof/>
              </w:rPr>
              <w:t>3.1 Ansoff Matrix: Comparative Evaluation of Growth Alternatives</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_Toc243482252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10</w:t>
            </w:r>
            <w:r w:rsidRPr="001159B3">
              <w:rPr>
                <w:rFonts w:ascii="Arial" w:hAnsi="Arial" w:cs="Arial"/>
                <w:noProof/>
                <w:webHidden/>
              </w:rPr>
              <w:fldChar w:fldCharType="end"/>
            </w:r>
          </w:hyperlink>
        </w:p>
        <w:p w14:paraId="23A35D2F" w14:textId="60D0B74C" w:rsidR="001159B3" w:rsidRPr="001159B3" w:rsidRDefault="001159B3" w:rsidP="001159B3">
          <w:pPr>
            <w:pStyle w:val="TOC2"/>
            <w:tabs>
              <w:tab w:val="right" w:leader="dot" w:pos="9350"/>
            </w:tabs>
            <w:spacing w:after="0"/>
            <w:rPr>
              <w:rFonts w:ascii="Arial" w:eastAsiaTheme="minorEastAsia" w:hAnsi="Arial" w:cs="Arial"/>
              <w:noProof/>
              <w:kern w:val="2"/>
              <w:lang w:val="en-IN"/>
              <w14:ligatures w14:val="standardContextual"/>
            </w:rPr>
          </w:pPr>
          <w:hyperlink w:anchor="_Toc243482253" w:history="1">
            <w:r w:rsidRPr="001159B3">
              <w:rPr>
                <w:rStyle w:val="Hyperlink"/>
                <w:rFonts w:ascii="Arial" w:hAnsi="Arial" w:cs="Arial"/>
                <w:noProof/>
              </w:rPr>
              <w:t>3.2 Market Development: Copper Opportunities in New Customer Markets</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_Toc243482253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11</w:t>
            </w:r>
            <w:r w:rsidRPr="001159B3">
              <w:rPr>
                <w:rFonts w:ascii="Arial" w:hAnsi="Arial" w:cs="Arial"/>
                <w:noProof/>
                <w:webHidden/>
              </w:rPr>
              <w:fldChar w:fldCharType="end"/>
            </w:r>
          </w:hyperlink>
        </w:p>
        <w:p w14:paraId="4D3A982F" w14:textId="32256C3B" w:rsidR="001159B3" w:rsidRPr="001159B3" w:rsidRDefault="001159B3" w:rsidP="001159B3">
          <w:pPr>
            <w:pStyle w:val="TOC2"/>
            <w:tabs>
              <w:tab w:val="right" w:leader="dot" w:pos="9350"/>
            </w:tabs>
            <w:spacing w:after="0"/>
            <w:rPr>
              <w:rFonts w:ascii="Arial" w:eastAsiaTheme="minorEastAsia" w:hAnsi="Arial" w:cs="Arial"/>
              <w:noProof/>
              <w:kern w:val="2"/>
              <w:lang w:val="en-IN"/>
              <w14:ligatures w14:val="standardContextual"/>
            </w:rPr>
          </w:pPr>
          <w:hyperlink w:anchor="_Toc243482254" w:history="1">
            <w:r w:rsidRPr="001159B3">
              <w:rPr>
                <w:rStyle w:val="Hyperlink"/>
                <w:rFonts w:ascii="Arial" w:hAnsi="Arial" w:cs="Arial"/>
                <w:noProof/>
              </w:rPr>
              <w:t>3.3 Competitive Positioning: Low-Carbon Differentiation and Supply Concentration</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_Toc243482254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11</w:t>
            </w:r>
            <w:r w:rsidRPr="001159B3">
              <w:rPr>
                <w:rFonts w:ascii="Arial" w:hAnsi="Arial" w:cs="Arial"/>
                <w:noProof/>
                <w:webHidden/>
              </w:rPr>
              <w:fldChar w:fldCharType="end"/>
            </w:r>
          </w:hyperlink>
        </w:p>
        <w:p w14:paraId="5BED212F" w14:textId="3E98C563" w:rsidR="001159B3" w:rsidRPr="001159B3" w:rsidRDefault="001159B3" w:rsidP="001159B3">
          <w:pPr>
            <w:pStyle w:val="TOC2"/>
            <w:tabs>
              <w:tab w:val="right" w:leader="dot" w:pos="9350"/>
            </w:tabs>
            <w:spacing w:after="0"/>
            <w:rPr>
              <w:rFonts w:ascii="Arial" w:eastAsiaTheme="minorEastAsia" w:hAnsi="Arial" w:cs="Arial"/>
              <w:noProof/>
              <w:kern w:val="2"/>
              <w:lang w:val="en-IN"/>
              <w14:ligatures w14:val="standardContextual"/>
            </w:rPr>
          </w:pPr>
          <w:hyperlink w:anchor="_Toc243482255" w:history="1">
            <w:r w:rsidRPr="001159B3">
              <w:rPr>
                <w:rStyle w:val="Hyperlink"/>
                <w:rFonts w:ascii="Arial" w:hAnsi="Arial" w:cs="Arial"/>
                <w:noProof/>
              </w:rPr>
              <w:t>3.4 Strategic Implementation, Financial Feasibility and Performance Evaluation</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_Toc243482255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12</w:t>
            </w:r>
            <w:r w:rsidRPr="001159B3">
              <w:rPr>
                <w:rFonts w:ascii="Arial" w:hAnsi="Arial" w:cs="Arial"/>
                <w:noProof/>
                <w:webHidden/>
              </w:rPr>
              <w:fldChar w:fldCharType="end"/>
            </w:r>
          </w:hyperlink>
        </w:p>
        <w:p w14:paraId="331EE74F" w14:textId="790E2239" w:rsidR="001159B3" w:rsidRPr="001159B3" w:rsidRDefault="001159B3" w:rsidP="001159B3">
          <w:pPr>
            <w:pStyle w:val="TOC1"/>
            <w:tabs>
              <w:tab w:val="right" w:leader="dot" w:pos="9350"/>
            </w:tabs>
            <w:spacing w:after="0"/>
            <w:rPr>
              <w:rFonts w:ascii="Arial" w:eastAsiaTheme="minorEastAsia" w:hAnsi="Arial" w:cs="Arial"/>
              <w:noProof/>
              <w:kern w:val="2"/>
              <w:lang w:val="en-IN"/>
              <w14:ligatures w14:val="standardContextual"/>
            </w:rPr>
          </w:pPr>
          <w:hyperlink w:anchor="_Toc243482256" w:history="1">
            <w:r w:rsidRPr="001159B3">
              <w:rPr>
                <w:rStyle w:val="Hyperlink"/>
                <w:rFonts w:ascii="Arial" w:hAnsi="Arial" w:cs="Arial"/>
                <w:noProof/>
              </w:rPr>
              <w:t>4. Task 3: Managerial and Professional Reflection</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_Toc243482256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13</w:t>
            </w:r>
            <w:r w:rsidRPr="001159B3">
              <w:rPr>
                <w:rFonts w:ascii="Arial" w:hAnsi="Arial" w:cs="Arial"/>
                <w:noProof/>
                <w:webHidden/>
              </w:rPr>
              <w:fldChar w:fldCharType="end"/>
            </w:r>
          </w:hyperlink>
        </w:p>
        <w:p w14:paraId="439C965E" w14:textId="7BFF83D7" w:rsidR="001159B3" w:rsidRPr="001159B3" w:rsidRDefault="001159B3" w:rsidP="001159B3">
          <w:pPr>
            <w:pStyle w:val="TOC1"/>
            <w:tabs>
              <w:tab w:val="right" w:leader="dot" w:pos="9350"/>
            </w:tabs>
            <w:spacing w:after="0"/>
            <w:rPr>
              <w:rFonts w:ascii="Arial" w:eastAsiaTheme="minorEastAsia" w:hAnsi="Arial" w:cs="Arial"/>
              <w:noProof/>
              <w:kern w:val="2"/>
              <w:lang w:val="en-IN"/>
              <w14:ligatures w14:val="standardContextual"/>
            </w:rPr>
          </w:pPr>
          <w:hyperlink w:anchor="_Toc243482257" w:history="1">
            <w:r w:rsidRPr="001159B3">
              <w:rPr>
                <w:rStyle w:val="Hyperlink"/>
                <w:rFonts w:ascii="Arial" w:hAnsi="Arial" w:cs="Arial"/>
                <w:noProof/>
              </w:rPr>
              <w:t>5. Conclusion</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_Toc243482257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14</w:t>
            </w:r>
            <w:r w:rsidRPr="001159B3">
              <w:rPr>
                <w:rFonts w:ascii="Arial" w:hAnsi="Arial" w:cs="Arial"/>
                <w:noProof/>
                <w:webHidden/>
              </w:rPr>
              <w:fldChar w:fldCharType="end"/>
            </w:r>
          </w:hyperlink>
        </w:p>
        <w:p w14:paraId="694177BA" w14:textId="6E5E6DAE" w:rsidR="001159B3" w:rsidRPr="001159B3" w:rsidRDefault="001159B3" w:rsidP="001159B3">
          <w:pPr>
            <w:pStyle w:val="TOC1"/>
            <w:tabs>
              <w:tab w:val="right" w:leader="dot" w:pos="9350"/>
            </w:tabs>
            <w:spacing w:after="0"/>
            <w:rPr>
              <w:rFonts w:ascii="Arial" w:eastAsiaTheme="minorEastAsia" w:hAnsi="Arial" w:cs="Arial"/>
              <w:noProof/>
              <w:kern w:val="2"/>
              <w:lang w:val="en-IN"/>
              <w14:ligatures w14:val="standardContextual"/>
            </w:rPr>
          </w:pPr>
          <w:hyperlink w:anchor="_Toc243482258" w:history="1">
            <w:r w:rsidRPr="001159B3">
              <w:rPr>
                <w:rStyle w:val="Hyperlink"/>
                <w:rFonts w:ascii="Arial" w:hAnsi="Arial" w:cs="Arial"/>
                <w:noProof/>
              </w:rPr>
              <w:t>References</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_Toc243482258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15</w:t>
            </w:r>
            <w:r w:rsidRPr="001159B3">
              <w:rPr>
                <w:rFonts w:ascii="Arial" w:hAnsi="Arial" w:cs="Arial"/>
                <w:noProof/>
                <w:webHidden/>
              </w:rPr>
              <w:fldChar w:fldCharType="end"/>
            </w:r>
          </w:hyperlink>
        </w:p>
        <w:p w14:paraId="0F9B03C6" w14:textId="75EB59C4" w:rsidR="001159B3" w:rsidRPr="001159B3" w:rsidRDefault="001159B3" w:rsidP="001159B3">
          <w:pPr>
            <w:pStyle w:val="TOC1"/>
            <w:tabs>
              <w:tab w:val="right" w:leader="dot" w:pos="9350"/>
            </w:tabs>
            <w:spacing w:after="0"/>
            <w:rPr>
              <w:rFonts w:ascii="Arial" w:eastAsiaTheme="minorEastAsia" w:hAnsi="Arial" w:cs="Arial"/>
              <w:noProof/>
              <w:kern w:val="2"/>
              <w:lang w:val="en-IN"/>
              <w14:ligatures w14:val="standardContextual"/>
            </w:rPr>
          </w:pPr>
          <w:hyperlink w:anchor="_Toc243482259" w:history="1">
            <w:r w:rsidRPr="001159B3">
              <w:rPr>
                <w:rStyle w:val="Hyperlink"/>
                <w:rFonts w:ascii="Arial" w:hAnsi="Arial" w:cs="Arial"/>
                <w:noProof/>
              </w:rPr>
              <w:t>Appendices</w:t>
            </w:r>
            <w:r w:rsidRPr="001159B3">
              <w:rPr>
                <w:rFonts w:ascii="Arial" w:hAnsi="Arial" w:cs="Arial"/>
                <w:noProof/>
                <w:webHidden/>
              </w:rPr>
              <w:tab/>
            </w:r>
            <w:r w:rsidRPr="001159B3">
              <w:rPr>
                <w:rFonts w:ascii="Arial" w:hAnsi="Arial" w:cs="Arial"/>
                <w:noProof/>
                <w:webHidden/>
              </w:rPr>
              <w:fldChar w:fldCharType="begin"/>
            </w:r>
            <w:r w:rsidRPr="001159B3">
              <w:rPr>
                <w:rFonts w:ascii="Arial" w:hAnsi="Arial" w:cs="Arial"/>
                <w:noProof/>
                <w:webHidden/>
              </w:rPr>
              <w:instrText xml:space="preserve"> PAGEREF _Toc243482259 \h </w:instrText>
            </w:r>
            <w:r w:rsidRPr="001159B3">
              <w:rPr>
                <w:rFonts w:ascii="Arial" w:hAnsi="Arial" w:cs="Arial"/>
                <w:noProof/>
                <w:webHidden/>
              </w:rPr>
            </w:r>
            <w:r w:rsidRPr="001159B3">
              <w:rPr>
                <w:rFonts w:ascii="Arial" w:hAnsi="Arial" w:cs="Arial"/>
                <w:noProof/>
                <w:webHidden/>
              </w:rPr>
              <w:fldChar w:fldCharType="separate"/>
            </w:r>
            <w:r w:rsidRPr="001159B3">
              <w:rPr>
                <w:rFonts w:ascii="Arial" w:hAnsi="Arial" w:cs="Arial"/>
                <w:noProof/>
                <w:webHidden/>
              </w:rPr>
              <w:t>18</w:t>
            </w:r>
            <w:r w:rsidRPr="001159B3">
              <w:rPr>
                <w:rFonts w:ascii="Arial" w:hAnsi="Arial" w:cs="Arial"/>
                <w:noProof/>
                <w:webHidden/>
              </w:rPr>
              <w:fldChar w:fldCharType="end"/>
            </w:r>
          </w:hyperlink>
        </w:p>
        <w:p w14:paraId="48EC774E" w14:textId="02355ECE" w:rsidR="001159B3" w:rsidRPr="00816284" w:rsidRDefault="001159B3" w:rsidP="001159B3">
          <w:pPr>
            <w:pStyle w:val="TOC2"/>
            <w:tabs>
              <w:tab w:val="right" w:leader="dot" w:pos="9350"/>
            </w:tabs>
            <w:spacing w:after="0"/>
            <w:rPr>
              <w:rFonts w:ascii="Arial" w:eastAsiaTheme="minorEastAsia" w:hAnsi="Arial" w:cs="Arial"/>
              <w:noProof/>
              <w:kern w:val="2"/>
              <w:lang w:val="en-IN"/>
              <w14:ligatures w14:val="standardContextual"/>
            </w:rPr>
          </w:pPr>
          <w:hyperlink w:anchor="_Toc243482260" w:history="1">
            <w:r w:rsidRPr="00816284">
              <w:rPr>
                <w:rStyle w:val="Hyperlink"/>
                <w:rFonts w:ascii="Arial" w:hAnsi="Arial" w:cs="Arial"/>
                <w:noProof/>
              </w:rPr>
              <w:t>Appendix 1: BHP’s Shipping Emissions Intensity (2008–2024)</w:t>
            </w:r>
            <w:r w:rsidRPr="00816284">
              <w:rPr>
                <w:rFonts w:ascii="Arial" w:hAnsi="Arial" w:cs="Arial"/>
                <w:noProof/>
                <w:webHidden/>
              </w:rPr>
              <w:tab/>
            </w:r>
            <w:r w:rsidRPr="00816284">
              <w:rPr>
                <w:rFonts w:ascii="Arial" w:hAnsi="Arial" w:cs="Arial"/>
                <w:noProof/>
                <w:webHidden/>
              </w:rPr>
              <w:fldChar w:fldCharType="begin"/>
            </w:r>
            <w:r w:rsidRPr="00816284">
              <w:rPr>
                <w:rFonts w:ascii="Arial" w:hAnsi="Arial" w:cs="Arial"/>
                <w:noProof/>
                <w:webHidden/>
              </w:rPr>
              <w:instrText xml:space="preserve"> PAGEREF _Toc243482260 \h </w:instrText>
            </w:r>
            <w:r w:rsidRPr="00816284">
              <w:rPr>
                <w:rFonts w:ascii="Arial" w:hAnsi="Arial" w:cs="Arial"/>
                <w:noProof/>
                <w:webHidden/>
              </w:rPr>
            </w:r>
            <w:r w:rsidRPr="00816284">
              <w:rPr>
                <w:rFonts w:ascii="Arial" w:hAnsi="Arial" w:cs="Arial"/>
                <w:noProof/>
                <w:webHidden/>
              </w:rPr>
              <w:fldChar w:fldCharType="separate"/>
            </w:r>
            <w:r w:rsidRPr="00816284">
              <w:rPr>
                <w:rFonts w:ascii="Arial" w:hAnsi="Arial" w:cs="Arial"/>
                <w:noProof/>
                <w:webHidden/>
              </w:rPr>
              <w:t>18</w:t>
            </w:r>
            <w:r w:rsidRPr="00816284">
              <w:rPr>
                <w:rFonts w:ascii="Arial" w:hAnsi="Arial" w:cs="Arial"/>
                <w:noProof/>
                <w:webHidden/>
              </w:rPr>
              <w:fldChar w:fldCharType="end"/>
            </w:r>
          </w:hyperlink>
        </w:p>
        <w:p w14:paraId="51E2A591" w14:textId="32A9C3E7" w:rsidR="001159B3" w:rsidRDefault="001159B3" w:rsidP="001159B3">
          <w:r w:rsidRPr="001159B3">
            <w:rPr>
              <w:rFonts w:ascii="Arial" w:hAnsi="Arial" w:cs="Arial"/>
              <w:b/>
              <w:bCs/>
              <w:noProof/>
              <w:color w:val="000000" w:themeColor="text1"/>
            </w:rPr>
            <w:fldChar w:fldCharType="end"/>
          </w:r>
        </w:p>
      </w:sdtContent>
    </w:sdt>
    <w:p w14:paraId="5FC3D556" w14:textId="77777777" w:rsidR="001159B3" w:rsidRDefault="001159B3">
      <w:pPr>
        <w:rPr>
          <w:rFonts w:ascii="Arial" w:hAnsi="Arial" w:cs="Arial"/>
          <w:b/>
          <w:bCs/>
        </w:rPr>
      </w:pPr>
      <w:r>
        <w:rPr>
          <w:rFonts w:ascii="Arial" w:hAnsi="Arial" w:cs="Arial"/>
          <w:b/>
          <w:bCs/>
        </w:rPr>
        <w:br w:type="page"/>
      </w:r>
    </w:p>
    <w:p w14:paraId="3B32173F" w14:textId="142C2AEB" w:rsidR="00AD1170" w:rsidRPr="001159B3" w:rsidRDefault="0052481D" w:rsidP="0052481D">
      <w:pPr>
        <w:tabs>
          <w:tab w:val="left" w:pos="324"/>
          <w:tab w:val="center" w:pos="4680"/>
        </w:tabs>
        <w:jc w:val="left"/>
        <w:rPr>
          <w:rFonts w:ascii="Arial" w:hAnsi="Arial" w:cs="Arial"/>
          <w:b/>
          <w:bCs/>
        </w:rPr>
      </w:pPr>
      <w:r>
        <w:rPr>
          <w:rFonts w:ascii="Arial" w:hAnsi="Arial" w:cs="Arial"/>
          <w:b/>
          <w:bCs/>
        </w:rPr>
        <w:lastRenderedPageBreak/>
        <w:tab/>
      </w:r>
      <w:r>
        <w:rPr>
          <w:rFonts w:ascii="Arial" w:hAnsi="Arial" w:cs="Arial"/>
          <w:b/>
          <w:bCs/>
        </w:rPr>
        <w:tab/>
      </w:r>
      <w:r w:rsidR="00941804" w:rsidRPr="001159B3">
        <w:rPr>
          <w:rFonts w:ascii="Arial" w:hAnsi="Arial" w:cs="Arial"/>
          <w:b/>
          <w:bCs/>
        </w:rPr>
        <w:t>List of Abbreviations</w:t>
      </w:r>
    </w:p>
    <w:tbl>
      <w:tblPr>
        <w:tblStyle w:val="a"/>
        <w:tblW w:w="6804" w:type="dxa"/>
        <w:tblInd w:w="1124" w:type="dxa"/>
        <w:tblBorders>
          <w:top w:val="nil"/>
          <w:left w:val="nil"/>
          <w:bottom w:val="nil"/>
          <w:right w:val="nil"/>
          <w:insideH w:val="nil"/>
          <w:insideV w:val="nil"/>
        </w:tblBorders>
        <w:tblLayout w:type="fixed"/>
        <w:tblLook w:val="0600" w:firstRow="0" w:lastRow="0" w:firstColumn="0" w:lastColumn="0" w:noHBand="1" w:noVBand="1"/>
      </w:tblPr>
      <w:tblGrid>
        <w:gridCol w:w="1701"/>
        <w:gridCol w:w="5103"/>
      </w:tblGrid>
      <w:tr w:rsidR="00AD1170" w:rsidRPr="001159B3" w14:paraId="3B321742" w14:textId="77777777">
        <w:trPr>
          <w:trHeight w:val="499"/>
        </w:trPr>
        <w:tc>
          <w:tcPr>
            <w:tcW w:w="1701" w:type="dxa"/>
            <w:tcBorders>
              <w:top w:val="single" w:sz="8" w:space="0" w:color="0000FF"/>
              <w:left w:val="single" w:sz="8" w:space="0" w:color="0000FF"/>
              <w:bottom w:val="single" w:sz="8" w:space="0" w:color="0000FF"/>
              <w:right w:val="single" w:sz="8" w:space="0" w:color="0000FF"/>
            </w:tcBorders>
            <w:shd w:val="clear" w:color="auto" w:fill="C9DAF8"/>
            <w:tcMar>
              <w:top w:w="100" w:type="dxa"/>
              <w:left w:w="100" w:type="dxa"/>
              <w:bottom w:w="100" w:type="dxa"/>
              <w:right w:w="100" w:type="dxa"/>
            </w:tcMar>
          </w:tcPr>
          <w:p w14:paraId="3B321740" w14:textId="77777777" w:rsidR="00AD1170" w:rsidRPr="001159B3" w:rsidRDefault="00941804" w:rsidP="001159B3">
            <w:pPr>
              <w:jc w:val="center"/>
              <w:rPr>
                <w:rFonts w:ascii="Arial" w:hAnsi="Arial" w:cs="Arial"/>
                <w:b/>
                <w:bCs/>
              </w:rPr>
            </w:pPr>
            <w:r w:rsidRPr="001159B3">
              <w:rPr>
                <w:rFonts w:ascii="Arial" w:hAnsi="Arial" w:cs="Arial"/>
                <w:b/>
                <w:bCs/>
              </w:rPr>
              <w:t>Abbreviation</w:t>
            </w:r>
          </w:p>
        </w:tc>
        <w:tc>
          <w:tcPr>
            <w:tcW w:w="5103" w:type="dxa"/>
            <w:tcBorders>
              <w:top w:val="single" w:sz="8" w:space="0" w:color="0000FF"/>
              <w:left w:val="single" w:sz="8" w:space="0" w:color="0000FF"/>
              <w:bottom w:val="single" w:sz="8" w:space="0" w:color="0000FF"/>
              <w:right w:val="single" w:sz="8" w:space="0" w:color="0000FF"/>
            </w:tcBorders>
            <w:shd w:val="clear" w:color="auto" w:fill="C9DAF8"/>
            <w:tcMar>
              <w:top w:w="100" w:type="dxa"/>
              <w:left w:w="100" w:type="dxa"/>
              <w:bottom w:w="100" w:type="dxa"/>
              <w:right w:w="100" w:type="dxa"/>
            </w:tcMar>
          </w:tcPr>
          <w:p w14:paraId="3B321741" w14:textId="77777777" w:rsidR="00AD1170" w:rsidRPr="001159B3" w:rsidRDefault="00941804" w:rsidP="001159B3">
            <w:pPr>
              <w:jc w:val="center"/>
              <w:rPr>
                <w:rFonts w:ascii="Arial" w:hAnsi="Arial" w:cs="Arial"/>
                <w:b/>
                <w:bCs/>
              </w:rPr>
            </w:pPr>
            <w:r w:rsidRPr="001159B3">
              <w:rPr>
                <w:rFonts w:ascii="Arial" w:hAnsi="Arial" w:cs="Arial"/>
                <w:b/>
                <w:bCs/>
              </w:rPr>
              <w:t>Full Form</w:t>
            </w:r>
          </w:p>
        </w:tc>
      </w:tr>
      <w:tr w:rsidR="00AD1170" w:rsidRPr="001159B3" w14:paraId="3B321745" w14:textId="77777777">
        <w:trPr>
          <w:trHeight w:val="197"/>
        </w:trPr>
        <w:tc>
          <w:tcPr>
            <w:tcW w:w="1701" w:type="dxa"/>
            <w:tcBorders>
              <w:top w:val="single" w:sz="8" w:space="0" w:color="0000FF"/>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B321743" w14:textId="77777777" w:rsidR="00AD1170" w:rsidRPr="001159B3" w:rsidRDefault="00941804" w:rsidP="001159B3">
            <w:pPr>
              <w:rPr>
                <w:rFonts w:ascii="Arial" w:hAnsi="Arial" w:cs="Arial"/>
              </w:rPr>
            </w:pPr>
            <w:r w:rsidRPr="001159B3">
              <w:rPr>
                <w:rFonts w:ascii="Arial" w:hAnsi="Arial" w:cs="Arial"/>
              </w:rPr>
              <w:t>BHP</w:t>
            </w:r>
          </w:p>
        </w:tc>
        <w:tc>
          <w:tcPr>
            <w:tcW w:w="5103" w:type="dxa"/>
            <w:tcBorders>
              <w:top w:val="single" w:sz="8" w:space="0" w:color="0000FF"/>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3B321744" w14:textId="77777777" w:rsidR="00AD1170" w:rsidRPr="001159B3" w:rsidRDefault="00941804" w:rsidP="001159B3">
            <w:pPr>
              <w:rPr>
                <w:rFonts w:ascii="Arial" w:hAnsi="Arial" w:cs="Arial"/>
              </w:rPr>
            </w:pPr>
            <w:r w:rsidRPr="001159B3">
              <w:rPr>
                <w:rFonts w:ascii="Arial" w:hAnsi="Arial" w:cs="Arial"/>
              </w:rPr>
              <w:t>Broken Hill Proprietary</w:t>
            </w:r>
          </w:p>
        </w:tc>
      </w:tr>
      <w:tr w:rsidR="00AD1170" w:rsidRPr="001159B3" w14:paraId="3B321748" w14:textId="77777777">
        <w:trPr>
          <w:trHeight w:val="51"/>
        </w:trPr>
        <w:tc>
          <w:tcPr>
            <w:tcW w:w="1701"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B321746" w14:textId="77777777" w:rsidR="00AD1170" w:rsidRPr="001159B3" w:rsidRDefault="00941804" w:rsidP="001159B3">
            <w:pPr>
              <w:rPr>
                <w:rFonts w:ascii="Arial" w:hAnsi="Arial" w:cs="Arial"/>
              </w:rPr>
            </w:pPr>
            <w:r w:rsidRPr="001159B3">
              <w:rPr>
                <w:rFonts w:ascii="Arial" w:hAnsi="Arial" w:cs="Arial"/>
              </w:rPr>
              <w:t>FY</w:t>
            </w:r>
          </w:p>
        </w:tc>
        <w:tc>
          <w:tcPr>
            <w:tcW w:w="5103"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3B321747" w14:textId="77777777" w:rsidR="00AD1170" w:rsidRPr="001159B3" w:rsidRDefault="00941804" w:rsidP="001159B3">
            <w:pPr>
              <w:rPr>
                <w:rFonts w:ascii="Arial" w:hAnsi="Arial" w:cs="Arial"/>
              </w:rPr>
            </w:pPr>
            <w:r w:rsidRPr="001159B3">
              <w:rPr>
                <w:rFonts w:ascii="Arial" w:hAnsi="Arial" w:cs="Arial"/>
              </w:rPr>
              <w:t>Financial Year</w:t>
            </w:r>
          </w:p>
        </w:tc>
      </w:tr>
      <w:tr w:rsidR="00AD1170" w:rsidRPr="001159B3" w14:paraId="3B32174B" w14:textId="77777777">
        <w:trPr>
          <w:trHeight w:val="175"/>
        </w:trPr>
        <w:tc>
          <w:tcPr>
            <w:tcW w:w="1701"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B321749" w14:textId="77777777" w:rsidR="00AD1170" w:rsidRPr="001159B3" w:rsidRDefault="00941804" w:rsidP="001159B3">
            <w:pPr>
              <w:rPr>
                <w:rFonts w:ascii="Arial" w:hAnsi="Arial" w:cs="Arial"/>
              </w:rPr>
            </w:pPr>
            <w:r w:rsidRPr="001159B3">
              <w:rPr>
                <w:rFonts w:ascii="Arial" w:hAnsi="Arial" w:cs="Arial"/>
              </w:rPr>
              <w:t>GHG</w:t>
            </w:r>
          </w:p>
        </w:tc>
        <w:tc>
          <w:tcPr>
            <w:tcW w:w="5103"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3B32174A" w14:textId="77777777" w:rsidR="00AD1170" w:rsidRPr="001159B3" w:rsidRDefault="00941804" w:rsidP="001159B3">
            <w:pPr>
              <w:rPr>
                <w:rFonts w:ascii="Arial" w:hAnsi="Arial" w:cs="Arial"/>
              </w:rPr>
            </w:pPr>
            <w:r w:rsidRPr="001159B3">
              <w:rPr>
                <w:rFonts w:ascii="Arial" w:hAnsi="Arial" w:cs="Arial"/>
              </w:rPr>
              <w:t>Greenhouse Gas</w:t>
            </w:r>
          </w:p>
        </w:tc>
      </w:tr>
      <w:tr w:rsidR="00AD1170" w:rsidRPr="001159B3" w14:paraId="3B32174E" w14:textId="77777777">
        <w:trPr>
          <w:trHeight w:val="253"/>
        </w:trPr>
        <w:tc>
          <w:tcPr>
            <w:tcW w:w="1701"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B32174C" w14:textId="77777777" w:rsidR="00AD1170" w:rsidRPr="001159B3" w:rsidRDefault="00941804" w:rsidP="001159B3">
            <w:pPr>
              <w:rPr>
                <w:rFonts w:ascii="Arial" w:hAnsi="Arial" w:cs="Arial"/>
              </w:rPr>
            </w:pPr>
            <w:r w:rsidRPr="001159B3">
              <w:rPr>
                <w:rFonts w:ascii="Arial" w:hAnsi="Arial" w:cs="Arial"/>
              </w:rPr>
              <w:t>CO</w:t>
            </w:r>
            <w:r w:rsidRPr="001159B3">
              <w:rPr>
                <w:rFonts w:ascii="Cambria Math" w:hAnsi="Cambria Math" w:cs="Cambria Math"/>
              </w:rPr>
              <w:t>₂</w:t>
            </w:r>
            <w:r w:rsidRPr="001159B3">
              <w:rPr>
                <w:rFonts w:ascii="Arial" w:hAnsi="Arial" w:cs="Arial"/>
              </w:rPr>
              <w:t>-e</w:t>
            </w:r>
          </w:p>
        </w:tc>
        <w:tc>
          <w:tcPr>
            <w:tcW w:w="5103"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3B32174D" w14:textId="77777777" w:rsidR="00AD1170" w:rsidRPr="001159B3" w:rsidRDefault="00941804" w:rsidP="001159B3">
            <w:pPr>
              <w:rPr>
                <w:rFonts w:ascii="Arial" w:hAnsi="Arial" w:cs="Arial"/>
              </w:rPr>
            </w:pPr>
            <w:r w:rsidRPr="001159B3">
              <w:rPr>
                <w:rFonts w:ascii="Arial" w:hAnsi="Arial" w:cs="Arial"/>
              </w:rPr>
              <w:t>Carbon Dioxide Equivalent</w:t>
            </w:r>
          </w:p>
        </w:tc>
      </w:tr>
      <w:tr w:rsidR="00AD1170" w:rsidRPr="001159B3" w14:paraId="3B321751" w14:textId="77777777">
        <w:trPr>
          <w:trHeight w:val="294"/>
        </w:trPr>
        <w:tc>
          <w:tcPr>
            <w:tcW w:w="1701"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B32174F" w14:textId="77777777" w:rsidR="00AD1170" w:rsidRPr="001159B3" w:rsidRDefault="00941804" w:rsidP="001159B3">
            <w:pPr>
              <w:rPr>
                <w:rFonts w:ascii="Arial" w:hAnsi="Arial" w:cs="Arial"/>
              </w:rPr>
            </w:pPr>
            <w:r w:rsidRPr="001159B3">
              <w:rPr>
                <w:rFonts w:ascii="Arial" w:hAnsi="Arial" w:cs="Arial"/>
              </w:rPr>
              <w:t>Mt</w:t>
            </w:r>
          </w:p>
        </w:tc>
        <w:tc>
          <w:tcPr>
            <w:tcW w:w="5103"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3B321750" w14:textId="77777777" w:rsidR="00AD1170" w:rsidRPr="001159B3" w:rsidRDefault="00941804" w:rsidP="001159B3">
            <w:pPr>
              <w:rPr>
                <w:rFonts w:ascii="Arial" w:hAnsi="Arial" w:cs="Arial"/>
              </w:rPr>
            </w:pPr>
            <w:r w:rsidRPr="001159B3">
              <w:rPr>
                <w:rFonts w:ascii="Arial" w:hAnsi="Arial" w:cs="Arial"/>
              </w:rPr>
              <w:t>Million Tonnes</w:t>
            </w:r>
          </w:p>
        </w:tc>
      </w:tr>
      <w:tr w:rsidR="00AD1170" w:rsidRPr="001159B3" w14:paraId="3B321754" w14:textId="77777777">
        <w:trPr>
          <w:trHeight w:val="291"/>
        </w:trPr>
        <w:tc>
          <w:tcPr>
            <w:tcW w:w="1701"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B321752" w14:textId="77777777" w:rsidR="00AD1170" w:rsidRPr="001159B3" w:rsidRDefault="00941804" w:rsidP="001159B3">
            <w:pPr>
              <w:rPr>
                <w:rFonts w:ascii="Arial" w:hAnsi="Arial" w:cs="Arial"/>
              </w:rPr>
            </w:pPr>
            <w:r w:rsidRPr="001159B3">
              <w:rPr>
                <w:rFonts w:ascii="Arial" w:hAnsi="Arial" w:cs="Arial"/>
              </w:rPr>
              <w:t>IEA</w:t>
            </w:r>
          </w:p>
        </w:tc>
        <w:tc>
          <w:tcPr>
            <w:tcW w:w="5103"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3B321753" w14:textId="77777777" w:rsidR="00AD1170" w:rsidRPr="001159B3" w:rsidRDefault="00941804" w:rsidP="001159B3">
            <w:pPr>
              <w:rPr>
                <w:rFonts w:ascii="Arial" w:hAnsi="Arial" w:cs="Arial"/>
              </w:rPr>
            </w:pPr>
            <w:r w:rsidRPr="001159B3">
              <w:rPr>
                <w:rFonts w:ascii="Arial" w:hAnsi="Arial" w:cs="Arial"/>
              </w:rPr>
              <w:t>International Energy Agency</w:t>
            </w:r>
          </w:p>
        </w:tc>
      </w:tr>
      <w:tr w:rsidR="00AD1170" w:rsidRPr="001159B3" w14:paraId="3B321757" w14:textId="77777777">
        <w:trPr>
          <w:trHeight w:val="273"/>
        </w:trPr>
        <w:tc>
          <w:tcPr>
            <w:tcW w:w="1701"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B321755" w14:textId="1545B57C" w:rsidR="00AD1170" w:rsidRPr="001159B3" w:rsidRDefault="00F140DF" w:rsidP="001159B3">
            <w:pPr>
              <w:rPr>
                <w:rFonts w:ascii="Arial" w:hAnsi="Arial" w:cs="Arial"/>
              </w:rPr>
            </w:pPr>
            <w:r w:rsidRPr="001159B3">
              <w:rPr>
                <w:rFonts w:ascii="Arial" w:hAnsi="Arial" w:cs="Arial"/>
              </w:rPr>
              <w:t>D</w:t>
            </w:r>
            <w:r w:rsidR="00941804" w:rsidRPr="001159B3">
              <w:rPr>
                <w:rFonts w:ascii="Arial" w:hAnsi="Arial" w:cs="Arial"/>
              </w:rPr>
              <w:t>wt</w:t>
            </w:r>
          </w:p>
        </w:tc>
        <w:tc>
          <w:tcPr>
            <w:tcW w:w="5103"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3B321756" w14:textId="77777777" w:rsidR="00AD1170" w:rsidRPr="001159B3" w:rsidRDefault="00941804" w:rsidP="001159B3">
            <w:pPr>
              <w:rPr>
                <w:rFonts w:ascii="Arial" w:hAnsi="Arial" w:cs="Arial"/>
              </w:rPr>
            </w:pPr>
            <w:r w:rsidRPr="001159B3">
              <w:rPr>
                <w:rFonts w:ascii="Arial" w:hAnsi="Arial" w:cs="Arial"/>
              </w:rPr>
              <w:t>Deadweight Tonnage</w:t>
            </w:r>
          </w:p>
        </w:tc>
      </w:tr>
      <w:tr w:rsidR="00AD1170" w:rsidRPr="001159B3" w14:paraId="3B32175A" w14:textId="77777777">
        <w:trPr>
          <w:trHeight w:val="269"/>
        </w:trPr>
        <w:tc>
          <w:tcPr>
            <w:tcW w:w="1701"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B321758" w14:textId="0A1A7F9D" w:rsidR="00AD1170" w:rsidRPr="001159B3" w:rsidRDefault="00F140DF" w:rsidP="001159B3">
            <w:pPr>
              <w:rPr>
                <w:rFonts w:ascii="Arial" w:hAnsi="Arial" w:cs="Arial"/>
              </w:rPr>
            </w:pPr>
            <w:r w:rsidRPr="001159B3">
              <w:rPr>
                <w:rFonts w:ascii="Arial" w:hAnsi="Arial" w:cs="Arial"/>
              </w:rPr>
              <w:t>N</w:t>
            </w:r>
            <w:r w:rsidR="00941804" w:rsidRPr="001159B3">
              <w:rPr>
                <w:rFonts w:ascii="Arial" w:hAnsi="Arial" w:cs="Arial"/>
              </w:rPr>
              <w:t>m</w:t>
            </w:r>
          </w:p>
        </w:tc>
        <w:tc>
          <w:tcPr>
            <w:tcW w:w="5103"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3B321759" w14:textId="77777777" w:rsidR="00AD1170" w:rsidRPr="001159B3" w:rsidRDefault="00941804" w:rsidP="001159B3">
            <w:pPr>
              <w:rPr>
                <w:rFonts w:ascii="Arial" w:hAnsi="Arial" w:cs="Arial"/>
              </w:rPr>
            </w:pPr>
            <w:r w:rsidRPr="001159B3">
              <w:rPr>
                <w:rFonts w:ascii="Arial" w:hAnsi="Arial" w:cs="Arial"/>
              </w:rPr>
              <w:t>Nautical Mile</w:t>
            </w:r>
          </w:p>
        </w:tc>
      </w:tr>
      <w:tr w:rsidR="00AD1170" w:rsidRPr="001159B3" w14:paraId="3B32175D" w14:textId="77777777">
        <w:trPr>
          <w:trHeight w:val="500"/>
        </w:trPr>
        <w:tc>
          <w:tcPr>
            <w:tcW w:w="1701"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B32175B" w14:textId="77777777" w:rsidR="00AD1170" w:rsidRPr="001159B3" w:rsidRDefault="00941804" w:rsidP="001159B3">
            <w:pPr>
              <w:rPr>
                <w:rFonts w:ascii="Arial" w:hAnsi="Arial" w:cs="Arial"/>
              </w:rPr>
            </w:pPr>
            <w:r w:rsidRPr="001159B3">
              <w:rPr>
                <w:rFonts w:ascii="Arial" w:hAnsi="Arial" w:cs="Arial"/>
              </w:rPr>
              <w:t>A$</w:t>
            </w:r>
          </w:p>
        </w:tc>
        <w:tc>
          <w:tcPr>
            <w:tcW w:w="5103"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3B32175C" w14:textId="77777777" w:rsidR="00AD1170" w:rsidRPr="001159B3" w:rsidRDefault="00941804" w:rsidP="001159B3">
            <w:pPr>
              <w:rPr>
                <w:rFonts w:ascii="Arial" w:hAnsi="Arial" w:cs="Arial"/>
              </w:rPr>
            </w:pPr>
            <w:r w:rsidRPr="001159B3">
              <w:rPr>
                <w:rFonts w:ascii="Arial" w:hAnsi="Arial" w:cs="Arial"/>
              </w:rPr>
              <w:t>Australian Dollar</w:t>
            </w:r>
          </w:p>
        </w:tc>
      </w:tr>
    </w:tbl>
    <w:p w14:paraId="3B32175E" w14:textId="77777777" w:rsidR="00AD1170" w:rsidRPr="001159B3" w:rsidRDefault="00AD1170" w:rsidP="001159B3">
      <w:pPr>
        <w:rPr>
          <w:rFonts w:ascii="Arial" w:hAnsi="Arial" w:cs="Arial"/>
        </w:rPr>
      </w:pPr>
    </w:p>
    <w:p w14:paraId="3B32175F" w14:textId="77777777" w:rsidR="00AD1170" w:rsidRPr="001159B3" w:rsidRDefault="00941804" w:rsidP="001159B3">
      <w:pPr>
        <w:rPr>
          <w:rFonts w:ascii="Arial" w:hAnsi="Arial" w:cs="Arial"/>
        </w:rPr>
      </w:pPr>
      <w:r w:rsidRPr="001159B3">
        <w:rPr>
          <w:rFonts w:ascii="Arial" w:hAnsi="Arial" w:cs="Arial"/>
        </w:rPr>
        <w:br w:type="page"/>
      </w:r>
    </w:p>
    <w:p w14:paraId="3B321760" w14:textId="77777777" w:rsidR="00AD1170" w:rsidRPr="001159B3" w:rsidRDefault="00941804" w:rsidP="001159B3">
      <w:pPr>
        <w:pStyle w:val="Heading1"/>
        <w:rPr>
          <w:rFonts w:ascii="Arial" w:hAnsi="Arial" w:cs="Arial"/>
        </w:rPr>
      </w:pPr>
      <w:bookmarkStart w:id="0" w:name="_Toc242807379"/>
      <w:bookmarkStart w:id="1" w:name="_Toc243482243"/>
      <w:r w:rsidRPr="001159B3">
        <w:rPr>
          <w:rFonts w:ascii="Arial" w:hAnsi="Arial" w:cs="Arial"/>
        </w:rPr>
        <w:lastRenderedPageBreak/>
        <w:t>1. Introduction</w:t>
      </w:r>
      <w:bookmarkEnd w:id="0"/>
      <w:bookmarkEnd w:id="1"/>
      <w:r w:rsidRPr="001159B3">
        <w:rPr>
          <w:rFonts w:ascii="Arial" w:hAnsi="Arial" w:cs="Arial"/>
        </w:rPr>
        <w:t xml:space="preserve"> </w:t>
      </w:r>
    </w:p>
    <w:p w14:paraId="3B321761" w14:textId="77777777" w:rsidR="00AD1170" w:rsidRPr="001159B3" w:rsidRDefault="00941804" w:rsidP="001159B3">
      <w:pPr>
        <w:rPr>
          <w:rFonts w:ascii="Arial" w:hAnsi="Arial" w:cs="Arial"/>
        </w:rPr>
      </w:pPr>
      <w:r w:rsidRPr="001159B3">
        <w:rPr>
          <w:rFonts w:ascii="Arial" w:hAnsi="Arial" w:cs="Arial"/>
        </w:rPr>
        <w:t>BHP Group Limited supplies minerals globally to power industrial production and the transition to cleaner energy. Operational GHG emissions are 33% lower against BHP's adjusted baseline in FY2020 (BHP, 2026). The environmental requirements and evolving steelmaking technology drive the demand for lower-carbon materials despite considerable costs of implementation. These pressures affect customer taste, the decision to invest in strategies and BHP's future market position in the international market.</w:t>
      </w:r>
    </w:p>
    <w:p w14:paraId="3B321762" w14:textId="77777777" w:rsidR="00AD1170" w:rsidRPr="001159B3" w:rsidRDefault="00941804" w:rsidP="001159B3">
      <w:pPr>
        <w:pStyle w:val="Heading1"/>
        <w:rPr>
          <w:rFonts w:ascii="Arial" w:hAnsi="Arial" w:cs="Arial"/>
        </w:rPr>
      </w:pPr>
      <w:bookmarkStart w:id="2" w:name="_Toc242807380"/>
      <w:bookmarkStart w:id="3" w:name="_Toc243482244"/>
      <w:r w:rsidRPr="001159B3">
        <w:rPr>
          <w:rFonts w:ascii="Arial" w:hAnsi="Arial" w:cs="Arial"/>
        </w:rPr>
        <w:t>2. Task 1: Marketing Environment Analysis</w:t>
      </w:r>
      <w:bookmarkEnd w:id="2"/>
      <w:bookmarkEnd w:id="3"/>
    </w:p>
    <w:p w14:paraId="3B321763" w14:textId="77777777" w:rsidR="00AD1170" w:rsidRPr="001159B3" w:rsidRDefault="00941804" w:rsidP="001159B3">
      <w:pPr>
        <w:pStyle w:val="Heading2"/>
        <w:rPr>
          <w:rFonts w:ascii="Arial" w:hAnsi="Arial" w:cs="Arial"/>
        </w:rPr>
      </w:pPr>
      <w:bookmarkStart w:id="4" w:name="_Toc242807381"/>
      <w:bookmarkStart w:id="5" w:name="_Toc243482245"/>
      <w:r w:rsidRPr="001159B3">
        <w:rPr>
          <w:rFonts w:ascii="Arial" w:hAnsi="Arial" w:cs="Arial"/>
        </w:rPr>
        <w:t>2.1 External Marketing Environment and Actor Selection</w:t>
      </w:r>
      <w:bookmarkEnd w:id="4"/>
      <w:bookmarkEnd w:id="5"/>
      <w:r w:rsidRPr="001159B3">
        <w:rPr>
          <w:rFonts w:ascii="Arial" w:hAnsi="Arial" w:cs="Arial"/>
        </w:rPr>
        <w:t xml:space="preserve"> </w:t>
      </w:r>
    </w:p>
    <w:p w14:paraId="3B321764" w14:textId="53C186A6" w:rsidR="00AD1170" w:rsidRPr="001159B3" w:rsidRDefault="00941804" w:rsidP="001159B3">
      <w:pPr>
        <w:rPr>
          <w:rFonts w:ascii="Arial" w:hAnsi="Arial" w:cs="Arial"/>
        </w:rPr>
      </w:pPr>
      <w:r w:rsidRPr="001159B3">
        <w:rPr>
          <w:rFonts w:ascii="Arial" w:hAnsi="Arial" w:cs="Arial"/>
        </w:rPr>
        <w:t xml:space="preserve">BHP is affected by pressures from the environment influencing customer and production decisions and competitiveness in global mineral markets. According to Kotler, the macro environment can be distinguished from the microenvironment (Kotler </w:t>
      </w:r>
      <w:r w:rsidRPr="001159B3">
        <w:rPr>
          <w:rFonts w:ascii="Arial" w:hAnsi="Arial" w:cs="Arial"/>
          <w:i/>
          <w:iCs/>
        </w:rPr>
        <w:t>et al.,</w:t>
      </w:r>
      <w:r w:rsidRPr="001159B3">
        <w:rPr>
          <w:rFonts w:ascii="Arial" w:hAnsi="Arial" w:cs="Arial"/>
        </w:rPr>
        <w:t xml:space="preserve"> 2024). </w:t>
      </w:r>
      <w:r w:rsidR="00B9444C" w:rsidRPr="002F46B7">
        <w:rPr>
          <w:rFonts w:ascii="Arial" w:hAnsi="Arial" w:cs="Arial"/>
          <w:color w:val="000000" w:themeColor="text1"/>
        </w:rPr>
        <w:t>Emissions pressures are produced by the natural environment, and the global economy can drive demand for minerals and their competitiveness in low-carbon generation. BHP can benefit from technological advances for cleaner steel production, although the challenge is the commercialisation of the technology in the face of infrastructure constraints and high investment costs.</w:t>
      </w:r>
      <w:r w:rsidR="00B9444C" w:rsidRPr="001159B3">
        <w:rPr>
          <w:rFonts w:ascii="Arial" w:hAnsi="Arial" w:cs="Arial"/>
        </w:rPr>
        <w:t xml:space="preserve"> </w:t>
      </w:r>
      <w:r w:rsidRPr="001159B3">
        <w:rPr>
          <w:rFonts w:ascii="Arial" w:hAnsi="Arial" w:cs="Arial"/>
        </w:rPr>
        <w:t xml:space="preserve">These factors </w:t>
      </w:r>
      <w:r w:rsidR="00B9444C" w:rsidRPr="001159B3">
        <w:rPr>
          <w:rFonts w:ascii="Arial" w:hAnsi="Arial" w:cs="Arial"/>
        </w:rPr>
        <w:t>are central because they link sustainability performance to</w:t>
      </w:r>
      <w:r w:rsidRPr="001159B3">
        <w:rPr>
          <w:rFonts w:ascii="Arial" w:hAnsi="Arial" w:cs="Arial"/>
        </w:rPr>
        <w:t xml:space="preserve"> business opportunities.</w:t>
      </w:r>
    </w:p>
    <w:p w14:paraId="3B321765" w14:textId="77777777" w:rsidR="00AD1170" w:rsidRPr="001159B3" w:rsidRDefault="00941804" w:rsidP="001159B3">
      <w:pPr>
        <w:pStyle w:val="Heading2"/>
        <w:rPr>
          <w:rFonts w:ascii="Arial" w:hAnsi="Arial" w:cs="Arial"/>
        </w:rPr>
      </w:pPr>
      <w:bookmarkStart w:id="6" w:name="_Toc243482246"/>
      <w:r w:rsidRPr="001159B3">
        <w:rPr>
          <w:rFonts w:ascii="Arial" w:hAnsi="Arial" w:cs="Arial"/>
        </w:rPr>
        <w:t>2.2 Natural Environment: Emissions Performance and Value-Chain Accountability</w:t>
      </w:r>
      <w:bookmarkEnd w:id="6"/>
      <w:r w:rsidRPr="001159B3">
        <w:rPr>
          <w:rFonts w:ascii="Arial" w:hAnsi="Arial" w:cs="Arial"/>
        </w:rPr>
        <w:t xml:space="preserve"> </w:t>
      </w:r>
    </w:p>
    <w:p w14:paraId="3B0CAA4C" w14:textId="77777777" w:rsidR="00417851" w:rsidRPr="001159B3" w:rsidRDefault="00941804" w:rsidP="001159B3">
      <w:pPr>
        <w:rPr>
          <w:rFonts w:ascii="Arial" w:hAnsi="Arial" w:cs="Arial"/>
        </w:rPr>
      </w:pPr>
      <w:r w:rsidRPr="001159B3">
        <w:rPr>
          <w:rFonts w:ascii="Arial" w:hAnsi="Arial" w:cs="Arial"/>
        </w:rPr>
        <w:t xml:space="preserve">BHP's operational emissions show strong long-term gains but also highlight a low point in recent decarbonisation efforts. In FY2026, BHP’s operational emissions reached 9.4 </w:t>
      </w:r>
      <w:proofErr w:type="spellStart"/>
      <w:r w:rsidRPr="001159B3">
        <w:rPr>
          <w:rFonts w:ascii="Arial" w:hAnsi="Arial" w:cs="Arial"/>
        </w:rPr>
        <w:t>MtCO</w:t>
      </w:r>
      <w:proofErr w:type="spellEnd"/>
      <w:r w:rsidRPr="001159B3">
        <w:rPr>
          <w:rFonts w:ascii="Cambria Math" w:hAnsi="Cambria Math" w:cs="Cambria Math"/>
        </w:rPr>
        <w:t>₂</w:t>
      </w:r>
      <w:r w:rsidRPr="001159B3">
        <w:rPr>
          <w:rFonts w:ascii="Arial" w:hAnsi="Arial" w:cs="Arial"/>
        </w:rPr>
        <w:t>-e, representing a 33% reduction against its adjusted FY2020 baseline (BHP, 2026). However, adjusted emissions rose approximately 1% over FY2025,</w:t>
      </w:r>
      <w:r w:rsidRPr="001159B3">
        <w:rPr>
          <w:rFonts w:ascii="Arial" w:hAnsi="Arial" w:cs="Arial"/>
          <w:color w:val="FF0000"/>
        </w:rPr>
        <w:t xml:space="preserve"> </w:t>
      </w:r>
      <w:r w:rsidRPr="001159B3">
        <w:rPr>
          <w:rFonts w:ascii="Arial" w:hAnsi="Arial" w:cs="Arial"/>
        </w:rPr>
        <w:t xml:space="preserve">challenging claims of continuous operational improvement. The unadjusted annual increase was as high as 8%, which was </w:t>
      </w:r>
      <w:r w:rsidR="00417851" w:rsidRPr="001159B3">
        <w:rPr>
          <w:rFonts w:ascii="Arial" w:hAnsi="Arial" w:cs="Arial"/>
        </w:rPr>
        <w:t>due to a</w:t>
      </w:r>
      <w:r w:rsidRPr="001159B3">
        <w:rPr>
          <w:rFonts w:ascii="Arial" w:hAnsi="Arial" w:cs="Arial"/>
        </w:rPr>
        <w:t xml:space="preserve"> methodological change that affected reported performance (BHP, 2026). </w:t>
      </w:r>
    </w:p>
    <w:p w14:paraId="3B321766" w14:textId="1A2B3C68" w:rsidR="00AD1170" w:rsidRPr="001159B3" w:rsidRDefault="00941804" w:rsidP="001159B3">
      <w:pPr>
        <w:rPr>
          <w:rFonts w:ascii="Arial" w:hAnsi="Arial" w:cs="Arial"/>
        </w:rPr>
      </w:pPr>
      <w:r w:rsidRPr="001159B3">
        <w:rPr>
          <w:rFonts w:ascii="Arial" w:hAnsi="Arial" w:cs="Arial"/>
        </w:rPr>
        <w:t>These divergent developments indicate that emission limits will only have a credibility-enhancing effect if comparisons begin to remain constant and transparent. Otherwise, no one knows whether any cuts are made to enhance long-term operating efficiency of the business or simply accounting decisions.</w:t>
      </w:r>
      <w:r w:rsidR="00417851" w:rsidRPr="001159B3">
        <w:rPr>
          <w:rFonts w:ascii="Arial" w:hAnsi="Arial" w:cs="Arial"/>
        </w:rPr>
        <w:t xml:space="preserve"> </w:t>
      </w:r>
      <w:r w:rsidRPr="001159B3">
        <w:rPr>
          <w:rFonts w:ascii="Arial" w:hAnsi="Arial" w:cs="Arial"/>
        </w:rPr>
        <w:t xml:space="preserve">Scope 3 steelmaking emissions pose an even </w:t>
      </w:r>
      <w:r w:rsidRPr="001159B3">
        <w:rPr>
          <w:rFonts w:ascii="Arial" w:hAnsi="Arial" w:cs="Arial"/>
        </w:rPr>
        <w:lastRenderedPageBreak/>
        <w:t xml:space="preserve">greater challenge, as customers ultimately dictate production technologies. Adjusted emissions increased from 292.9 </w:t>
      </w:r>
      <w:proofErr w:type="spellStart"/>
      <w:r w:rsidRPr="001159B3">
        <w:rPr>
          <w:rFonts w:ascii="Arial" w:hAnsi="Arial" w:cs="Arial"/>
        </w:rPr>
        <w:t>MtCO</w:t>
      </w:r>
      <w:proofErr w:type="spellEnd"/>
      <w:r w:rsidRPr="001159B3">
        <w:rPr>
          <w:rFonts w:ascii="Cambria Math" w:hAnsi="Cambria Math" w:cs="Cambria Math"/>
        </w:rPr>
        <w:t>₂</w:t>
      </w:r>
      <w:r w:rsidRPr="001159B3">
        <w:rPr>
          <w:rFonts w:ascii="Arial" w:hAnsi="Arial" w:cs="Arial"/>
        </w:rPr>
        <w:t xml:space="preserve">-e in FY2020 to 314.4 </w:t>
      </w:r>
      <w:proofErr w:type="spellStart"/>
      <w:r w:rsidRPr="001159B3">
        <w:rPr>
          <w:rFonts w:ascii="Arial" w:hAnsi="Arial" w:cs="Arial"/>
        </w:rPr>
        <w:t>MtCO</w:t>
      </w:r>
      <w:proofErr w:type="spellEnd"/>
      <w:r w:rsidRPr="001159B3">
        <w:rPr>
          <w:rFonts w:ascii="Cambria Math" w:hAnsi="Cambria Math" w:cs="Cambria Math"/>
        </w:rPr>
        <w:t>₂</w:t>
      </w:r>
      <w:r w:rsidRPr="001159B3">
        <w:rPr>
          <w:rFonts w:ascii="Arial" w:hAnsi="Arial" w:cs="Arial"/>
        </w:rPr>
        <w:t xml:space="preserve">-e in FY2024 (BHP, 2024). The rise of 21.5 </w:t>
      </w:r>
      <w:proofErr w:type="spellStart"/>
      <w:r w:rsidRPr="001159B3">
        <w:rPr>
          <w:rFonts w:ascii="Arial" w:hAnsi="Arial" w:cs="Arial"/>
        </w:rPr>
        <w:t>MtCO</w:t>
      </w:r>
      <w:proofErr w:type="spellEnd"/>
      <w:r w:rsidRPr="001159B3">
        <w:rPr>
          <w:rFonts w:ascii="Cambria Math" w:hAnsi="Cambria Math" w:cs="Cambria Math"/>
        </w:rPr>
        <w:t>₂</w:t>
      </w:r>
      <w:r w:rsidRPr="001159B3">
        <w:rPr>
          <w:rFonts w:ascii="Arial" w:hAnsi="Arial" w:cs="Arial"/>
        </w:rPr>
        <w:t>-e demonstrates that emissions can increase downstream even as emissions are reduced within BHP's business. BHP provides iron-ore, the steel-making firms decide on the fuel, the manner of processing and the degree of investment in cleaner furnaces. Therefore, BHP is likely to need to work with partners via technological collaboration rather than limiting its response to internal cuts.</w:t>
      </w:r>
    </w:p>
    <w:p w14:paraId="3B321767" w14:textId="77777777" w:rsidR="00AD1170" w:rsidRPr="001159B3" w:rsidRDefault="00941804" w:rsidP="001159B3">
      <w:pPr>
        <w:jc w:val="center"/>
        <w:rPr>
          <w:rFonts w:ascii="Arial" w:hAnsi="Arial" w:cs="Arial"/>
        </w:rPr>
      </w:pPr>
      <w:r w:rsidRPr="001159B3">
        <w:rPr>
          <w:rFonts w:ascii="Arial" w:hAnsi="Arial" w:cs="Arial"/>
          <w:noProof/>
        </w:rPr>
        <w:drawing>
          <wp:inline distT="0" distB="0" distL="0" distR="0" wp14:anchorId="3B3217AA" wp14:editId="3B3217AB">
            <wp:extent cx="5943600" cy="1835758"/>
            <wp:effectExtent l="25400" t="25400" r="25400" b="25400"/>
            <wp:docPr id="1026"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7.png"/>
                    <pic:cNvPicPr/>
                  </pic:nvPicPr>
                  <pic:blipFill>
                    <a:blip r:embed="rId8" cstate="print"/>
                    <a:srcRect/>
                    <a:stretch/>
                  </pic:blipFill>
                  <pic:spPr>
                    <a:xfrm>
                      <a:off x="0" y="0"/>
                      <a:ext cx="5943600" cy="1835758"/>
                    </a:xfrm>
                    <a:prstGeom prst="rect">
                      <a:avLst/>
                    </a:prstGeom>
                    <a:ln w="25400" cap="flat" cmpd="sng">
                      <a:solidFill>
                        <a:srgbClr val="000000"/>
                      </a:solidFill>
                      <a:prstDash val="solid"/>
                      <a:round/>
                      <a:headEnd/>
                      <a:tailEnd/>
                    </a:ln>
                  </pic:spPr>
                </pic:pic>
              </a:graphicData>
            </a:graphic>
          </wp:inline>
        </w:drawing>
      </w:r>
    </w:p>
    <w:p w14:paraId="3B321768" w14:textId="77777777" w:rsidR="00AD1170" w:rsidRPr="001159B3" w:rsidRDefault="00941804" w:rsidP="001159B3">
      <w:pPr>
        <w:jc w:val="center"/>
        <w:rPr>
          <w:rFonts w:ascii="Arial" w:hAnsi="Arial" w:cs="Arial"/>
          <w:b/>
          <w:bCs/>
          <w:i/>
          <w:iCs/>
        </w:rPr>
      </w:pPr>
      <w:r w:rsidRPr="001159B3">
        <w:rPr>
          <w:rFonts w:ascii="Arial" w:hAnsi="Arial" w:cs="Arial"/>
          <w:b/>
          <w:bCs/>
          <w:i/>
          <w:iCs/>
        </w:rPr>
        <w:t xml:space="preserve">Figure 1: BHP’s Scope 3 Greenhouse Gas Emissions by Category (FY2020–FY2024) </w:t>
      </w:r>
    </w:p>
    <w:p w14:paraId="3B321769" w14:textId="77777777" w:rsidR="00AD1170" w:rsidRPr="001159B3" w:rsidRDefault="00941804" w:rsidP="001159B3">
      <w:pPr>
        <w:jc w:val="center"/>
        <w:rPr>
          <w:rFonts w:ascii="Arial" w:hAnsi="Arial" w:cs="Arial"/>
        </w:rPr>
      </w:pPr>
      <w:r w:rsidRPr="001159B3">
        <w:rPr>
          <w:rFonts w:ascii="Arial" w:hAnsi="Arial" w:cs="Arial"/>
        </w:rPr>
        <w:t>(Source: BHP, 2024)</w:t>
      </w:r>
    </w:p>
    <w:p w14:paraId="3B32176A" w14:textId="2D81E69C" w:rsidR="00DE183C" w:rsidRDefault="00941804" w:rsidP="001159B3">
      <w:pPr>
        <w:rPr>
          <w:rFonts w:ascii="Arial" w:hAnsi="Arial" w:cs="Arial"/>
        </w:rPr>
      </w:pPr>
      <w:r w:rsidRPr="001159B3">
        <w:rPr>
          <w:rFonts w:ascii="Arial" w:hAnsi="Arial" w:cs="Arial"/>
        </w:rPr>
        <w:t xml:space="preserve">Shipping emissions intensity declined from 5.8 in CY2008 to 3.4 </w:t>
      </w:r>
      <w:proofErr w:type="spellStart"/>
      <w:r w:rsidRPr="001159B3">
        <w:rPr>
          <w:rFonts w:ascii="Arial" w:hAnsi="Arial" w:cs="Arial"/>
        </w:rPr>
        <w:t>gCO</w:t>
      </w:r>
      <w:proofErr w:type="spellEnd"/>
      <w:r w:rsidRPr="001159B3">
        <w:rPr>
          <w:rFonts w:ascii="Cambria Math" w:hAnsi="Cambria Math" w:cs="Cambria Math"/>
        </w:rPr>
        <w:t>₂</w:t>
      </w:r>
      <w:r w:rsidRPr="001159B3">
        <w:rPr>
          <w:rFonts w:ascii="Arial" w:hAnsi="Arial" w:cs="Arial"/>
        </w:rPr>
        <w:t>-e/dwt/nm in FY2024 for BHP chartered vessels. Still, absolute shipping emissions could grow even as efficiency is improved per transport if transport is increased. This improvement does help to facilitate efficient transportation, but it does not measure overall value chain emissions. However, improvements in absolute emissions from downstream steelmaking cannot be made up for automatically if shipping performance drops. Marketing credibility is important when it is a matter of distinguishing measurable improvement from things beyond the company's direct control. Independent validation processes and customer collaborations could help build trust, but technological limitations hinder short-term advances</w:t>
      </w:r>
      <w:r w:rsidR="00DE183C">
        <w:rPr>
          <w:rFonts w:ascii="Arial" w:hAnsi="Arial" w:cs="Arial"/>
        </w:rPr>
        <w:t xml:space="preserve"> (Goswami </w:t>
      </w:r>
      <w:r w:rsidR="00DE183C" w:rsidRPr="00E679E3">
        <w:rPr>
          <w:rFonts w:ascii="Arial" w:hAnsi="Arial" w:cs="Arial"/>
          <w:i/>
          <w:iCs/>
        </w:rPr>
        <w:t>et al</w:t>
      </w:r>
      <w:r w:rsidR="00DE183C">
        <w:rPr>
          <w:rFonts w:ascii="Arial" w:hAnsi="Arial" w:cs="Arial"/>
        </w:rPr>
        <w:t xml:space="preserve">., </w:t>
      </w:r>
      <w:r w:rsidR="00E679E3">
        <w:rPr>
          <w:rFonts w:ascii="Arial" w:hAnsi="Arial" w:cs="Arial"/>
        </w:rPr>
        <w:t>2023</w:t>
      </w:r>
      <w:r w:rsidR="00DE183C">
        <w:rPr>
          <w:rFonts w:ascii="Arial" w:hAnsi="Arial" w:cs="Arial"/>
        </w:rPr>
        <w:t>)</w:t>
      </w:r>
      <w:r w:rsidRPr="001159B3">
        <w:rPr>
          <w:rFonts w:ascii="Arial" w:hAnsi="Arial" w:cs="Arial"/>
        </w:rPr>
        <w:t xml:space="preserve">. Thus, environmental commitments can provide </w:t>
      </w:r>
      <w:proofErr w:type="gramStart"/>
      <w:r w:rsidRPr="001159B3">
        <w:rPr>
          <w:rFonts w:ascii="Arial" w:hAnsi="Arial" w:cs="Arial"/>
        </w:rPr>
        <w:t>differentiation</w:t>
      </w:r>
      <w:proofErr w:type="gramEnd"/>
      <w:r w:rsidR="0024201C">
        <w:rPr>
          <w:rFonts w:ascii="Arial" w:hAnsi="Arial" w:cs="Arial"/>
        </w:rPr>
        <w:t xml:space="preserve"> but</w:t>
      </w:r>
      <w:r w:rsidRPr="001159B3">
        <w:rPr>
          <w:rFonts w:ascii="Arial" w:hAnsi="Arial" w:cs="Arial"/>
        </w:rPr>
        <w:t xml:space="preserve"> BHP must avoid claims that are more than it can achieve.</w:t>
      </w:r>
    </w:p>
    <w:p w14:paraId="3B17050C" w14:textId="77777777" w:rsidR="00DE183C" w:rsidRDefault="00DE183C">
      <w:pPr>
        <w:rPr>
          <w:rFonts w:ascii="Arial" w:hAnsi="Arial" w:cs="Arial"/>
        </w:rPr>
      </w:pPr>
      <w:r>
        <w:rPr>
          <w:rFonts w:ascii="Arial" w:hAnsi="Arial" w:cs="Arial"/>
        </w:rPr>
        <w:br w:type="page"/>
      </w:r>
    </w:p>
    <w:p w14:paraId="3B32176B" w14:textId="77777777" w:rsidR="00AD1170" w:rsidRPr="001159B3" w:rsidRDefault="00941804" w:rsidP="001159B3">
      <w:pPr>
        <w:pStyle w:val="Heading2"/>
        <w:rPr>
          <w:rFonts w:ascii="Arial" w:hAnsi="Arial" w:cs="Arial"/>
        </w:rPr>
      </w:pPr>
      <w:bookmarkStart w:id="7" w:name="_Toc243482247"/>
      <w:r w:rsidRPr="001159B3">
        <w:rPr>
          <w:rFonts w:ascii="Arial" w:hAnsi="Arial" w:cs="Arial"/>
        </w:rPr>
        <w:lastRenderedPageBreak/>
        <w:t>2.3 Natural Environment: Clean Energy Transition and Commercial Feasibility</w:t>
      </w:r>
      <w:bookmarkEnd w:id="7"/>
      <w:r w:rsidRPr="001159B3">
        <w:rPr>
          <w:rFonts w:ascii="Arial" w:hAnsi="Arial" w:cs="Arial"/>
        </w:rPr>
        <w:t xml:space="preserve"> </w:t>
      </w:r>
    </w:p>
    <w:p w14:paraId="6B638FE3" w14:textId="77777777" w:rsidR="003D1901" w:rsidRDefault="00941804" w:rsidP="001159B3">
      <w:pPr>
        <w:rPr>
          <w:rFonts w:ascii="Arial" w:hAnsi="Arial" w:cs="Arial"/>
        </w:rPr>
      </w:pPr>
      <w:r w:rsidRPr="001159B3">
        <w:rPr>
          <w:rFonts w:ascii="Arial" w:hAnsi="Arial" w:cs="Arial"/>
        </w:rPr>
        <w:t>BHP has various opportunities to lower mining emissions and enhances operational resilience through clean electricity expansion. The use of clean electricity presents opportunities for companies to cut emissions, although access to electricity is different in different areas. In 2024, low-carbon sources supplied 40.9% of global electricity, exceeding 40% for the first time since the 1940s (Graham, Fulghum and Altieri, 2025). However, this worldwide advance is no guarantee of cheap, clean, reliable power for BHP's remote mining sites.</w:t>
      </w:r>
    </w:p>
    <w:p w14:paraId="64658025" w14:textId="3CCBEEBE" w:rsidR="00417851" w:rsidRPr="001159B3" w:rsidRDefault="00941804" w:rsidP="001159B3">
      <w:pPr>
        <w:rPr>
          <w:rFonts w:ascii="Arial" w:hAnsi="Arial" w:cs="Arial"/>
        </w:rPr>
      </w:pPr>
      <w:r w:rsidRPr="001159B3">
        <w:rPr>
          <w:rFonts w:ascii="Arial" w:hAnsi="Arial" w:cs="Arial"/>
        </w:rPr>
        <w:t xml:space="preserve"> According to Kotler's macroenvironment, changing energy conditions influence investment decisions but are beyond the control of BHP</w:t>
      </w:r>
      <w:r w:rsidR="00E679E3" w:rsidRPr="00E679E3">
        <w:rPr>
          <w:rFonts w:ascii="Arial" w:hAnsi="Arial" w:cs="Arial"/>
        </w:rPr>
        <w:t xml:space="preserve"> </w:t>
      </w:r>
      <w:r w:rsidR="00E679E3">
        <w:rPr>
          <w:rFonts w:ascii="Arial" w:hAnsi="Arial" w:cs="Arial"/>
        </w:rPr>
        <w:t>(</w:t>
      </w:r>
      <w:r w:rsidR="00E679E3" w:rsidRPr="001159B3">
        <w:rPr>
          <w:rFonts w:ascii="Arial" w:hAnsi="Arial" w:cs="Arial"/>
        </w:rPr>
        <w:t xml:space="preserve">Kotler </w:t>
      </w:r>
      <w:r w:rsidR="00E679E3" w:rsidRPr="001159B3">
        <w:rPr>
          <w:rFonts w:ascii="Arial" w:hAnsi="Arial" w:cs="Arial"/>
          <w:i/>
          <w:iCs/>
        </w:rPr>
        <w:t>et al.,</w:t>
      </w:r>
      <w:r w:rsidR="00E679E3" w:rsidRPr="001159B3">
        <w:rPr>
          <w:rFonts w:ascii="Arial" w:hAnsi="Arial" w:cs="Arial"/>
        </w:rPr>
        <w:t xml:space="preserve"> 2024</w:t>
      </w:r>
      <w:r w:rsidR="00E679E3">
        <w:rPr>
          <w:rFonts w:ascii="Arial" w:hAnsi="Arial" w:cs="Arial"/>
        </w:rPr>
        <w:t>)</w:t>
      </w:r>
      <w:r w:rsidRPr="001159B3">
        <w:rPr>
          <w:rFonts w:ascii="Arial" w:hAnsi="Arial" w:cs="Arial"/>
        </w:rPr>
        <w:t xml:space="preserve">. The company could decrease Scope 2 emissions by purchasing cleaner electricity, bolstering their environmental </w:t>
      </w:r>
      <w:proofErr w:type="spellStart"/>
      <w:proofErr w:type="gramStart"/>
      <w:r w:rsidRPr="001159B3">
        <w:rPr>
          <w:rFonts w:ascii="Arial" w:hAnsi="Arial" w:cs="Arial"/>
        </w:rPr>
        <w:t>commitments.However</w:t>
      </w:r>
      <w:proofErr w:type="spellEnd"/>
      <w:proofErr w:type="gramEnd"/>
      <w:r w:rsidRPr="001159B3">
        <w:rPr>
          <w:rFonts w:ascii="Arial" w:hAnsi="Arial" w:cs="Arial"/>
        </w:rPr>
        <w:t xml:space="preserve">, remotely located mines, grid constraints, expensive transmission investments and intermittent renewable power sources can be a challenge. There is also a need for reliable infrastructure to fully decarbonise electric trucks and other equipment. Renewable procurement could enhance environmental outcomes with extra issues around costs and reliability. </w:t>
      </w:r>
    </w:p>
    <w:p w14:paraId="3B32176C" w14:textId="07B9224C" w:rsidR="00AD1170" w:rsidRPr="001159B3" w:rsidRDefault="00941804" w:rsidP="001159B3">
      <w:pPr>
        <w:rPr>
          <w:rFonts w:ascii="Arial" w:hAnsi="Arial" w:cs="Arial"/>
        </w:rPr>
      </w:pPr>
      <w:r w:rsidRPr="001159B3">
        <w:rPr>
          <w:rFonts w:ascii="Arial" w:hAnsi="Arial" w:cs="Arial"/>
        </w:rPr>
        <w:t>Further, global low-carbon growth is not evidence that BHP facilities get the same quantity of electricity. Credible reductions may be rewarded under the regulatory framework as well as by customers and unsubstantiated sustainability claims may damage trust. Therefore, management should put in contrast with capital expenditure, energy security and the operating efficiency as carbon reductions can be expected. Regulated electrification timelines and signed supply agreements may provide more effective business outcomes than sales-driven or aggressive plans. Long-term competitiveness increasingly depends on affordable, practical implementation and measurable emissions reductions, rather than electricity trends alone.</w:t>
      </w:r>
    </w:p>
    <w:p w14:paraId="3B32176D" w14:textId="77777777" w:rsidR="00AD1170" w:rsidRPr="001159B3" w:rsidRDefault="00941804" w:rsidP="001159B3">
      <w:pPr>
        <w:jc w:val="center"/>
        <w:rPr>
          <w:rFonts w:ascii="Arial" w:hAnsi="Arial" w:cs="Arial"/>
        </w:rPr>
      </w:pPr>
      <w:r w:rsidRPr="001159B3">
        <w:rPr>
          <w:rFonts w:ascii="Arial" w:hAnsi="Arial" w:cs="Arial"/>
          <w:noProof/>
        </w:rPr>
        <w:lastRenderedPageBreak/>
        <w:drawing>
          <wp:inline distT="0" distB="0" distL="0" distR="0" wp14:anchorId="3B3217AC" wp14:editId="3B3217AD">
            <wp:extent cx="5943600" cy="2882900"/>
            <wp:effectExtent l="25400" t="25400" r="25400" b="25400"/>
            <wp:docPr id="1027"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9" cstate="print"/>
                    <a:srcRect/>
                    <a:stretch/>
                  </pic:blipFill>
                  <pic:spPr>
                    <a:xfrm>
                      <a:off x="0" y="0"/>
                      <a:ext cx="5943600" cy="2882900"/>
                    </a:xfrm>
                    <a:prstGeom prst="rect">
                      <a:avLst/>
                    </a:prstGeom>
                    <a:ln w="25400" cap="flat" cmpd="sng">
                      <a:solidFill>
                        <a:srgbClr val="000000"/>
                      </a:solidFill>
                      <a:prstDash val="solid"/>
                      <a:round/>
                      <a:headEnd/>
                      <a:tailEnd/>
                    </a:ln>
                  </pic:spPr>
                </pic:pic>
              </a:graphicData>
            </a:graphic>
          </wp:inline>
        </w:drawing>
      </w:r>
    </w:p>
    <w:p w14:paraId="3B32176E" w14:textId="77777777" w:rsidR="00AD1170" w:rsidRPr="001159B3" w:rsidRDefault="00941804" w:rsidP="001159B3">
      <w:pPr>
        <w:jc w:val="center"/>
        <w:rPr>
          <w:rFonts w:ascii="Arial" w:hAnsi="Arial" w:cs="Arial"/>
          <w:b/>
          <w:bCs/>
          <w:i/>
          <w:iCs/>
        </w:rPr>
      </w:pPr>
      <w:r w:rsidRPr="001159B3">
        <w:rPr>
          <w:rFonts w:ascii="Arial" w:hAnsi="Arial" w:cs="Arial"/>
          <w:b/>
          <w:bCs/>
          <w:i/>
          <w:iCs/>
        </w:rPr>
        <w:t>Figure 2: Global Share of Low-Carbon Electricity Generation (2000–2024)</w:t>
      </w:r>
    </w:p>
    <w:p w14:paraId="3B32176F" w14:textId="77777777" w:rsidR="00AD1170" w:rsidRPr="001159B3" w:rsidRDefault="00941804" w:rsidP="001159B3">
      <w:pPr>
        <w:jc w:val="center"/>
        <w:rPr>
          <w:rFonts w:ascii="Arial" w:hAnsi="Arial" w:cs="Arial"/>
        </w:rPr>
      </w:pPr>
      <w:r w:rsidRPr="001159B3">
        <w:rPr>
          <w:rFonts w:ascii="Arial" w:hAnsi="Arial" w:cs="Arial"/>
        </w:rPr>
        <w:t>(Source:  Graham, Fulghum and Altieri, 2025)</w:t>
      </w:r>
    </w:p>
    <w:p w14:paraId="2CCB1B1F" w14:textId="77777777" w:rsidR="00417851" w:rsidRPr="001159B3" w:rsidRDefault="00417851" w:rsidP="001159B3">
      <w:pPr>
        <w:pStyle w:val="Heading2"/>
        <w:rPr>
          <w:rFonts w:ascii="Arial" w:hAnsi="Arial" w:cs="Arial"/>
        </w:rPr>
      </w:pPr>
      <w:bookmarkStart w:id="8" w:name="_Toc243482248"/>
      <w:r w:rsidRPr="001159B3">
        <w:rPr>
          <w:rFonts w:ascii="Arial" w:hAnsi="Arial" w:cs="Arial"/>
        </w:rPr>
        <w:t>2.4 Economic Environment: Global Steel Demand and Low-Carbon Investment</w:t>
      </w:r>
      <w:bookmarkEnd w:id="8"/>
    </w:p>
    <w:p w14:paraId="3B597972" w14:textId="77777777" w:rsidR="003D1901" w:rsidRDefault="00B9444C" w:rsidP="001159B3">
      <w:pPr>
        <w:rPr>
          <w:rFonts w:ascii="Arial" w:hAnsi="Arial" w:cs="Arial"/>
        </w:rPr>
      </w:pPr>
      <w:r w:rsidRPr="002F46B7">
        <w:rPr>
          <w:rFonts w:ascii="Arial" w:hAnsi="Arial" w:cs="Arial"/>
          <w:color w:val="000000" w:themeColor="text1"/>
        </w:rPr>
        <w:t xml:space="preserve">The economic macroenvironment impacts BHP </w:t>
      </w:r>
      <w:r w:rsidR="001159B3" w:rsidRPr="002F46B7">
        <w:rPr>
          <w:rFonts w:ascii="Arial" w:hAnsi="Arial" w:cs="Arial"/>
          <w:color w:val="000000" w:themeColor="text1"/>
        </w:rPr>
        <w:t>through</w:t>
      </w:r>
      <w:r w:rsidRPr="002F46B7">
        <w:rPr>
          <w:rFonts w:ascii="Arial" w:hAnsi="Arial" w:cs="Arial"/>
          <w:color w:val="000000" w:themeColor="text1"/>
        </w:rPr>
        <w:t xml:space="preserve"> varying global steel demand, and energy costs and </w:t>
      </w:r>
      <w:r w:rsidR="001159B3" w:rsidRPr="002F46B7">
        <w:rPr>
          <w:rFonts w:ascii="Arial" w:hAnsi="Arial" w:cs="Arial"/>
          <w:color w:val="000000" w:themeColor="text1"/>
        </w:rPr>
        <w:t xml:space="preserve">the </w:t>
      </w:r>
      <w:r w:rsidRPr="002F46B7">
        <w:rPr>
          <w:rFonts w:ascii="Arial" w:hAnsi="Arial" w:cs="Arial"/>
          <w:color w:val="000000" w:themeColor="text1"/>
        </w:rPr>
        <w:t xml:space="preserve">investment climate affecting </w:t>
      </w:r>
      <w:r w:rsidR="001159B3" w:rsidRPr="002F46B7">
        <w:rPr>
          <w:rFonts w:ascii="Arial" w:hAnsi="Arial" w:cs="Arial"/>
          <w:color w:val="000000" w:themeColor="text1"/>
        </w:rPr>
        <w:t>lower-carbon</w:t>
      </w:r>
      <w:r w:rsidRPr="002F46B7">
        <w:rPr>
          <w:rFonts w:ascii="Arial" w:hAnsi="Arial" w:cs="Arial"/>
          <w:color w:val="000000" w:themeColor="text1"/>
        </w:rPr>
        <w:t xml:space="preserve"> mineral production.</w:t>
      </w:r>
      <w:r w:rsidR="00417851" w:rsidRPr="002F46B7">
        <w:rPr>
          <w:rFonts w:ascii="Arial" w:hAnsi="Arial" w:cs="Arial"/>
          <w:color w:val="000000" w:themeColor="text1"/>
        </w:rPr>
        <w:t xml:space="preserve"> </w:t>
      </w:r>
      <w:r w:rsidR="00941804" w:rsidRPr="001159B3">
        <w:rPr>
          <w:rFonts w:ascii="Arial" w:hAnsi="Arial" w:cs="Arial"/>
        </w:rPr>
        <w:t>Global steel output fell from 1,904 Mt in 2023 to 1,885 Mt in 2024 (World Steel Association, 2025). The modest reduction implies market pressure</w:t>
      </w:r>
      <w:r w:rsidR="00417851" w:rsidRPr="001159B3">
        <w:rPr>
          <w:rFonts w:ascii="Arial" w:hAnsi="Arial" w:cs="Arial"/>
        </w:rPr>
        <w:t>,</w:t>
      </w:r>
      <w:r w:rsidR="00941804" w:rsidRPr="001159B3">
        <w:rPr>
          <w:rFonts w:ascii="Arial" w:hAnsi="Arial" w:cs="Arial"/>
        </w:rPr>
        <w:t xml:space="preserve"> although production trends by themselves do not prove a decrease in the market demand for BHP's ores. Steel companies aiming for lower emissions may opt for appropriate iron feed and suppliers promoting cleaner production technologies. Green iron exports could be competitive if renewable electricity to produce hydrogen is cheap (</w:t>
      </w:r>
      <w:proofErr w:type="spellStart"/>
      <w:r w:rsidR="00941804" w:rsidRPr="001159B3">
        <w:rPr>
          <w:rFonts w:ascii="Arial" w:hAnsi="Arial" w:cs="Arial"/>
        </w:rPr>
        <w:t>Ellersdorfer</w:t>
      </w:r>
      <w:proofErr w:type="spellEnd"/>
      <w:r w:rsidR="00941804" w:rsidRPr="001159B3">
        <w:rPr>
          <w:rFonts w:ascii="Arial" w:hAnsi="Arial" w:cs="Arial"/>
        </w:rPr>
        <w:t xml:space="preserve"> </w:t>
      </w:r>
      <w:r w:rsidR="00941804" w:rsidRPr="001159B3">
        <w:rPr>
          <w:rFonts w:ascii="Arial" w:hAnsi="Arial" w:cs="Arial"/>
          <w:i/>
          <w:iCs/>
        </w:rPr>
        <w:t>et al.</w:t>
      </w:r>
      <w:r w:rsidR="00941804" w:rsidRPr="001159B3">
        <w:rPr>
          <w:rFonts w:ascii="Arial" w:hAnsi="Arial" w:cs="Arial"/>
        </w:rPr>
        <w:t>, 2024).</w:t>
      </w:r>
    </w:p>
    <w:p w14:paraId="4AF6B886" w14:textId="7294D32B" w:rsidR="00417851" w:rsidRPr="002F46B7" w:rsidRDefault="00941804" w:rsidP="001159B3">
      <w:pPr>
        <w:rPr>
          <w:rFonts w:ascii="Arial" w:hAnsi="Arial" w:cs="Arial"/>
          <w:color w:val="000000" w:themeColor="text1"/>
        </w:rPr>
      </w:pPr>
      <w:r w:rsidRPr="001159B3">
        <w:rPr>
          <w:rFonts w:ascii="Arial" w:hAnsi="Arial" w:cs="Arial"/>
        </w:rPr>
        <w:t>However, high energy costs, immature infrastructure, and uncertain purchasing commitments restrict immediate commercial adoption at scale</w:t>
      </w:r>
      <w:r w:rsidRPr="001159B3">
        <w:rPr>
          <w:rFonts w:ascii="Arial" w:hAnsi="Arial" w:cs="Arial"/>
          <w:color w:val="1F497D" w:themeColor="text2"/>
        </w:rPr>
        <w:t>.</w:t>
      </w:r>
      <w:r w:rsidR="00B9444C" w:rsidRPr="001159B3">
        <w:rPr>
          <w:rFonts w:ascii="Arial" w:hAnsi="Arial" w:cs="Arial"/>
          <w:color w:val="1F497D" w:themeColor="text2"/>
        </w:rPr>
        <w:t xml:space="preserve"> </w:t>
      </w:r>
      <w:r w:rsidR="00B9444C" w:rsidRPr="002F46B7">
        <w:rPr>
          <w:rFonts w:ascii="Arial" w:hAnsi="Arial" w:cs="Arial"/>
          <w:color w:val="000000" w:themeColor="text1"/>
        </w:rPr>
        <w:t>The slowing of steel production and the high costs of energy may limit BHP's ability to invest in lower-carbon minerals. While green iron does offer growth opportunities, there is the challenge that market conditions are uncertain, making commercial profitability the hurdle. Thus, BHP must investigate market demand for steel, energy prices and investment costs before further increasing production of lower-carbon minerals.</w:t>
      </w:r>
    </w:p>
    <w:p w14:paraId="3B321772" w14:textId="77777777" w:rsidR="00AD1170" w:rsidRPr="001159B3" w:rsidRDefault="00941804" w:rsidP="001159B3">
      <w:pPr>
        <w:jc w:val="center"/>
        <w:rPr>
          <w:rFonts w:ascii="Arial" w:hAnsi="Arial" w:cs="Arial"/>
        </w:rPr>
      </w:pPr>
      <w:r w:rsidRPr="001159B3">
        <w:rPr>
          <w:rFonts w:ascii="Arial" w:hAnsi="Arial" w:cs="Arial"/>
          <w:noProof/>
        </w:rPr>
        <w:lastRenderedPageBreak/>
        <w:drawing>
          <wp:inline distT="0" distB="0" distL="0" distR="0" wp14:anchorId="3B3217AE" wp14:editId="3B3217AF">
            <wp:extent cx="5543550" cy="2571750"/>
            <wp:effectExtent l="25400" t="25400" r="25400" b="25400"/>
            <wp:docPr id="1028"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0" cstate="print"/>
                    <a:srcRect/>
                    <a:stretch/>
                  </pic:blipFill>
                  <pic:spPr>
                    <a:xfrm>
                      <a:off x="0" y="0"/>
                      <a:ext cx="5543550" cy="2571750"/>
                    </a:xfrm>
                    <a:prstGeom prst="rect">
                      <a:avLst/>
                    </a:prstGeom>
                    <a:ln w="25400" cap="flat" cmpd="sng">
                      <a:solidFill>
                        <a:srgbClr val="000000"/>
                      </a:solidFill>
                      <a:prstDash val="solid"/>
                      <a:round/>
                      <a:headEnd/>
                      <a:tailEnd/>
                    </a:ln>
                  </pic:spPr>
                </pic:pic>
              </a:graphicData>
            </a:graphic>
          </wp:inline>
        </w:drawing>
      </w:r>
    </w:p>
    <w:p w14:paraId="3B321773" w14:textId="77777777" w:rsidR="00AD1170" w:rsidRPr="001159B3" w:rsidRDefault="00941804" w:rsidP="001159B3">
      <w:pPr>
        <w:jc w:val="center"/>
        <w:rPr>
          <w:rFonts w:ascii="Arial" w:hAnsi="Arial" w:cs="Arial"/>
          <w:b/>
          <w:bCs/>
          <w:i/>
          <w:iCs/>
        </w:rPr>
      </w:pPr>
      <w:r w:rsidRPr="001159B3">
        <w:rPr>
          <w:rFonts w:ascii="Arial" w:hAnsi="Arial" w:cs="Arial"/>
          <w:b/>
          <w:bCs/>
          <w:i/>
          <w:iCs/>
        </w:rPr>
        <w:t xml:space="preserve">Figure 3: Crude Steel Production (2000–2024) </w:t>
      </w:r>
    </w:p>
    <w:p w14:paraId="3B321774" w14:textId="77777777" w:rsidR="00AD1170" w:rsidRPr="001159B3" w:rsidRDefault="00941804" w:rsidP="001159B3">
      <w:pPr>
        <w:jc w:val="center"/>
        <w:rPr>
          <w:rFonts w:ascii="Arial" w:hAnsi="Arial" w:cs="Arial"/>
          <w:color w:val="000000" w:themeColor="text1"/>
        </w:rPr>
      </w:pPr>
      <w:r w:rsidRPr="001159B3">
        <w:rPr>
          <w:rFonts w:ascii="Arial" w:hAnsi="Arial" w:cs="Arial"/>
          <w:color w:val="000000" w:themeColor="text1"/>
        </w:rPr>
        <w:t>(Source: World Steel Association, 2025)</w:t>
      </w:r>
    </w:p>
    <w:p w14:paraId="391D7350" w14:textId="77777777" w:rsidR="00DA4E96" w:rsidRPr="001159B3" w:rsidRDefault="00DA4E96" w:rsidP="001159B3">
      <w:pPr>
        <w:pStyle w:val="Heading2"/>
        <w:rPr>
          <w:rFonts w:ascii="Arial" w:hAnsi="Arial" w:cs="Arial"/>
        </w:rPr>
      </w:pPr>
      <w:bookmarkStart w:id="9" w:name="_Toc243482249"/>
      <w:r w:rsidRPr="001159B3">
        <w:rPr>
          <w:rFonts w:ascii="Arial" w:hAnsi="Arial" w:cs="Arial"/>
        </w:rPr>
        <w:t>2.5 Technological Environment: Low-Carbon Steelmaking Innovation and Commercial Feasibility</w:t>
      </w:r>
      <w:bookmarkEnd w:id="9"/>
    </w:p>
    <w:p w14:paraId="140871FE" w14:textId="77777777" w:rsidR="003D1901" w:rsidRDefault="00B9444C" w:rsidP="001159B3">
      <w:pPr>
        <w:rPr>
          <w:rFonts w:ascii="Arial" w:hAnsi="Arial" w:cs="Arial"/>
        </w:rPr>
      </w:pPr>
      <w:r w:rsidRPr="002F46B7">
        <w:rPr>
          <w:rFonts w:ascii="Arial" w:hAnsi="Arial" w:cs="Arial"/>
          <w:color w:val="000000" w:themeColor="text1"/>
        </w:rPr>
        <w:t xml:space="preserve">The technological macroenvironment has indirect effects on BHP that include emerging low-carbon steelmaking technology, which offer opportunities for innovation, but also present significant investment and commercial risks. </w:t>
      </w:r>
      <w:r w:rsidR="00941804" w:rsidRPr="001159B3">
        <w:rPr>
          <w:rFonts w:ascii="Arial" w:hAnsi="Arial" w:cs="Arial"/>
        </w:rPr>
        <w:t xml:space="preserve">Around 50% of the planned steelmaking capacity is in electric arc furnaces, yet many of these are not being constructed (Global Energy Monitor, 2025). These furnaces frequently treat scrap, and direct reduced iron routes have the potential to maintain a demand for appropriate mined ore. Thus, technological change can transform the nature of BHP's products but not the size of its iron ore market. Rio Tinto is developing other routes to </w:t>
      </w:r>
      <w:r w:rsidRPr="001159B3">
        <w:rPr>
          <w:rFonts w:ascii="Arial" w:hAnsi="Arial" w:cs="Arial"/>
        </w:rPr>
        <w:t>low-emission</w:t>
      </w:r>
      <w:r w:rsidR="00941804" w:rsidRPr="001159B3">
        <w:rPr>
          <w:rFonts w:ascii="Arial" w:hAnsi="Arial" w:cs="Arial"/>
        </w:rPr>
        <w:t xml:space="preserve"> production</w:t>
      </w:r>
      <w:r w:rsidRPr="001159B3">
        <w:rPr>
          <w:rFonts w:ascii="Arial" w:hAnsi="Arial" w:cs="Arial"/>
        </w:rPr>
        <w:t>,</w:t>
      </w:r>
      <w:r w:rsidR="00941804" w:rsidRPr="001159B3">
        <w:rPr>
          <w:rFonts w:ascii="Arial" w:hAnsi="Arial" w:cs="Arial"/>
        </w:rPr>
        <w:t xml:space="preserve"> including </w:t>
      </w:r>
      <w:proofErr w:type="spellStart"/>
      <w:r w:rsidR="00941804" w:rsidRPr="001159B3">
        <w:rPr>
          <w:rFonts w:ascii="Arial" w:hAnsi="Arial" w:cs="Arial"/>
        </w:rPr>
        <w:t>BioIron</w:t>
      </w:r>
      <w:proofErr w:type="spellEnd"/>
      <w:r w:rsidR="00941804" w:rsidRPr="001159B3">
        <w:rPr>
          <w:rFonts w:ascii="Arial" w:hAnsi="Arial" w:cs="Arial"/>
        </w:rPr>
        <w:t xml:space="preserve"> and electric smelting technology (Rio Tinto, 2025).</w:t>
      </w:r>
    </w:p>
    <w:p w14:paraId="35A75BA4" w14:textId="2309CA62" w:rsidR="001159B3" w:rsidRPr="002F46B7" w:rsidRDefault="00DA4E96" w:rsidP="001159B3">
      <w:pPr>
        <w:rPr>
          <w:rFonts w:ascii="Arial" w:hAnsi="Arial" w:cs="Arial"/>
          <w:color w:val="000000" w:themeColor="text1"/>
          <w:shd w:val="clear" w:color="auto" w:fill="EE0000"/>
        </w:rPr>
      </w:pPr>
      <w:r w:rsidRPr="002F46B7">
        <w:rPr>
          <w:rFonts w:ascii="Arial" w:hAnsi="Arial" w:cs="Arial"/>
          <w:color w:val="000000" w:themeColor="text1"/>
        </w:rPr>
        <w:t xml:space="preserve">These technological developments </w:t>
      </w:r>
      <w:r w:rsidR="00B9444C" w:rsidRPr="002F46B7">
        <w:rPr>
          <w:rFonts w:ascii="Arial" w:hAnsi="Arial" w:cs="Arial"/>
          <w:color w:val="000000" w:themeColor="text1"/>
        </w:rPr>
        <w:t>show</w:t>
      </w:r>
      <w:r w:rsidRPr="002F46B7">
        <w:rPr>
          <w:rFonts w:ascii="Arial" w:hAnsi="Arial" w:cs="Arial"/>
          <w:color w:val="000000" w:themeColor="text1"/>
        </w:rPr>
        <w:t xml:space="preserve"> opportunities for cleaner steelmaking, although high implementation costs and uncertain commercial scalability remain significant challenges.</w:t>
      </w:r>
      <w:r w:rsidR="001159B3" w:rsidRPr="002F46B7">
        <w:rPr>
          <w:rFonts w:ascii="Arial" w:hAnsi="Arial" w:cs="Arial"/>
          <w:color w:val="000000" w:themeColor="text1"/>
        </w:rPr>
        <w:t xml:space="preserve"> </w:t>
      </w:r>
      <w:r w:rsidR="00941804" w:rsidRPr="001159B3">
        <w:rPr>
          <w:rFonts w:ascii="Arial" w:hAnsi="Arial" w:cs="Arial"/>
        </w:rPr>
        <w:t>However, at this early stage, operating costs, commercial scale and sustainable differentiation for pilot projects cannot be guaranteed</w:t>
      </w:r>
      <w:r w:rsidR="00941804" w:rsidRPr="002F46B7">
        <w:rPr>
          <w:rFonts w:ascii="Arial" w:hAnsi="Arial" w:cs="Arial"/>
          <w:color w:val="000000" w:themeColor="text1"/>
        </w:rPr>
        <w:t xml:space="preserve">. </w:t>
      </w:r>
      <w:bookmarkStart w:id="10" w:name="_Toc242807384"/>
      <w:r w:rsidR="001159B3" w:rsidRPr="002F46B7">
        <w:rPr>
          <w:rFonts w:ascii="Arial" w:hAnsi="Arial" w:cs="Arial"/>
          <w:color w:val="000000" w:themeColor="text1"/>
        </w:rPr>
        <w:t>BHP will need to test its iron ore against new equipment and practices in low-carbon steel production, not just claims of sustainability. The commercial success of these technologies will depend on processing costs, technical compatibility and their ability to operate at an industrial scale.</w:t>
      </w:r>
    </w:p>
    <w:p w14:paraId="3B321777" w14:textId="262D5F22" w:rsidR="00AD1170" w:rsidRPr="001159B3" w:rsidRDefault="00941804" w:rsidP="001159B3">
      <w:pPr>
        <w:pStyle w:val="Heading2"/>
        <w:rPr>
          <w:rFonts w:ascii="Arial" w:hAnsi="Arial" w:cs="Arial"/>
        </w:rPr>
      </w:pPr>
      <w:bookmarkStart w:id="11" w:name="_Toc243482250"/>
      <w:r w:rsidRPr="001159B3">
        <w:rPr>
          <w:rFonts w:ascii="Arial" w:hAnsi="Arial" w:cs="Arial"/>
        </w:rPr>
        <w:lastRenderedPageBreak/>
        <w:t>2.6 Synthesis of External Opportunities and Commercial Risks</w:t>
      </w:r>
      <w:bookmarkEnd w:id="10"/>
      <w:bookmarkEnd w:id="11"/>
      <w:r w:rsidRPr="001159B3">
        <w:rPr>
          <w:rFonts w:ascii="Arial" w:hAnsi="Arial" w:cs="Arial"/>
        </w:rPr>
        <w:t xml:space="preserve"> </w:t>
      </w:r>
    </w:p>
    <w:p w14:paraId="3B321778" w14:textId="2BAECDC2" w:rsidR="00AD1170" w:rsidRPr="001159B3" w:rsidRDefault="00941804" w:rsidP="001159B3">
      <w:pPr>
        <w:rPr>
          <w:rFonts w:ascii="Arial" w:hAnsi="Arial" w:cs="Arial"/>
        </w:rPr>
      </w:pPr>
      <w:r w:rsidRPr="001159B3">
        <w:rPr>
          <w:rFonts w:ascii="Arial" w:hAnsi="Arial" w:cs="Arial"/>
        </w:rPr>
        <w:t xml:space="preserve">BHP faces growing pressure from the external market in its ability to resource lower carbon production and maintain future commercial returns. Iron ore export earnings may fall from A$116bn in FY 2024-25 to A$97bn </w:t>
      </w:r>
      <w:r w:rsidR="001159B3">
        <w:rPr>
          <w:rFonts w:ascii="Arial" w:hAnsi="Arial" w:cs="Arial"/>
        </w:rPr>
        <w:t xml:space="preserve">in </w:t>
      </w:r>
      <w:r w:rsidRPr="001159B3">
        <w:rPr>
          <w:rFonts w:ascii="Arial" w:hAnsi="Arial" w:cs="Arial"/>
        </w:rPr>
        <w:t>FY 2026-27 (Australian Government, 2025). National forecasts indicate pricing pressure rather than a financial constraint for BHP while customer decarbonisation provides the basis for differentiated supply. Thus, BHP must make long-term commercially viable customer connections and investment priorities based on independently verifiable emissions evidence.</w:t>
      </w:r>
    </w:p>
    <w:p w14:paraId="3B321779" w14:textId="77777777" w:rsidR="00AD1170" w:rsidRPr="001159B3" w:rsidRDefault="00941804" w:rsidP="001159B3">
      <w:pPr>
        <w:jc w:val="center"/>
        <w:rPr>
          <w:rFonts w:ascii="Arial" w:hAnsi="Arial" w:cs="Arial"/>
        </w:rPr>
      </w:pPr>
      <w:r w:rsidRPr="001159B3">
        <w:rPr>
          <w:rFonts w:ascii="Arial" w:hAnsi="Arial" w:cs="Arial"/>
          <w:noProof/>
        </w:rPr>
        <w:drawing>
          <wp:inline distT="0" distB="0" distL="0" distR="0" wp14:anchorId="3B3217B0" wp14:editId="3B3217B1">
            <wp:extent cx="5943600" cy="3632200"/>
            <wp:effectExtent l="25400" t="25400" r="25400" b="25400"/>
            <wp:docPr id="1029"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1" cstate="print"/>
                    <a:srcRect/>
                    <a:stretch/>
                  </pic:blipFill>
                  <pic:spPr>
                    <a:xfrm>
                      <a:off x="0" y="0"/>
                      <a:ext cx="5943600" cy="3632200"/>
                    </a:xfrm>
                    <a:prstGeom prst="rect">
                      <a:avLst/>
                    </a:prstGeom>
                    <a:ln w="25400" cap="flat" cmpd="sng">
                      <a:solidFill>
                        <a:srgbClr val="434343"/>
                      </a:solidFill>
                      <a:prstDash val="solid"/>
                      <a:round/>
                      <a:headEnd/>
                      <a:tailEnd/>
                    </a:ln>
                  </pic:spPr>
                </pic:pic>
              </a:graphicData>
            </a:graphic>
          </wp:inline>
        </w:drawing>
      </w:r>
    </w:p>
    <w:p w14:paraId="3B32177A" w14:textId="77777777" w:rsidR="00AD1170" w:rsidRPr="001159B3" w:rsidRDefault="00941804" w:rsidP="001159B3">
      <w:pPr>
        <w:jc w:val="center"/>
        <w:rPr>
          <w:rFonts w:ascii="Arial" w:hAnsi="Arial" w:cs="Arial"/>
          <w:b/>
          <w:bCs/>
          <w:i/>
          <w:iCs/>
        </w:rPr>
      </w:pPr>
      <w:r w:rsidRPr="001159B3">
        <w:rPr>
          <w:rFonts w:ascii="Arial" w:hAnsi="Arial" w:cs="Arial"/>
          <w:b/>
          <w:bCs/>
          <w:i/>
          <w:iCs/>
        </w:rPr>
        <w:t xml:space="preserve">Figure 4: Australian Mineral and Energy Exports Forecast (2024–2027) </w:t>
      </w:r>
    </w:p>
    <w:p w14:paraId="3B32177B" w14:textId="77777777" w:rsidR="00AD1170" w:rsidRPr="001159B3" w:rsidRDefault="00941804" w:rsidP="001159B3">
      <w:pPr>
        <w:jc w:val="center"/>
        <w:rPr>
          <w:rFonts w:ascii="Arial" w:hAnsi="Arial" w:cs="Arial"/>
        </w:rPr>
      </w:pPr>
      <w:r w:rsidRPr="001159B3">
        <w:rPr>
          <w:rFonts w:ascii="Arial" w:hAnsi="Arial" w:cs="Arial"/>
        </w:rPr>
        <w:t>(Source: Australian Government, 2025)</w:t>
      </w:r>
    </w:p>
    <w:p w14:paraId="3B32177C" w14:textId="77777777" w:rsidR="00AD1170" w:rsidRPr="001159B3" w:rsidRDefault="00941804" w:rsidP="001159B3">
      <w:pPr>
        <w:pStyle w:val="Heading1"/>
        <w:rPr>
          <w:rFonts w:ascii="Arial" w:hAnsi="Arial" w:cs="Arial"/>
        </w:rPr>
      </w:pPr>
      <w:bookmarkStart w:id="12" w:name="_Toc242807385"/>
      <w:bookmarkStart w:id="13" w:name="_Toc243482251"/>
      <w:r w:rsidRPr="001159B3">
        <w:rPr>
          <w:rFonts w:ascii="Arial" w:hAnsi="Arial" w:cs="Arial"/>
        </w:rPr>
        <w:t>3. Task 2: Strategic Growth and Competitive Positioning</w:t>
      </w:r>
      <w:bookmarkEnd w:id="12"/>
      <w:bookmarkEnd w:id="13"/>
      <w:r w:rsidRPr="001159B3">
        <w:rPr>
          <w:rFonts w:ascii="Arial" w:hAnsi="Arial" w:cs="Arial"/>
        </w:rPr>
        <w:t xml:space="preserve"> </w:t>
      </w:r>
    </w:p>
    <w:p w14:paraId="3B32177D" w14:textId="77777777" w:rsidR="00AD1170" w:rsidRDefault="00941804" w:rsidP="001159B3">
      <w:pPr>
        <w:pStyle w:val="Heading2"/>
        <w:rPr>
          <w:rFonts w:ascii="Arial" w:hAnsi="Arial" w:cs="Arial"/>
        </w:rPr>
      </w:pPr>
      <w:bookmarkStart w:id="14" w:name="_Toc242807386"/>
      <w:bookmarkStart w:id="15" w:name="_Toc243482252"/>
      <w:r w:rsidRPr="001159B3">
        <w:rPr>
          <w:rFonts w:ascii="Arial" w:hAnsi="Arial" w:cs="Arial"/>
        </w:rPr>
        <w:t>3.1 Ansoff Matrix: Comparative Evaluation of Growth Alternatives</w:t>
      </w:r>
      <w:bookmarkEnd w:id="14"/>
      <w:bookmarkEnd w:id="15"/>
    </w:p>
    <w:p w14:paraId="384DE785" w14:textId="77777777" w:rsidR="002F46B7" w:rsidRPr="001159B3" w:rsidRDefault="002F46B7" w:rsidP="002F46B7">
      <w:pPr>
        <w:rPr>
          <w:rFonts w:ascii="Arial" w:hAnsi="Arial" w:cs="Arial"/>
        </w:rPr>
      </w:pPr>
      <w:r w:rsidRPr="001159B3">
        <w:rPr>
          <w:rFonts w:ascii="Arial" w:hAnsi="Arial" w:cs="Arial"/>
        </w:rPr>
        <w:t xml:space="preserve">Using the four product-market strategies from Ansoff, BHP evaluates sustainable growth opportunities while considering the risk of investment. Market penetration would see the selling of copper to existing buyers, but potential sales gains may be limited by price </w:t>
      </w:r>
      <w:r w:rsidRPr="001159B3">
        <w:rPr>
          <w:rFonts w:ascii="Arial" w:hAnsi="Arial" w:cs="Arial"/>
        </w:rPr>
        <w:lastRenderedPageBreak/>
        <w:t xml:space="preserve">competition. Market development would involve the pursuit of actual new customers or new geographic areas for BHP's existing copper products and capabilities. </w:t>
      </w:r>
    </w:p>
    <w:p w14:paraId="4D6BB6BA" w14:textId="77777777" w:rsidR="002F46B7" w:rsidRPr="002F46B7" w:rsidRDefault="002F46B7" w:rsidP="002F46B7"/>
    <w:p w14:paraId="3B32177E" w14:textId="77777777" w:rsidR="00AD1170" w:rsidRPr="001159B3" w:rsidRDefault="00941804" w:rsidP="001159B3">
      <w:pPr>
        <w:jc w:val="center"/>
        <w:rPr>
          <w:rFonts w:ascii="Arial" w:hAnsi="Arial" w:cs="Arial"/>
        </w:rPr>
      </w:pPr>
      <w:bookmarkStart w:id="16" w:name="_4qzlbdx6iczi" w:colFirst="0" w:colLast="0"/>
      <w:bookmarkEnd w:id="16"/>
      <w:r w:rsidRPr="001159B3">
        <w:rPr>
          <w:rFonts w:ascii="Arial" w:hAnsi="Arial" w:cs="Arial"/>
          <w:noProof/>
        </w:rPr>
        <w:drawing>
          <wp:inline distT="0" distB="0" distL="0" distR="0" wp14:anchorId="3B3217B2" wp14:editId="3B3217B3">
            <wp:extent cx="5943600" cy="3590925"/>
            <wp:effectExtent l="25400" t="25400" r="25400" b="25400"/>
            <wp:docPr id="1030"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12" cstate="print"/>
                    <a:srcRect t="9375"/>
                    <a:stretch/>
                  </pic:blipFill>
                  <pic:spPr>
                    <a:xfrm>
                      <a:off x="0" y="0"/>
                      <a:ext cx="5943600" cy="3590925"/>
                    </a:xfrm>
                    <a:prstGeom prst="rect">
                      <a:avLst/>
                    </a:prstGeom>
                    <a:ln w="25400" cap="flat" cmpd="sng">
                      <a:solidFill>
                        <a:srgbClr val="000000"/>
                      </a:solidFill>
                      <a:prstDash val="solid"/>
                      <a:round/>
                      <a:headEnd/>
                      <a:tailEnd/>
                    </a:ln>
                  </pic:spPr>
                </pic:pic>
              </a:graphicData>
            </a:graphic>
          </wp:inline>
        </w:drawing>
      </w:r>
    </w:p>
    <w:p w14:paraId="3B32177F" w14:textId="77777777" w:rsidR="00AD1170" w:rsidRPr="001159B3" w:rsidRDefault="00941804" w:rsidP="001159B3">
      <w:pPr>
        <w:jc w:val="center"/>
        <w:rPr>
          <w:rFonts w:ascii="Arial" w:hAnsi="Arial" w:cs="Arial"/>
          <w:b/>
          <w:bCs/>
          <w:i/>
          <w:iCs/>
        </w:rPr>
      </w:pPr>
      <w:r w:rsidRPr="001159B3">
        <w:rPr>
          <w:rFonts w:ascii="Arial" w:hAnsi="Arial" w:cs="Arial"/>
          <w:b/>
          <w:bCs/>
          <w:i/>
          <w:iCs/>
        </w:rPr>
        <w:t>Figure 5: Ansoff Matrix</w:t>
      </w:r>
    </w:p>
    <w:p w14:paraId="0E363FA5" w14:textId="0D4FECD9" w:rsidR="00DA4E96" w:rsidRPr="001159B3" w:rsidRDefault="00941804" w:rsidP="00CD0331">
      <w:pPr>
        <w:jc w:val="center"/>
        <w:rPr>
          <w:rFonts w:ascii="Arial" w:hAnsi="Arial" w:cs="Arial"/>
        </w:rPr>
      </w:pPr>
      <w:r w:rsidRPr="001159B3">
        <w:rPr>
          <w:rFonts w:ascii="Arial" w:hAnsi="Arial" w:cs="Arial"/>
        </w:rPr>
        <w:t xml:space="preserve">(Source: Self-Developed). </w:t>
      </w:r>
    </w:p>
    <w:p w14:paraId="3B321781" w14:textId="393054E9" w:rsidR="00AD1170" w:rsidRPr="001159B3" w:rsidRDefault="00941804" w:rsidP="001159B3">
      <w:pPr>
        <w:rPr>
          <w:rFonts w:ascii="Arial" w:hAnsi="Arial" w:cs="Arial"/>
        </w:rPr>
      </w:pPr>
      <w:r w:rsidRPr="001159B3">
        <w:rPr>
          <w:rFonts w:ascii="Arial" w:hAnsi="Arial" w:cs="Arial"/>
        </w:rPr>
        <w:t xml:space="preserve">Product development would provide existing consumers with assured </w:t>
      </w:r>
      <w:r w:rsidR="00DA4E96" w:rsidRPr="001159B3">
        <w:rPr>
          <w:rFonts w:ascii="Arial" w:hAnsi="Arial" w:cs="Arial"/>
        </w:rPr>
        <w:t>reduced-carbon</w:t>
      </w:r>
      <w:r w:rsidRPr="001159B3">
        <w:rPr>
          <w:rFonts w:ascii="Arial" w:hAnsi="Arial" w:cs="Arial"/>
        </w:rPr>
        <w:t xml:space="preserve"> products, </w:t>
      </w:r>
      <w:r w:rsidR="00DA4E96" w:rsidRPr="001159B3">
        <w:rPr>
          <w:rFonts w:ascii="Arial" w:hAnsi="Arial" w:cs="Arial"/>
        </w:rPr>
        <w:t>necessitating</w:t>
      </w:r>
      <w:r w:rsidRPr="001159B3">
        <w:rPr>
          <w:rFonts w:ascii="Arial" w:hAnsi="Arial" w:cs="Arial"/>
        </w:rPr>
        <w:t xml:space="preserve"> investment and proof of customer demand. Diversification would involve new products and markets built with unfamiliar technologies, new capital and commercial risks. </w:t>
      </w:r>
      <w:proofErr w:type="spellStart"/>
      <w:r w:rsidRPr="001159B3">
        <w:rPr>
          <w:rFonts w:ascii="Arial" w:hAnsi="Arial" w:cs="Arial"/>
        </w:rPr>
        <w:t>Zupic</w:t>
      </w:r>
      <w:proofErr w:type="spellEnd"/>
      <w:r w:rsidRPr="001159B3">
        <w:rPr>
          <w:rFonts w:ascii="Arial" w:hAnsi="Arial" w:cs="Arial"/>
        </w:rPr>
        <w:t xml:space="preserve"> </w:t>
      </w:r>
      <w:r w:rsidRPr="001159B3">
        <w:rPr>
          <w:rFonts w:ascii="Arial" w:hAnsi="Arial" w:cs="Arial"/>
          <w:i/>
          <w:iCs/>
        </w:rPr>
        <w:t>et al.</w:t>
      </w:r>
      <w:r w:rsidRPr="001159B3">
        <w:rPr>
          <w:rFonts w:ascii="Arial" w:hAnsi="Arial" w:cs="Arial"/>
        </w:rPr>
        <w:t xml:space="preserve"> (2025) confirm </w:t>
      </w:r>
      <w:r w:rsidR="00DA4E96" w:rsidRPr="001159B3">
        <w:rPr>
          <w:rFonts w:ascii="Arial" w:hAnsi="Arial" w:cs="Arial"/>
        </w:rPr>
        <w:t xml:space="preserve">the </w:t>
      </w:r>
      <w:r w:rsidRPr="001159B3">
        <w:rPr>
          <w:rFonts w:ascii="Arial" w:hAnsi="Arial" w:cs="Arial"/>
        </w:rPr>
        <w:t xml:space="preserve">ongoing relevance of the Ansoff </w:t>
      </w:r>
      <w:r w:rsidR="00DA4E96" w:rsidRPr="001159B3">
        <w:rPr>
          <w:rFonts w:ascii="Arial" w:hAnsi="Arial" w:cs="Arial"/>
        </w:rPr>
        <w:t xml:space="preserve">matrix, </w:t>
      </w:r>
      <w:r w:rsidRPr="001159B3">
        <w:rPr>
          <w:rFonts w:ascii="Arial" w:hAnsi="Arial" w:cs="Arial"/>
        </w:rPr>
        <w:t>although no confirmation is stated about BHP-specific profitability. Market development hence seems to be more feasible than diversification if BHP finds true new buyer segments to purchase. Thus, any recommendation must be an evaluation of customer needs, implementation costs and possible competitive reactions.</w:t>
      </w:r>
    </w:p>
    <w:p w14:paraId="3B321782" w14:textId="77777777" w:rsidR="00AD1170" w:rsidRPr="001159B3" w:rsidRDefault="00941804" w:rsidP="001159B3">
      <w:pPr>
        <w:pStyle w:val="Heading2"/>
        <w:rPr>
          <w:rFonts w:ascii="Arial" w:hAnsi="Arial" w:cs="Arial"/>
        </w:rPr>
      </w:pPr>
      <w:bookmarkStart w:id="17" w:name="_Toc242807387"/>
      <w:bookmarkStart w:id="18" w:name="_Toc243482253"/>
      <w:r w:rsidRPr="001159B3">
        <w:rPr>
          <w:rFonts w:ascii="Arial" w:hAnsi="Arial" w:cs="Arial"/>
        </w:rPr>
        <w:t>3.2 Market Development: Copper Opportunities in New Customer Markets</w:t>
      </w:r>
      <w:bookmarkEnd w:id="17"/>
      <w:bookmarkEnd w:id="18"/>
      <w:r w:rsidRPr="001159B3">
        <w:rPr>
          <w:rFonts w:ascii="Arial" w:hAnsi="Arial" w:cs="Arial"/>
        </w:rPr>
        <w:t xml:space="preserve"> </w:t>
      </w:r>
    </w:p>
    <w:p w14:paraId="3B321783" w14:textId="1086EFA5" w:rsidR="00AD1170" w:rsidRPr="001159B3" w:rsidRDefault="00941804" w:rsidP="001159B3">
      <w:pPr>
        <w:rPr>
          <w:rFonts w:ascii="Arial" w:hAnsi="Arial" w:cs="Arial"/>
        </w:rPr>
      </w:pPr>
      <w:r w:rsidRPr="001159B3">
        <w:rPr>
          <w:rFonts w:ascii="Arial" w:hAnsi="Arial" w:cs="Arial"/>
        </w:rPr>
        <w:t xml:space="preserve">Copper is used in electricity networks, electric vehicles and renewable infrastructure providing opportunities for BHP's already proven product offerings. The projected copper </w:t>
      </w:r>
      <w:r w:rsidRPr="001159B3">
        <w:rPr>
          <w:rFonts w:ascii="Arial" w:hAnsi="Arial" w:cs="Arial"/>
        </w:rPr>
        <w:lastRenderedPageBreak/>
        <w:t>supply shortfall for 2035 has decreased from approximately 30% to 25% (IEA, 2026). Ansoff says that in a market development strategy, BHP would look for new buyers or new areas to prove to be not covered by its customers. Other international electricity-grid manufacturers along with producers of industrial equipment</w:t>
      </w:r>
      <w:r w:rsidR="001159B3" w:rsidRPr="001159B3">
        <w:rPr>
          <w:rFonts w:ascii="Arial" w:hAnsi="Arial" w:cs="Arial"/>
        </w:rPr>
        <w:t>,</w:t>
      </w:r>
      <w:r w:rsidRPr="001159B3">
        <w:rPr>
          <w:rFonts w:ascii="Arial" w:hAnsi="Arial" w:cs="Arial"/>
        </w:rPr>
        <w:t xml:space="preserve"> are potential targets depending on evidence of unmet demand. Specific technical specifications and purchasing standards need to be verified</w:t>
      </w:r>
      <w:r w:rsidR="001159B3" w:rsidRPr="001159B3">
        <w:rPr>
          <w:rFonts w:ascii="Arial" w:hAnsi="Arial" w:cs="Arial"/>
        </w:rPr>
        <w:t>,</w:t>
      </w:r>
      <w:r w:rsidRPr="001159B3">
        <w:rPr>
          <w:rFonts w:ascii="Arial" w:hAnsi="Arial" w:cs="Arial"/>
        </w:rPr>
        <w:t xml:space="preserve"> but its current copper products may be well-suited for these purposes.</w:t>
      </w:r>
    </w:p>
    <w:p w14:paraId="3B321784" w14:textId="4B984068" w:rsidR="00AD1170" w:rsidRPr="001159B3" w:rsidRDefault="00941804" w:rsidP="001159B3">
      <w:pPr>
        <w:rPr>
          <w:rFonts w:ascii="Arial" w:hAnsi="Arial" w:cs="Arial"/>
        </w:rPr>
      </w:pPr>
      <w:r w:rsidRPr="001159B3">
        <w:rPr>
          <w:rFonts w:ascii="Arial" w:hAnsi="Arial" w:cs="Arial"/>
        </w:rPr>
        <w:t>New customer relationships require commercial investment, mine development requires significant capital, infrastructure investment and long approvals</w:t>
      </w:r>
      <w:r w:rsidR="008C411E" w:rsidRPr="001159B3">
        <w:rPr>
          <w:rFonts w:ascii="Arial" w:hAnsi="Arial" w:cs="Arial"/>
        </w:rPr>
        <w:t xml:space="preserve"> </w:t>
      </w:r>
      <w:r w:rsidR="008C411E" w:rsidRPr="002F46B7">
        <w:rPr>
          <w:rFonts w:ascii="Arial" w:hAnsi="Arial" w:cs="Arial"/>
          <w:color w:val="000000" w:themeColor="text1"/>
        </w:rPr>
        <w:t>(IEA, 2025)</w:t>
      </w:r>
      <w:r w:rsidRPr="002F46B7">
        <w:rPr>
          <w:rFonts w:ascii="Arial" w:hAnsi="Arial" w:cs="Arial"/>
          <w:color w:val="000000" w:themeColor="text1"/>
        </w:rPr>
        <w:t xml:space="preserve">. </w:t>
      </w:r>
      <w:r w:rsidRPr="001159B3">
        <w:rPr>
          <w:rFonts w:ascii="Arial" w:hAnsi="Arial" w:cs="Arial"/>
        </w:rPr>
        <w:t>A reduction in ore grades could significantly increase production costs and emissions</w:t>
      </w:r>
      <w:r w:rsidR="001159B3" w:rsidRPr="001159B3">
        <w:rPr>
          <w:rFonts w:ascii="Arial" w:hAnsi="Arial" w:cs="Arial"/>
        </w:rPr>
        <w:t>,</w:t>
      </w:r>
      <w:r w:rsidRPr="001159B3">
        <w:rPr>
          <w:rFonts w:ascii="Arial" w:hAnsi="Arial" w:cs="Arial"/>
        </w:rPr>
        <w:t xml:space="preserve"> thereby reducing the value of incremental additional copper </w:t>
      </w:r>
      <w:r w:rsidRPr="002F46B7">
        <w:rPr>
          <w:rFonts w:ascii="Arial" w:hAnsi="Arial" w:cs="Arial"/>
          <w:color w:val="000000" w:themeColor="text1"/>
        </w:rPr>
        <w:t>sales</w:t>
      </w:r>
      <w:r w:rsidR="008C411E" w:rsidRPr="002F46B7">
        <w:rPr>
          <w:rFonts w:ascii="Arial" w:hAnsi="Arial" w:cs="Arial"/>
          <w:color w:val="000000" w:themeColor="text1"/>
        </w:rPr>
        <w:t xml:space="preserve"> (IEA, 2021).</w:t>
      </w:r>
      <w:r w:rsidRPr="002F46B7">
        <w:rPr>
          <w:rFonts w:ascii="Arial" w:hAnsi="Arial" w:cs="Arial"/>
          <w:color w:val="000000" w:themeColor="text1"/>
        </w:rPr>
        <w:t xml:space="preserve"> Additional </w:t>
      </w:r>
      <w:r w:rsidRPr="001159B3">
        <w:rPr>
          <w:rFonts w:ascii="Arial" w:hAnsi="Arial" w:cs="Arial"/>
        </w:rPr>
        <w:t xml:space="preserve">output may also help decrease expected scarcity and thus the future pricing advantage for BHP. Market development may be able to leverage existing strengths without requiring the development of new mineral products immediately. However, product development may present better opportunities for differentiation in cases where the value of lower-carbon material attributes to customers is demonstrated. Thus, BHP must trial customer demand, projected economics and </w:t>
      </w:r>
      <w:r w:rsidR="001159B3" w:rsidRPr="001159B3">
        <w:rPr>
          <w:rFonts w:ascii="Arial" w:hAnsi="Arial" w:cs="Arial"/>
        </w:rPr>
        <w:t>environmental</w:t>
      </w:r>
      <w:r w:rsidRPr="001159B3">
        <w:rPr>
          <w:rFonts w:ascii="Arial" w:hAnsi="Arial" w:cs="Arial"/>
        </w:rPr>
        <w:t xml:space="preserve"> performance prior to considering a significant geographical expansion.</w:t>
      </w:r>
    </w:p>
    <w:p w14:paraId="3B321785" w14:textId="77777777" w:rsidR="00AD1170" w:rsidRPr="001159B3" w:rsidRDefault="00941804" w:rsidP="001159B3">
      <w:pPr>
        <w:pStyle w:val="Heading2"/>
        <w:rPr>
          <w:rFonts w:ascii="Arial" w:hAnsi="Arial" w:cs="Arial"/>
        </w:rPr>
      </w:pPr>
      <w:bookmarkStart w:id="19" w:name="_Toc242807388"/>
      <w:bookmarkStart w:id="20" w:name="_Toc243482254"/>
      <w:r w:rsidRPr="001159B3">
        <w:rPr>
          <w:rFonts w:ascii="Arial" w:hAnsi="Arial" w:cs="Arial"/>
        </w:rPr>
        <w:t>3.3 Competitive Positioning: Low-Carbon Differentiation and Supply Concentration</w:t>
      </w:r>
      <w:bookmarkEnd w:id="19"/>
      <w:bookmarkEnd w:id="20"/>
      <w:r w:rsidRPr="001159B3">
        <w:rPr>
          <w:rFonts w:ascii="Arial" w:hAnsi="Arial" w:cs="Arial"/>
        </w:rPr>
        <w:t xml:space="preserve"> </w:t>
      </w:r>
    </w:p>
    <w:p w14:paraId="3B321786" w14:textId="7FBD235D" w:rsidR="00AD1170" w:rsidRPr="001159B3" w:rsidRDefault="00941804" w:rsidP="001159B3">
      <w:pPr>
        <w:rPr>
          <w:rFonts w:ascii="Arial" w:hAnsi="Arial" w:cs="Arial"/>
        </w:rPr>
      </w:pPr>
      <w:r w:rsidRPr="001159B3">
        <w:rPr>
          <w:rFonts w:ascii="Arial" w:hAnsi="Arial" w:cs="Arial"/>
        </w:rPr>
        <w:t xml:space="preserve">Copper mining concentration can be an opportunity for BHP for reliable supply but also can result in exposure to great disruption. In 2024, the three largest mining countries represented 48% of the global copper demand (IEA, 2025). The forecast of a 50% stake by 2030 reflects the fact of geographical supply risks but not necessarily pricing power. Supply disruptions may potentially help to prop up prices, though foreign buyers may look to switch suppliers to </w:t>
      </w:r>
      <w:r w:rsidR="001159B3" w:rsidRPr="001159B3">
        <w:rPr>
          <w:rFonts w:ascii="Arial" w:hAnsi="Arial" w:cs="Arial"/>
        </w:rPr>
        <w:t>minimise</w:t>
      </w:r>
      <w:r w:rsidRPr="001159B3">
        <w:rPr>
          <w:rFonts w:ascii="Arial" w:hAnsi="Arial" w:cs="Arial"/>
        </w:rPr>
        <w:t xml:space="preserve"> exposure. BHP could distinguish itself by separating emissions through independently verified data, responsible sourcing practices and guaranteed delivery performance. These characteristics are not of interest commercially unless </w:t>
      </w:r>
      <w:r w:rsidR="001159B3" w:rsidRPr="001159B3">
        <w:rPr>
          <w:rFonts w:ascii="Arial" w:hAnsi="Arial" w:cs="Arial"/>
        </w:rPr>
        <w:t>they are</w:t>
      </w:r>
      <w:r w:rsidRPr="001159B3">
        <w:rPr>
          <w:rFonts w:ascii="Arial" w:hAnsi="Arial" w:cs="Arial"/>
        </w:rPr>
        <w:t xml:space="preserve"> tradeable and industrial purchasers are aware of their worth. More robust verification can also drive up the cost of compliance, making it less attractive to differentiate for lower carbon without commensurate demand. The proposed environmental advantage could be undermined by the ability of rival miners to use the </w:t>
      </w:r>
      <w:r w:rsidRPr="001159B3">
        <w:rPr>
          <w:rFonts w:ascii="Arial" w:hAnsi="Arial" w:cs="Arial"/>
        </w:rPr>
        <w:lastRenderedPageBreak/>
        <w:t>same standards. Stable long-term customer contracts may provide sales stability, but fixed sales of this kind may come with the cost of reduced flexibility in commodity volatile times. Thus, BHP ought to show tangible value to customers before making difficult-to-justify durable claims of superiority in concentrated copper markets.</w:t>
      </w:r>
    </w:p>
    <w:p w14:paraId="3B321787" w14:textId="77777777" w:rsidR="00AD1170" w:rsidRPr="001159B3" w:rsidRDefault="00941804" w:rsidP="001159B3">
      <w:pPr>
        <w:pStyle w:val="Heading2"/>
        <w:rPr>
          <w:rFonts w:ascii="Arial" w:hAnsi="Arial" w:cs="Arial"/>
        </w:rPr>
      </w:pPr>
      <w:bookmarkStart w:id="21" w:name="_Toc242807389"/>
      <w:bookmarkStart w:id="22" w:name="_Toc243482255"/>
      <w:r w:rsidRPr="001159B3">
        <w:rPr>
          <w:rFonts w:ascii="Arial" w:hAnsi="Arial" w:cs="Arial"/>
        </w:rPr>
        <w:t>3.4 Strategic Implementation, Financial Feasibility and Performance Evaluation</w:t>
      </w:r>
      <w:bookmarkEnd w:id="21"/>
      <w:bookmarkEnd w:id="22"/>
      <w:r w:rsidRPr="001159B3">
        <w:rPr>
          <w:rFonts w:ascii="Arial" w:hAnsi="Arial" w:cs="Arial"/>
        </w:rPr>
        <w:t xml:space="preserve"> </w:t>
      </w:r>
    </w:p>
    <w:p w14:paraId="53FF10E0" w14:textId="77777777" w:rsidR="00060BDF" w:rsidRPr="001159B3" w:rsidRDefault="00941804" w:rsidP="001159B3">
      <w:pPr>
        <w:rPr>
          <w:rFonts w:ascii="Arial" w:hAnsi="Arial" w:cs="Arial"/>
        </w:rPr>
      </w:pPr>
      <w:r w:rsidRPr="001159B3">
        <w:rPr>
          <w:rFonts w:ascii="Arial" w:hAnsi="Arial" w:cs="Arial"/>
        </w:rPr>
        <w:t xml:space="preserve">Australia copper export prospects continue to point towards expansion but that does not say much for profitability of BHP. Australia's real copper export earnings could increase from A$14 billion to A$19 billion (Australian Government, 2026). It was the comparison between 2025-26 and 2030-31 that relates to national forecasts rather than BHP revenue. An increase in prices and volumes can encourage investments but a commodity cycle can soon limit project returns. </w:t>
      </w:r>
    </w:p>
    <w:p w14:paraId="3B321788" w14:textId="4CB8436A" w:rsidR="00AD1170" w:rsidRPr="001159B3" w:rsidRDefault="00941804" w:rsidP="001159B3">
      <w:pPr>
        <w:rPr>
          <w:rFonts w:ascii="Arial" w:hAnsi="Arial" w:cs="Arial"/>
        </w:rPr>
      </w:pPr>
      <w:r w:rsidRPr="001159B3">
        <w:rPr>
          <w:rFonts w:ascii="Arial" w:hAnsi="Arial" w:cs="Arial"/>
        </w:rPr>
        <w:t>Opening a new mine takes a major investment, long permitting processes, adequate infrastructure and qualified work force. BHP needs to consider project cash flows in conjunction with the costs of electrification and proven reductions in operational emissions intensity. Management could monitor back on invested capital agreed deals for sale and cost per tonne of copper. Environmental indicators need to consist of Scope 1 and 2 emissions, water stress and independently verified performance. Expansion should only take place where return is likely to evidence sufficient upside and measurable sustainability impact is likely to carry value.</w:t>
      </w:r>
    </w:p>
    <w:p w14:paraId="3B321789" w14:textId="77777777" w:rsidR="00AD1170" w:rsidRPr="001159B3" w:rsidRDefault="00941804" w:rsidP="001159B3">
      <w:pPr>
        <w:jc w:val="center"/>
        <w:rPr>
          <w:rFonts w:ascii="Arial" w:hAnsi="Arial" w:cs="Arial"/>
        </w:rPr>
      </w:pPr>
      <w:r w:rsidRPr="001159B3">
        <w:rPr>
          <w:rFonts w:ascii="Arial" w:hAnsi="Arial" w:cs="Arial"/>
          <w:noProof/>
        </w:rPr>
        <w:drawing>
          <wp:inline distT="0" distB="0" distL="0" distR="0" wp14:anchorId="3B3217B4" wp14:editId="3B3217B5">
            <wp:extent cx="4747260" cy="1938019"/>
            <wp:effectExtent l="38100" t="38100" r="34290" b="43180"/>
            <wp:docPr id="1031"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3" cstate="print"/>
                    <a:srcRect/>
                    <a:stretch/>
                  </pic:blipFill>
                  <pic:spPr>
                    <a:xfrm>
                      <a:off x="0" y="0"/>
                      <a:ext cx="4747260" cy="1938019"/>
                    </a:xfrm>
                    <a:prstGeom prst="rect">
                      <a:avLst/>
                    </a:prstGeom>
                    <a:ln w="25400" cap="flat" cmpd="sng">
                      <a:solidFill>
                        <a:srgbClr val="000000"/>
                      </a:solidFill>
                      <a:prstDash val="solid"/>
                      <a:round/>
                      <a:headEnd/>
                      <a:tailEnd/>
                    </a:ln>
                  </pic:spPr>
                </pic:pic>
              </a:graphicData>
            </a:graphic>
          </wp:inline>
        </w:drawing>
      </w:r>
    </w:p>
    <w:p w14:paraId="3B32178A" w14:textId="77777777" w:rsidR="00AD1170" w:rsidRPr="001159B3" w:rsidRDefault="00941804" w:rsidP="001159B3">
      <w:pPr>
        <w:jc w:val="center"/>
        <w:rPr>
          <w:rFonts w:ascii="Arial" w:hAnsi="Arial" w:cs="Arial"/>
          <w:b/>
          <w:bCs/>
          <w:i/>
          <w:iCs/>
        </w:rPr>
      </w:pPr>
      <w:r w:rsidRPr="001159B3">
        <w:rPr>
          <w:rFonts w:ascii="Arial" w:hAnsi="Arial" w:cs="Arial"/>
          <w:b/>
          <w:bCs/>
          <w:i/>
          <w:iCs/>
        </w:rPr>
        <w:t xml:space="preserve">Figure 6: Australia’s major resources and energy commodity exports, 2026–27 dollars </w:t>
      </w:r>
    </w:p>
    <w:p w14:paraId="3B32178B" w14:textId="77777777" w:rsidR="00AD1170" w:rsidRPr="001159B3" w:rsidRDefault="00941804" w:rsidP="001159B3">
      <w:pPr>
        <w:jc w:val="center"/>
        <w:rPr>
          <w:rFonts w:ascii="Arial" w:hAnsi="Arial" w:cs="Arial"/>
        </w:rPr>
      </w:pPr>
      <w:r w:rsidRPr="001159B3">
        <w:rPr>
          <w:rFonts w:ascii="Arial" w:hAnsi="Arial" w:cs="Arial"/>
        </w:rPr>
        <w:t>(Source:  Australian Government, 2026)</w:t>
      </w:r>
    </w:p>
    <w:p w14:paraId="3B32178C" w14:textId="77777777" w:rsidR="00AD1170" w:rsidRPr="001159B3" w:rsidRDefault="00941804" w:rsidP="001159B3">
      <w:pPr>
        <w:pStyle w:val="Heading1"/>
        <w:rPr>
          <w:rFonts w:ascii="Arial" w:hAnsi="Arial" w:cs="Arial"/>
        </w:rPr>
      </w:pPr>
      <w:bookmarkStart w:id="23" w:name="_Toc242807390"/>
      <w:bookmarkStart w:id="24" w:name="_Toc243482256"/>
      <w:r w:rsidRPr="001159B3">
        <w:rPr>
          <w:rFonts w:ascii="Arial" w:hAnsi="Arial" w:cs="Arial"/>
        </w:rPr>
        <w:lastRenderedPageBreak/>
        <w:t>4. Task 3: Managerial and Professional Reflection</w:t>
      </w:r>
      <w:bookmarkEnd w:id="23"/>
      <w:bookmarkEnd w:id="24"/>
      <w:r w:rsidRPr="001159B3">
        <w:rPr>
          <w:rFonts w:ascii="Arial" w:hAnsi="Arial" w:cs="Arial"/>
        </w:rPr>
        <w:t xml:space="preserve"> </w:t>
      </w:r>
    </w:p>
    <w:p w14:paraId="3B0A3695" w14:textId="77777777" w:rsidR="00060BDF" w:rsidRPr="001159B3" w:rsidRDefault="00941804" w:rsidP="001159B3">
      <w:pPr>
        <w:rPr>
          <w:rFonts w:ascii="Arial" w:hAnsi="Arial" w:cs="Arial"/>
        </w:rPr>
      </w:pPr>
      <w:r w:rsidRPr="001159B3">
        <w:rPr>
          <w:rFonts w:ascii="Arial" w:hAnsi="Arial" w:cs="Arial"/>
        </w:rPr>
        <w:t xml:space="preserve">I selected BHP as a large mining company with a major presence overseas that is under increasing global pressure to safeguard the natural environment. </w:t>
      </w:r>
    </w:p>
    <w:p w14:paraId="23D9E318" w14:textId="77777777" w:rsidR="007A5114" w:rsidRDefault="001159B3" w:rsidP="001159B3">
      <w:pPr>
        <w:rPr>
          <w:rFonts w:ascii="Arial" w:hAnsi="Arial" w:cs="Arial"/>
        </w:rPr>
      </w:pPr>
      <w:r w:rsidRPr="002F46B7">
        <w:rPr>
          <w:rFonts w:ascii="Arial" w:hAnsi="Arial" w:cs="Arial"/>
          <w:color w:val="000000" w:themeColor="text1"/>
        </w:rPr>
        <w:t xml:space="preserve">I studied the natural, economic, and technological environments as macroenvironmental factors that affect BHP's transition to lower-carbon mineral production. </w:t>
      </w:r>
      <w:r w:rsidR="00941804" w:rsidRPr="001159B3">
        <w:rPr>
          <w:rFonts w:ascii="Arial" w:hAnsi="Arial" w:cs="Arial"/>
        </w:rPr>
        <w:t>Green hydrogen opportunities exist in Australia despite the high costs</w:t>
      </w:r>
      <w:r w:rsidRPr="001159B3">
        <w:rPr>
          <w:rFonts w:ascii="Arial" w:hAnsi="Arial" w:cs="Arial"/>
        </w:rPr>
        <w:t xml:space="preserve"> and</w:t>
      </w:r>
      <w:r w:rsidR="00941804" w:rsidRPr="001159B3">
        <w:rPr>
          <w:rFonts w:ascii="Arial" w:hAnsi="Arial" w:cs="Arial"/>
        </w:rPr>
        <w:t xml:space="preserve"> challenges of infrastructure and technology (Wang </w:t>
      </w:r>
      <w:r w:rsidR="00941804" w:rsidRPr="001159B3">
        <w:rPr>
          <w:rFonts w:ascii="Arial" w:hAnsi="Arial" w:cs="Arial"/>
          <w:i/>
          <w:iCs/>
        </w:rPr>
        <w:t>et al.,</w:t>
      </w:r>
      <w:r w:rsidR="00941804" w:rsidRPr="001159B3">
        <w:rPr>
          <w:rFonts w:ascii="Arial" w:hAnsi="Arial" w:cs="Arial"/>
        </w:rPr>
        <w:t xml:space="preserve"> 2023). I was coming into this project thinking advances in cleaner technologies would be rapidly disseminated</w:t>
      </w:r>
      <w:r w:rsidRPr="001159B3">
        <w:rPr>
          <w:rFonts w:ascii="Arial" w:hAnsi="Arial" w:cs="Arial"/>
        </w:rPr>
        <w:t>,</w:t>
      </w:r>
      <w:r w:rsidR="00941804" w:rsidRPr="001159B3">
        <w:rPr>
          <w:rFonts w:ascii="Arial" w:hAnsi="Arial" w:cs="Arial"/>
        </w:rPr>
        <w:t xml:space="preserve"> but these challenges altered my perception of advancement. I also considered government decrees</w:t>
      </w:r>
      <w:r w:rsidRPr="001159B3">
        <w:rPr>
          <w:rFonts w:ascii="Arial" w:hAnsi="Arial" w:cs="Arial"/>
        </w:rPr>
        <w:t>,</w:t>
      </w:r>
      <w:r w:rsidR="00941804" w:rsidRPr="001159B3">
        <w:rPr>
          <w:rFonts w:ascii="Arial" w:hAnsi="Arial" w:cs="Arial"/>
        </w:rPr>
        <w:t xml:space="preserve"> as </w:t>
      </w:r>
      <w:r w:rsidRPr="001159B3">
        <w:rPr>
          <w:rFonts w:ascii="Arial" w:hAnsi="Arial" w:cs="Arial"/>
        </w:rPr>
        <w:t>they</w:t>
      </w:r>
      <w:r w:rsidR="00941804" w:rsidRPr="001159B3">
        <w:rPr>
          <w:rFonts w:ascii="Arial" w:hAnsi="Arial" w:cs="Arial"/>
        </w:rPr>
        <w:t xml:space="preserve"> may impact the cost of investment and future production schemes.</w:t>
      </w:r>
      <w:r>
        <w:rPr>
          <w:rFonts w:ascii="Arial" w:hAnsi="Arial" w:cs="Arial"/>
        </w:rPr>
        <w:t xml:space="preserve"> </w:t>
      </w:r>
    </w:p>
    <w:p w14:paraId="3B32178E" w14:textId="4188455D" w:rsidR="00AD1170" w:rsidRPr="001159B3" w:rsidRDefault="00060BDF" w:rsidP="001159B3">
      <w:pPr>
        <w:rPr>
          <w:rFonts w:ascii="Arial" w:hAnsi="Arial" w:cs="Arial"/>
        </w:rPr>
      </w:pPr>
      <w:r w:rsidRPr="002F46B7">
        <w:rPr>
          <w:rFonts w:ascii="Arial" w:hAnsi="Arial" w:cs="Arial"/>
          <w:color w:val="000000" w:themeColor="text1"/>
        </w:rPr>
        <w:t>However,</w:t>
      </w:r>
      <w:r w:rsidR="001159B3" w:rsidRPr="002F46B7">
        <w:rPr>
          <w:rFonts w:ascii="Arial" w:hAnsi="Arial" w:cs="Arial"/>
          <w:color w:val="000000" w:themeColor="text1"/>
        </w:rPr>
        <w:t xml:space="preserve"> the economic situation and technological advances did offer better signals for BHP's future markets and investment opportunities. </w:t>
      </w:r>
      <w:r w:rsidR="00941804" w:rsidRPr="001159B3">
        <w:rPr>
          <w:rFonts w:ascii="Arial" w:hAnsi="Arial" w:cs="Arial"/>
        </w:rPr>
        <w:t>I would enhance my analysis to directly consult steelmakers on the need for lower-carbon materials and prices</w:t>
      </w:r>
      <w:r w:rsidR="00941804" w:rsidRPr="002F46B7">
        <w:rPr>
          <w:rFonts w:ascii="Arial" w:hAnsi="Arial" w:cs="Arial"/>
          <w:color w:val="000000" w:themeColor="text1"/>
        </w:rPr>
        <w:t>.</w:t>
      </w:r>
      <w:r w:rsidR="001159B3" w:rsidRPr="002F46B7">
        <w:rPr>
          <w:rFonts w:ascii="Arial" w:hAnsi="Arial" w:cs="Arial"/>
          <w:color w:val="000000" w:themeColor="text1"/>
        </w:rPr>
        <w:t xml:space="preserve"> The natural environment was chosen as the main macroenvironmental player as environmental pressure directly affects the lower-carbon production choices and investment focus of BHP. However, emissions reduction will require significant investment, and the limitations of technologies and uncertainty of commercial returns will present more challenges</w:t>
      </w:r>
      <w:r w:rsidR="001159B3" w:rsidRPr="001159B3">
        <w:rPr>
          <w:rFonts w:ascii="Arial" w:hAnsi="Arial" w:cs="Arial"/>
          <w:color w:val="1F497D" w:themeColor="text2"/>
        </w:rPr>
        <w:t xml:space="preserve">. </w:t>
      </w:r>
      <w:r w:rsidR="00941804" w:rsidRPr="001159B3">
        <w:rPr>
          <w:rFonts w:ascii="Arial" w:hAnsi="Arial" w:cs="Arial"/>
        </w:rPr>
        <w:t xml:space="preserve">The research findings point to the possibility </w:t>
      </w:r>
      <w:r w:rsidR="001159B3" w:rsidRPr="001159B3">
        <w:rPr>
          <w:rFonts w:ascii="Arial" w:hAnsi="Arial" w:cs="Arial"/>
        </w:rPr>
        <w:t>of decreasing</w:t>
      </w:r>
      <w:r w:rsidR="00941804" w:rsidRPr="001159B3">
        <w:rPr>
          <w:rFonts w:ascii="Arial" w:hAnsi="Arial" w:cs="Arial"/>
        </w:rPr>
        <w:t xml:space="preserve"> emissions and </w:t>
      </w:r>
      <w:r w:rsidR="001159B3" w:rsidRPr="001159B3">
        <w:rPr>
          <w:rFonts w:ascii="Arial" w:hAnsi="Arial" w:cs="Arial"/>
        </w:rPr>
        <w:t>increasing costs</w:t>
      </w:r>
      <w:r w:rsidR="00941804" w:rsidRPr="001159B3">
        <w:rPr>
          <w:rFonts w:ascii="Arial" w:hAnsi="Arial" w:cs="Arial"/>
        </w:rPr>
        <w:t xml:space="preserve"> through mineral value chain changes (Maeno </w:t>
      </w:r>
      <w:r w:rsidR="00941804" w:rsidRPr="001159B3">
        <w:rPr>
          <w:rFonts w:ascii="Arial" w:hAnsi="Arial" w:cs="Arial"/>
          <w:i/>
          <w:iCs/>
        </w:rPr>
        <w:t>et al.,</w:t>
      </w:r>
      <w:r w:rsidR="00941804" w:rsidRPr="001159B3">
        <w:rPr>
          <w:rFonts w:ascii="Arial" w:hAnsi="Arial" w:cs="Arial"/>
        </w:rPr>
        <w:t xml:space="preserve"> 2025). I took environmental benefits, investment requirements and potential returns into account when deciding to do this with BHP. I also looked at product development, whereby motorists could be served with cleaner mineral products. The prospects for growth were bolstered by copper supply forecasts although competing producers may expand output and restrain future profits. I would compare the customer demand, project cost and copper price before making the decision for major investment. Interviews with industrial buyers could assist me in testing my assumptions and make a stronger recommendation.</w:t>
      </w:r>
    </w:p>
    <w:p w14:paraId="0FB6CC5D" w14:textId="77777777" w:rsidR="00060BDF" w:rsidRPr="001159B3" w:rsidRDefault="00941804" w:rsidP="001159B3">
      <w:pPr>
        <w:rPr>
          <w:rFonts w:ascii="Arial" w:hAnsi="Arial" w:cs="Arial"/>
        </w:rPr>
      </w:pPr>
      <w:r w:rsidRPr="001159B3">
        <w:rPr>
          <w:rFonts w:ascii="Arial" w:hAnsi="Arial" w:cs="Arial"/>
        </w:rPr>
        <w:t xml:space="preserve">I understand that public reports offer limited information for decisions on mining investments and environmental improvements. The company presents different types of emissions data, and the state forecasts have only a little to say about future earnings at BHP. Cox </w:t>
      </w:r>
      <w:r w:rsidRPr="001159B3">
        <w:rPr>
          <w:rFonts w:ascii="Arial" w:hAnsi="Arial" w:cs="Arial"/>
          <w:i/>
          <w:iCs/>
        </w:rPr>
        <w:t xml:space="preserve">et al. </w:t>
      </w:r>
      <w:r w:rsidRPr="001159B3">
        <w:rPr>
          <w:rFonts w:ascii="Arial" w:hAnsi="Arial" w:cs="Arial"/>
        </w:rPr>
        <w:t xml:space="preserve">(2026) describe the need for balance between growth in mineral supply </w:t>
      </w:r>
      <w:r w:rsidRPr="001159B3">
        <w:rPr>
          <w:rFonts w:ascii="Arial" w:hAnsi="Arial" w:cs="Arial"/>
        </w:rPr>
        <w:lastRenderedPageBreak/>
        <w:t xml:space="preserve">and reduced emissions in the research of copper recovery. This research motivated me to look at several interventions rather than just emissions per tonne. I did not have data on the project costs, quality of ores, future energy prices and customer preference. </w:t>
      </w:r>
    </w:p>
    <w:p w14:paraId="3B32178F" w14:textId="7B373345" w:rsidR="00AD1170" w:rsidRPr="001159B3" w:rsidRDefault="00941804" w:rsidP="001159B3">
      <w:pPr>
        <w:rPr>
          <w:rFonts w:ascii="Arial" w:hAnsi="Arial" w:cs="Arial"/>
        </w:rPr>
      </w:pPr>
      <w:r w:rsidRPr="001159B3">
        <w:rPr>
          <w:rFonts w:ascii="Arial" w:hAnsi="Arial" w:cs="Arial"/>
        </w:rPr>
        <w:t>I would ask for the cost of the project, technology test results, mine emissions data and projections of the future production. Customer interviews can provide information about potential demand, acceptable prices and the interest in verified low carbon mineral products. A rise in electricity costs and a drop in copper prices would test vulnerabilities in the proposed growth plan. These would help me provide more actionable recommendations to senior leaders based on more robust evidence.</w:t>
      </w:r>
    </w:p>
    <w:p w14:paraId="3B321790" w14:textId="77777777" w:rsidR="00AD1170" w:rsidRPr="001159B3" w:rsidRDefault="00941804" w:rsidP="001159B3">
      <w:pPr>
        <w:pStyle w:val="Heading1"/>
        <w:rPr>
          <w:rFonts w:ascii="Arial" w:hAnsi="Arial" w:cs="Arial"/>
        </w:rPr>
      </w:pPr>
      <w:bookmarkStart w:id="25" w:name="_Toc242807391"/>
      <w:bookmarkStart w:id="26" w:name="_Toc243482257"/>
      <w:r w:rsidRPr="001159B3">
        <w:rPr>
          <w:rFonts w:ascii="Arial" w:hAnsi="Arial" w:cs="Arial"/>
        </w:rPr>
        <w:t>5. Conclusion</w:t>
      </w:r>
      <w:bookmarkEnd w:id="25"/>
      <w:bookmarkEnd w:id="26"/>
    </w:p>
    <w:p w14:paraId="3B321791" w14:textId="77777777" w:rsidR="00AD1170" w:rsidRPr="001159B3" w:rsidRDefault="00941804" w:rsidP="001159B3">
      <w:pPr>
        <w:rPr>
          <w:rFonts w:ascii="Arial" w:hAnsi="Arial" w:cs="Arial"/>
        </w:rPr>
      </w:pPr>
      <w:r w:rsidRPr="001159B3">
        <w:rPr>
          <w:rFonts w:ascii="Arial" w:hAnsi="Arial" w:cs="Arial"/>
        </w:rPr>
        <w:t>BHP's transition to lower carbon mining and mineral supply will be driven by environmental pressure, customer demand, and competition. Copper has growth potential, but market forecasts show uncertain evidence of projects and competitive advantage. Market development looks favourable as BHP can attract new customers and can put in investments carefully. Its long-term market position can be backed up by environmental results, customer relationships and sound financial decisions.</w:t>
      </w:r>
    </w:p>
    <w:p w14:paraId="3B321792" w14:textId="77777777" w:rsidR="00AD1170" w:rsidRPr="001159B3" w:rsidRDefault="00941804" w:rsidP="001159B3">
      <w:pPr>
        <w:rPr>
          <w:rFonts w:ascii="Arial" w:hAnsi="Arial" w:cs="Arial"/>
        </w:rPr>
      </w:pPr>
      <w:r w:rsidRPr="001159B3">
        <w:rPr>
          <w:rFonts w:ascii="Arial" w:hAnsi="Arial" w:cs="Arial"/>
        </w:rPr>
        <w:br w:type="page"/>
      </w:r>
    </w:p>
    <w:p w14:paraId="3B321793" w14:textId="77777777" w:rsidR="00AD1170" w:rsidRPr="001159B3" w:rsidRDefault="00941804" w:rsidP="001159B3">
      <w:pPr>
        <w:pStyle w:val="Heading1"/>
        <w:keepNext w:val="0"/>
        <w:keepLines w:val="0"/>
        <w:rPr>
          <w:rFonts w:ascii="Arial" w:hAnsi="Arial" w:cs="Arial"/>
        </w:rPr>
      </w:pPr>
      <w:bookmarkStart w:id="27" w:name="_Toc242807392"/>
      <w:bookmarkStart w:id="28" w:name="_Toc243482258"/>
      <w:r w:rsidRPr="001159B3">
        <w:rPr>
          <w:rFonts w:ascii="Arial" w:hAnsi="Arial" w:cs="Arial"/>
        </w:rPr>
        <w:lastRenderedPageBreak/>
        <w:t>References</w:t>
      </w:r>
      <w:bookmarkEnd w:id="27"/>
      <w:bookmarkEnd w:id="28"/>
    </w:p>
    <w:p w14:paraId="4E65703C" w14:textId="77777777" w:rsidR="001159B3" w:rsidRPr="001159B3" w:rsidRDefault="001159B3" w:rsidP="001159B3">
      <w:pPr>
        <w:rPr>
          <w:rFonts w:ascii="Arial" w:hAnsi="Arial" w:cs="Arial"/>
        </w:rPr>
      </w:pPr>
      <w:r w:rsidRPr="001159B3">
        <w:rPr>
          <w:rFonts w:ascii="Arial" w:hAnsi="Arial" w:cs="Arial"/>
        </w:rPr>
        <w:t>Australian Government (2025) Resources and energy quarterly: June 2025. Canberra: Department of Industry, Science and Resources. Available at:</w:t>
      </w:r>
      <w:hyperlink r:id="rId14" w:history="1">
        <w:r w:rsidRPr="001159B3">
          <w:rPr>
            <w:rFonts w:ascii="Arial" w:hAnsi="Arial" w:cs="Arial"/>
          </w:rPr>
          <w:t xml:space="preserve"> </w:t>
        </w:r>
      </w:hyperlink>
      <w:hyperlink r:id="rId15" w:history="1">
        <w:r w:rsidRPr="001159B3">
          <w:rPr>
            <w:rFonts w:ascii="Arial" w:hAnsi="Arial" w:cs="Arial"/>
            <w:color w:val="1155CC"/>
            <w:u w:val="single"/>
          </w:rPr>
          <w:t>https://www.industry.gov.au/publications/resources-and-energy-quarterly-june-2025</w:t>
        </w:r>
      </w:hyperlink>
      <w:r w:rsidRPr="001159B3">
        <w:rPr>
          <w:rFonts w:ascii="Arial" w:hAnsi="Arial" w:cs="Arial"/>
        </w:rPr>
        <w:t xml:space="preserve"> (Accessed: 13 October 2026).</w:t>
      </w:r>
    </w:p>
    <w:p w14:paraId="248F8863" w14:textId="77777777" w:rsidR="001159B3" w:rsidRPr="001159B3" w:rsidRDefault="001159B3" w:rsidP="001159B3">
      <w:pPr>
        <w:rPr>
          <w:rFonts w:ascii="Arial" w:hAnsi="Arial" w:cs="Arial"/>
        </w:rPr>
      </w:pPr>
      <w:r w:rsidRPr="001159B3">
        <w:rPr>
          <w:rFonts w:ascii="Arial" w:hAnsi="Arial" w:cs="Arial"/>
        </w:rPr>
        <w:t>Australian Government (2026) Resources and energy quarterly: September 2026. Canberra: Department of Industry, Science and Resources. Available at:</w:t>
      </w:r>
      <w:hyperlink r:id="rId16" w:history="1">
        <w:r w:rsidRPr="001159B3">
          <w:rPr>
            <w:rFonts w:ascii="Arial" w:hAnsi="Arial" w:cs="Arial"/>
          </w:rPr>
          <w:t xml:space="preserve"> </w:t>
        </w:r>
      </w:hyperlink>
      <w:hyperlink r:id="rId17" w:history="1">
        <w:r w:rsidRPr="001159B3">
          <w:rPr>
            <w:rFonts w:ascii="Arial" w:hAnsi="Arial" w:cs="Arial"/>
            <w:color w:val="1155CC"/>
            <w:u w:val="single"/>
          </w:rPr>
          <w:t>https://www.industry.gov.au/publications/resources-and-energy-quarterly-september-2026</w:t>
        </w:r>
      </w:hyperlink>
      <w:r w:rsidRPr="001159B3">
        <w:rPr>
          <w:rFonts w:ascii="Arial" w:hAnsi="Arial" w:cs="Arial"/>
        </w:rPr>
        <w:t xml:space="preserve"> (Accessed: 13 October 2026).</w:t>
      </w:r>
    </w:p>
    <w:p w14:paraId="31700898" w14:textId="77777777" w:rsidR="001159B3" w:rsidRPr="001159B3" w:rsidRDefault="001159B3" w:rsidP="001159B3">
      <w:pPr>
        <w:rPr>
          <w:rFonts w:ascii="Arial" w:hAnsi="Arial" w:cs="Arial"/>
        </w:rPr>
      </w:pPr>
      <w:r w:rsidRPr="001159B3">
        <w:rPr>
          <w:rFonts w:ascii="Arial" w:hAnsi="Arial" w:cs="Arial"/>
        </w:rPr>
        <w:t>BHP (2024) Climate transition action plan 2024. Available at:</w:t>
      </w:r>
      <w:hyperlink r:id="rId18" w:history="1">
        <w:r w:rsidRPr="001159B3">
          <w:rPr>
            <w:rFonts w:ascii="Arial" w:hAnsi="Arial" w:cs="Arial"/>
          </w:rPr>
          <w:t xml:space="preserve"> </w:t>
        </w:r>
      </w:hyperlink>
      <w:hyperlink r:id="rId19" w:history="1">
        <w:r w:rsidRPr="001159B3">
          <w:rPr>
            <w:rFonts w:ascii="Arial" w:hAnsi="Arial" w:cs="Arial"/>
            <w:color w:val="1155CC"/>
            <w:u w:val="single"/>
          </w:rPr>
          <w:t>https://www.bhp.com/-/media/documents/investors/annual-reports/2024/240827_bhpclimatetransitionactionplan2024.pdf</w:t>
        </w:r>
      </w:hyperlink>
      <w:r w:rsidRPr="001159B3">
        <w:rPr>
          <w:rFonts w:ascii="Arial" w:hAnsi="Arial" w:cs="Arial"/>
        </w:rPr>
        <w:t xml:space="preserve"> (Accessed: 13 October 2026).</w:t>
      </w:r>
    </w:p>
    <w:p w14:paraId="320685C3" w14:textId="77777777" w:rsidR="001159B3" w:rsidRPr="001159B3" w:rsidRDefault="001159B3" w:rsidP="001159B3">
      <w:pPr>
        <w:rPr>
          <w:rFonts w:ascii="Arial" w:hAnsi="Arial" w:cs="Arial"/>
        </w:rPr>
      </w:pPr>
      <w:r w:rsidRPr="001159B3">
        <w:rPr>
          <w:rFonts w:ascii="Arial" w:hAnsi="Arial" w:cs="Arial"/>
        </w:rPr>
        <w:t>BHP (2026) Annual report 2026. Available at:</w:t>
      </w:r>
      <w:hyperlink r:id="rId20" w:history="1">
        <w:r w:rsidRPr="001159B3">
          <w:rPr>
            <w:rFonts w:ascii="Arial" w:hAnsi="Arial" w:cs="Arial"/>
          </w:rPr>
          <w:t xml:space="preserve"> </w:t>
        </w:r>
      </w:hyperlink>
      <w:hyperlink r:id="rId21" w:history="1">
        <w:r w:rsidRPr="001159B3">
          <w:rPr>
            <w:rFonts w:ascii="Arial" w:hAnsi="Arial" w:cs="Arial"/>
            <w:color w:val="1155CC"/>
            <w:u w:val="single"/>
          </w:rPr>
          <w:t>https://www.bhp.com/-/media/documents/investors/annual-reports/2026/260818_bhpannualreport2026.pdf</w:t>
        </w:r>
      </w:hyperlink>
      <w:r w:rsidRPr="001159B3">
        <w:rPr>
          <w:rFonts w:ascii="Arial" w:hAnsi="Arial" w:cs="Arial"/>
        </w:rPr>
        <w:t xml:space="preserve"> (Accessed: 13 October 2026).</w:t>
      </w:r>
    </w:p>
    <w:p w14:paraId="3F465BD0" w14:textId="77777777" w:rsidR="001159B3" w:rsidRPr="001159B3" w:rsidRDefault="001159B3" w:rsidP="001159B3">
      <w:pPr>
        <w:rPr>
          <w:rFonts w:ascii="Arial" w:hAnsi="Arial" w:cs="Arial"/>
        </w:rPr>
      </w:pPr>
      <w:r w:rsidRPr="001159B3">
        <w:rPr>
          <w:rFonts w:ascii="Arial" w:hAnsi="Arial" w:cs="Arial"/>
        </w:rPr>
        <w:t xml:space="preserve">Cox, B., Murphy, B., </w:t>
      </w:r>
      <w:proofErr w:type="spellStart"/>
      <w:r w:rsidRPr="001159B3">
        <w:rPr>
          <w:rFonts w:ascii="Arial" w:hAnsi="Arial" w:cs="Arial"/>
        </w:rPr>
        <w:t>Ramadhanty</w:t>
      </w:r>
      <w:proofErr w:type="spellEnd"/>
      <w:r w:rsidRPr="001159B3">
        <w:rPr>
          <w:rFonts w:ascii="Arial" w:hAnsi="Arial" w:cs="Arial"/>
        </w:rPr>
        <w:t>, Z.N., Innis, S. and Kunz, N.C. (2026) ‘Copper supply chain decarbonization for the energy transition must maximize copper recovery’, Communications Earth &amp; Environment, 7, article 731. Available at:</w:t>
      </w:r>
      <w:hyperlink r:id="rId22" w:history="1">
        <w:r w:rsidRPr="001159B3">
          <w:rPr>
            <w:rFonts w:ascii="Arial" w:hAnsi="Arial" w:cs="Arial"/>
          </w:rPr>
          <w:t xml:space="preserve"> </w:t>
        </w:r>
      </w:hyperlink>
      <w:hyperlink r:id="rId23" w:history="1">
        <w:r w:rsidRPr="001159B3">
          <w:rPr>
            <w:rFonts w:ascii="Arial" w:hAnsi="Arial" w:cs="Arial"/>
            <w:color w:val="1155CC"/>
            <w:u w:val="single"/>
          </w:rPr>
          <w:t>https://doi.org/10.1038/s43247-026-03977-z</w:t>
        </w:r>
      </w:hyperlink>
      <w:r w:rsidRPr="001159B3">
        <w:rPr>
          <w:rFonts w:ascii="Arial" w:hAnsi="Arial" w:cs="Arial"/>
        </w:rPr>
        <w:t xml:space="preserve"> (Accessed: 13 October 2026).</w:t>
      </w:r>
    </w:p>
    <w:p w14:paraId="093D0977" w14:textId="0C2053E1" w:rsidR="001159B3" w:rsidRDefault="001159B3" w:rsidP="001159B3">
      <w:pPr>
        <w:rPr>
          <w:rFonts w:ascii="Arial" w:hAnsi="Arial" w:cs="Arial"/>
        </w:rPr>
      </w:pPr>
      <w:r w:rsidRPr="001159B3">
        <w:rPr>
          <w:rFonts w:ascii="Arial" w:hAnsi="Arial" w:cs="Arial"/>
        </w:rPr>
        <w:t xml:space="preserve">Ellersdorfer, P., Wang, C., Saydam, S., </w:t>
      </w:r>
      <w:proofErr w:type="spellStart"/>
      <w:r w:rsidRPr="001159B3">
        <w:rPr>
          <w:rFonts w:ascii="Arial" w:hAnsi="Arial" w:cs="Arial"/>
        </w:rPr>
        <w:t>Canbulat</w:t>
      </w:r>
      <w:proofErr w:type="spellEnd"/>
      <w:r w:rsidRPr="001159B3">
        <w:rPr>
          <w:rFonts w:ascii="Arial" w:hAnsi="Arial" w:cs="Arial"/>
        </w:rPr>
        <w:t>, I., MacGill, I. and Daiyan, R. (2024) ‘Unlocking new export opportunities: An open-source framework for assessing green iron and steel supply chains’, International Journal of Hydrogen Energy, 92, pp. 1366–1374. Available at:</w:t>
      </w:r>
      <w:hyperlink r:id="rId24" w:history="1">
        <w:r w:rsidRPr="001159B3">
          <w:rPr>
            <w:rFonts w:ascii="Arial" w:hAnsi="Arial" w:cs="Arial"/>
          </w:rPr>
          <w:t xml:space="preserve"> </w:t>
        </w:r>
      </w:hyperlink>
      <w:hyperlink r:id="rId25" w:history="1">
        <w:r w:rsidRPr="001159B3">
          <w:rPr>
            <w:rFonts w:ascii="Arial" w:hAnsi="Arial" w:cs="Arial"/>
            <w:color w:val="1155CC"/>
            <w:u w:val="single"/>
          </w:rPr>
          <w:t>https://doi.org/10.1016/j.ijhydene.2024.10.163</w:t>
        </w:r>
      </w:hyperlink>
      <w:r w:rsidRPr="001159B3">
        <w:rPr>
          <w:rFonts w:ascii="Arial" w:hAnsi="Arial" w:cs="Arial"/>
        </w:rPr>
        <w:t xml:space="preserve"> (Accessed: 13 October 2026).</w:t>
      </w:r>
    </w:p>
    <w:p w14:paraId="2E485BFB" w14:textId="77777777" w:rsidR="00854006" w:rsidRPr="00E679E3" w:rsidRDefault="00854006" w:rsidP="00854006">
      <w:pPr>
        <w:rPr>
          <w:color w:val="000000" w:themeColor="text1"/>
          <w:sz w:val="32"/>
          <w:szCs w:val="32"/>
        </w:rPr>
      </w:pPr>
      <w:r w:rsidRPr="00CD0331">
        <w:rPr>
          <w:rFonts w:ascii="Arial" w:hAnsi="Arial" w:cs="Arial"/>
          <w:color w:val="000000" w:themeColor="text1"/>
          <w:shd w:val="clear" w:color="auto" w:fill="FFFFFF"/>
        </w:rPr>
        <w:t xml:space="preserve">Goswami, M., Chan, F.T., Ramkumar, M., Daultani, Y., Pratap, S. and Chhabra, A., 2023. A joint </w:t>
      </w:r>
      <w:proofErr w:type="spellStart"/>
      <w:r w:rsidRPr="00CD0331">
        <w:rPr>
          <w:rFonts w:ascii="Arial" w:hAnsi="Arial" w:cs="Arial"/>
          <w:color w:val="000000" w:themeColor="text1"/>
          <w:shd w:val="clear" w:color="auto" w:fill="FFFFFF"/>
        </w:rPr>
        <w:t>modeling</w:t>
      </w:r>
      <w:proofErr w:type="spellEnd"/>
      <w:r w:rsidRPr="00CD0331">
        <w:rPr>
          <w:rFonts w:ascii="Arial" w:hAnsi="Arial" w:cs="Arial"/>
          <w:color w:val="000000" w:themeColor="text1"/>
          <w:shd w:val="clear" w:color="auto" w:fill="FFFFFF"/>
        </w:rPr>
        <w:t xml:space="preserve"> and exploratory framework for intra-firm collaboration within construction and mining equipment industry. </w:t>
      </w:r>
      <w:r w:rsidRPr="00CD0331">
        <w:rPr>
          <w:rFonts w:ascii="Arial" w:hAnsi="Arial" w:cs="Arial"/>
          <w:i/>
          <w:iCs/>
          <w:color w:val="000000" w:themeColor="text1"/>
          <w:shd w:val="clear" w:color="auto" w:fill="FFFFFF"/>
        </w:rPr>
        <w:t>Industrial Management &amp; Data Systems</w:t>
      </w:r>
      <w:r w:rsidRPr="00CD0331">
        <w:rPr>
          <w:rFonts w:ascii="Arial" w:hAnsi="Arial" w:cs="Arial"/>
          <w:color w:val="000000" w:themeColor="text1"/>
          <w:shd w:val="clear" w:color="auto" w:fill="FFFFFF"/>
        </w:rPr>
        <w:t xml:space="preserve">, </w:t>
      </w:r>
      <w:r w:rsidRPr="00CD0331">
        <w:rPr>
          <w:rFonts w:ascii="Arial" w:hAnsi="Arial" w:cs="Arial"/>
          <w:i/>
          <w:iCs/>
          <w:color w:val="000000" w:themeColor="text1"/>
          <w:shd w:val="clear" w:color="auto" w:fill="FFFFFF"/>
        </w:rPr>
        <w:t>123</w:t>
      </w:r>
      <w:r w:rsidRPr="00CD0331">
        <w:rPr>
          <w:rFonts w:ascii="Arial" w:hAnsi="Arial" w:cs="Arial"/>
          <w:color w:val="000000" w:themeColor="text1"/>
          <w:shd w:val="clear" w:color="auto" w:fill="FFFFFF"/>
        </w:rPr>
        <w:t>(2), pp.451-491.</w:t>
      </w:r>
      <w:r>
        <w:rPr>
          <w:color w:val="000000" w:themeColor="text1"/>
          <w:shd w:val="clear" w:color="auto" w:fill="FFFFFF"/>
        </w:rPr>
        <w:t xml:space="preserve"> </w:t>
      </w:r>
      <w:r w:rsidRPr="001159B3">
        <w:rPr>
          <w:rFonts w:ascii="Arial" w:hAnsi="Arial" w:cs="Arial"/>
        </w:rPr>
        <w:t>Available at:</w:t>
      </w:r>
      <w:hyperlink r:id="rId26" w:history="1">
        <w:r w:rsidRPr="001159B3">
          <w:rPr>
            <w:rFonts w:ascii="Arial" w:hAnsi="Arial" w:cs="Arial"/>
          </w:rPr>
          <w:t xml:space="preserve"> </w:t>
        </w:r>
      </w:hyperlink>
      <w:r w:rsidRPr="00854006">
        <w:t xml:space="preserve"> </w:t>
      </w:r>
      <w:hyperlink r:id="rId27" w:history="1">
        <w:r w:rsidRPr="00BD326C">
          <w:rPr>
            <w:rStyle w:val="Hyperlink"/>
            <w:rFonts w:ascii="Arial" w:hAnsi="Arial" w:cs="Arial"/>
          </w:rPr>
          <w:t>https://doi.org/10.1108/IMDS-06-2022-0372</w:t>
        </w:r>
      </w:hyperlink>
      <w:r>
        <w:rPr>
          <w:rFonts w:ascii="Arial" w:hAnsi="Arial" w:cs="Arial"/>
        </w:rPr>
        <w:t xml:space="preserve"> </w:t>
      </w:r>
      <w:r w:rsidRPr="001159B3">
        <w:rPr>
          <w:rFonts w:ascii="Arial" w:hAnsi="Arial" w:cs="Arial"/>
        </w:rPr>
        <w:t xml:space="preserve">(Accessed: </w:t>
      </w:r>
      <w:r w:rsidRPr="001159B3">
        <w:rPr>
          <w:rFonts w:ascii="Arial" w:hAnsi="Arial" w:cs="Arial"/>
          <w:color w:val="000000" w:themeColor="text1"/>
        </w:rPr>
        <w:t>13 October 2026).</w:t>
      </w:r>
    </w:p>
    <w:p w14:paraId="6EDB019B" w14:textId="77777777" w:rsidR="00854006" w:rsidRDefault="00854006" w:rsidP="001159B3">
      <w:pPr>
        <w:rPr>
          <w:rFonts w:ascii="Arial" w:hAnsi="Arial" w:cs="Arial"/>
        </w:rPr>
      </w:pPr>
    </w:p>
    <w:p w14:paraId="05A0D7FA" w14:textId="124EA9F6" w:rsidR="001159B3" w:rsidRPr="001159B3" w:rsidRDefault="001159B3" w:rsidP="001159B3">
      <w:pPr>
        <w:rPr>
          <w:rFonts w:ascii="Arial" w:hAnsi="Arial" w:cs="Arial"/>
        </w:rPr>
      </w:pPr>
      <w:r w:rsidRPr="001159B3">
        <w:rPr>
          <w:rFonts w:ascii="Arial" w:hAnsi="Arial" w:cs="Arial"/>
        </w:rPr>
        <w:lastRenderedPageBreak/>
        <w:t>Global Energy Monitor (2025) Pedal to the metal 2025: Evaluating progress toward 2030 iron and steel decarbonization goals. Available at:</w:t>
      </w:r>
      <w:hyperlink r:id="rId28" w:history="1">
        <w:r w:rsidRPr="001159B3">
          <w:rPr>
            <w:rFonts w:ascii="Arial" w:hAnsi="Arial" w:cs="Arial"/>
          </w:rPr>
          <w:t xml:space="preserve"> </w:t>
        </w:r>
      </w:hyperlink>
      <w:hyperlink r:id="rId29" w:history="1">
        <w:r w:rsidRPr="001159B3">
          <w:rPr>
            <w:rFonts w:ascii="Arial" w:hAnsi="Arial" w:cs="Arial"/>
            <w:color w:val="1155CC"/>
            <w:u w:val="single"/>
          </w:rPr>
          <w:t>https://globalenergymonitor.org/research/pedal-metal-2025</w:t>
        </w:r>
      </w:hyperlink>
      <w:r w:rsidRPr="001159B3">
        <w:rPr>
          <w:rFonts w:ascii="Arial" w:hAnsi="Arial" w:cs="Arial"/>
        </w:rPr>
        <w:t xml:space="preserve">  (Accessed: 13 October 2026).</w:t>
      </w:r>
    </w:p>
    <w:p w14:paraId="068A38B6" w14:textId="77777777" w:rsidR="001159B3" w:rsidRPr="001159B3" w:rsidRDefault="001159B3" w:rsidP="001159B3">
      <w:pPr>
        <w:rPr>
          <w:rFonts w:ascii="Arial" w:hAnsi="Arial" w:cs="Arial"/>
        </w:rPr>
      </w:pPr>
      <w:r w:rsidRPr="001159B3">
        <w:rPr>
          <w:rFonts w:ascii="Arial" w:hAnsi="Arial" w:cs="Arial"/>
        </w:rPr>
        <w:t>Graham, E, Fulghum, N and Altieri, K, (2025) Global electricity review 2025. Available at:</w:t>
      </w:r>
      <w:hyperlink r:id="rId30" w:history="1">
        <w:r w:rsidRPr="001159B3">
          <w:rPr>
            <w:rFonts w:ascii="Arial" w:hAnsi="Arial" w:cs="Arial"/>
          </w:rPr>
          <w:t xml:space="preserve"> </w:t>
        </w:r>
      </w:hyperlink>
      <w:hyperlink r:id="rId31" w:history="1">
        <w:r w:rsidRPr="001159B3">
          <w:rPr>
            <w:rFonts w:ascii="Arial" w:hAnsi="Arial" w:cs="Arial"/>
            <w:color w:val="1155CC"/>
            <w:u w:val="single"/>
          </w:rPr>
          <w:t>https://ember-energy.org/app/uploads/2025/04/Report-Global-Electricity-Review-2025.pdf</w:t>
        </w:r>
      </w:hyperlink>
      <w:r w:rsidRPr="001159B3">
        <w:rPr>
          <w:rFonts w:ascii="Arial" w:hAnsi="Arial" w:cs="Arial"/>
        </w:rPr>
        <w:t xml:space="preserve"> (Accessed: 13 October 2026).</w:t>
      </w:r>
    </w:p>
    <w:p w14:paraId="7FAE5C01" w14:textId="5A9AA452" w:rsidR="001159B3" w:rsidRDefault="001159B3" w:rsidP="001159B3">
      <w:pPr>
        <w:rPr>
          <w:rFonts w:ascii="Arial" w:hAnsi="Arial" w:cs="Arial"/>
        </w:rPr>
      </w:pPr>
      <w:r w:rsidRPr="001159B3">
        <w:rPr>
          <w:rFonts w:ascii="Arial" w:hAnsi="Arial" w:cs="Arial"/>
          <w:color w:val="1F497D" w:themeColor="text2"/>
        </w:rPr>
        <w:t xml:space="preserve">IEA (2021) The role of critical minerals in clean energy transitions. Paris: International Energy Agency. </w:t>
      </w:r>
      <w:r w:rsidRPr="001159B3">
        <w:rPr>
          <w:rFonts w:ascii="Arial" w:hAnsi="Arial" w:cs="Arial"/>
        </w:rPr>
        <w:t>Available at:</w:t>
      </w:r>
      <w:hyperlink r:id="rId32" w:history="1">
        <w:r w:rsidRPr="001159B3">
          <w:rPr>
            <w:rStyle w:val="Hyperlink"/>
            <w:rFonts w:ascii="Arial" w:hAnsi="Arial" w:cs="Arial"/>
          </w:rPr>
          <w:t xml:space="preserve"> </w:t>
        </w:r>
      </w:hyperlink>
      <w:hyperlink r:id="rId33" w:history="1">
        <w:r w:rsidR="0024201C" w:rsidRPr="00BC2805">
          <w:rPr>
            <w:rStyle w:val="Hyperlink"/>
            <w:rFonts w:ascii="Arial" w:hAnsi="Arial" w:cs="Arial"/>
          </w:rPr>
          <w:t>https://iea.blob.core.windows.net/assets/ffd2a83b-8c30-4e9d-980a-52b6d9a86fdc/TheRoleofCriticalMineralsinCleanEnergyTransitions.pdf</w:t>
        </w:r>
      </w:hyperlink>
      <w:r w:rsidRPr="001159B3">
        <w:rPr>
          <w:rFonts w:ascii="Arial" w:hAnsi="Arial" w:cs="Arial"/>
        </w:rPr>
        <w:t>  (Accessed: 21 October 2026).</w:t>
      </w:r>
    </w:p>
    <w:p w14:paraId="5F0C93EA" w14:textId="77777777" w:rsidR="001159B3" w:rsidRPr="001159B3" w:rsidRDefault="001159B3" w:rsidP="001159B3">
      <w:pPr>
        <w:rPr>
          <w:rFonts w:ascii="Arial" w:hAnsi="Arial" w:cs="Arial"/>
        </w:rPr>
      </w:pPr>
      <w:r w:rsidRPr="001159B3">
        <w:rPr>
          <w:rFonts w:ascii="Arial" w:hAnsi="Arial" w:cs="Arial"/>
        </w:rPr>
        <w:t>IEA (2025) Global critical minerals outlook 2025. Paris: IEA. Available at:</w:t>
      </w:r>
      <w:hyperlink r:id="rId34" w:history="1">
        <w:r w:rsidRPr="001159B3">
          <w:rPr>
            <w:rFonts w:ascii="Arial" w:hAnsi="Arial" w:cs="Arial"/>
          </w:rPr>
          <w:t xml:space="preserve"> </w:t>
        </w:r>
      </w:hyperlink>
      <w:hyperlink r:id="rId35" w:history="1">
        <w:r w:rsidRPr="001159B3">
          <w:rPr>
            <w:rFonts w:ascii="Arial" w:hAnsi="Arial" w:cs="Arial"/>
            <w:color w:val="1155CC"/>
            <w:u w:val="single"/>
          </w:rPr>
          <w:t>https://www.iea.org/reports/copper-2</w:t>
        </w:r>
      </w:hyperlink>
      <w:r w:rsidRPr="001159B3">
        <w:rPr>
          <w:rFonts w:ascii="Arial" w:hAnsi="Arial" w:cs="Arial"/>
        </w:rPr>
        <w:t xml:space="preserve"> (Accessed: 13 October 2026).</w:t>
      </w:r>
    </w:p>
    <w:p w14:paraId="00935419" w14:textId="77777777" w:rsidR="001159B3" w:rsidRPr="001159B3" w:rsidRDefault="001159B3" w:rsidP="001159B3">
      <w:pPr>
        <w:rPr>
          <w:rFonts w:ascii="Arial" w:hAnsi="Arial" w:cs="Arial"/>
        </w:rPr>
      </w:pPr>
      <w:r w:rsidRPr="001159B3">
        <w:rPr>
          <w:rFonts w:ascii="Arial" w:hAnsi="Arial" w:cs="Arial"/>
        </w:rPr>
        <w:t>IEA (2026) Global critical minerals outlook 2026. Paris: IEA. Available at:</w:t>
      </w:r>
      <w:hyperlink r:id="rId36" w:history="1">
        <w:r w:rsidRPr="001159B3">
          <w:rPr>
            <w:rFonts w:ascii="Arial" w:hAnsi="Arial" w:cs="Arial"/>
          </w:rPr>
          <w:t xml:space="preserve"> </w:t>
        </w:r>
      </w:hyperlink>
      <w:hyperlink r:id="rId37" w:history="1">
        <w:r w:rsidRPr="001159B3">
          <w:rPr>
            <w:rFonts w:ascii="Arial" w:hAnsi="Arial" w:cs="Arial"/>
            <w:color w:val="1155CC"/>
            <w:u w:val="single"/>
          </w:rPr>
          <w:t>https://www.iea.org/reports/global-critical-minerals-outlook-2026</w:t>
        </w:r>
      </w:hyperlink>
      <w:r w:rsidRPr="001159B3">
        <w:rPr>
          <w:rFonts w:ascii="Arial" w:hAnsi="Arial" w:cs="Arial"/>
        </w:rPr>
        <w:t xml:space="preserve"> (Accessed: 13 October 2026).</w:t>
      </w:r>
    </w:p>
    <w:p w14:paraId="2F0DFFA0" w14:textId="77777777" w:rsidR="001159B3" w:rsidRPr="001159B3" w:rsidRDefault="001159B3" w:rsidP="001159B3">
      <w:pPr>
        <w:rPr>
          <w:rFonts w:ascii="Arial" w:hAnsi="Arial" w:cs="Arial"/>
        </w:rPr>
      </w:pPr>
      <w:r w:rsidRPr="001159B3">
        <w:rPr>
          <w:rFonts w:ascii="Arial" w:hAnsi="Arial" w:cs="Arial"/>
        </w:rPr>
        <w:t xml:space="preserve">Kotler, P., Armstrong, G., Harris, L.C. and He, H. (2024) Principles of marketing. 19th </w:t>
      </w:r>
      <w:proofErr w:type="spellStart"/>
      <w:r w:rsidRPr="001159B3">
        <w:rPr>
          <w:rFonts w:ascii="Arial" w:hAnsi="Arial" w:cs="Arial"/>
        </w:rPr>
        <w:t>edn</w:t>
      </w:r>
      <w:proofErr w:type="spellEnd"/>
      <w:r w:rsidRPr="001159B3">
        <w:rPr>
          <w:rFonts w:ascii="Arial" w:hAnsi="Arial" w:cs="Arial"/>
        </w:rPr>
        <w:t>. Harlow: Pearson.</w:t>
      </w:r>
    </w:p>
    <w:p w14:paraId="47146DF9" w14:textId="77777777" w:rsidR="001159B3" w:rsidRPr="001159B3" w:rsidRDefault="001159B3" w:rsidP="001159B3">
      <w:pPr>
        <w:rPr>
          <w:rFonts w:ascii="Arial" w:hAnsi="Arial" w:cs="Arial"/>
        </w:rPr>
      </w:pPr>
      <w:r w:rsidRPr="001159B3">
        <w:rPr>
          <w:rFonts w:ascii="Arial" w:hAnsi="Arial" w:cs="Arial"/>
        </w:rPr>
        <w:t>Maeno, K., Tokito, S., Yokoi, R. and Kagawa, S. (2025) ‘Global supply chain restructuring towards achieving a low-carbon procurement of mineral resources for metal production’, Resources, Environment and Sustainability, 20, article 100215. Available at:</w:t>
      </w:r>
      <w:hyperlink r:id="rId38" w:history="1">
        <w:r w:rsidRPr="001159B3">
          <w:rPr>
            <w:rFonts w:ascii="Arial" w:hAnsi="Arial" w:cs="Arial"/>
          </w:rPr>
          <w:t xml:space="preserve"> </w:t>
        </w:r>
      </w:hyperlink>
      <w:hyperlink r:id="rId39" w:history="1">
        <w:r w:rsidRPr="001159B3">
          <w:rPr>
            <w:rFonts w:ascii="Arial" w:hAnsi="Arial" w:cs="Arial"/>
            <w:color w:val="1155CC"/>
            <w:u w:val="single"/>
          </w:rPr>
          <w:t>https://doi.org/10.1016/j.resenv.2025.100215</w:t>
        </w:r>
      </w:hyperlink>
      <w:r w:rsidRPr="001159B3">
        <w:rPr>
          <w:rFonts w:ascii="Arial" w:hAnsi="Arial" w:cs="Arial"/>
        </w:rPr>
        <w:t xml:space="preserve"> (Accessed: 13 October 2026).</w:t>
      </w:r>
    </w:p>
    <w:p w14:paraId="75CBCE6C" w14:textId="77777777" w:rsidR="001159B3" w:rsidRPr="001159B3" w:rsidRDefault="001159B3" w:rsidP="001159B3">
      <w:pPr>
        <w:rPr>
          <w:rFonts w:ascii="Arial" w:hAnsi="Arial" w:cs="Arial"/>
        </w:rPr>
      </w:pPr>
      <w:r w:rsidRPr="001159B3">
        <w:rPr>
          <w:rFonts w:ascii="Arial" w:hAnsi="Arial" w:cs="Arial"/>
        </w:rPr>
        <w:t>Rio Tinto (2025) Climate action plan 2025. Available at:</w:t>
      </w:r>
      <w:hyperlink r:id="rId40" w:history="1">
        <w:r w:rsidRPr="001159B3">
          <w:rPr>
            <w:rFonts w:ascii="Arial" w:hAnsi="Arial" w:cs="Arial"/>
          </w:rPr>
          <w:t xml:space="preserve"> </w:t>
        </w:r>
      </w:hyperlink>
      <w:hyperlink r:id="rId41" w:history="1">
        <w:r w:rsidRPr="001159B3">
          <w:rPr>
            <w:rFonts w:ascii="Arial" w:hAnsi="Arial" w:cs="Arial"/>
            <w:color w:val="1155CC"/>
            <w:u w:val="single"/>
          </w:rPr>
          <w:t>https://www.riotinto.com/en/invest/reports/climate-reporting</w:t>
        </w:r>
      </w:hyperlink>
      <w:r w:rsidRPr="001159B3">
        <w:rPr>
          <w:rFonts w:ascii="Arial" w:hAnsi="Arial" w:cs="Arial"/>
        </w:rPr>
        <w:t xml:space="preserve"> (Accessed: 13 October 2026).</w:t>
      </w:r>
    </w:p>
    <w:p w14:paraId="26BAE90A" w14:textId="77777777" w:rsidR="001159B3" w:rsidRPr="001159B3" w:rsidRDefault="001159B3" w:rsidP="001159B3">
      <w:pPr>
        <w:rPr>
          <w:rFonts w:ascii="Arial" w:hAnsi="Arial" w:cs="Arial"/>
        </w:rPr>
      </w:pPr>
      <w:r w:rsidRPr="001159B3">
        <w:rPr>
          <w:rFonts w:ascii="Arial" w:hAnsi="Arial" w:cs="Arial"/>
        </w:rPr>
        <w:t>Wang, C., Walsh, S.D.C., Weng, Z., Haynes, M.W., Feitz, A. and Summerfield, D. (2023) ‘Green steel: Synergies between the Australian iron ore industry and the production of green hydrogen’, International Journal of Hydrogen Energy, 48(83), pp. 32277–32293. Available at:</w:t>
      </w:r>
      <w:hyperlink r:id="rId42" w:history="1">
        <w:r w:rsidRPr="001159B3">
          <w:rPr>
            <w:rFonts w:ascii="Arial" w:hAnsi="Arial" w:cs="Arial"/>
          </w:rPr>
          <w:t xml:space="preserve"> </w:t>
        </w:r>
      </w:hyperlink>
      <w:hyperlink r:id="rId43" w:history="1">
        <w:r w:rsidRPr="00CD0331">
          <w:rPr>
            <w:rFonts w:ascii="Arial" w:hAnsi="Arial" w:cs="Arial"/>
            <w:color w:val="1155CC"/>
            <w:u w:val="single"/>
          </w:rPr>
          <w:t>https://doi.org/10.1016/j.ijhydene.2023.05.041</w:t>
        </w:r>
      </w:hyperlink>
      <w:r w:rsidRPr="001159B3">
        <w:rPr>
          <w:rFonts w:ascii="Arial" w:hAnsi="Arial" w:cs="Arial"/>
        </w:rPr>
        <w:t xml:space="preserve"> (Accessed: 13 October 2026).</w:t>
      </w:r>
    </w:p>
    <w:p w14:paraId="6B8AFC5F" w14:textId="77777777" w:rsidR="001159B3" w:rsidRPr="001159B3" w:rsidRDefault="001159B3" w:rsidP="001159B3">
      <w:pPr>
        <w:rPr>
          <w:rFonts w:ascii="Arial" w:hAnsi="Arial" w:cs="Arial"/>
        </w:rPr>
      </w:pPr>
      <w:r w:rsidRPr="001159B3">
        <w:rPr>
          <w:rFonts w:ascii="Arial" w:hAnsi="Arial" w:cs="Arial"/>
        </w:rPr>
        <w:lastRenderedPageBreak/>
        <w:t>World Steel Association (2025) World steel in figures 2025. Available at:</w:t>
      </w:r>
      <w:hyperlink r:id="rId44" w:history="1">
        <w:r w:rsidRPr="001159B3">
          <w:rPr>
            <w:rFonts w:ascii="Arial" w:hAnsi="Arial" w:cs="Arial"/>
          </w:rPr>
          <w:t xml:space="preserve"> </w:t>
        </w:r>
      </w:hyperlink>
      <w:hyperlink r:id="rId45" w:history="1">
        <w:r w:rsidRPr="001159B3">
          <w:rPr>
            <w:rStyle w:val="Hyperlink"/>
            <w:rFonts w:ascii="Arial" w:hAnsi="Arial" w:cs="Arial"/>
          </w:rPr>
          <w:t>https://www.bhp.com/-/media/documents/investors/annualreports/2024/240827_bhpclimatetransitionactionplan2024.pdf</w:t>
        </w:r>
      </w:hyperlink>
      <w:r w:rsidRPr="001159B3">
        <w:rPr>
          <w:rFonts w:ascii="Arial" w:hAnsi="Arial" w:cs="Arial"/>
        </w:rPr>
        <w:t xml:space="preserve">  (Accessed: 13 October 2026).</w:t>
      </w:r>
    </w:p>
    <w:p w14:paraId="4E00BD40" w14:textId="3241114B" w:rsidR="001159B3" w:rsidRDefault="001159B3" w:rsidP="001159B3">
      <w:pPr>
        <w:rPr>
          <w:rFonts w:ascii="Arial" w:hAnsi="Arial" w:cs="Arial"/>
          <w:color w:val="000000" w:themeColor="text1"/>
        </w:rPr>
      </w:pPr>
      <w:proofErr w:type="spellStart"/>
      <w:r w:rsidRPr="001159B3">
        <w:rPr>
          <w:rFonts w:ascii="Arial" w:hAnsi="Arial" w:cs="Arial"/>
        </w:rPr>
        <w:t>Zupic</w:t>
      </w:r>
      <w:proofErr w:type="spellEnd"/>
      <w:r w:rsidRPr="001159B3">
        <w:rPr>
          <w:rFonts w:ascii="Arial" w:hAnsi="Arial" w:cs="Arial"/>
        </w:rPr>
        <w:t xml:space="preserve">, I., </w:t>
      </w:r>
      <w:proofErr w:type="spellStart"/>
      <w:r w:rsidRPr="001159B3">
        <w:rPr>
          <w:rFonts w:ascii="Arial" w:hAnsi="Arial" w:cs="Arial"/>
        </w:rPr>
        <w:t>Čater</w:t>
      </w:r>
      <w:proofErr w:type="spellEnd"/>
      <w:r w:rsidRPr="001159B3">
        <w:rPr>
          <w:rFonts w:ascii="Arial" w:hAnsi="Arial" w:cs="Arial"/>
        </w:rPr>
        <w:t>, T., Caputo, A. and Uršič, D. (2025) ‘Mapping the influence of Ansoff’s corporate strategy’, Strategic Change, pp. 1–19. Available at:</w:t>
      </w:r>
      <w:hyperlink r:id="rId46" w:history="1">
        <w:r w:rsidRPr="001159B3">
          <w:rPr>
            <w:rFonts w:ascii="Arial" w:hAnsi="Arial" w:cs="Arial"/>
          </w:rPr>
          <w:t xml:space="preserve"> </w:t>
        </w:r>
      </w:hyperlink>
      <w:hyperlink r:id="rId47" w:history="1">
        <w:r w:rsidRPr="001159B3">
          <w:rPr>
            <w:rFonts w:ascii="Arial" w:hAnsi="Arial" w:cs="Arial"/>
            <w:color w:val="1155CC"/>
            <w:u w:val="single"/>
          </w:rPr>
          <w:t>https://doi.org/10.1002/jsc.70023</w:t>
        </w:r>
      </w:hyperlink>
      <w:r w:rsidRPr="001159B3">
        <w:rPr>
          <w:rFonts w:ascii="Arial" w:hAnsi="Arial" w:cs="Arial"/>
        </w:rPr>
        <w:t xml:space="preserve"> </w:t>
      </w:r>
      <w:r w:rsidR="00854006" w:rsidRPr="001159B3">
        <w:rPr>
          <w:rFonts w:ascii="Arial" w:hAnsi="Arial" w:cs="Arial"/>
        </w:rPr>
        <w:t xml:space="preserve">(Accessed: </w:t>
      </w:r>
      <w:r w:rsidR="00854006" w:rsidRPr="001159B3">
        <w:rPr>
          <w:rFonts w:ascii="Arial" w:hAnsi="Arial" w:cs="Arial"/>
          <w:color w:val="000000" w:themeColor="text1"/>
        </w:rPr>
        <w:t>13 October 2026).</w:t>
      </w:r>
    </w:p>
    <w:p w14:paraId="1EF314B0" w14:textId="071C50A3" w:rsidR="00E679E3" w:rsidRDefault="00E679E3" w:rsidP="001159B3">
      <w:pPr>
        <w:rPr>
          <w:rFonts w:ascii="Arial" w:hAnsi="Arial" w:cs="Arial"/>
          <w:color w:val="000000" w:themeColor="text1"/>
        </w:rPr>
      </w:pPr>
    </w:p>
    <w:p w14:paraId="644E1F4E" w14:textId="77777777" w:rsidR="00E679E3" w:rsidRPr="00E679E3" w:rsidRDefault="00E679E3" w:rsidP="001159B3">
      <w:pPr>
        <w:rPr>
          <w:color w:val="000000" w:themeColor="text1"/>
          <w:sz w:val="32"/>
          <w:szCs w:val="32"/>
        </w:rPr>
      </w:pPr>
    </w:p>
    <w:p w14:paraId="267C263A" w14:textId="0C06862D" w:rsidR="00060BDF" w:rsidRPr="001159B3" w:rsidRDefault="001159B3" w:rsidP="001159B3">
      <w:pPr>
        <w:rPr>
          <w:rFonts w:ascii="Arial" w:hAnsi="Arial" w:cs="Arial"/>
        </w:rPr>
      </w:pPr>
      <w:bookmarkStart w:id="29" w:name="_Toc242807393"/>
      <w:r>
        <w:rPr>
          <w:rFonts w:ascii="Arial" w:hAnsi="Arial" w:cs="Arial"/>
        </w:rPr>
        <w:br w:type="page"/>
      </w:r>
    </w:p>
    <w:p w14:paraId="3B3217A5" w14:textId="46BCFC52" w:rsidR="00AD1170" w:rsidRPr="001159B3" w:rsidRDefault="00941804" w:rsidP="001159B3">
      <w:pPr>
        <w:pStyle w:val="Heading1"/>
        <w:rPr>
          <w:rFonts w:ascii="Arial" w:hAnsi="Arial" w:cs="Arial"/>
        </w:rPr>
      </w:pPr>
      <w:bookmarkStart w:id="30" w:name="_Toc243482259"/>
      <w:r w:rsidRPr="001159B3">
        <w:rPr>
          <w:rFonts w:ascii="Arial" w:hAnsi="Arial" w:cs="Arial"/>
        </w:rPr>
        <w:lastRenderedPageBreak/>
        <w:t>Appendices</w:t>
      </w:r>
      <w:bookmarkEnd w:id="29"/>
      <w:bookmarkEnd w:id="30"/>
      <w:r w:rsidRPr="001159B3">
        <w:rPr>
          <w:rFonts w:ascii="Arial" w:hAnsi="Arial" w:cs="Arial"/>
        </w:rPr>
        <w:t xml:space="preserve"> </w:t>
      </w:r>
    </w:p>
    <w:p w14:paraId="3B3217A6" w14:textId="77777777" w:rsidR="00AD1170" w:rsidRPr="001159B3" w:rsidRDefault="00941804" w:rsidP="001159B3">
      <w:pPr>
        <w:pStyle w:val="Heading2"/>
        <w:rPr>
          <w:rFonts w:ascii="Arial" w:hAnsi="Arial" w:cs="Arial"/>
        </w:rPr>
      </w:pPr>
      <w:bookmarkStart w:id="31" w:name="_Toc242807394"/>
      <w:bookmarkStart w:id="32" w:name="_Toc243482260"/>
      <w:r w:rsidRPr="001159B3">
        <w:rPr>
          <w:rFonts w:ascii="Arial" w:hAnsi="Arial" w:cs="Arial"/>
        </w:rPr>
        <w:t>Appendix 1: BHP’s Shipping Emissions Intensity (2008–2024)</w:t>
      </w:r>
      <w:bookmarkEnd w:id="31"/>
      <w:bookmarkEnd w:id="32"/>
      <w:r w:rsidRPr="001159B3">
        <w:rPr>
          <w:rFonts w:ascii="Arial" w:hAnsi="Arial" w:cs="Arial"/>
        </w:rPr>
        <w:t xml:space="preserve"> </w:t>
      </w:r>
    </w:p>
    <w:p w14:paraId="3B3217A7" w14:textId="77777777" w:rsidR="00AD1170" w:rsidRPr="001159B3" w:rsidRDefault="00941804" w:rsidP="001159B3">
      <w:pPr>
        <w:jc w:val="center"/>
        <w:rPr>
          <w:rFonts w:ascii="Arial" w:hAnsi="Arial" w:cs="Arial"/>
        </w:rPr>
      </w:pPr>
      <w:r w:rsidRPr="001159B3">
        <w:rPr>
          <w:rFonts w:ascii="Arial" w:hAnsi="Arial" w:cs="Arial"/>
          <w:noProof/>
        </w:rPr>
        <w:drawing>
          <wp:inline distT="0" distB="0" distL="0" distR="0" wp14:anchorId="3B3217B6" wp14:editId="3B3217B7">
            <wp:extent cx="5943600" cy="1333500"/>
            <wp:effectExtent l="25400" t="25400" r="25400" b="25400"/>
            <wp:docPr id="1032"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48" cstate="print"/>
                    <a:srcRect/>
                    <a:stretch/>
                  </pic:blipFill>
                  <pic:spPr>
                    <a:xfrm>
                      <a:off x="0" y="0"/>
                      <a:ext cx="5943600" cy="1333500"/>
                    </a:xfrm>
                    <a:prstGeom prst="rect">
                      <a:avLst/>
                    </a:prstGeom>
                    <a:ln w="25400" cap="flat" cmpd="sng">
                      <a:solidFill>
                        <a:srgbClr val="000000"/>
                      </a:solidFill>
                      <a:prstDash val="solid"/>
                      <a:round/>
                      <a:headEnd/>
                      <a:tailEnd/>
                    </a:ln>
                  </pic:spPr>
                </pic:pic>
              </a:graphicData>
            </a:graphic>
          </wp:inline>
        </w:drawing>
      </w:r>
    </w:p>
    <w:p w14:paraId="3B3217A8" w14:textId="77777777" w:rsidR="00AD1170" w:rsidRPr="001159B3" w:rsidRDefault="00941804" w:rsidP="001159B3">
      <w:pPr>
        <w:jc w:val="center"/>
        <w:rPr>
          <w:rFonts w:ascii="Arial" w:hAnsi="Arial" w:cs="Arial"/>
          <w:b/>
          <w:bCs/>
          <w:i/>
          <w:iCs/>
        </w:rPr>
      </w:pPr>
      <w:r w:rsidRPr="001159B3">
        <w:rPr>
          <w:rFonts w:ascii="Arial" w:hAnsi="Arial" w:cs="Arial"/>
          <w:b/>
          <w:bCs/>
          <w:i/>
          <w:iCs/>
        </w:rPr>
        <w:t xml:space="preserve">Figure 7: BHP’s Shipping Emissions Intensity (2008–2024) </w:t>
      </w:r>
    </w:p>
    <w:p w14:paraId="3B3217A9" w14:textId="77777777" w:rsidR="00AD1170" w:rsidRPr="001159B3" w:rsidRDefault="00941804" w:rsidP="001159B3">
      <w:pPr>
        <w:jc w:val="center"/>
        <w:rPr>
          <w:rFonts w:ascii="Arial" w:hAnsi="Arial" w:cs="Arial"/>
        </w:rPr>
      </w:pPr>
      <w:r w:rsidRPr="001159B3">
        <w:rPr>
          <w:rFonts w:ascii="Arial" w:hAnsi="Arial" w:cs="Arial"/>
        </w:rPr>
        <w:t xml:space="preserve">(Source: BHP, 2024) </w:t>
      </w:r>
    </w:p>
    <w:sectPr w:rsidR="00AD1170" w:rsidRPr="001159B3">
      <w:headerReference w:type="default" r:id="rId49"/>
      <w:footerReference w:type="default" r:id="rId5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CF157" w14:textId="77777777" w:rsidR="005C55A0" w:rsidRDefault="005C55A0">
      <w:pPr>
        <w:spacing w:line="240" w:lineRule="auto"/>
      </w:pPr>
      <w:r>
        <w:separator/>
      </w:r>
    </w:p>
  </w:endnote>
  <w:endnote w:type="continuationSeparator" w:id="0">
    <w:p w14:paraId="5FD5FC88" w14:textId="77777777" w:rsidR="005C55A0" w:rsidRDefault="005C55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B25D4D2-7353-4DCD-8FAA-1D846BDFCEC3}"/>
  </w:font>
  <w:font w:name="Cambria Math">
    <w:panose1 w:val="02040503050406030204"/>
    <w:charset w:val="00"/>
    <w:family w:val="roman"/>
    <w:pitch w:val="variable"/>
    <w:sig w:usb0="E00006FF" w:usb1="420024FF" w:usb2="02000000" w:usb3="00000000" w:csb0="0000019F" w:csb1="00000000"/>
    <w:embedRegular r:id="rId2" w:fontKey="{4E6DC5B1-6B15-46BC-9EE1-EAF09E6259E9}"/>
  </w:font>
  <w:font w:name="Calibri">
    <w:panose1 w:val="020F0502020204030204"/>
    <w:charset w:val="00"/>
    <w:family w:val="swiss"/>
    <w:pitch w:val="variable"/>
    <w:sig w:usb0="E4002EFF" w:usb1="C200247B" w:usb2="00000009" w:usb3="00000000" w:csb0="000001FF" w:csb1="00000000"/>
    <w:embedRegular r:id="rId3" w:fontKey="{0A71608B-733A-4159-8D70-0F06B06C7C9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217B9" w14:textId="77777777" w:rsidR="00AD1170" w:rsidRDefault="00941804">
    <w:pPr>
      <w:pStyle w:val="Footer"/>
      <w:jc w:val="right"/>
    </w:pPr>
    <w:r>
      <w:fldChar w:fldCharType="begin"/>
    </w:r>
    <w:r>
      <w:instrText xml:space="preserve"> PAGE   \* MERGEFORMAT </w:instrText>
    </w:r>
    <w:r>
      <w:fldChar w:fldCharType="separate"/>
    </w:r>
    <w:r>
      <w:rPr>
        <w:noProof/>
      </w:rPr>
      <w:t>2</w:t>
    </w:r>
    <w:r>
      <w:rPr>
        <w:noProof/>
      </w:rPr>
      <w:fldChar w:fldCharType="end"/>
    </w:r>
  </w:p>
  <w:p w14:paraId="3B3217BA" w14:textId="77777777" w:rsidR="00AD1170" w:rsidRDefault="00AD1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6BD93" w14:textId="77777777" w:rsidR="005C55A0" w:rsidRDefault="005C55A0">
      <w:pPr>
        <w:spacing w:line="240" w:lineRule="auto"/>
      </w:pPr>
      <w:r>
        <w:separator/>
      </w:r>
    </w:p>
  </w:footnote>
  <w:footnote w:type="continuationSeparator" w:id="0">
    <w:p w14:paraId="305E19D1" w14:textId="77777777" w:rsidR="005C55A0" w:rsidRDefault="005C55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217B8" w14:textId="77777777" w:rsidR="00AD1170" w:rsidRDefault="00941804">
    <w:pPr>
      <w:jc w:val="right"/>
    </w:pPr>
    <w:r>
      <w:rPr>
        <w:noProof/>
      </w:rPr>
      <w:drawing>
        <wp:inline distT="0" distB="0" distL="0" distR="0" wp14:anchorId="3B3217BB" wp14:editId="3B3217BC">
          <wp:extent cx="1427866" cy="528638"/>
          <wp:effectExtent l="0" t="0" r="0" b="0"/>
          <wp:docPr id="4097" name="image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8.png"/>
                  <pic:cNvPicPr/>
                </pic:nvPicPr>
                <pic:blipFill>
                  <a:blip r:embed="rId1" cstate="print"/>
                  <a:srcRect/>
                  <a:stretch/>
                </pic:blipFill>
                <pic:spPr>
                  <a:xfrm>
                    <a:off x="0" y="0"/>
                    <a:ext cx="1427866" cy="528638"/>
                  </a:xfrm>
                  <a:prstGeom prst="rect">
                    <a:avLst/>
                  </a:prstGeom>
                  <a:ln w="9525" cap="flat" cmpd="sng">
                    <a:solidFill>
                      <a:srgbClr val="000000"/>
                    </a:solidFill>
                    <a:prstDash val="solid"/>
                    <a:round/>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170"/>
    <w:rsid w:val="00060BDF"/>
    <w:rsid w:val="000C1BF2"/>
    <w:rsid w:val="001159B3"/>
    <w:rsid w:val="001239B5"/>
    <w:rsid w:val="001373D0"/>
    <w:rsid w:val="0021221C"/>
    <w:rsid w:val="0024201C"/>
    <w:rsid w:val="0028022F"/>
    <w:rsid w:val="002B5051"/>
    <w:rsid w:val="002F46B7"/>
    <w:rsid w:val="00320DB2"/>
    <w:rsid w:val="003463C5"/>
    <w:rsid w:val="003D1901"/>
    <w:rsid w:val="00417851"/>
    <w:rsid w:val="00440593"/>
    <w:rsid w:val="0052481D"/>
    <w:rsid w:val="00571DAF"/>
    <w:rsid w:val="005C55A0"/>
    <w:rsid w:val="005E2D79"/>
    <w:rsid w:val="007A5114"/>
    <w:rsid w:val="00801E88"/>
    <w:rsid w:val="00816284"/>
    <w:rsid w:val="00854006"/>
    <w:rsid w:val="008C411E"/>
    <w:rsid w:val="00941804"/>
    <w:rsid w:val="009521C1"/>
    <w:rsid w:val="009F5AF2"/>
    <w:rsid w:val="00A16A89"/>
    <w:rsid w:val="00A66929"/>
    <w:rsid w:val="00AD1170"/>
    <w:rsid w:val="00AF205A"/>
    <w:rsid w:val="00B10C77"/>
    <w:rsid w:val="00B55F80"/>
    <w:rsid w:val="00B9444C"/>
    <w:rsid w:val="00BD5D08"/>
    <w:rsid w:val="00BF1A0D"/>
    <w:rsid w:val="00CC2EAB"/>
    <w:rsid w:val="00CD0331"/>
    <w:rsid w:val="00D11877"/>
    <w:rsid w:val="00D205A1"/>
    <w:rsid w:val="00D219B8"/>
    <w:rsid w:val="00DA4E96"/>
    <w:rsid w:val="00DE183C"/>
    <w:rsid w:val="00E679E3"/>
    <w:rsid w:val="00F062B3"/>
    <w:rsid w:val="00F140DF"/>
    <w:rsid w:val="00F873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2171B"/>
  <w15:docId w15:val="{C9EA90A7-FC2A-4341-9BF0-51563E848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pPr>
      <w:tabs>
        <w:tab w:val="center" w:pos="4513"/>
        <w:tab w:val="right" w:pos="9026"/>
      </w:tabs>
      <w:spacing w:line="240" w:lineRule="auto"/>
    </w:pPr>
  </w:style>
  <w:style w:type="character" w:customStyle="1" w:styleId="HeaderChar">
    <w:name w:val="Header Char"/>
    <w:basedOn w:val="DefaultParagraphFont"/>
    <w:link w:val="Header"/>
    <w:uiPriority w:val="99"/>
    <w:rPr>
      <w:lang w:val="en-GB"/>
    </w:rPr>
  </w:style>
  <w:style w:type="paragraph" w:styleId="Footer">
    <w:name w:val="footer"/>
    <w:basedOn w:val="Normal"/>
    <w:link w:val="FooterChar"/>
    <w:uiPriority w:val="99"/>
    <w:pPr>
      <w:tabs>
        <w:tab w:val="center" w:pos="4513"/>
        <w:tab w:val="right" w:pos="9026"/>
      </w:tabs>
      <w:spacing w:line="240" w:lineRule="auto"/>
    </w:pPr>
  </w:style>
  <w:style w:type="character" w:customStyle="1" w:styleId="FooterChar">
    <w:name w:val="Footer Char"/>
    <w:basedOn w:val="DefaultParagraphFont"/>
    <w:link w:val="Footer"/>
    <w:uiPriority w:val="99"/>
    <w:rPr>
      <w:lang w:val="en-GB"/>
    </w:rPr>
  </w:style>
  <w:style w:type="character" w:styleId="Hyperlink">
    <w:name w:val="Hyperlink"/>
    <w:basedOn w:val="DefaultParagraphFont"/>
    <w:uiPriority w:val="99"/>
    <w:rPr>
      <w:color w:val="0000FF"/>
      <w:u w:val="single"/>
    </w:rPr>
  </w:style>
  <w:style w:type="character" w:customStyle="1" w:styleId="UnresolvedMention1">
    <w:name w:val="Unresolved Mention1"/>
    <w:basedOn w:val="DefaultParagraphFont"/>
    <w:uiPriority w:val="99"/>
    <w:rPr>
      <w:color w:val="605E5C"/>
      <w:shd w:val="clear" w:color="auto" w:fill="E1DFDD"/>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CommentReference">
    <w:name w:val="annotation reference"/>
    <w:basedOn w:val="DefaultParagraphFont"/>
    <w:uiPriority w:val="99"/>
    <w:semiHidden/>
    <w:unhideWhenUsed/>
    <w:rsid w:val="00B55F80"/>
    <w:rPr>
      <w:sz w:val="16"/>
      <w:szCs w:val="16"/>
    </w:rPr>
  </w:style>
  <w:style w:type="paragraph" w:styleId="CommentText">
    <w:name w:val="annotation text"/>
    <w:basedOn w:val="Normal"/>
    <w:link w:val="CommentTextChar"/>
    <w:uiPriority w:val="99"/>
    <w:unhideWhenUsed/>
    <w:rsid w:val="00B55F80"/>
    <w:pPr>
      <w:spacing w:line="240" w:lineRule="auto"/>
    </w:pPr>
    <w:rPr>
      <w:sz w:val="20"/>
      <w:szCs w:val="20"/>
    </w:rPr>
  </w:style>
  <w:style w:type="character" w:customStyle="1" w:styleId="CommentTextChar">
    <w:name w:val="Comment Text Char"/>
    <w:basedOn w:val="DefaultParagraphFont"/>
    <w:link w:val="CommentText"/>
    <w:uiPriority w:val="99"/>
    <w:rsid w:val="00B55F80"/>
    <w:rPr>
      <w:sz w:val="20"/>
      <w:szCs w:val="20"/>
    </w:rPr>
  </w:style>
  <w:style w:type="paragraph" w:styleId="CommentSubject">
    <w:name w:val="annotation subject"/>
    <w:basedOn w:val="CommentText"/>
    <w:next w:val="CommentText"/>
    <w:link w:val="CommentSubjectChar"/>
    <w:uiPriority w:val="99"/>
    <w:semiHidden/>
    <w:unhideWhenUsed/>
    <w:rsid w:val="00B55F80"/>
    <w:rPr>
      <w:b/>
      <w:bCs/>
    </w:rPr>
  </w:style>
  <w:style w:type="character" w:customStyle="1" w:styleId="CommentSubjectChar">
    <w:name w:val="Comment Subject Char"/>
    <w:basedOn w:val="CommentTextChar"/>
    <w:link w:val="CommentSubject"/>
    <w:uiPriority w:val="99"/>
    <w:semiHidden/>
    <w:rsid w:val="00B55F80"/>
    <w:rPr>
      <w:b/>
      <w:bCs/>
      <w:sz w:val="20"/>
      <w:szCs w:val="20"/>
    </w:rPr>
  </w:style>
  <w:style w:type="paragraph" w:styleId="NormalWeb">
    <w:name w:val="Normal (Web)"/>
    <w:basedOn w:val="Normal"/>
    <w:uiPriority w:val="99"/>
    <w:semiHidden/>
    <w:unhideWhenUsed/>
    <w:rsid w:val="00DA4E96"/>
  </w:style>
  <w:style w:type="character" w:styleId="UnresolvedMention">
    <w:name w:val="Unresolved Mention"/>
    <w:basedOn w:val="DefaultParagraphFont"/>
    <w:uiPriority w:val="99"/>
    <w:semiHidden/>
    <w:unhideWhenUsed/>
    <w:rsid w:val="00060BDF"/>
    <w:rPr>
      <w:color w:val="605E5C"/>
      <w:shd w:val="clear" w:color="auto" w:fill="E1DFDD"/>
    </w:rPr>
  </w:style>
  <w:style w:type="paragraph" w:styleId="TOCHeading">
    <w:name w:val="TOC Heading"/>
    <w:basedOn w:val="Heading1"/>
    <w:next w:val="Normal"/>
    <w:uiPriority w:val="39"/>
    <w:unhideWhenUsed/>
    <w:qFormat/>
    <w:rsid w:val="001159B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bhp.com/-/media/documents/investors/annual-reports/2024/240827_bhpclimatetransitionactionplan2024.pdf" TargetMode="External"/><Relationship Id="rId26" Type="http://schemas.openxmlformats.org/officeDocument/2006/relationships/hyperlink" Target="https://doi.org/10.1002/jsc.70023" TargetMode="External"/><Relationship Id="rId39" Type="http://schemas.openxmlformats.org/officeDocument/2006/relationships/hyperlink" Target="https://doi.org/10.1016/j.resenv.2025.100215" TargetMode="External"/><Relationship Id="rId21" Type="http://schemas.openxmlformats.org/officeDocument/2006/relationships/hyperlink" Target="https://www.bhp.com/-/media/documents/investors/annual-reports/2026/260818_bhpannualreport2026.pdf" TargetMode="External"/><Relationship Id="rId34" Type="http://schemas.openxmlformats.org/officeDocument/2006/relationships/hyperlink" Target="https://www.iea.org/reports/copper-2" TargetMode="External"/><Relationship Id="rId42" Type="http://schemas.openxmlformats.org/officeDocument/2006/relationships/hyperlink" Target="https://doi.org/10.1016/j.ijhydene.2023.05.041" TargetMode="External"/><Relationship Id="rId47" Type="http://schemas.openxmlformats.org/officeDocument/2006/relationships/hyperlink" Target="https://doi.org/10.1002/jsc.70023" TargetMode="External"/><Relationship Id="rId50"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industry.gov.au/publications/resources-and-energy-quarterly-september-2026" TargetMode="External"/><Relationship Id="rId29" Type="http://schemas.openxmlformats.org/officeDocument/2006/relationships/hyperlink" Target="https://globalenergymonitor.org/research/pedal-metal-2025" TargetMode="External"/><Relationship Id="rId11" Type="http://schemas.openxmlformats.org/officeDocument/2006/relationships/image" Target="media/image5.png"/><Relationship Id="rId24" Type="http://schemas.openxmlformats.org/officeDocument/2006/relationships/hyperlink" Target="https://doi.org/10.1016/j.ijhydene.2024.10.163" TargetMode="External"/><Relationship Id="rId32" Type="http://schemas.openxmlformats.org/officeDocument/2006/relationships/hyperlink" Target="https://www.iea.org/reports/the-role-of-critical-minerals-in-clean-energy-transitions?utm_source=chatgpt.com" TargetMode="External"/><Relationship Id="rId37" Type="http://schemas.openxmlformats.org/officeDocument/2006/relationships/hyperlink" Target="https://www.iea.org/reports/global-critical-minerals-outlook-2026" TargetMode="External"/><Relationship Id="rId40" Type="http://schemas.openxmlformats.org/officeDocument/2006/relationships/hyperlink" Target="https://www.riotinto.com/en/invest/reports/climate-reporting" TargetMode="External"/><Relationship Id="rId45" Type="http://schemas.openxmlformats.org/officeDocument/2006/relationships/hyperlink" Target="https://www.bhp.com/-/media/documents/investors/annualreports/2024/240827_bhpclimatetransitionactionplan2024.pdf" TargetMode="External"/><Relationship Id="rId5" Type="http://schemas.openxmlformats.org/officeDocument/2006/relationships/footnotes" Target="footnotes.xml"/><Relationship Id="rId15" Type="http://schemas.openxmlformats.org/officeDocument/2006/relationships/hyperlink" Target="https://www.industry.gov.au/publications/resources-and-energy-quarterly-june-2025" TargetMode="External"/><Relationship Id="rId23" Type="http://schemas.openxmlformats.org/officeDocument/2006/relationships/hyperlink" Target="https://doi.org/10.1038/s43247-026-03977-z" TargetMode="External"/><Relationship Id="rId28" Type="http://schemas.openxmlformats.org/officeDocument/2006/relationships/hyperlink" Target="https://globalenergymonitor.org/research/pedal-metal-2025" TargetMode="External"/><Relationship Id="rId36" Type="http://schemas.openxmlformats.org/officeDocument/2006/relationships/hyperlink" Target="https://www.iea.org/reports/global-critical-minerals-outlook-2026" TargetMode="External"/><Relationship Id="rId49"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www.bhp.com/-/media/documents/investors/annual-reports/2024/240827_bhpclimatetransitionactionplan2024.pdf" TargetMode="External"/><Relationship Id="rId31" Type="http://schemas.openxmlformats.org/officeDocument/2006/relationships/hyperlink" Target="https://ember-energy.org/app/uploads/2025/04/Report-Global-Electricity-Review-2025.pdf" TargetMode="External"/><Relationship Id="rId44" Type="http://schemas.openxmlformats.org/officeDocument/2006/relationships/hyperlink" Target="https://worldsteel.org/data/world-steel-in-figures/world-steel-in-figures-2025/"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ndustry.gov.au/publications/resources-and-energy-quarterly-june-2025" TargetMode="External"/><Relationship Id="rId22" Type="http://schemas.openxmlformats.org/officeDocument/2006/relationships/hyperlink" Target="https://doi.org/10.1038/s43247-026-03977-z" TargetMode="External"/><Relationship Id="rId27" Type="http://schemas.openxmlformats.org/officeDocument/2006/relationships/hyperlink" Target="https://doi.org/10.1108/IMDS-06-2022-0372" TargetMode="External"/><Relationship Id="rId30" Type="http://schemas.openxmlformats.org/officeDocument/2006/relationships/hyperlink" Target="https://ember-energy.org/latest-insights/global-electricity-review-2025/" TargetMode="External"/><Relationship Id="rId35" Type="http://schemas.openxmlformats.org/officeDocument/2006/relationships/hyperlink" Target="https://www.iea.org/reports/copper-2" TargetMode="External"/><Relationship Id="rId43" Type="http://schemas.openxmlformats.org/officeDocument/2006/relationships/hyperlink" Target="https://doi.org/10.1016/j.ijhydene.2023.05.041" TargetMode="External"/><Relationship Id="rId48" Type="http://schemas.openxmlformats.org/officeDocument/2006/relationships/image" Target="media/image8.png"/><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industry.gov.au/publications/resources-and-energy-quarterly-september-2026" TargetMode="External"/><Relationship Id="rId25" Type="http://schemas.openxmlformats.org/officeDocument/2006/relationships/hyperlink" Target="https://doi.org/10.1016/j.ijhydene.2024.10.163" TargetMode="External"/><Relationship Id="rId33" Type="http://schemas.openxmlformats.org/officeDocument/2006/relationships/hyperlink" Target="https://iea.blob.core.windows.net/assets/ffd2a83b-8c30-4e9d-980a-52b6d9a86fdc/TheRoleofCriticalMineralsinCleanEnergyTransitions.pdf" TargetMode="External"/><Relationship Id="rId38" Type="http://schemas.openxmlformats.org/officeDocument/2006/relationships/hyperlink" Target="https://doi.org/10.1016/j.resenv.2025.100215" TargetMode="External"/><Relationship Id="rId46" Type="http://schemas.openxmlformats.org/officeDocument/2006/relationships/hyperlink" Target="https://doi.org/10.1002/jsc.70023" TargetMode="External"/><Relationship Id="rId20" Type="http://schemas.openxmlformats.org/officeDocument/2006/relationships/hyperlink" Target="https://www.bhp.com/-/media/documents/investors/annual-reports/2026/260818_bhpannualreport2026.pdf" TargetMode="External"/><Relationship Id="rId41" Type="http://schemas.openxmlformats.org/officeDocument/2006/relationships/hyperlink" Target="https://www.riotinto.com/en/invest/reports/climate-reporting"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F4C28-27B7-46F8-8609-E051C9578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4346</Words>
  <Characters>24773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anjali karavadara</dc:creator>
  <cp:lastModifiedBy>ashmita thakor</cp:lastModifiedBy>
  <cp:revision>6</cp:revision>
  <dcterms:created xsi:type="dcterms:W3CDTF">2026-10-21T18:05:00Z</dcterms:created>
  <dcterms:modified xsi:type="dcterms:W3CDTF">2026-10-21T18:10:00Z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353f56460588db0d788cf408049e5ed8ef5389962175d9f63e91e8f594e4d91e</vt:lpwstr>
  </property>
  <property fmtid="{D5CDD505-2E9C-101B-9397-08002B2CF9AE}" pid="3" name="ICV">
    <vt:lpwstr>ddb51b1f85654c549dfa0572626f2895_23</vt:lpwstr>
  </property>
</Properties>
</file>