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2CBDB" w14:textId="47F75727" w:rsidR="00485039" w:rsidRPr="003E7BB0" w:rsidRDefault="00485039" w:rsidP="00000F12">
      <w:pPr>
        <w:jc w:val="center"/>
        <w:rPr>
          <w:b/>
          <w:bCs/>
          <w:sz w:val="56"/>
          <w:szCs w:val="56"/>
          <w:u w:val="single"/>
        </w:rPr>
      </w:pPr>
      <w:r w:rsidRPr="003E7BB0">
        <w:rPr>
          <w:b/>
          <w:bCs/>
          <w:sz w:val="56"/>
          <w:szCs w:val="56"/>
          <w:u w:val="single"/>
        </w:rPr>
        <w:t>EC</w:t>
      </w:r>
      <w:r w:rsidR="00BE53DE" w:rsidRPr="003E7BB0">
        <w:rPr>
          <w:b/>
          <w:bCs/>
          <w:sz w:val="56"/>
          <w:szCs w:val="56"/>
          <w:u w:val="single"/>
        </w:rPr>
        <w:t>IE5010</w:t>
      </w:r>
      <w:r w:rsidR="003E7BB0" w:rsidRPr="003E7BB0">
        <w:rPr>
          <w:b/>
          <w:bCs/>
          <w:sz w:val="56"/>
          <w:szCs w:val="56"/>
          <w:u w:val="single"/>
        </w:rPr>
        <w:t>C</w:t>
      </w:r>
    </w:p>
    <w:p w14:paraId="6629626C" w14:textId="5ED58563" w:rsidR="00BE53DE" w:rsidRDefault="003E7BB0" w:rsidP="00485039">
      <w:pPr>
        <w:jc w:val="center"/>
        <w:rPr>
          <w:b/>
          <w:bCs/>
          <w:sz w:val="56"/>
          <w:szCs w:val="56"/>
          <w:u w:val="single"/>
          <w:lang w:val="cy-GB"/>
        </w:rPr>
      </w:pPr>
      <w:r w:rsidRPr="003E7BB0">
        <w:rPr>
          <w:b/>
          <w:bCs/>
          <w:sz w:val="56"/>
          <w:szCs w:val="56"/>
          <w:u w:val="single"/>
          <w:lang w:val="cy-GB"/>
        </w:rPr>
        <w:t>Cadw ein Plant yn Ddiogel</w:t>
      </w:r>
    </w:p>
    <w:p w14:paraId="7DA08161" w14:textId="77777777" w:rsidR="00000F12" w:rsidRDefault="00000F12" w:rsidP="00485039">
      <w:pPr>
        <w:jc w:val="center"/>
        <w:rPr>
          <w:b/>
          <w:bCs/>
          <w:sz w:val="56"/>
          <w:szCs w:val="56"/>
          <w:u w:val="single"/>
          <w:lang w:val="cy-GB"/>
        </w:rPr>
      </w:pPr>
    </w:p>
    <w:p w14:paraId="05711B2D" w14:textId="77777777" w:rsidR="00000F12" w:rsidRPr="00000F12" w:rsidRDefault="00000F12" w:rsidP="00000F12">
      <w:pPr>
        <w:numPr>
          <w:ilvl w:val="0"/>
          <w:numId w:val="2"/>
        </w:numPr>
        <w:jc w:val="center"/>
        <w:rPr>
          <w:i/>
          <w:iCs/>
          <w:sz w:val="56"/>
          <w:szCs w:val="56"/>
        </w:rPr>
      </w:pPr>
      <w:r w:rsidRPr="00000F12">
        <w:rPr>
          <w:i/>
          <w:iCs/>
          <w:sz w:val="56"/>
          <w:szCs w:val="56"/>
          <w:lang w:val="cy-GB"/>
        </w:rPr>
        <w:t xml:space="preserve">‘Mae’r model </w:t>
      </w:r>
      <w:proofErr w:type="spellStart"/>
      <w:r w:rsidRPr="00000F12">
        <w:rPr>
          <w:i/>
          <w:iCs/>
          <w:sz w:val="56"/>
          <w:szCs w:val="56"/>
          <w:lang w:val="cy-GB"/>
        </w:rPr>
        <w:t>Amlasiantaeth</w:t>
      </w:r>
      <w:proofErr w:type="spellEnd"/>
      <w:r w:rsidRPr="00000F12">
        <w:rPr>
          <w:i/>
          <w:iCs/>
          <w:sz w:val="56"/>
          <w:szCs w:val="56"/>
          <w:lang w:val="cy-GB"/>
        </w:rPr>
        <w:t xml:space="preserve"> yng Nghymru yn hyrwyddo llesiant plant a phobl ifanc’. Trafodwch hyn yn feirniadol.</w:t>
      </w:r>
    </w:p>
    <w:p w14:paraId="7FBEF20C" w14:textId="77777777" w:rsidR="00000F12" w:rsidRDefault="00000F12" w:rsidP="00485039">
      <w:pPr>
        <w:jc w:val="center"/>
        <w:rPr>
          <w:b/>
          <w:bCs/>
          <w:sz w:val="56"/>
          <w:szCs w:val="56"/>
          <w:u w:val="single"/>
        </w:rPr>
      </w:pPr>
    </w:p>
    <w:p w14:paraId="585AF0C3" w14:textId="77777777" w:rsidR="00000F12" w:rsidRPr="003E7BB0" w:rsidRDefault="00000F12" w:rsidP="00485039">
      <w:pPr>
        <w:jc w:val="center"/>
        <w:rPr>
          <w:b/>
          <w:bCs/>
          <w:sz w:val="56"/>
          <w:szCs w:val="56"/>
          <w:u w:val="single"/>
        </w:rPr>
      </w:pPr>
    </w:p>
    <w:p w14:paraId="2662FE60" w14:textId="1FA79F4F" w:rsidR="00485039" w:rsidRDefault="00485039" w:rsidP="00000F12">
      <w:pPr>
        <w:jc w:val="center"/>
        <w:rPr>
          <w:b/>
          <w:bCs/>
          <w:sz w:val="56"/>
          <w:szCs w:val="56"/>
        </w:rPr>
      </w:pPr>
      <w:r>
        <w:rPr>
          <w:b/>
          <w:bCs/>
          <w:sz w:val="56"/>
          <w:szCs w:val="56"/>
        </w:rPr>
        <w:t>Tomos Bolton</w:t>
      </w:r>
    </w:p>
    <w:p w14:paraId="3EC5639F" w14:textId="77777777" w:rsidR="00485039" w:rsidRDefault="00485039" w:rsidP="00485039">
      <w:pPr>
        <w:jc w:val="center"/>
        <w:rPr>
          <w:b/>
          <w:bCs/>
          <w:sz w:val="56"/>
          <w:szCs w:val="56"/>
        </w:rPr>
      </w:pPr>
    </w:p>
    <w:p w14:paraId="358B8DD3" w14:textId="77777777" w:rsidR="00485039" w:rsidRPr="00C01D6F" w:rsidRDefault="00485039" w:rsidP="00485039">
      <w:pPr>
        <w:jc w:val="center"/>
        <w:rPr>
          <w:b/>
          <w:bCs/>
          <w:sz w:val="56"/>
          <w:szCs w:val="56"/>
        </w:rPr>
      </w:pPr>
      <w:proofErr w:type="spellStart"/>
      <w:r>
        <w:rPr>
          <w:b/>
          <w:bCs/>
          <w:sz w:val="56"/>
          <w:szCs w:val="56"/>
        </w:rPr>
        <w:t>Rhif</w:t>
      </w:r>
      <w:proofErr w:type="spellEnd"/>
      <w:r>
        <w:rPr>
          <w:b/>
          <w:bCs/>
          <w:sz w:val="56"/>
          <w:szCs w:val="56"/>
        </w:rPr>
        <w:t xml:space="preserve"> </w:t>
      </w:r>
      <w:proofErr w:type="spellStart"/>
      <w:r>
        <w:rPr>
          <w:b/>
          <w:bCs/>
          <w:sz w:val="56"/>
          <w:szCs w:val="56"/>
        </w:rPr>
        <w:t>Myfyriwr</w:t>
      </w:r>
      <w:proofErr w:type="spellEnd"/>
      <w:r>
        <w:rPr>
          <w:b/>
          <w:bCs/>
          <w:sz w:val="56"/>
          <w:szCs w:val="56"/>
        </w:rPr>
        <w:t xml:space="preserve"> - 2316335</w:t>
      </w:r>
    </w:p>
    <w:p w14:paraId="14A83316" w14:textId="77777777" w:rsidR="004820C7" w:rsidRDefault="004820C7"/>
    <w:p w14:paraId="4309750F" w14:textId="77777777" w:rsidR="004820C7" w:rsidRDefault="004820C7"/>
    <w:p w14:paraId="1520A5AE" w14:textId="77777777" w:rsidR="004820C7" w:rsidRDefault="004820C7"/>
    <w:p w14:paraId="06611D9D" w14:textId="77777777" w:rsidR="004820C7" w:rsidRDefault="004820C7"/>
    <w:p w14:paraId="132367E1" w14:textId="77777777" w:rsidR="00000F12" w:rsidRDefault="00000F12" w:rsidP="005C0EC3">
      <w:pPr>
        <w:spacing w:line="360" w:lineRule="auto"/>
      </w:pPr>
    </w:p>
    <w:p w14:paraId="650D88FE" w14:textId="2296ED89" w:rsidR="005C0EC3" w:rsidRDefault="005C0EC3" w:rsidP="005C0EC3">
      <w:pPr>
        <w:spacing w:line="360" w:lineRule="auto"/>
        <w:rPr>
          <w:rFonts w:ascii="Times New Roman" w:hAnsi="Times New Roman" w:cs="Times New Roman"/>
          <w:lang w:val="cy-GB"/>
        </w:rPr>
      </w:pPr>
      <w:r w:rsidRPr="005C0EC3">
        <w:rPr>
          <w:rFonts w:ascii="Times New Roman" w:hAnsi="Times New Roman" w:cs="Times New Roman"/>
          <w:lang w:val="cy-GB"/>
        </w:rPr>
        <w:lastRenderedPageBreak/>
        <w:t>Mae diogelu yn cyfeirio at y set ehangach o gamau a gymerir i amddiffyn plant rhag camdriniaeth, atal nam ar iechyd neu ddatblygiad, sicrhau eu bod yn tyfu i fyny mewn gofal diogel ac effeithiol, a'u galluogi i gael cyfleoedd bywyd gorau posibl. Mae amddiffyn plant yn fwy cyfyng: dyma'r gweithgaredd a gymerir pan amheuir bod plentyn yn dioddef, neu'n debygol o ddioddef, niwed sylweddol. Yng Nghymru, mae'r model aml</w:t>
      </w:r>
      <w:r w:rsidR="0062453F">
        <w:rPr>
          <w:rFonts w:ascii="Times New Roman" w:hAnsi="Times New Roman" w:cs="Times New Roman"/>
          <w:lang w:val="cy-GB"/>
        </w:rPr>
        <w:t>-</w:t>
      </w:r>
      <w:r w:rsidRPr="005C0EC3">
        <w:rPr>
          <w:rFonts w:ascii="Times New Roman" w:hAnsi="Times New Roman" w:cs="Times New Roman"/>
          <w:lang w:val="cy-GB"/>
        </w:rPr>
        <w:t>asiantaeth wedi'i gynllunio i ddod ag addysg, iechyd, gwasanaethau cymdeithasol, yr heddlu a gwasanaethau arbenigol at ei gilydd fel nad oes unrhyw weithiwr proffesiynol sengl yn cario baich y risg ar ei ben ei hun</w:t>
      </w:r>
      <w:r w:rsidR="004050EF">
        <w:rPr>
          <w:rFonts w:ascii="Times New Roman" w:hAnsi="Times New Roman" w:cs="Times New Roman"/>
          <w:lang w:val="cy-GB"/>
        </w:rPr>
        <w:t xml:space="preserve"> </w:t>
      </w:r>
      <w:r w:rsidR="004050EF" w:rsidRPr="004050EF">
        <w:rPr>
          <w:rFonts w:ascii="Times New Roman" w:hAnsi="Times New Roman" w:cs="Times New Roman"/>
        </w:rPr>
        <w:t>(NSPCC, 2023)</w:t>
      </w:r>
      <w:r w:rsidRPr="005C0EC3">
        <w:rPr>
          <w:rFonts w:ascii="Times New Roman" w:hAnsi="Times New Roman" w:cs="Times New Roman"/>
          <w:lang w:val="cy-GB"/>
        </w:rPr>
        <w:t>.</w:t>
      </w:r>
      <w:r w:rsidR="00157B6B">
        <w:rPr>
          <w:rFonts w:ascii="Times New Roman" w:hAnsi="Times New Roman" w:cs="Times New Roman"/>
          <w:lang w:val="cy-GB"/>
        </w:rPr>
        <w:t xml:space="preserve"> </w:t>
      </w:r>
      <w:r w:rsidR="00157B6B" w:rsidRPr="00157B6B">
        <w:rPr>
          <w:rFonts w:ascii="Times New Roman" w:hAnsi="Times New Roman" w:cs="Times New Roman"/>
          <w:lang w:val="cy-GB"/>
        </w:rPr>
        <w:t>Mae'r model aml</w:t>
      </w:r>
      <w:r w:rsidR="00157B6B">
        <w:rPr>
          <w:rFonts w:ascii="Times New Roman" w:hAnsi="Times New Roman" w:cs="Times New Roman"/>
          <w:lang w:val="cy-GB"/>
        </w:rPr>
        <w:t>-</w:t>
      </w:r>
      <w:r w:rsidR="00157B6B" w:rsidRPr="00157B6B">
        <w:rPr>
          <w:rFonts w:ascii="Times New Roman" w:hAnsi="Times New Roman" w:cs="Times New Roman"/>
          <w:lang w:val="cy-GB"/>
        </w:rPr>
        <w:t>asiantaeth yng Nghymru yn hyrwyddo lles plant, ond dim ond yn amodol: mae'n gweithio orau pan fydd rhannu gwybodaeth, arweinyddiaeth, adnoddau ac atebolrwydd yn gryf, ac mae'n methu pan fydd asiantaethau'n dychwelyd i arfer ar wahân neu gydymffurfiaeth heb ddigon o adnoddau. Barn feirniadol yw bod Cymru wedi adeiladu fframwaith statudol sy'n seiliedig ar hawliau trawiadol, ond mae adolygiadau achosion difrifol dro ar ôl tro yn dangos nad yw uchelgais polisi bob amser wedi trosi'n arfer cyson ar lawr gwlad</w:t>
      </w:r>
      <w:r w:rsidR="00D9648A">
        <w:rPr>
          <w:rFonts w:ascii="Times New Roman" w:hAnsi="Times New Roman" w:cs="Times New Roman"/>
          <w:lang w:val="cy-GB"/>
        </w:rPr>
        <w:t xml:space="preserve"> </w:t>
      </w:r>
      <w:r w:rsidR="00472243" w:rsidRPr="00472243">
        <w:rPr>
          <w:rFonts w:ascii="Times New Roman" w:hAnsi="Times New Roman" w:cs="Times New Roman"/>
        </w:rPr>
        <w:t>(Taylor-Collins and Gomes, 2021)</w:t>
      </w:r>
      <w:r w:rsidR="00157B6B" w:rsidRPr="00157B6B">
        <w:rPr>
          <w:rFonts w:ascii="Times New Roman" w:hAnsi="Times New Roman" w:cs="Times New Roman"/>
          <w:lang w:val="cy-GB"/>
        </w:rPr>
        <w:t>.</w:t>
      </w:r>
    </w:p>
    <w:p w14:paraId="56639FF4" w14:textId="59427924" w:rsidR="00D07650" w:rsidRDefault="008F3171" w:rsidP="005C0EC3">
      <w:pPr>
        <w:spacing w:line="360" w:lineRule="auto"/>
        <w:rPr>
          <w:rFonts w:ascii="Times New Roman" w:hAnsi="Times New Roman" w:cs="Times New Roman"/>
          <w:lang w:val="cy-GB"/>
        </w:rPr>
      </w:pPr>
      <w:r w:rsidRPr="008F3171">
        <w:rPr>
          <w:rFonts w:ascii="Times New Roman" w:hAnsi="Times New Roman" w:cs="Times New Roman"/>
          <w:lang w:val="cy-GB"/>
        </w:rPr>
        <w:t xml:space="preserve">Mae diogelu yn ehangach na diogelu plant. Mae'n cyfeirio at y camau a gymerir i amddiffyn hawl plant i dyfu i </w:t>
      </w:r>
      <w:proofErr w:type="spellStart"/>
      <w:r w:rsidRPr="008F3171">
        <w:rPr>
          <w:rFonts w:ascii="Times New Roman" w:hAnsi="Times New Roman" w:cs="Times New Roman"/>
          <w:lang w:val="cy-GB"/>
        </w:rPr>
        <w:t>fyny'n</w:t>
      </w:r>
      <w:proofErr w:type="spellEnd"/>
      <w:r w:rsidRPr="008F3171">
        <w:rPr>
          <w:rFonts w:ascii="Times New Roman" w:hAnsi="Times New Roman" w:cs="Times New Roman"/>
          <w:lang w:val="cy-GB"/>
        </w:rPr>
        <w:t xml:space="preserve"> ddiogel rhag camdriniaeth, esgeulustod, </w:t>
      </w:r>
      <w:proofErr w:type="spellStart"/>
      <w:r w:rsidR="00BC1443">
        <w:rPr>
          <w:rFonts w:ascii="Times New Roman" w:hAnsi="Times New Roman" w:cs="Times New Roman"/>
          <w:lang w:val="cy-GB"/>
        </w:rPr>
        <w:t>ecsboletiaeth</w:t>
      </w:r>
      <w:proofErr w:type="spellEnd"/>
      <w:r w:rsidRPr="008F3171">
        <w:rPr>
          <w:rFonts w:ascii="Times New Roman" w:hAnsi="Times New Roman" w:cs="Times New Roman"/>
          <w:lang w:val="cy-GB"/>
        </w:rPr>
        <w:t xml:space="preserve"> a niwed, tra hefyd yn hyrwyddo eu hiechyd, eu datblygiad a'u lles. </w:t>
      </w:r>
      <w:r w:rsidR="004E7736" w:rsidRPr="004E7736">
        <w:rPr>
          <w:rFonts w:ascii="Times New Roman" w:hAnsi="Times New Roman" w:cs="Times New Roman"/>
          <w:lang w:val="cy-GB"/>
        </w:rPr>
        <w:t>Mae amddiffyn plant yn is-set fwy penodol o ddiogelu, sy’n canolbwyntio ar blant sy’n dioddef, neu sy’n debygol o ddioddef, niwed sylweddol ac sydd angen ymyrraeth statudol.</w:t>
      </w:r>
      <w:r w:rsidRPr="004E7736">
        <w:rPr>
          <w:rFonts w:ascii="Times New Roman" w:hAnsi="Times New Roman" w:cs="Times New Roman"/>
          <w:lang w:val="cy-GB"/>
        </w:rPr>
        <w:t xml:space="preserve">. </w:t>
      </w:r>
      <w:r w:rsidRPr="008F3171">
        <w:rPr>
          <w:rFonts w:ascii="Times New Roman" w:hAnsi="Times New Roman" w:cs="Times New Roman"/>
          <w:lang w:val="cy-GB"/>
        </w:rPr>
        <w:t>Mae'r gwahaniaeth hwn yn bwysig oherwydd gall ysgolion ac asiantaethau weithiau leihau diogelu i ymateb i argyfwng, pan mewn gwirionedd mae'r gyfraith a'r fframwaith polisi yng Nghymru yn disgwyl atal, ymyrraeth gynnar a hyrwyddo lles yn ogystal ag amddiffyn</w:t>
      </w:r>
      <w:r w:rsidR="00F10C5F">
        <w:rPr>
          <w:rFonts w:ascii="Times New Roman" w:hAnsi="Times New Roman" w:cs="Times New Roman"/>
          <w:lang w:val="cy-GB"/>
        </w:rPr>
        <w:t xml:space="preserve"> </w:t>
      </w:r>
      <w:r w:rsidR="001D38FC" w:rsidRPr="001D38FC">
        <w:rPr>
          <w:rFonts w:ascii="Times New Roman" w:hAnsi="Times New Roman" w:cs="Times New Roman"/>
        </w:rPr>
        <w:t>(</w:t>
      </w:r>
      <w:proofErr w:type="spellStart"/>
      <w:r w:rsidR="001D38FC" w:rsidRPr="001D38FC">
        <w:rPr>
          <w:rFonts w:ascii="Times New Roman" w:hAnsi="Times New Roman" w:cs="Times New Roman"/>
        </w:rPr>
        <w:t>Llywodraeth</w:t>
      </w:r>
      <w:proofErr w:type="spellEnd"/>
      <w:r w:rsidR="001D38FC" w:rsidRPr="001D38FC">
        <w:rPr>
          <w:rFonts w:ascii="Times New Roman" w:hAnsi="Times New Roman" w:cs="Times New Roman"/>
        </w:rPr>
        <w:t xml:space="preserve"> Cymru, 2021)</w:t>
      </w:r>
      <w:r w:rsidRPr="008F3171">
        <w:rPr>
          <w:rFonts w:ascii="Times New Roman" w:hAnsi="Times New Roman" w:cs="Times New Roman"/>
          <w:lang w:val="cy-GB"/>
        </w:rPr>
        <w:t>.</w:t>
      </w:r>
      <w:r w:rsidR="00436F7C">
        <w:rPr>
          <w:rFonts w:ascii="Times New Roman" w:hAnsi="Times New Roman" w:cs="Times New Roman"/>
          <w:lang w:val="cy-GB"/>
        </w:rPr>
        <w:t xml:space="preserve"> </w:t>
      </w:r>
      <w:r w:rsidR="00436F7C" w:rsidRPr="00436F7C">
        <w:rPr>
          <w:rFonts w:ascii="Times New Roman" w:hAnsi="Times New Roman" w:cs="Times New Roman"/>
          <w:lang w:val="cy-GB"/>
        </w:rPr>
        <w:t>Mater hollbwysig yw bod systemau diogelu yn aml yn dod yn adweithiol yn hytrach nag ataliol. Mae iaith y polisi yn pwysleisio cymorth cynnar, hawliau plant, a chefnogaeth gyfannol, ond gall arfer symud tuag at reoli argyfwng, yn enwedig pan fydd asiantaethau dan straen gormodol. Mae hyn yn golygu bod y ddelfryd o ddiogelu fel model lles rhagweithiol yn aml yn cael ei beryglu gan realiti llwyth gwaith, pwysau ariannu, ac ansicrwydd proffesiynol. Yn yr ystyr hwnnw, nid dyletswydd foesol yn unig yw diogelu; mae hefyd yn brawf o a all systemau cyhoeddus weithio'n gydlynol o amgylch y plentyn yn hytrach nag o amgylch ffiniau sefydliadol</w:t>
      </w:r>
      <w:r w:rsidR="00B01098">
        <w:rPr>
          <w:rFonts w:ascii="Times New Roman" w:hAnsi="Times New Roman" w:cs="Times New Roman"/>
          <w:lang w:val="cy-GB"/>
        </w:rPr>
        <w:t xml:space="preserve"> </w:t>
      </w:r>
      <w:r w:rsidR="00462CA4" w:rsidRPr="00462CA4">
        <w:rPr>
          <w:rFonts w:ascii="Times New Roman" w:hAnsi="Times New Roman" w:cs="Times New Roman"/>
        </w:rPr>
        <w:t>(</w:t>
      </w:r>
      <w:proofErr w:type="spellStart"/>
      <w:r w:rsidR="00462CA4" w:rsidRPr="00462CA4">
        <w:rPr>
          <w:rFonts w:ascii="Times New Roman" w:hAnsi="Times New Roman" w:cs="Times New Roman"/>
        </w:rPr>
        <w:t>Llywodraeth</w:t>
      </w:r>
      <w:proofErr w:type="spellEnd"/>
      <w:r w:rsidR="00462CA4" w:rsidRPr="00462CA4">
        <w:rPr>
          <w:rFonts w:ascii="Times New Roman" w:hAnsi="Times New Roman" w:cs="Times New Roman"/>
        </w:rPr>
        <w:t xml:space="preserve"> Cymru, 2025)</w:t>
      </w:r>
      <w:r w:rsidR="00436F7C" w:rsidRPr="00436F7C">
        <w:rPr>
          <w:rFonts w:ascii="Times New Roman" w:hAnsi="Times New Roman" w:cs="Times New Roman"/>
          <w:lang w:val="cy-GB"/>
        </w:rPr>
        <w:t>.</w:t>
      </w:r>
    </w:p>
    <w:p w14:paraId="0FCF2F7A" w14:textId="6BFEFB61" w:rsidR="00472243" w:rsidRDefault="00003AD1" w:rsidP="005C0EC3">
      <w:pPr>
        <w:spacing w:line="360" w:lineRule="auto"/>
        <w:rPr>
          <w:rFonts w:ascii="Times New Roman" w:hAnsi="Times New Roman" w:cs="Times New Roman"/>
          <w:lang w:val="cy-GB"/>
        </w:rPr>
      </w:pPr>
      <w:r w:rsidRPr="00003AD1">
        <w:rPr>
          <w:rFonts w:ascii="Times New Roman" w:hAnsi="Times New Roman" w:cs="Times New Roman"/>
          <w:lang w:val="cy-GB"/>
        </w:rPr>
        <w:t>Mae dull aml</w:t>
      </w:r>
      <w:r w:rsidR="00BF198A">
        <w:rPr>
          <w:rFonts w:ascii="Times New Roman" w:hAnsi="Times New Roman" w:cs="Times New Roman"/>
          <w:lang w:val="cy-GB"/>
        </w:rPr>
        <w:t>-</w:t>
      </w:r>
      <w:r w:rsidRPr="00003AD1">
        <w:rPr>
          <w:rFonts w:ascii="Times New Roman" w:hAnsi="Times New Roman" w:cs="Times New Roman"/>
          <w:lang w:val="cy-GB"/>
        </w:rPr>
        <w:t xml:space="preserve">asiantaeth yn golygu cydweithio cynlluniedig rhwng gwahanol weithwyr proffesiynol a gwasanaethau i asesu angen, rhannu gwybodaeth ac ymyrryd yn gynnar lle mae lles plentyn mewn perygl. Yng Nghymru, mae hyn yn cynnwys ysgolion, gwasanaethau </w:t>
      </w:r>
      <w:r w:rsidRPr="00003AD1">
        <w:rPr>
          <w:rFonts w:ascii="Times New Roman" w:hAnsi="Times New Roman" w:cs="Times New Roman"/>
          <w:lang w:val="cy-GB"/>
        </w:rPr>
        <w:lastRenderedPageBreak/>
        <w:t>cymdeithasol awdurdodau lleol, yr heddlu, gweithwyr iechyd proffesiynol, cyfiawnder ieuenctid, a sefydliadau trydydd sector sy'n gweithio o fewn strwythurau partneriaeth diogelu. Yn ddamcaniaethol, mae'n cyd-fynd â dealltwriaethau ecolegol a systemau-seiliedig o ddatblygiad plant, sy'n dadlau bod plant yn cael eu llunio gan amgylcheddau rhyngweithiol yn hytrach na ffactorau teuluol yn unig</w:t>
      </w:r>
      <w:r w:rsidR="00791BC1">
        <w:rPr>
          <w:rFonts w:ascii="Times New Roman" w:hAnsi="Times New Roman" w:cs="Times New Roman"/>
          <w:lang w:val="cy-GB"/>
        </w:rPr>
        <w:t xml:space="preserve"> </w:t>
      </w:r>
      <w:r w:rsidR="00B13629" w:rsidRPr="00B13629">
        <w:rPr>
          <w:rFonts w:ascii="Times New Roman" w:hAnsi="Times New Roman" w:cs="Times New Roman"/>
        </w:rPr>
        <w:t>(Owens and Lloyd, 2023)</w:t>
      </w:r>
      <w:r w:rsidRPr="00003AD1">
        <w:rPr>
          <w:rFonts w:ascii="Times New Roman" w:hAnsi="Times New Roman" w:cs="Times New Roman"/>
          <w:lang w:val="cy-GB"/>
        </w:rPr>
        <w:t>.</w:t>
      </w:r>
      <w:r w:rsidR="00C2361E">
        <w:rPr>
          <w:rFonts w:ascii="Times New Roman" w:hAnsi="Times New Roman" w:cs="Times New Roman"/>
          <w:lang w:val="cy-GB"/>
        </w:rPr>
        <w:t xml:space="preserve"> </w:t>
      </w:r>
      <w:r w:rsidR="00250282" w:rsidRPr="00250282">
        <w:rPr>
          <w:rFonts w:ascii="Times New Roman" w:hAnsi="Times New Roman" w:cs="Times New Roman"/>
          <w:lang w:val="cy-GB"/>
        </w:rPr>
        <w:t xml:space="preserve">Mae'r model hwn yn ddeniadol oherwydd ei fod yn cydnabod bod esgeulustod, cam-drin, </w:t>
      </w:r>
      <w:proofErr w:type="spellStart"/>
      <w:r w:rsidR="00031879">
        <w:rPr>
          <w:rFonts w:ascii="Times New Roman" w:hAnsi="Times New Roman" w:cs="Times New Roman"/>
          <w:lang w:val="cy-GB"/>
        </w:rPr>
        <w:t>ecsbloetiaeth</w:t>
      </w:r>
      <w:proofErr w:type="spellEnd"/>
      <w:r w:rsidR="00250282" w:rsidRPr="00250282">
        <w:rPr>
          <w:rFonts w:ascii="Times New Roman" w:hAnsi="Times New Roman" w:cs="Times New Roman"/>
          <w:lang w:val="cy-GB"/>
        </w:rPr>
        <w:t xml:space="preserve">, anabledd, cam-drin domestig, ac afiechyd meddwl yn aml yn gorgyffwrdd. Mae hefyd yn gyson â damcaniaeth systemau ecolegol </w:t>
      </w:r>
      <w:proofErr w:type="spellStart"/>
      <w:r w:rsidR="00250282" w:rsidRPr="00250282">
        <w:rPr>
          <w:rFonts w:ascii="Times New Roman" w:hAnsi="Times New Roman" w:cs="Times New Roman"/>
          <w:lang w:val="cy-GB"/>
        </w:rPr>
        <w:t>Bronfenbrenner</w:t>
      </w:r>
      <w:proofErr w:type="spellEnd"/>
      <w:r w:rsidR="00250282" w:rsidRPr="00250282">
        <w:rPr>
          <w:rFonts w:ascii="Times New Roman" w:hAnsi="Times New Roman" w:cs="Times New Roman"/>
          <w:lang w:val="cy-GB"/>
        </w:rPr>
        <w:t xml:space="preserve">, sy'n helpu i esbonio pam mae'n rhaid i ymyrraeth ymestyn y tu hwnt i'r plentyn i'r teulu, yr ysgol, y gymuned, a'r amgylchedd polisi ehangach. Fodd bynnag, gall iaith ecolegol mewn polisi ddod yn arwynebol oni bai bod gan asiantaethau'r gallu, yr amser, a'r fframwaith a rennir i weithredu </w:t>
      </w:r>
      <w:proofErr w:type="spellStart"/>
      <w:r w:rsidR="00250282" w:rsidRPr="00250282">
        <w:rPr>
          <w:rFonts w:ascii="Times New Roman" w:hAnsi="Times New Roman" w:cs="Times New Roman"/>
          <w:lang w:val="cy-GB"/>
        </w:rPr>
        <w:t>arni'n</w:t>
      </w:r>
      <w:proofErr w:type="spellEnd"/>
      <w:r w:rsidR="00250282" w:rsidRPr="00250282">
        <w:rPr>
          <w:rFonts w:ascii="Times New Roman" w:hAnsi="Times New Roman" w:cs="Times New Roman"/>
          <w:lang w:val="cy-GB"/>
        </w:rPr>
        <w:t xml:space="preserve"> gyson</w:t>
      </w:r>
      <w:r w:rsidR="00250282">
        <w:rPr>
          <w:rFonts w:ascii="Times New Roman" w:hAnsi="Times New Roman" w:cs="Times New Roman"/>
          <w:lang w:val="cy-GB"/>
        </w:rPr>
        <w:t xml:space="preserve"> </w:t>
      </w:r>
      <w:r w:rsidR="00C2361E" w:rsidRPr="00B13629">
        <w:rPr>
          <w:rFonts w:ascii="Times New Roman" w:hAnsi="Times New Roman" w:cs="Times New Roman"/>
        </w:rPr>
        <w:t>(Owens and Lloyd, 2023)</w:t>
      </w:r>
      <w:r w:rsidR="00C2361E" w:rsidRPr="00003AD1">
        <w:rPr>
          <w:rFonts w:ascii="Times New Roman" w:hAnsi="Times New Roman" w:cs="Times New Roman"/>
          <w:lang w:val="cy-GB"/>
        </w:rPr>
        <w:t>.</w:t>
      </w:r>
    </w:p>
    <w:p w14:paraId="56DD3C7E" w14:textId="0C6B9CA1" w:rsidR="00031879" w:rsidRDefault="00E927BC" w:rsidP="005C0EC3">
      <w:pPr>
        <w:spacing w:line="360" w:lineRule="auto"/>
        <w:rPr>
          <w:rFonts w:ascii="Times New Roman" w:hAnsi="Times New Roman" w:cs="Times New Roman"/>
          <w:lang w:val="cy-GB"/>
        </w:rPr>
      </w:pPr>
      <w:r w:rsidRPr="00E927BC">
        <w:rPr>
          <w:rFonts w:ascii="Times New Roman" w:hAnsi="Times New Roman" w:cs="Times New Roman"/>
          <w:lang w:val="cy-GB"/>
        </w:rPr>
        <w:t xml:space="preserve">Mae Cymru’n defnyddio gwahanol ffurfiau o waith </w:t>
      </w:r>
      <w:proofErr w:type="spellStart"/>
      <w:r w:rsidRPr="00E927BC">
        <w:rPr>
          <w:rFonts w:ascii="Times New Roman" w:hAnsi="Times New Roman" w:cs="Times New Roman"/>
          <w:lang w:val="cy-GB"/>
        </w:rPr>
        <w:t>amlasiantaeth</w:t>
      </w:r>
      <w:proofErr w:type="spellEnd"/>
      <w:r w:rsidRPr="00E927BC">
        <w:rPr>
          <w:rFonts w:ascii="Times New Roman" w:hAnsi="Times New Roman" w:cs="Times New Roman"/>
          <w:lang w:val="cy-GB"/>
        </w:rPr>
        <w:t xml:space="preserve">, gan gynnwys partneriaethau diogelu, gwaith clwstwr mewn ysgolion, trefniadau cymorth cynnar, a modelau arbenigol fel Canolfannau Diogelu </w:t>
      </w:r>
      <w:proofErr w:type="spellStart"/>
      <w:r w:rsidRPr="00E927BC">
        <w:rPr>
          <w:rFonts w:ascii="Times New Roman" w:hAnsi="Times New Roman" w:cs="Times New Roman"/>
          <w:lang w:val="cy-GB"/>
        </w:rPr>
        <w:t>Amlasiantaeth</w:t>
      </w:r>
      <w:proofErr w:type="spellEnd"/>
      <w:r w:rsidRPr="00E927BC">
        <w:rPr>
          <w:rFonts w:ascii="Times New Roman" w:hAnsi="Times New Roman" w:cs="Times New Roman"/>
          <w:lang w:val="cy-GB"/>
        </w:rPr>
        <w:t xml:space="preserve">, neu MASH. Gall MASH wella </w:t>
      </w:r>
      <w:proofErr w:type="spellStart"/>
      <w:r w:rsidRPr="00E927BC">
        <w:rPr>
          <w:rFonts w:ascii="Times New Roman" w:hAnsi="Times New Roman" w:cs="Times New Roman"/>
          <w:lang w:val="cy-GB"/>
        </w:rPr>
        <w:t>triagio</w:t>
      </w:r>
      <w:proofErr w:type="spellEnd"/>
      <w:r w:rsidRPr="00E927BC">
        <w:rPr>
          <w:rFonts w:ascii="Times New Roman" w:hAnsi="Times New Roman" w:cs="Times New Roman"/>
          <w:lang w:val="cy-GB"/>
        </w:rPr>
        <w:t xml:space="preserve"> a gwneud penderfyniadau drwy ddod ag asiantaethau ynghyd o amgylch gwybodaeth a rennir, ond nid ydynt yn datrys problemau diwylliannol neu strwythurol dyfnach yn awtomatig. Mae ymchwil ar arfer gwybodaeth </w:t>
      </w:r>
      <w:proofErr w:type="spellStart"/>
      <w:r w:rsidRPr="00E927BC">
        <w:rPr>
          <w:rFonts w:ascii="Times New Roman" w:hAnsi="Times New Roman" w:cs="Times New Roman"/>
          <w:lang w:val="cy-GB"/>
        </w:rPr>
        <w:t>amlasiantaeth</w:t>
      </w:r>
      <w:proofErr w:type="spellEnd"/>
      <w:r w:rsidRPr="00E927BC">
        <w:rPr>
          <w:rFonts w:ascii="Times New Roman" w:hAnsi="Times New Roman" w:cs="Times New Roman"/>
          <w:lang w:val="cy-GB"/>
        </w:rPr>
        <w:t xml:space="preserve"> yn dangos bod gweithwyr proffesiynol yn aml yn dal i gael trafferth i gyflawni “y darlun llawn,” oherwydd bod gwybodaeth yn anwastad, yn hwyr, neu’n cael ei dehongli drwy lensys proffesiynol gwahanol</w:t>
      </w:r>
      <w:r>
        <w:rPr>
          <w:rFonts w:ascii="Times New Roman" w:hAnsi="Times New Roman" w:cs="Times New Roman"/>
          <w:lang w:val="cy-GB"/>
        </w:rPr>
        <w:t xml:space="preserve"> </w:t>
      </w:r>
      <w:r w:rsidR="00473547" w:rsidRPr="00473547">
        <w:rPr>
          <w:rFonts w:ascii="Times New Roman" w:hAnsi="Times New Roman" w:cs="Times New Roman"/>
        </w:rPr>
        <w:t>(Thompson, 2012)</w:t>
      </w:r>
      <w:r w:rsidRPr="00E927BC">
        <w:rPr>
          <w:rFonts w:ascii="Times New Roman" w:hAnsi="Times New Roman" w:cs="Times New Roman"/>
          <w:lang w:val="cy-GB"/>
        </w:rPr>
        <w:t>.</w:t>
      </w:r>
    </w:p>
    <w:p w14:paraId="06FFFB69" w14:textId="6590DAB1" w:rsidR="00320167" w:rsidRDefault="00320167" w:rsidP="005C0EC3">
      <w:pPr>
        <w:spacing w:line="360" w:lineRule="auto"/>
        <w:rPr>
          <w:rFonts w:ascii="Times New Roman" w:hAnsi="Times New Roman" w:cs="Times New Roman"/>
          <w:lang w:val="cy-GB"/>
        </w:rPr>
      </w:pPr>
      <w:r w:rsidRPr="00320167">
        <w:rPr>
          <w:rFonts w:ascii="Times New Roman" w:hAnsi="Times New Roman" w:cs="Times New Roman"/>
          <w:lang w:val="cy-GB"/>
        </w:rPr>
        <w:t>Mae fframwaith diogelu modern yng Nghymru wedi’i lunio gan gyfres o ddatblygiadau deddfwriaethol a pholisi a gynlluniwyd i fynd i’r afael â methiannau’r gorffennol. Sefydlodd Deddf Plant 2004 ddisgwyliadau cryfach ynghylch cydweithrediad rhyngasiantaethol a gosod dyletswydd ar asiantaethau i ddiogelu a hyrwyddo lles plant. Yng Nghymru, cryfhaodd Deddf Gwasanaethau Cymdeithasol a Llesiant (Cymru) 2014 y fframwaith hwn ymhellach trwy bwysleisio atal, llais, rheolaeth a lles, tra hefyd yn creu strwythurau diogelu rhanbarthol. Ychwanegodd Confensiwn y Cenhedloedd Unedig ar Hawliau’r Plentyn sylfaen bwysig yn seiliedig ar hawliau, gan atgyfnerthu’r egwyddor bod plant yn ddeiliaid hawliau yn hytrach na derbynwyr goddefol penderfyniadau oedolion</w:t>
      </w:r>
      <w:r w:rsidR="00FC2C5E">
        <w:rPr>
          <w:rFonts w:ascii="Times New Roman" w:hAnsi="Times New Roman" w:cs="Times New Roman"/>
          <w:lang w:val="cy-GB"/>
        </w:rPr>
        <w:t xml:space="preserve"> </w:t>
      </w:r>
      <w:r w:rsidR="00325234" w:rsidRPr="00325234">
        <w:rPr>
          <w:rFonts w:ascii="Times New Roman" w:hAnsi="Times New Roman" w:cs="Times New Roman"/>
        </w:rPr>
        <w:t>(NSPCC, 2024)</w:t>
      </w:r>
      <w:r w:rsidRPr="00320167">
        <w:rPr>
          <w:rFonts w:ascii="Times New Roman" w:hAnsi="Times New Roman" w:cs="Times New Roman"/>
          <w:lang w:val="cy-GB"/>
        </w:rPr>
        <w:t>.</w:t>
      </w:r>
    </w:p>
    <w:p w14:paraId="7BC17722" w14:textId="2B083B13" w:rsidR="002128F6" w:rsidRDefault="008E60F8" w:rsidP="005C0EC3">
      <w:pPr>
        <w:spacing w:line="360" w:lineRule="auto"/>
        <w:rPr>
          <w:rFonts w:ascii="Times New Roman" w:hAnsi="Times New Roman" w:cs="Times New Roman"/>
          <w:lang w:val="cy-GB"/>
        </w:rPr>
      </w:pPr>
      <w:r w:rsidRPr="008E60F8">
        <w:rPr>
          <w:rFonts w:ascii="Times New Roman" w:hAnsi="Times New Roman" w:cs="Times New Roman"/>
          <w:lang w:val="cy-GB"/>
        </w:rPr>
        <w:t xml:space="preserve">Mae'r diwygiadau hyn yn bwysig, ond maent hefyd yn datgelu patrwm cyffredin yn hanes amddiffyn plant: mae polisi yn aml yn adweithiol i drasiedi. Mae ymholiadau mawr ac </w:t>
      </w:r>
      <w:r w:rsidRPr="008E60F8">
        <w:rPr>
          <w:rFonts w:ascii="Times New Roman" w:hAnsi="Times New Roman" w:cs="Times New Roman"/>
          <w:lang w:val="cy-GB"/>
        </w:rPr>
        <w:lastRenderedPageBreak/>
        <w:t xml:space="preserve">adolygiadau achosion difrifol wedi datgelu methiannau dro ar ôl tro mewn cyfathrebu, her broffesiynol, a chydlynu </w:t>
      </w:r>
      <w:r w:rsidRPr="00D51DDA">
        <w:rPr>
          <w:rFonts w:ascii="Times New Roman" w:hAnsi="Times New Roman" w:cs="Times New Roman"/>
          <w:lang w:val="cy-GB"/>
        </w:rPr>
        <w:t xml:space="preserve">sefydliadol, gan arwain llywodraethau i ymateb trwy dynhau gweithdrefnau a ffurfioli cydweithrediad. </w:t>
      </w:r>
      <w:r w:rsidR="00D51DDA" w:rsidRPr="00D51DDA">
        <w:rPr>
          <w:rFonts w:ascii="Times New Roman" w:hAnsi="Times New Roman" w:cs="Times New Roman"/>
          <w:lang w:val="cy-GB"/>
        </w:rPr>
        <w:t>Er bod hyn wedi creu disgwyliadau statudol cliriach, mae hefyd wedi annog diwylliant sy’n cael ei yrru gan gydymffurfiaeth, lle gall gweithwyr proffesiynol ganolbwyntio ar broses a gallu amddiffyn eu penderfyniadau yn hytrach na gweithio ar sail perthnasoedd</w:t>
      </w:r>
      <w:r w:rsidRPr="00D51DDA">
        <w:rPr>
          <w:rFonts w:ascii="Times New Roman" w:hAnsi="Times New Roman" w:cs="Times New Roman"/>
          <w:lang w:val="cy-GB"/>
        </w:rPr>
        <w:t>.</w:t>
      </w:r>
      <w:r w:rsidRPr="008E60F8">
        <w:rPr>
          <w:rFonts w:ascii="Times New Roman" w:hAnsi="Times New Roman" w:cs="Times New Roman"/>
          <w:lang w:val="cy-GB"/>
        </w:rPr>
        <w:t xml:space="preserve"> Mewn geiriau eraill, gall diwygio polisi wella systemau, ond gall hefyd greu rhwyd ​​​​ddiogelwch gweithdrefnol nad yw'n gwarantu arfer gwirioneddol sy'n canolbwyntio ar y plentyn</w:t>
      </w:r>
      <w:r w:rsidR="00CF08CA">
        <w:rPr>
          <w:rFonts w:ascii="Times New Roman" w:hAnsi="Times New Roman" w:cs="Times New Roman"/>
          <w:lang w:val="cy-GB"/>
        </w:rPr>
        <w:t xml:space="preserve"> </w:t>
      </w:r>
      <w:r w:rsidR="00CC74C2" w:rsidRPr="00CC74C2">
        <w:rPr>
          <w:rFonts w:ascii="Times New Roman" w:hAnsi="Times New Roman" w:cs="Times New Roman"/>
        </w:rPr>
        <w:t>(</w:t>
      </w:r>
      <w:proofErr w:type="spellStart"/>
      <w:r w:rsidR="00CC74C2" w:rsidRPr="00CC74C2">
        <w:rPr>
          <w:rFonts w:ascii="Times New Roman" w:hAnsi="Times New Roman" w:cs="Times New Roman"/>
        </w:rPr>
        <w:t>Llywodraeth</w:t>
      </w:r>
      <w:proofErr w:type="spellEnd"/>
      <w:r w:rsidR="00CC74C2" w:rsidRPr="00CC74C2">
        <w:rPr>
          <w:rFonts w:ascii="Times New Roman" w:hAnsi="Times New Roman" w:cs="Times New Roman"/>
        </w:rPr>
        <w:t xml:space="preserve"> Cymru, 2013)</w:t>
      </w:r>
      <w:r w:rsidRPr="008E60F8">
        <w:rPr>
          <w:rFonts w:ascii="Times New Roman" w:hAnsi="Times New Roman" w:cs="Times New Roman"/>
          <w:lang w:val="cy-GB"/>
        </w:rPr>
        <w:t>.</w:t>
      </w:r>
    </w:p>
    <w:p w14:paraId="1214E49E" w14:textId="66B2717C" w:rsidR="00BE34BB" w:rsidRDefault="00BE34BB" w:rsidP="005C0EC3">
      <w:pPr>
        <w:spacing w:line="360" w:lineRule="auto"/>
        <w:rPr>
          <w:rFonts w:ascii="Times New Roman" w:hAnsi="Times New Roman" w:cs="Times New Roman"/>
          <w:lang w:val="cy-GB"/>
        </w:rPr>
      </w:pPr>
      <w:r w:rsidRPr="003A0751">
        <w:rPr>
          <w:rFonts w:ascii="Times New Roman" w:hAnsi="Times New Roman" w:cs="Times New Roman"/>
          <w:lang w:val="cy-GB"/>
        </w:rPr>
        <w:t>Roedd Deddf Plant 2004 yn ymateb pwysig i fethiannau difrifol mewn diogelu plant ac atgyfnerthodd yr egwyddor bod yn rhaid i asiantaethau gydweithredu i wella lles plant. Mae ei phwysigrwydd parhaus yn gorwedd yn ei symudiad o ymarfer proffesiynol ynysig tuag at system gydlynol, ond barn feirniadol yw nad yw dyletswyddau cyfreithiol yn creu cydweithio effeithiol yn awtomatig; maent yn creu rhwymedigaethau sy'n dal i ddibynnu ar weithredu lleol, adnoddau a diwylliant proffesiynol. Mae'r CCUHP yn cryfhau'r fframwaith hwn trwy fframio plant fel deiliaid hawliau yn hytrach na derbynwyr goddefol gofal, yn enwedig trwy egwyddorion peidio â gwahaniaethu, buddiannau gorau, bywyd a datblygiad, a chyfranogiad. Mae Cymru wedi bod yn nodedig o flaengar wrth ymgorffori hawliau plant mewn cyfraith a pholisi addysg, ond gall iaith sy'n seiliedig ar hawliau ddod yn symbolaidd os nad yw lleisiau plant yn cael eu hadlewyrchu'n wirioneddol mewn gwneud penderfyniadau, yn enwedig pan fydd risg ac amddiffyniad yn dominyddu sylw proffesiynol</w:t>
      </w:r>
      <w:r w:rsidR="00991B84">
        <w:rPr>
          <w:rFonts w:ascii="Times New Roman" w:hAnsi="Times New Roman" w:cs="Times New Roman"/>
          <w:lang w:val="cy-GB"/>
        </w:rPr>
        <w:t xml:space="preserve"> </w:t>
      </w:r>
      <w:r w:rsidR="008E0C22" w:rsidRPr="008E0C22">
        <w:rPr>
          <w:rFonts w:ascii="Times New Roman" w:hAnsi="Times New Roman" w:cs="Times New Roman"/>
        </w:rPr>
        <w:t>(J</w:t>
      </w:r>
      <w:r w:rsidR="008E0C22">
        <w:rPr>
          <w:rFonts w:ascii="Times New Roman" w:hAnsi="Times New Roman" w:cs="Times New Roman"/>
        </w:rPr>
        <w:t>enkins</w:t>
      </w:r>
      <w:r w:rsidR="008E0C22" w:rsidRPr="008E0C22">
        <w:rPr>
          <w:rFonts w:ascii="Times New Roman" w:hAnsi="Times New Roman" w:cs="Times New Roman"/>
        </w:rPr>
        <w:t xml:space="preserve"> a P</w:t>
      </w:r>
      <w:r w:rsidR="008E0C22">
        <w:rPr>
          <w:rFonts w:ascii="Times New Roman" w:hAnsi="Times New Roman" w:cs="Times New Roman"/>
        </w:rPr>
        <w:t>olat</w:t>
      </w:r>
      <w:r w:rsidR="008E0C22" w:rsidRPr="008E0C22">
        <w:rPr>
          <w:rFonts w:ascii="Times New Roman" w:hAnsi="Times New Roman" w:cs="Times New Roman"/>
        </w:rPr>
        <w:t>, 2006)</w:t>
      </w:r>
      <w:r w:rsidRPr="003A0751">
        <w:rPr>
          <w:rFonts w:ascii="Times New Roman" w:hAnsi="Times New Roman" w:cs="Times New Roman"/>
          <w:lang w:val="cy-GB"/>
        </w:rPr>
        <w:t>.</w:t>
      </w:r>
      <w:r w:rsidR="00937871">
        <w:rPr>
          <w:rFonts w:ascii="Times New Roman" w:hAnsi="Times New Roman" w:cs="Times New Roman"/>
          <w:lang w:val="cy-GB"/>
        </w:rPr>
        <w:t xml:space="preserve"> </w:t>
      </w:r>
    </w:p>
    <w:p w14:paraId="189D83FA" w14:textId="4909FDD1" w:rsidR="00906533" w:rsidRDefault="00906533" w:rsidP="005C0EC3">
      <w:pPr>
        <w:spacing w:line="360" w:lineRule="auto"/>
        <w:rPr>
          <w:rFonts w:ascii="Times New Roman" w:hAnsi="Times New Roman" w:cs="Times New Roman"/>
          <w:lang w:val="cy-GB"/>
        </w:rPr>
      </w:pPr>
      <w:r w:rsidRPr="00906533">
        <w:rPr>
          <w:rFonts w:ascii="Times New Roman" w:hAnsi="Times New Roman" w:cs="Times New Roman"/>
          <w:lang w:val="cy-GB"/>
        </w:rPr>
        <w:t>Mae Deddf Gwasanaethau Cymdeithasol a Llesiant (Cymru) 2014 yn statud pwysig yng Nghymru oherwydd ei bod yn pwysleisio llais, rheolaeth, atal ac ymyrraeth gynnar, tra hefyd yn darparu'r fframwaith cyfreithiol ar gyfer diogelu yng Nghymru trwy Ran 7 a'r canllawiau cysylltiedig. Mae hwn yn gam sylweddol ymlaen oherwydd ei fod yn cysylltu diogelu â lles yn hytrach na thrin amddiffyniad fel ôl-ystyriaeth ar wahân. Serch hynny, un feirniadaeth yw y gall cyni, pwysau ar y gweithlu a throthwyon uchel danseilio rhethreg atal, sy'n golygu y gellir addo "cymorth cynnar" ond nad yw'n cael ei ariannu'n gyson. O ran polisi, y newid yw o ymateb i argyfwng i gefnogaeth berthynas, sy'n canolbwyntio ar y teulu; yn ymarferol, fodd bynnag, mae teuluoedd yn aml yn profi gwasanaethau dameidiog ac asesiadau dro ar ôl tro cyn i ymyrraeth ystyrlon ddigwydd</w:t>
      </w:r>
      <w:r w:rsidR="00857C0D">
        <w:rPr>
          <w:rFonts w:ascii="Times New Roman" w:hAnsi="Times New Roman" w:cs="Times New Roman"/>
          <w:lang w:val="cy-GB"/>
        </w:rPr>
        <w:t xml:space="preserve"> </w:t>
      </w:r>
      <w:r w:rsidR="00C056B5" w:rsidRPr="00C056B5">
        <w:rPr>
          <w:rFonts w:ascii="Times New Roman" w:hAnsi="Times New Roman" w:cs="Times New Roman"/>
        </w:rPr>
        <w:t>(Llewellyn et al., 2023)</w:t>
      </w:r>
      <w:r w:rsidRPr="00906533">
        <w:rPr>
          <w:rFonts w:ascii="Times New Roman" w:hAnsi="Times New Roman" w:cs="Times New Roman"/>
          <w:lang w:val="cy-GB"/>
        </w:rPr>
        <w:t>.</w:t>
      </w:r>
    </w:p>
    <w:p w14:paraId="5A707994" w14:textId="7B7BB7CB" w:rsidR="00325EF6" w:rsidRDefault="005C4772" w:rsidP="005C0EC3">
      <w:pPr>
        <w:spacing w:line="360" w:lineRule="auto"/>
        <w:rPr>
          <w:rFonts w:ascii="Times New Roman" w:hAnsi="Times New Roman" w:cs="Times New Roman"/>
          <w:lang w:val="cy-GB"/>
        </w:rPr>
      </w:pPr>
      <w:r w:rsidRPr="00463E85">
        <w:rPr>
          <w:rFonts w:ascii="Times New Roman" w:hAnsi="Times New Roman" w:cs="Times New Roman"/>
          <w:lang w:val="cy-GB"/>
        </w:rPr>
        <w:t xml:space="preserve">Cynlluniwyd Gweithdrefnau Diogelu Cymru i safoni arferion ledled Cymru a rhwng asiantaethau, gan adlewyrchu gwersi o fethiannau’r gorffennol a’r angen am brosesau a </w:t>
      </w:r>
      <w:r w:rsidRPr="00463E85">
        <w:rPr>
          <w:rFonts w:ascii="Times New Roman" w:hAnsi="Times New Roman" w:cs="Times New Roman"/>
          <w:lang w:val="cy-GB"/>
        </w:rPr>
        <w:lastRenderedPageBreak/>
        <w:t xml:space="preserve">rennir. Mae eu cryfder yn gorwedd mewn cysondeb: maent yn egluro rolau, cyfrifoldebau a disgwyliadau, sy’n lleihau amwysedd mewn achosion cymhleth. Eto i gyd, mae gan safoni gyfyngiadau oherwydd nad yw anghenion plant wedi’u safoni, a gall </w:t>
      </w:r>
      <w:proofErr w:type="spellStart"/>
      <w:r w:rsidRPr="00463E85">
        <w:rPr>
          <w:rFonts w:ascii="Times New Roman" w:hAnsi="Times New Roman" w:cs="Times New Roman"/>
          <w:lang w:val="cy-GB"/>
        </w:rPr>
        <w:t>gweithdrefnoldeb</w:t>
      </w:r>
      <w:proofErr w:type="spellEnd"/>
      <w:r w:rsidRPr="00463E85">
        <w:rPr>
          <w:rFonts w:ascii="Times New Roman" w:hAnsi="Times New Roman" w:cs="Times New Roman"/>
          <w:lang w:val="cy-GB"/>
        </w:rPr>
        <w:t xml:space="preserve"> anhyblyg ddigalonni disgresiwn proffesiynol neu ohirio gweithredu tra bod asiantaethau’n ceisio ffitio achosion i gategorïau biwrocrataidd. Yn yr un modd, mae Gweithio Gyda’n Gilydd i Ddiogelu Plant yn adlewyrchu pwysigrwydd cydweithrediad rhyngasiantaethol a gweithredu amserol, ond ni all canllawiau yn unig oresgyn gwahaniaethau sefydliadol dwfn mewn iaith, blaenoriaethau a goddefgarwch risg</w:t>
      </w:r>
      <w:r w:rsidR="00463E85">
        <w:rPr>
          <w:rFonts w:ascii="Times New Roman" w:hAnsi="Times New Roman" w:cs="Times New Roman"/>
          <w:lang w:val="cy-GB"/>
        </w:rPr>
        <w:t xml:space="preserve"> </w:t>
      </w:r>
      <w:r w:rsidR="00DA7B5B" w:rsidRPr="00DA7B5B">
        <w:rPr>
          <w:rFonts w:ascii="Times New Roman" w:hAnsi="Times New Roman" w:cs="Times New Roman"/>
        </w:rPr>
        <w:t>(Social Care Wales, n.d.)</w:t>
      </w:r>
      <w:r w:rsidRPr="00463E85">
        <w:rPr>
          <w:rFonts w:ascii="Times New Roman" w:hAnsi="Times New Roman" w:cs="Times New Roman"/>
          <w:lang w:val="cy-GB"/>
        </w:rPr>
        <w:t>.</w:t>
      </w:r>
    </w:p>
    <w:p w14:paraId="6AE690D7" w14:textId="458EF225" w:rsidR="00C25306" w:rsidRDefault="00C25306" w:rsidP="005C0EC3">
      <w:pPr>
        <w:spacing w:line="360" w:lineRule="auto"/>
        <w:rPr>
          <w:rFonts w:ascii="Times New Roman" w:hAnsi="Times New Roman" w:cs="Times New Roman"/>
          <w:lang w:val="cy-GB"/>
        </w:rPr>
      </w:pPr>
      <w:r w:rsidRPr="00C25306">
        <w:rPr>
          <w:rFonts w:ascii="Times New Roman" w:hAnsi="Times New Roman" w:cs="Times New Roman"/>
          <w:lang w:val="cy-GB"/>
        </w:rPr>
        <w:t xml:space="preserve">Y ddadl </w:t>
      </w:r>
      <w:proofErr w:type="spellStart"/>
      <w:r w:rsidRPr="00C25306">
        <w:rPr>
          <w:rFonts w:ascii="Times New Roman" w:hAnsi="Times New Roman" w:cs="Times New Roman"/>
          <w:lang w:val="cy-GB"/>
        </w:rPr>
        <w:t>gryfaf</w:t>
      </w:r>
      <w:proofErr w:type="spellEnd"/>
      <w:r w:rsidRPr="00C25306">
        <w:rPr>
          <w:rFonts w:ascii="Times New Roman" w:hAnsi="Times New Roman" w:cs="Times New Roman"/>
          <w:lang w:val="cy-GB"/>
        </w:rPr>
        <w:t xml:space="preserve"> dros weithio </w:t>
      </w:r>
      <w:proofErr w:type="spellStart"/>
      <w:r w:rsidRPr="00C25306">
        <w:rPr>
          <w:rFonts w:ascii="Times New Roman" w:hAnsi="Times New Roman" w:cs="Times New Roman"/>
          <w:lang w:val="cy-GB"/>
        </w:rPr>
        <w:t>amlasiantaeth</w:t>
      </w:r>
      <w:proofErr w:type="spellEnd"/>
      <w:r w:rsidRPr="00C25306">
        <w:rPr>
          <w:rFonts w:ascii="Times New Roman" w:hAnsi="Times New Roman" w:cs="Times New Roman"/>
          <w:lang w:val="cy-GB"/>
        </w:rPr>
        <w:t xml:space="preserve"> yw ei fod yn lleihau mannau dall. Mae gwahanol weithwyr proffesiynol yn gweld gwahanol rannau o fywyd y plentyn, felly gall cydweithio greu darlun mwy cyflawn a chefnogi ymyrraeth gynharach. Mae hyn yn arbennig o bwysig mewn achosion o esgeulustod, absenoldeb cronig, cam-drin domestig, ac ecsbloetio, lle na all unrhyw ddigwyddiad unigol edrych yn ddigon difrifol ar ei ben ei hun</w:t>
      </w:r>
      <w:r w:rsidR="00FC0532">
        <w:rPr>
          <w:rFonts w:ascii="Times New Roman" w:hAnsi="Times New Roman" w:cs="Times New Roman"/>
          <w:lang w:val="cy-GB"/>
        </w:rPr>
        <w:t xml:space="preserve"> </w:t>
      </w:r>
      <w:r w:rsidR="0078505B" w:rsidRPr="0078505B">
        <w:rPr>
          <w:rFonts w:ascii="Times New Roman" w:hAnsi="Times New Roman" w:cs="Times New Roman"/>
        </w:rPr>
        <w:t>(Thompson, 2012)</w:t>
      </w:r>
      <w:r w:rsidRPr="00C25306">
        <w:rPr>
          <w:rFonts w:ascii="Times New Roman" w:hAnsi="Times New Roman" w:cs="Times New Roman"/>
          <w:lang w:val="cy-GB"/>
        </w:rPr>
        <w:t>.</w:t>
      </w:r>
    </w:p>
    <w:p w14:paraId="5DDE6385" w14:textId="091439A7" w:rsidR="0078505B" w:rsidRDefault="00C505C6" w:rsidP="005C0EC3">
      <w:pPr>
        <w:spacing w:line="360" w:lineRule="auto"/>
        <w:rPr>
          <w:rFonts w:ascii="Times New Roman" w:hAnsi="Times New Roman" w:cs="Times New Roman"/>
          <w:lang w:val="cy-GB"/>
        </w:rPr>
      </w:pPr>
      <w:r w:rsidRPr="00C505C6">
        <w:rPr>
          <w:rFonts w:ascii="Times New Roman" w:hAnsi="Times New Roman" w:cs="Times New Roman"/>
          <w:lang w:val="cy-GB"/>
        </w:rPr>
        <w:t xml:space="preserve">Gall gweithio </w:t>
      </w:r>
      <w:proofErr w:type="spellStart"/>
      <w:r w:rsidRPr="00C505C6">
        <w:rPr>
          <w:rFonts w:ascii="Times New Roman" w:hAnsi="Times New Roman" w:cs="Times New Roman"/>
          <w:lang w:val="cy-GB"/>
        </w:rPr>
        <w:t>amlasiantaethol</w:t>
      </w:r>
      <w:proofErr w:type="spellEnd"/>
      <w:r w:rsidRPr="00C505C6">
        <w:rPr>
          <w:rFonts w:ascii="Times New Roman" w:hAnsi="Times New Roman" w:cs="Times New Roman"/>
          <w:lang w:val="cy-GB"/>
        </w:rPr>
        <w:t xml:space="preserve"> hefyd wella gwneud penderfyniadau oherwydd ei fod yn creu fforwm ar gyfer trafodaeth yn hytrach na dibynnu ar farn un proffesiwn. Mewn theori, gall hyn atal gorddibyniaeth ar arsylwadau addysgol, tystiolaeth feddygol, neu ddata digwyddiadau'r heddlu ar eu pen eu hunain. Mae tystiolaeth o ymchwil cydweithio </w:t>
      </w:r>
      <w:proofErr w:type="spellStart"/>
      <w:r w:rsidRPr="00C505C6">
        <w:rPr>
          <w:rFonts w:ascii="Times New Roman" w:hAnsi="Times New Roman" w:cs="Times New Roman"/>
          <w:lang w:val="cy-GB"/>
        </w:rPr>
        <w:t>amlasiantaethol</w:t>
      </w:r>
      <w:proofErr w:type="spellEnd"/>
      <w:r w:rsidRPr="00C505C6">
        <w:rPr>
          <w:rFonts w:ascii="Times New Roman" w:hAnsi="Times New Roman" w:cs="Times New Roman"/>
          <w:lang w:val="cy-GB"/>
        </w:rPr>
        <w:t xml:space="preserve"> yn awgrymu y gall arfer a rennir gefnogi gwell cydlynu ac ymatebion mwy cyfannol, yn enwedig pan fydd asiantaethau'n ymrwymo i nodau cyffredin yn hytrach na mynychu'r un cyfarfod yn unig</w:t>
      </w:r>
      <w:r>
        <w:rPr>
          <w:rFonts w:ascii="Times New Roman" w:hAnsi="Times New Roman" w:cs="Times New Roman"/>
          <w:lang w:val="cy-GB"/>
        </w:rPr>
        <w:t xml:space="preserve"> </w:t>
      </w:r>
      <w:r w:rsidR="005F0547" w:rsidRPr="005F0547">
        <w:rPr>
          <w:rFonts w:ascii="Times New Roman" w:hAnsi="Times New Roman" w:cs="Times New Roman"/>
        </w:rPr>
        <w:t>(</w:t>
      </w:r>
      <w:proofErr w:type="spellStart"/>
      <w:r w:rsidR="005F0547" w:rsidRPr="005F0547">
        <w:rPr>
          <w:rFonts w:ascii="Times New Roman" w:hAnsi="Times New Roman" w:cs="Times New Roman"/>
        </w:rPr>
        <w:t>Mcmanus</w:t>
      </w:r>
      <w:proofErr w:type="spellEnd"/>
      <w:r w:rsidR="005F0547" w:rsidRPr="005F0547">
        <w:rPr>
          <w:rFonts w:ascii="Times New Roman" w:hAnsi="Times New Roman" w:cs="Times New Roman"/>
        </w:rPr>
        <w:t xml:space="preserve"> et al., 2022)</w:t>
      </w:r>
      <w:r w:rsidRPr="00C505C6">
        <w:rPr>
          <w:rFonts w:ascii="Times New Roman" w:hAnsi="Times New Roman" w:cs="Times New Roman"/>
          <w:lang w:val="cy-GB"/>
        </w:rPr>
        <w:t>.</w:t>
      </w:r>
    </w:p>
    <w:p w14:paraId="01049958" w14:textId="18D93BF0" w:rsidR="00826B73" w:rsidRDefault="00826B73" w:rsidP="005C0EC3">
      <w:pPr>
        <w:spacing w:line="360" w:lineRule="auto"/>
        <w:rPr>
          <w:rFonts w:ascii="Times New Roman" w:hAnsi="Times New Roman" w:cs="Times New Roman"/>
          <w:lang w:val="cy-GB"/>
        </w:rPr>
      </w:pPr>
      <w:r w:rsidRPr="00F85FC4">
        <w:rPr>
          <w:rFonts w:ascii="Times New Roman" w:hAnsi="Times New Roman" w:cs="Times New Roman"/>
          <w:lang w:val="cy-GB"/>
        </w:rPr>
        <w:t xml:space="preserve">Mae yna fudd sy'n canolbwyntio ar y teulu hefyd. Pan gaiff ei wneud yn dda, gall gweithio </w:t>
      </w:r>
      <w:proofErr w:type="spellStart"/>
      <w:r w:rsidRPr="00F85FC4">
        <w:rPr>
          <w:rFonts w:ascii="Times New Roman" w:hAnsi="Times New Roman" w:cs="Times New Roman"/>
          <w:lang w:val="cy-GB"/>
        </w:rPr>
        <w:t>amlasiantaeth</w:t>
      </w:r>
      <w:proofErr w:type="spellEnd"/>
      <w:r w:rsidRPr="00F85FC4">
        <w:rPr>
          <w:rFonts w:ascii="Times New Roman" w:hAnsi="Times New Roman" w:cs="Times New Roman"/>
          <w:lang w:val="cy-GB"/>
        </w:rPr>
        <w:t xml:space="preserve"> leihau dyblygu, osgoi holi plant dro ar ôl tro, a gwneud cefnogaeth yn fwy cydlynol. Yn aml, cyflwynir y model fel un sy'n canolbwyntio ar y plentyn yn ei hanfod, ond mae theori yn awgrymu fel arall oni bai bod pŵer yn cael ei drin. Mae theori ecolegol yn cefnogi'r angen am ymarfer </w:t>
      </w:r>
      <w:proofErr w:type="spellStart"/>
      <w:r w:rsidRPr="00F85FC4">
        <w:rPr>
          <w:rFonts w:ascii="Times New Roman" w:hAnsi="Times New Roman" w:cs="Times New Roman"/>
          <w:lang w:val="cy-GB"/>
        </w:rPr>
        <w:t>amlasiantaeth</w:t>
      </w:r>
      <w:proofErr w:type="spellEnd"/>
      <w:r w:rsidRPr="00F85FC4">
        <w:rPr>
          <w:rFonts w:ascii="Times New Roman" w:hAnsi="Times New Roman" w:cs="Times New Roman"/>
          <w:lang w:val="cy-GB"/>
        </w:rPr>
        <w:t xml:space="preserve">, ond mae hefyd yn tynnu sylw at y ffaith bod datblygiad plant yn cael ei lunio gan anghydraddoldebau mewn tai, incwm, lles rhieni, hinsawdd yr ysgol, a diogelwch y gymdogaeth. Bydd system sy'n canolbwyntio ar ymddygiad unigol yn unig yn colli'r penderfynyddion ehangach hyn, yn enwedig mewn achosion o </w:t>
      </w:r>
      <w:proofErr w:type="spellStart"/>
      <w:r w:rsidRPr="00F85FC4">
        <w:rPr>
          <w:rFonts w:ascii="Times New Roman" w:hAnsi="Times New Roman" w:cs="Times New Roman"/>
          <w:lang w:val="cy-GB"/>
        </w:rPr>
        <w:t>gamfanteisio</w:t>
      </w:r>
      <w:proofErr w:type="spellEnd"/>
      <w:r w:rsidRPr="00F85FC4">
        <w:rPr>
          <w:rFonts w:ascii="Times New Roman" w:hAnsi="Times New Roman" w:cs="Times New Roman"/>
          <w:lang w:val="cy-GB"/>
        </w:rPr>
        <w:t xml:space="preserve"> a niwed cyd-destunol</w:t>
      </w:r>
      <w:r w:rsidR="00F85FC4">
        <w:rPr>
          <w:rFonts w:ascii="Times New Roman" w:hAnsi="Times New Roman" w:cs="Times New Roman"/>
          <w:lang w:val="cy-GB"/>
        </w:rPr>
        <w:t xml:space="preserve"> </w:t>
      </w:r>
      <w:r w:rsidR="00FC52B6" w:rsidRPr="00FC52B6">
        <w:rPr>
          <w:rFonts w:ascii="Times New Roman" w:hAnsi="Times New Roman" w:cs="Times New Roman"/>
        </w:rPr>
        <w:t>(Tackling Child Exploitation, n.d.)</w:t>
      </w:r>
      <w:r w:rsidRPr="00F85FC4">
        <w:rPr>
          <w:rFonts w:ascii="Times New Roman" w:hAnsi="Times New Roman" w:cs="Times New Roman"/>
          <w:lang w:val="cy-GB"/>
        </w:rPr>
        <w:t>.</w:t>
      </w:r>
    </w:p>
    <w:p w14:paraId="1D0EC1DB" w14:textId="1A30FB9E" w:rsidR="00FC52B6" w:rsidRDefault="006A07C6" w:rsidP="005C0EC3">
      <w:pPr>
        <w:spacing w:line="360" w:lineRule="auto"/>
        <w:rPr>
          <w:rFonts w:ascii="Times New Roman" w:hAnsi="Times New Roman" w:cs="Times New Roman"/>
          <w:lang w:val="cy-GB"/>
        </w:rPr>
      </w:pPr>
      <w:r w:rsidRPr="006A07C6">
        <w:rPr>
          <w:rFonts w:ascii="Times New Roman" w:hAnsi="Times New Roman" w:cs="Times New Roman"/>
          <w:lang w:val="cy-GB"/>
        </w:rPr>
        <w:t xml:space="preserve">Gellir defnyddio hierarchaeth anghenion </w:t>
      </w:r>
      <w:proofErr w:type="spellStart"/>
      <w:r w:rsidRPr="006A07C6">
        <w:rPr>
          <w:rFonts w:ascii="Times New Roman" w:hAnsi="Times New Roman" w:cs="Times New Roman"/>
          <w:lang w:val="cy-GB"/>
        </w:rPr>
        <w:t>Maslow</w:t>
      </w:r>
      <w:proofErr w:type="spellEnd"/>
      <w:r w:rsidRPr="006A07C6">
        <w:rPr>
          <w:rFonts w:ascii="Times New Roman" w:hAnsi="Times New Roman" w:cs="Times New Roman"/>
          <w:lang w:val="cy-GB"/>
        </w:rPr>
        <w:t xml:space="preserve"> yn feirniadol hefyd i ddangos pam mae lles a diogelu yn anwahanadwy. Os na chaiff anghenion sylfaenol fel diogelwch, sefydlogrwydd a pherthyn eu diwallu, mae'n debygol y bydd dysgu, rheoleiddio emosiynol a datblygiad </w:t>
      </w:r>
      <w:r w:rsidRPr="006A07C6">
        <w:rPr>
          <w:rFonts w:ascii="Times New Roman" w:hAnsi="Times New Roman" w:cs="Times New Roman"/>
          <w:lang w:val="cy-GB"/>
        </w:rPr>
        <w:lastRenderedPageBreak/>
        <w:t>hirdymor plant yn cael eu peryglu. Dyma un rheswm pam mae ysgolion yn cael eu rhoi wrth wraidd diogelu: nid yw ymgysylltiad addysgol ar wahân i les, ond yn un o ddangosyddion a chanlyniadau hynny. Fodd bynnag, gall damcaniaethau datblygiad symleiddio profiad bywyd os ydynt yn trin plant fel pe baent yn dilyn camau taclus, pan mewn gwirionedd gall tlodi, trawma, anabledd ac ansefydlogrwydd lunio datblygiad yn anwastad ac yn anrhagweladwy. Mae hyn yn golygu bod angen i systemau diogelu fod yn hyblyg, yn seiliedig ar drawma ac yn ymwybodol o gyd-destun yn hytrach na dim ond yn weithdrefnol</w:t>
      </w:r>
      <w:r w:rsidR="00465BA0">
        <w:rPr>
          <w:rFonts w:ascii="Times New Roman" w:hAnsi="Times New Roman" w:cs="Times New Roman"/>
          <w:lang w:val="cy-GB"/>
        </w:rPr>
        <w:t xml:space="preserve"> </w:t>
      </w:r>
      <w:r w:rsidR="00246B1B" w:rsidRPr="00246B1B">
        <w:rPr>
          <w:rFonts w:ascii="Times New Roman" w:hAnsi="Times New Roman" w:cs="Times New Roman"/>
        </w:rPr>
        <w:t>(Desmond et al., 2022)</w:t>
      </w:r>
      <w:r w:rsidRPr="006A07C6">
        <w:rPr>
          <w:rFonts w:ascii="Times New Roman" w:hAnsi="Times New Roman" w:cs="Times New Roman"/>
          <w:lang w:val="cy-GB"/>
        </w:rPr>
        <w:t>.</w:t>
      </w:r>
    </w:p>
    <w:p w14:paraId="7E859BBC" w14:textId="77605500" w:rsidR="000D6CA8" w:rsidRDefault="002D0C03" w:rsidP="005C0EC3">
      <w:pPr>
        <w:spacing w:line="360" w:lineRule="auto"/>
        <w:rPr>
          <w:rFonts w:ascii="Times New Roman" w:hAnsi="Times New Roman" w:cs="Times New Roman"/>
          <w:lang w:val="cy-GB"/>
        </w:rPr>
      </w:pPr>
      <w:r w:rsidRPr="002D0C03">
        <w:rPr>
          <w:rFonts w:ascii="Times New Roman" w:hAnsi="Times New Roman" w:cs="Times New Roman"/>
          <w:lang w:val="cy-GB"/>
        </w:rPr>
        <w:t>Mae fframwaith polisi Cymru yn uchelgeisiol ac, mewn sawl ffordd, yn flaengar. Mae CCUHP yn rhoi hawliau plant yn y canol, mae Deddf Plant 2004 yn ffurfioli cyfrifoldeb rhyngasiantaethol, ac mae Deddf Gwasanaethau Cymdeithasol a Llesiant (Cymru) 2014 yn cryfhau atal a lles. Nod Gweithdrefnau Diogelu Plant Cymru Gyfan 2021 yw safoni arfer, ac mae fframwaith Gweithio Gyda'n Gilydd yn Lloegr wedi dylanwadu ar ddiwylliant diogelu ehangach y DU trwy atgyfnerthu atebolrwydd a rennir. Gyda'i gilydd, mae'r polisïau hyn yn dangos ymrwymiad clir i weithio integredig</w:t>
      </w:r>
      <w:r>
        <w:rPr>
          <w:rFonts w:ascii="Times New Roman" w:hAnsi="Times New Roman" w:cs="Times New Roman"/>
          <w:lang w:val="cy-GB"/>
        </w:rPr>
        <w:t xml:space="preserve"> </w:t>
      </w:r>
      <w:r w:rsidR="008D0DFB" w:rsidRPr="008D0DFB">
        <w:rPr>
          <w:rFonts w:ascii="Times New Roman" w:hAnsi="Times New Roman" w:cs="Times New Roman"/>
        </w:rPr>
        <w:t>(</w:t>
      </w:r>
      <w:proofErr w:type="spellStart"/>
      <w:r w:rsidR="008D0DFB" w:rsidRPr="008D0DFB">
        <w:rPr>
          <w:rFonts w:ascii="Times New Roman" w:hAnsi="Times New Roman" w:cs="Times New Roman"/>
        </w:rPr>
        <w:t>Llywodraeth</w:t>
      </w:r>
      <w:proofErr w:type="spellEnd"/>
      <w:r w:rsidR="008D0DFB" w:rsidRPr="008D0DFB">
        <w:rPr>
          <w:rFonts w:ascii="Times New Roman" w:hAnsi="Times New Roman" w:cs="Times New Roman"/>
        </w:rPr>
        <w:t xml:space="preserve"> Cymru, 2021)</w:t>
      </w:r>
      <w:r w:rsidRPr="002D0C03">
        <w:rPr>
          <w:rFonts w:ascii="Times New Roman" w:hAnsi="Times New Roman" w:cs="Times New Roman"/>
          <w:lang w:val="cy-GB"/>
        </w:rPr>
        <w:t>.</w:t>
      </w:r>
    </w:p>
    <w:p w14:paraId="16BFAB84" w14:textId="4B11820B" w:rsidR="00420AED" w:rsidRDefault="00163917" w:rsidP="005C0EC3">
      <w:pPr>
        <w:spacing w:line="360" w:lineRule="auto"/>
        <w:rPr>
          <w:rFonts w:ascii="Times New Roman" w:hAnsi="Times New Roman" w:cs="Times New Roman"/>
          <w:lang w:val="cy-GB"/>
        </w:rPr>
      </w:pPr>
      <w:r w:rsidRPr="00A97274">
        <w:rPr>
          <w:rFonts w:ascii="Times New Roman" w:hAnsi="Times New Roman" w:cs="Times New Roman"/>
          <w:lang w:val="cy-GB"/>
        </w:rPr>
        <w:t xml:space="preserve">Eto i gyd, y pwynt hollbwysig yw na all polisi ar ei ben ei hun warantu lles. Mae llawer o ddiwygiadau diogelu yn dod i'r amlwg ar ôl methiannau, sy'n golygu eu bod yn aml yn mynd i'r afael â symptomau yn hytrach nag achosion sylfaenol. </w:t>
      </w:r>
      <w:proofErr w:type="spellStart"/>
      <w:r w:rsidRPr="00A97274">
        <w:rPr>
          <w:rFonts w:ascii="Times New Roman" w:hAnsi="Times New Roman" w:cs="Times New Roman"/>
          <w:lang w:val="cy-GB"/>
        </w:rPr>
        <w:t>Gallant</w:t>
      </w:r>
      <w:proofErr w:type="spellEnd"/>
      <w:r w:rsidRPr="00A97274">
        <w:rPr>
          <w:rFonts w:ascii="Times New Roman" w:hAnsi="Times New Roman" w:cs="Times New Roman"/>
          <w:lang w:val="cy-GB"/>
        </w:rPr>
        <w:t xml:space="preserve"> wella cydgysylltu, ond ni allant ar eu pen eu hunain ddatrys tlodi, anghydraddoldeb cymdeithasol, ansicrwydd tai, neu dan-ariannu gwasanaethau, sydd i gyd yn llunio bywydau plant. Mae perygl hefyd y bydd polisi'n dod yn fwy cymhleth dros amser, gan gynyddu gofynion gweithdrefnol ar ymarferwyr heb o reidrwydd wella canlyniadau i blant. Nid y systemau diogelu mwyaf effeithiol yw'r rhai sydd â'r mwyaf o reolau; nhw yw'r rhai sy'n cyfuno atebolrwydd clir â barn broffesiynol hyblyg, sy'n canolbwyntio ar y plenty</w:t>
      </w:r>
      <w:r w:rsidR="00A97274" w:rsidRPr="00A97274">
        <w:rPr>
          <w:rFonts w:ascii="Times New Roman" w:hAnsi="Times New Roman" w:cs="Times New Roman"/>
          <w:lang w:val="cy-GB"/>
        </w:rPr>
        <w:t>n (Arolygiaeth Gofal Iechyd Cymru, 2023)</w:t>
      </w:r>
      <w:r w:rsidRPr="00A97274">
        <w:rPr>
          <w:rFonts w:ascii="Times New Roman" w:hAnsi="Times New Roman" w:cs="Times New Roman"/>
          <w:lang w:val="cy-GB"/>
        </w:rPr>
        <w:t>.</w:t>
      </w:r>
    </w:p>
    <w:p w14:paraId="587723D5" w14:textId="5DDFE5F7" w:rsidR="00ED749C" w:rsidRPr="00BE73A7" w:rsidRDefault="00ED749C" w:rsidP="00ED749C">
      <w:pPr>
        <w:spacing w:line="360" w:lineRule="auto"/>
        <w:rPr>
          <w:rFonts w:ascii="Times New Roman" w:hAnsi="Times New Roman" w:cs="Times New Roman"/>
        </w:rPr>
      </w:pPr>
      <w:r w:rsidRPr="00ED749C">
        <w:rPr>
          <w:rFonts w:ascii="Times New Roman" w:hAnsi="Times New Roman" w:cs="Times New Roman"/>
          <w:lang w:val="cy-GB"/>
        </w:rPr>
        <w:t xml:space="preserve">Mae'r model </w:t>
      </w:r>
      <w:proofErr w:type="spellStart"/>
      <w:r w:rsidRPr="00ED749C">
        <w:rPr>
          <w:rFonts w:ascii="Times New Roman" w:hAnsi="Times New Roman" w:cs="Times New Roman"/>
          <w:lang w:val="cy-GB"/>
        </w:rPr>
        <w:t>amlasiantaeth</w:t>
      </w:r>
      <w:proofErr w:type="spellEnd"/>
      <w:r w:rsidRPr="00ED749C">
        <w:rPr>
          <w:rFonts w:ascii="Times New Roman" w:hAnsi="Times New Roman" w:cs="Times New Roman"/>
          <w:lang w:val="cy-GB"/>
        </w:rPr>
        <w:t xml:space="preserve"> yng Nghymru yn hyrwyddo lles plant a phobl ifanc, ond nid yn awtomatig ac nid yn gyfartal. Mae ei gryfderau'n gorwedd mewn cyfrifoldeb a rennir, asesiad ehangach, a'r posibilrwydd o ymyrraeth gynharach a mwy cyfannol. Mae ei wendidau'n gorwedd mewn cyfathrebu dameidiog, trothwyon anghyson, ansefydlogrwydd y gweithlu, a thuedd i systemau ddod yn adweithiol yn hytrach nag ataliol mewn gwirionedd</w:t>
      </w:r>
      <w:r w:rsidR="00BE73A7">
        <w:rPr>
          <w:rFonts w:ascii="Times New Roman" w:hAnsi="Times New Roman" w:cs="Times New Roman"/>
          <w:lang w:val="cy-GB"/>
        </w:rPr>
        <w:t xml:space="preserve"> </w:t>
      </w:r>
      <w:r w:rsidR="00BE73A7" w:rsidRPr="00BE73A7">
        <w:rPr>
          <w:rFonts w:ascii="Times New Roman" w:hAnsi="Times New Roman" w:cs="Times New Roman"/>
        </w:rPr>
        <w:t>(Thompson, 2012)</w:t>
      </w:r>
      <w:r w:rsidRPr="00ED749C">
        <w:rPr>
          <w:rFonts w:ascii="Times New Roman" w:hAnsi="Times New Roman" w:cs="Times New Roman"/>
          <w:lang w:val="cy-GB"/>
        </w:rPr>
        <w:t>.</w:t>
      </w:r>
    </w:p>
    <w:p w14:paraId="713DC156" w14:textId="6DA68F06" w:rsidR="00B8691C" w:rsidRPr="00A97274" w:rsidRDefault="00ED749C" w:rsidP="00ED749C">
      <w:pPr>
        <w:spacing w:line="360" w:lineRule="auto"/>
        <w:rPr>
          <w:rFonts w:ascii="Times New Roman" w:hAnsi="Times New Roman" w:cs="Times New Roman"/>
          <w:lang w:val="cy-GB"/>
        </w:rPr>
      </w:pPr>
      <w:r w:rsidRPr="00ED749C">
        <w:rPr>
          <w:rFonts w:ascii="Times New Roman" w:hAnsi="Times New Roman" w:cs="Times New Roman"/>
          <w:lang w:val="cy-GB"/>
        </w:rPr>
        <w:t xml:space="preserve">Casgliad hollbwysig yw bod y model yn angenrheidiol ond yn annigonol. Mae polisi Cymru yn dangos symudiad clir tuag at hawliau, lles a chydweithio, ond mae gweithredu'n dal i gael </w:t>
      </w:r>
      <w:r w:rsidRPr="00ED749C">
        <w:rPr>
          <w:rFonts w:ascii="Times New Roman" w:hAnsi="Times New Roman" w:cs="Times New Roman"/>
          <w:lang w:val="cy-GB"/>
        </w:rPr>
        <w:lastRenderedPageBreak/>
        <w:t xml:space="preserve">trafferth gyda realiti ymarfer, yn enwedig pan fo gan asiantaethau ddiwylliannau, pwerau ac adnoddau gwahanol. Mae effeithiolrwydd diogelu yn y dyfodol yng Nghymru yn dibynnu llai ar ychwanegu gweithdrefnau newydd a mwy ar wneud perthynas waith </w:t>
      </w:r>
      <w:proofErr w:type="spellStart"/>
      <w:r w:rsidRPr="00ED749C">
        <w:rPr>
          <w:rFonts w:ascii="Times New Roman" w:hAnsi="Times New Roman" w:cs="Times New Roman"/>
          <w:lang w:val="cy-GB"/>
        </w:rPr>
        <w:t>amlasiantaeth</w:t>
      </w:r>
      <w:proofErr w:type="spellEnd"/>
      <w:r w:rsidRPr="00ED749C">
        <w:rPr>
          <w:rFonts w:ascii="Times New Roman" w:hAnsi="Times New Roman" w:cs="Times New Roman"/>
          <w:lang w:val="cy-GB"/>
        </w:rPr>
        <w:t xml:space="preserve"> yn un sy'n canolbwyntio ar y plentyn, ac yn strwythurol abl i weithredu cyn i niwed ddod yn ddifrifol.</w:t>
      </w:r>
    </w:p>
    <w:p w14:paraId="4F8D8789" w14:textId="77777777" w:rsidR="00B32FD5" w:rsidRDefault="00B32FD5" w:rsidP="005C0EC3">
      <w:pPr>
        <w:spacing w:line="360" w:lineRule="auto"/>
        <w:rPr>
          <w:rFonts w:ascii="Times New Roman" w:hAnsi="Times New Roman" w:cs="Times New Roman"/>
          <w:lang w:val="cy-GB"/>
        </w:rPr>
      </w:pPr>
    </w:p>
    <w:p w14:paraId="58CBEA60" w14:textId="77777777" w:rsidR="00B14DF1" w:rsidRPr="00DA7B5B" w:rsidRDefault="00B14DF1" w:rsidP="005C0EC3">
      <w:pPr>
        <w:spacing w:line="360" w:lineRule="auto"/>
        <w:rPr>
          <w:rFonts w:ascii="Times New Roman" w:hAnsi="Times New Roman" w:cs="Times New Roman"/>
        </w:rPr>
      </w:pPr>
    </w:p>
    <w:p w14:paraId="00216D5F" w14:textId="77777777" w:rsidR="00472243" w:rsidRDefault="00472243" w:rsidP="005C0EC3">
      <w:pPr>
        <w:spacing w:line="360" w:lineRule="auto"/>
        <w:rPr>
          <w:rFonts w:ascii="Times New Roman" w:hAnsi="Times New Roman" w:cs="Times New Roman"/>
        </w:rPr>
      </w:pPr>
    </w:p>
    <w:p w14:paraId="3BF14E8F" w14:textId="77777777" w:rsidR="004820C7" w:rsidRDefault="004820C7" w:rsidP="005C0EC3">
      <w:pPr>
        <w:spacing w:line="360" w:lineRule="auto"/>
        <w:rPr>
          <w:rFonts w:ascii="Times New Roman" w:hAnsi="Times New Roman" w:cs="Times New Roman"/>
        </w:rPr>
      </w:pPr>
    </w:p>
    <w:p w14:paraId="74AE31A4" w14:textId="77777777" w:rsidR="004820C7" w:rsidRDefault="004820C7" w:rsidP="005C0EC3">
      <w:pPr>
        <w:spacing w:line="360" w:lineRule="auto"/>
        <w:rPr>
          <w:rFonts w:ascii="Times New Roman" w:hAnsi="Times New Roman" w:cs="Times New Roman"/>
        </w:rPr>
      </w:pPr>
    </w:p>
    <w:p w14:paraId="4F44850B" w14:textId="77777777" w:rsidR="004820C7" w:rsidRDefault="004820C7" w:rsidP="005C0EC3">
      <w:pPr>
        <w:spacing w:line="360" w:lineRule="auto"/>
        <w:rPr>
          <w:rFonts w:ascii="Times New Roman" w:hAnsi="Times New Roman" w:cs="Times New Roman"/>
        </w:rPr>
      </w:pPr>
    </w:p>
    <w:p w14:paraId="26003FA1" w14:textId="77777777" w:rsidR="004820C7" w:rsidRDefault="004820C7" w:rsidP="005C0EC3">
      <w:pPr>
        <w:spacing w:line="360" w:lineRule="auto"/>
        <w:rPr>
          <w:rFonts w:ascii="Times New Roman" w:hAnsi="Times New Roman" w:cs="Times New Roman"/>
        </w:rPr>
      </w:pPr>
    </w:p>
    <w:p w14:paraId="77C66ECD" w14:textId="77777777" w:rsidR="004820C7" w:rsidRDefault="004820C7" w:rsidP="005C0EC3">
      <w:pPr>
        <w:spacing w:line="360" w:lineRule="auto"/>
        <w:rPr>
          <w:rFonts w:ascii="Times New Roman" w:hAnsi="Times New Roman" w:cs="Times New Roman"/>
        </w:rPr>
      </w:pPr>
    </w:p>
    <w:p w14:paraId="10FF4FC2" w14:textId="77777777" w:rsidR="004820C7" w:rsidRDefault="004820C7" w:rsidP="005C0EC3">
      <w:pPr>
        <w:spacing w:line="360" w:lineRule="auto"/>
        <w:rPr>
          <w:rFonts w:ascii="Times New Roman" w:hAnsi="Times New Roman" w:cs="Times New Roman"/>
        </w:rPr>
      </w:pPr>
    </w:p>
    <w:p w14:paraId="71D46C49" w14:textId="77777777" w:rsidR="004820C7" w:rsidRDefault="004820C7" w:rsidP="005C0EC3">
      <w:pPr>
        <w:spacing w:line="360" w:lineRule="auto"/>
        <w:rPr>
          <w:rFonts w:ascii="Times New Roman" w:hAnsi="Times New Roman" w:cs="Times New Roman"/>
        </w:rPr>
      </w:pPr>
    </w:p>
    <w:p w14:paraId="4789AC55" w14:textId="77777777" w:rsidR="004820C7" w:rsidRDefault="004820C7" w:rsidP="005C0EC3">
      <w:pPr>
        <w:spacing w:line="360" w:lineRule="auto"/>
        <w:rPr>
          <w:rFonts w:ascii="Times New Roman" w:hAnsi="Times New Roman" w:cs="Times New Roman"/>
        </w:rPr>
      </w:pPr>
    </w:p>
    <w:p w14:paraId="61677E8D" w14:textId="77777777" w:rsidR="004820C7" w:rsidRDefault="004820C7" w:rsidP="005C0EC3">
      <w:pPr>
        <w:spacing w:line="360" w:lineRule="auto"/>
        <w:rPr>
          <w:rFonts w:ascii="Times New Roman" w:hAnsi="Times New Roman" w:cs="Times New Roman"/>
        </w:rPr>
      </w:pPr>
    </w:p>
    <w:p w14:paraId="67B7800C" w14:textId="77777777" w:rsidR="004820C7" w:rsidRDefault="004820C7" w:rsidP="005C0EC3">
      <w:pPr>
        <w:spacing w:line="360" w:lineRule="auto"/>
        <w:rPr>
          <w:rFonts w:ascii="Times New Roman" w:hAnsi="Times New Roman" w:cs="Times New Roman"/>
        </w:rPr>
      </w:pPr>
    </w:p>
    <w:p w14:paraId="0A7500F4" w14:textId="77777777" w:rsidR="004820C7" w:rsidRDefault="004820C7" w:rsidP="005C0EC3">
      <w:pPr>
        <w:spacing w:line="360" w:lineRule="auto"/>
        <w:rPr>
          <w:rFonts w:ascii="Times New Roman" w:hAnsi="Times New Roman" w:cs="Times New Roman"/>
        </w:rPr>
      </w:pPr>
    </w:p>
    <w:p w14:paraId="63A9BC08" w14:textId="77777777" w:rsidR="004820C7" w:rsidRDefault="004820C7" w:rsidP="005C0EC3">
      <w:pPr>
        <w:spacing w:line="360" w:lineRule="auto"/>
        <w:rPr>
          <w:rFonts w:ascii="Times New Roman" w:hAnsi="Times New Roman" w:cs="Times New Roman"/>
        </w:rPr>
      </w:pPr>
    </w:p>
    <w:p w14:paraId="5E46AD91" w14:textId="77777777" w:rsidR="004820C7" w:rsidRDefault="004820C7" w:rsidP="005C0EC3">
      <w:pPr>
        <w:spacing w:line="360" w:lineRule="auto"/>
        <w:rPr>
          <w:rFonts w:ascii="Times New Roman" w:hAnsi="Times New Roman" w:cs="Times New Roman"/>
        </w:rPr>
      </w:pPr>
    </w:p>
    <w:p w14:paraId="622C5811" w14:textId="77777777" w:rsidR="004820C7" w:rsidRDefault="004820C7" w:rsidP="005C0EC3">
      <w:pPr>
        <w:spacing w:line="360" w:lineRule="auto"/>
        <w:rPr>
          <w:rFonts w:ascii="Times New Roman" w:hAnsi="Times New Roman" w:cs="Times New Roman"/>
        </w:rPr>
      </w:pPr>
    </w:p>
    <w:p w14:paraId="33B4E410" w14:textId="77777777" w:rsidR="004820C7" w:rsidRDefault="004820C7" w:rsidP="005C0EC3">
      <w:pPr>
        <w:spacing w:line="360" w:lineRule="auto"/>
        <w:rPr>
          <w:rFonts w:ascii="Times New Roman" w:hAnsi="Times New Roman" w:cs="Times New Roman"/>
        </w:rPr>
      </w:pPr>
    </w:p>
    <w:p w14:paraId="7530D628" w14:textId="77777777" w:rsidR="004820C7" w:rsidRDefault="004820C7" w:rsidP="005C0EC3">
      <w:pPr>
        <w:spacing w:line="360" w:lineRule="auto"/>
        <w:rPr>
          <w:rFonts w:ascii="Times New Roman" w:hAnsi="Times New Roman" w:cs="Times New Roman"/>
        </w:rPr>
      </w:pPr>
    </w:p>
    <w:p w14:paraId="7A6D5441" w14:textId="77777777" w:rsidR="004820C7" w:rsidRDefault="004820C7" w:rsidP="005C0EC3">
      <w:pPr>
        <w:spacing w:line="360" w:lineRule="auto"/>
        <w:rPr>
          <w:rFonts w:ascii="Times New Roman" w:hAnsi="Times New Roman" w:cs="Times New Roman"/>
        </w:rPr>
      </w:pPr>
    </w:p>
    <w:p w14:paraId="15396C58" w14:textId="16F5DEAA" w:rsidR="004820C7" w:rsidRPr="004820C7" w:rsidRDefault="004820C7" w:rsidP="004820C7">
      <w:pPr>
        <w:spacing w:line="360" w:lineRule="auto"/>
        <w:rPr>
          <w:rFonts w:ascii="Times New Roman" w:hAnsi="Times New Roman" w:cs="Times New Roman"/>
          <w:b/>
          <w:bCs/>
          <w:u w:val="single"/>
          <w:lang w:val="cy-GB"/>
        </w:rPr>
      </w:pPr>
      <w:r w:rsidRPr="00000F12">
        <w:rPr>
          <w:rFonts w:ascii="Times New Roman" w:hAnsi="Times New Roman" w:cs="Times New Roman"/>
          <w:b/>
          <w:bCs/>
          <w:u w:val="single"/>
          <w:lang w:val="cy-GB"/>
        </w:rPr>
        <w:lastRenderedPageBreak/>
        <w:t>Cyfeiriadau</w:t>
      </w:r>
    </w:p>
    <w:p w14:paraId="56FE164D" w14:textId="77777777" w:rsidR="004820C7" w:rsidRPr="004820C7" w:rsidRDefault="004820C7" w:rsidP="004820C7">
      <w:pPr>
        <w:pStyle w:val="ListParagraph"/>
        <w:numPr>
          <w:ilvl w:val="0"/>
          <w:numId w:val="1"/>
        </w:numPr>
        <w:spacing w:line="360" w:lineRule="auto"/>
        <w:rPr>
          <w:rFonts w:ascii="Times New Roman" w:hAnsi="Times New Roman" w:cs="Times New Roman"/>
        </w:rPr>
      </w:pPr>
      <w:proofErr w:type="spellStart"/>
      <w:r w:rsidRPr="004820C7">
        <w:rPr>
          <w:rFonts w:ascii="Times New Roman" w:hAnsi="Times New Roman" w:cs="Times New Roman"/>
        </w:rPr>
        <w:t>Arolygiaeth</w:t>
      </w:r>
      <w:proofErr w:type="spellEnd"/>
      <w:r w:rsidRPr="004820C7">
        <w:rPr>
          <w:rFonts w:ascii="Times New Roman" w:hAnsi="Times New Roman" w:cs="Times New Roman"/>
        </w:rPr>
        <w:t xml:space="preserve"> </w:t>
      </w:r>
      <w:proofErr w:type="spellStart"/>
      <w:r w:rsidRPr="004820C7">
        <w:rPr>
          <w:rFonts w:ascii="Times New Roman" w:hAnsi="Times New Roman" w:cs="Times New Roman"/>
        </w:rPr>
        <w:t>Gofal</w:t>
      </w:r>
      <w:proofErr w:type="spellEnd"/>
      <w:r w:rsidRPr="004820C7">
        <w:rPr>
          <w:rFonts w:ascii="Times New Roman" w:hAnsi="Times New Roman" w:cs="Times New Roman"/>
        </w:rPr>
        <w:t xml:space="preserve"> Iechyd Cymru (2023). </w:t>
      </w:r>
      <w:r w:rsidRPr="004820C7">
        <w:rPr>
          <w:rFonts w:ascii="Times New Roman" w:hAnsi="Times New Roman" w:cs="Times New Roman"/>
          <w:i/>
          <w:iCs/>
        </w:rPr>
        <w:t>Rapid Review of Child Protection Procedures in Wales | Healthcare Inspectorate Wales</w:t>
      </w:r>
      <w:r w:rsidRPr="004820C7">
        <w:rPr>
          <w:rFonts w:ascii="Times New Roman" w:hAnsi="Times New Roman" w:cs="Times New Roman"/>
        </w:rPr>
        <w:t>. [online] Hiw.org.uk. Available at: https://www.hiw.org.uk/rapid-review-child-protection-procedures-across-wales.</w:t>
      </w:r>
    </w:p>
    <w:p w14:paraId="6CAA79DC"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Desmond, C., Watt, K., Tomlinson, M., Williamson, J., Sherr, L., Sullivan, M. and Cluver, L. (2022). Other people’s children and the critical role of the social service workforce. </w:t>
      </w:r>
      <w:r w:rsidRPr="004820C7">
        <w:rPr>
          <w:rFonts w:ascii="Times New Roman" w:hAnsi="Times New Roman" w:cs="Times New Roman"/>
          <w:i/>
          <w:iCs/>
        </w:rPr>
        <w:t>Vulnerable Children and Youth Studies</w:t>
      </w:r>
      <w:r w:rsidRPr="004820C7">
        <w:rPr>
          <w:rFonts w:ascii="Times New Roman" w:hAnsi="Times New Roman" w:cs="Times New Roman"/>
        </w:rPr>
        <w:t xml:space="preserve">, pp.1–13. </w:t>
      </w:r>
      <w:proofErr w:type="spellStart"/>
      <w:proofErr w:type="gramStart"/>
      <w:r w:rsidRPr="004820C7">
        <w:rPr>
          <w:rFonts w:ascii="Times New Roman" w:hAnsi="Times New Roman" w:cs="Times New Roman"/>
        </w:rPr>
        <w:t>doi:https</w:t>
      </w:r>
      <w:proofErr w:type="spellEnd"/>
      <w:r w:rsidRPr="004820C7">
        <w:rPr>
          <w:rFonts w:ascii="Times New Roman" w:hAnsi="Times New Roman" w:cs="Times New Roman"/>
        </w:rPr>
        <w:t>://doi.org/10.1080/17450128.2022.2040762</w:t>
      </w:r>
      <w:proofErr w:type="gramEnd"/>
      <w:r w:rsidRPr="004820C7">
        <w:rPr>
          <w:rFonts w:ascii="Times New Roman" w:hAnsi="Times New Roman" w:cs="Times New Roman"/>
        </w:rPr>
        <w:t>.</w:t>
      </w:r>
    </w:p>
    <w:p w14:paraId="6311F0B8"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Jenkins, P. and Polat, F. (2006). The Children Act 2004 and Implications for Counselling in Schools in England and Wales. </w:t>
      </w:r>
      <w:r w:rsidRPr="004820C7">
        <w:rPr>
          <w:rFonts w:ascii="Times New Roman" w:hAnsi="Times New Roman" w:cs="Times New Roman"/>
          <w:i/>
          <w:iCs/>
        </w:rPr>
        <w:t>Pastoral Care in Education</w:t>
      </w:r>
      <w:r w:rsidRPr="004820C7">
        <w:rPr>
          <w:rFonts w:ascii="Times New Roman" w:hAnsi="Times New Roman" w:cs="Times New Roman"/>
        </w:rPr>
        <w:t xml:space="preserve">, 24(2), pp.7–14. </w:t>
      </w:r>
      <w:proofErr w:type="spellStart"/>
      <w:proofErr w:type="gramStart"/>
      <w:r w:rsidRPr="004820C7">
        <w:rPr>
          <w:rFonts w:ascii="Times New Roman" w:hAnsi="Times New Roman" w:cs="Times New Roman"/>
        </w:rPr>
        <w:t>doi:https</w:t>
      </w:r>
      <w:proofErr w:type="spellEnd"/>
      <w:r w:rsidRPr="004820C7">
        <w:rPr>
          <w:rFonts w:ascii="Times New Roman" w:hAnsi="Times New Roman" w:cs="Times New Roman"/>
        </w:rPr>
        <w:t>://doi.org/10.1111/j.1468-0122.2006.00360.x</w:t>
      </w:r>
      <w:proofErr w:type="gramEnd"/>
      <w:r w:rsidRPr="004820C7">
        <w:rPr>
          <w:rFonts w:ascii="Times New Roman" w:hAnsi="Times New Roman" w:cs="Times New Roman"/>
        </w:rPr>
        <w:t>.</w:t>
      </w:r>
    </w:p>
    <w:p w14:paraId="424CB02A"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Llewellyn, M., Verity, F., Wallace, S., Calder, G., Garthwaite, T., Lyttleton-Smith, J. and Read, S. (2023). </w:t>
      </w:r>
      <w:r w:rsidRPr="004820C7">
        <w:rPr>
          <w:rFonts w:ascii="Times New Roman" w:hAnsi="Times New Roman" w:cs="Times New Roman"/>
          <w:i/>
          <w:iCs/>
        </w:rPr>
        <w:t>From Act to Impact?</w:t>
      </w:r>
      <w:r w:rsidRPr="004820C7">
        <w:rPr>
          <w:rFonts w:ascii="Times New Roman" w:hAnsi="Times New Roman" w:cs="Times New Roman"/>
        </w:rPr>
        <w:t xml:space="preserve"> [online] Available at: https://orca.cardiff.ac.uk/id/eprint/171012/1/from-act-to-impact-final-report-of-the-evaluation-of-the-social-services-and-well-being-wales-act-2014.pdf.</w:t>
      </w:r>
    </w:p>
    <w:p w14:paraId="130F15A0" w14:textId="77777777" w:rsidR="004820C7" w:rsidRPr="004820C7" w:rsidRDefault="004820C7" w:rsidP="004820C7">
      <w:pPr>
        <w:pStyle w:val="ListParagraph"/>
        <w:numPr>
          <w:ilvl w:val="0"/>
          <w:numId w:val="1"/>
        </w:numPr>
        <w:spacing w:line="360" w:lineRule="auto"/>
        <w:rPr>
          <w:rFonts w:ascii="Times New Roman" w:hAnsi="Times New Roman" w:cs="Times New Roman"/>
        </w:rPr>
      </w:pPr>
      <w:proofErr w:type="spellStart"/>
      <w:r w:rsidRPr="004820C7">
        <w:rPr>
          <w:rFonts w:ascii="Times New Roman" w:hAnsi="Times New Roman" w:cs="Times New Roman"/>
        </w:rPr>
        <w:t>Llywodraeth</w:t>
      </w:r>
      <w:proofErr w:type="spellEnd"/>
      <w:r w:rsidRPr="004820C7">
        <w:rPr>
          <w:rFonts w:ascii="Times New Roman" w:hAnsi="Times New Roman" w:cs="Times New Roman"/>
        </w:rPr>
        <w:t xml:space="preserve"> Cymru (2013). </w:t>
      </w:r>
      <w:r w:rsidRPr="004820C7">
        <w:rPr>
          <w:rFonts w:ascii="Times New Roman" w:hAnsi="Times New Roman" w:cs="Times New Roman"/>
          <w:i/>
          <w:iCs/>
        </w:rPr>
        <w:t>Protecting Children in Wales Guidance for Arrangements for Multi-Agency Child Practice Reviews</w:t>
      </w:r>
      <w:r w:rsidRPr="004820C7">
        <w:rPr>
          <w:rFonts w:ascii="Times New Roman" w:hAnsi="Times New Roman" w:cs="Times New Roman"/>
        </w:rPr>
        <w:t>. [online] Available at: https://cysur.wales/media/c2fijkqi/121221guidanceen.pdf [Accessed 22 Apr. 2026].</w:t>
      </w:r>
    </w:p>
    <w:p w14:paraId="44BD50D9" w14:textId="77777777" w:rsidR="004820C7" w:rsidRPr="004820C7" w:rsidRDefault="004820C7" w:rsidP="004820C7">
      <w:pPr>
        <w:pStyle w:val="ListParagraph"/>
        <w:numPr>
          <w:ilvl w:val="0"/>
          <w:numId w:val="1"/>
        </w:numPr>
        <w:spacing w:line="360" w:lineRule="auto"/>
        <w:rPr>
          <w:rFonts w:ascii="Times New Roman" w:hAnsi="Times New Roman" w:cs="Times New Roman"/>
        </w:rPr>
      </w:pPr>
      <w:proofErr w:type="spellStart"/>
      <w:r w:rsidRPr="004820C7">
        <w:rPr>
          <w:rFonts w:ascii="Times New Roman" w:hAnsi="Times New Roman" w:cs="Times New Roman"/>
        </w:rPr>
        <w:t>Llywodraeth</w:t>
      </w:r>
      <w:proofErr w:type="spellEnd"/>
      <w:r w:rsidRPr="004820C7">
        <w:rPr>
          <w:rFonts w:ascii="Times New Roman" w:hAnsi="Times New Roman" w:cs="Times New Roman"/>
        </w:rPr>
        <w:t xml:space="preserve"> Cymru (2021). </w:t>
      </w:r>
      <w:r w:rsidRPr="004820C7">
        <w:rPr>
          <w:rFonts w:ascii="Times New Roman" w:hAnsi="Times New Roman" w:cs="Times New Roman"/>
          <w:i/>
          <w:iCs/>
        </w:rPr>
        <w:t>Safeguarding | Law Wales</w:t>
      </w:r>
      <w:r w:rsidRPr="004820C7">
        <w:rPr>
          <w:rFonts w:ascii="Times New Roman" w:hAnsi="Times New Roman" w:cs="Times New Roman"/>
        </w:rPr>
        <w:t xml:space="preserve">. [online] </w:t>
      </w:r>
      <w:proofErr w:type="spellStart"/>
      <w:proofErr w:type="gramStart"/>
      <w:r w:rsidRPr="004820C7">
        <w:rPr>
          <w:rFonts w:ascii="Times New Roman" w:hAnsi="Times New Roman" w:cs="Times New Roman"/>
        </w:rPr>
        <w:t>law.gov.wales</w:t>
      </w:r>
      <w:proofErr w:type="spellEnd"/>
      <w:proofErr w:type="gramEnd"/>
      <w:r w:rsidRPr="004820C7">
        <w:rPr>
          <w:rFonts w:ascii="Times New Roman" w:hAnsi="Times New Roman" w:cs="Times New Roman"/>
        </w:rPr>
        <w:t>. Available at: https://law.gov.wales/safeguarding.</w:t>
      </w:r>
    </w:p>
    <w:p w14:paraId="2DD377BD" w14:textId="77777777" w:rsidR="004820C7" w:rsidRPr="004820C7" w:rsidRDefault="004820C7" w:rsidP="004820C7">
      <w:pPr>
        <w:pStyle w:val="ListParagraph"/>
        <w:numPr>
          <w:ilvl w:val="0"/>
          <w:numId w:val="1"/>
        </w:numPr>
        <w:spacing w:line="360" w:lineRule="auto"/>
        <w:rPr>
          <w:rFonts w:ascii="Times New Roman" w:hAnsi="Times New Roman" w:cs="Times New Roman"/>
        </w:rPr>
      </w:pPr>
      <w:proofErr w:type="spellStart"/>
      <w:r w:rsidRPr="004820C7">
        <w:rPr>
          <w:rFonts w:ascii="Times New Roman" w:hAnsi="Times New Roman" w:cs="Times New Roman"/>
        </w:rPr>
        <w:t>Llywodraeth</w:t>
      </w:r>
      <w:proofErr w:type="spellEnd"/>
      <w:r w:rsidRPr="004820C7">
        <w:rPr>
          <w:rFonts w:ascii="Times New Roman" w:hAnsi="Times New Roman" w:cs="Times New Roman"/>
        </w:rPr>
        <w:t xml:space="preserve"> Cymru (2025). </w:t>
      </w:r>
      <w:r w:rsidRPr="004820C7">
        <w:rPr>
          <w:rFonts w:ascii="Times New Roman" w:hAnsi="Times New Roman" w:cs="Times New Roman"/>
          <w:i/>
          <w:iCs/>
        </w:rPr>
        <w:t>National multi-agency practice framework for children’s services [HTML] | GOV.WALES</w:t>
      </w:r>
      <w:r w:rsidRPr="004820C7">
        <w:rPr>
          <w:rFonts w:ascii="Times New Roman" w:hAnsi="Times New Roman" w:cs="Times New Roman"/>
        </w:rPr>
        <w:t>. [online] GOV.WALES. Available at: https://www.gov.wales/national-multi-agency-practice-framework-childrens-services-html.</w:t>
      </w:r>
    </w:p>
    <w:p w14:paraId="24A55E83" w14:textId="77777777" w:rsidR="004820C7" w:rsidRPr="004820C7" w:rsidRDefault="004820C7" w:rsidP="004820C7">
      <w:pPr>
        <w:pStyle w:val="ListParagraph"/>
        <w:numPr>
          <w:ilvl w:val="0"/>
          <w:numId w:val="1"/>
        </w:numPr>
        <w:spacing w:line="360" w:lineRule="auto"/>
        <w:rPr>
          <w:rFonts w:ascii="Times New Roman" w:hAnsi="Times New Roman" w:cs="Times New Roman"/>
        </w:rPr>
      </w:pPr>
      <w:proofErr w:type="spellStart"/>
      <w:r w:rsidRPr="004820C7">
        <w:rPr>
          <w:rFonts w:ascii="Times New Roman" w:hAnsi="Times New Roman" w:cs="Times New Roman"/>
        </w:rPr>
        <w:t>Mcmanus</w:t>
      </w:r>
      <w:proofErr w:type="spellEnd"/>
      <w:r w:rsidRPr="004820C7">
        <w:rPr>
          <w:rFonts w:ascii="Times New Roman" w:hAnsi="Times New Roman" w:cs="Times New Roman"/>
        </w:rPr>
        <w:t xml:space="preserve">, M., Ball, E., </w:t>
      </w:r>
      <w:proofErr w:type="spellStart"/>
      <w:r w:rsidRPr="004820C7">
        <w:rPr>
          <w:rFonts w:ascii="Times New Roman" w:hAnsi="Times New Roman" w:cs="Times New Roman"/>
        </w:rPr>
        <w:t>Mcelwee</w:t>
      </w:r>
      <w:proofErr w:type="spellEnd"/>
      <w:r w:rsidRPr="004820C7">
        <w:rPr>
          <w:rFonts w:ascii="Times New Roman" w:hAnsi="Times New Roman" w:cs="Times New Roman"/>
        </w:rPr>
        <w:t xml:space="preserve">, J., Astley, J., Mccoy, E., Harrison, R., Steele, R., Quigg, Z., Timpson, H. and Nolan, S. (2022). </w:t>
      </w:r>
      <w:r w:rsidRPr="004820C7">
        <w:rPr>
          <w:rFonts w:ascii="Times New Roman" w:hAnsi="Times New Roman" w:cs="Times New Roman"/>
          <w:i/>
          <w:iCs/>
        </w:rPr>
        <w:t>October 2022 Shaping the Future of Multi-Agency Safeguarding Arrangements in Wales: What does good look like? National Executive Summary Report</w:t>
      </w:r>
      <w:r w:rsidRPr="004820C7">
        <w:rPr>
          <w:rFonts w:ascii="Times New Roman" w:hAnsi="Times New Roman" w:cs="Times New Roman"/>
        </w:rPr>
        <w:t>. [online] Available at: https://safeguardingboard.wales/wp-content/uploads/sites/8/2022/11/LJMU-Executive-Summary-MA-Safeguarding-Wales.pdf# [Accessed 24 Apr. 2026].</w:t>
      </w:r>
    </w:p>
    <w:p w14:paraId="77277AB0"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NSPCC (2023). </w:t>
      </w:r>
      <w:r w:rsidRPr="004820C7">
        <w:rPr>
          <w:rFonts w:ascii="Times New Roman" w:hAnsi="Times New Roman" w:cs="Times New Roman"/>
          <w:i/>
          <w:iCs/>
        </w:rPr>
        <w:t>Multi-agency and interdisciplinary working</w:t>
      </w:r>
      <w:r w:rsidRPr="004820C7">
        <w:rPr>
          <w:rFonts w:ascii="Times New Roman" w:hAnsi="Times New Roman" w:cs="Times New Roman"/>
        </w:rPr>
        <w:t>. [online] NSPCC. Available at: https://learning.nspcc.org.uk/child-protection-system/multi-agency-working-child-protection.</w:t>
      </w:r>
    </w:p>
    <w:p w14:paraId="409AAD7F"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lastRenderedPageBreak/>
        <w:t xml:space="preserve">NSPCC (2024). </w:t>
      </w:r>
      <w:r w:rsidRPr="004820C7">
        <w:rPr>
          <w:rFonts w:ascii="Times New Roman" w:hAnsi="Times New Roman" w:cs="Times New Roman"/>
          <w:i/>
          <w:iCs/>
        </w:rPr>
        <w:t>Child protection system for Wales</w:t>
      </w:r>
      <w:r w:rsidRPr="004820C7">
        <w:rPr>
          <w:rFonts w:ascii="Times New Roman" w:hAnsi="Times New Roman" w:cs="Times New Roman"/>
        </w:rPr>
        <w:t>. [online] NSPCC Learning. Available at: https://learning.nspcc.org.uk/child-protection-system/wales.</w:t>
      </w:r>
    </w:p>
    <w:p w14:paraId="08FEA8D9"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Owens, R. and Lloyd, J. (2023). From behaviour-based to ecological: Multi-agency partnership responses to extra-familial harm. </w:t>
      </w:r>
      <w:r w:rsidRPr="004820C7">
        <w:rPr>
          <w:rFonts w:ascii="Times New Roman" w:hAnsi="Times New Roman" w:cs="Times New Roman"/>
          <w:i/>
          <w:iCs/>
        </w:rPr>
        <w:t>Journal of Social Work</w:t>
      </w:r>
      <w:r w:rsidRPr="004820C7">
        <w:rPr>
          <w:rFonts w:ascii="Times New Roman" w:hAnsi="Times New Roman" w:cs="Times New Roman"/>
        </w:rPr>
        <w:t xml:space="preserve">, [online] 23(4), p.146801732311625. </w:t>
      </w:r>
      <w:proofErr w:type="spellStart"/>
      <w:proofErr w:type="gramStart"/>
      <w:r w:rsidRPr="004820C7">
        <w:rPr>
          <w:rFonts w:ascii="Times New Roman" w:hAnsi="Times New Roman" w:cs="Times New Roman"/>
        </w:rPr>
        <w:t>doi:https</w:t>
      </w:r>
      <w:proofErr w:type="spellEnd"/>
      <w:r w:rsidRPr="004820C7">
        <w:rPr>
          <w:rFonts w:ascii="Times New Roman" w:hAnsi="Times New Roman" w:cs="Times New Roman"/>
        </w:rPr>
        <w:t>://doi.org/10.1177/14680173231162553</w:t>
      </w:r>
      <w:proofErr w:type="gramEnd"/>
      <w:r w:rsidRPr="004820C7">
        <w:rPr>
          <w:rFonts w:ascii="Times New Roman" w:hAnsi="Times New Roman" w:cs="Times New Roman"/>
        </w:rPr>
        <w:t>.</w:t>
      </w:r>
    </w:p>
    <w:p w14:paraId="2CA039CA"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Social Care Wales (n.d.). </w:t>
      </w:r>
      <w:r w:rsidRPr="004820C7">
        <w:rPr>
          <w:rFonts w:ascii="Times New Roman" w:hAnsi="Times New Roman" w:cs="Times New Roman"/>
          <w:i/>
          <w:iCs/>
        </w:rPr>
        <w:t>Safeguarding Wales</w:t>
      </w:r>
      <w:r w:rsidRPr="004820C7">
        <w:rPr>
          <w:rFonts w:ascii="Times New Roman" w:hAnsi="Times New Roman" w:cs="Times New Roman"/>
        </w:rPr>
        <w:t xml:space="preserve">. [online] </w:t>
      </w:r>
      <w:proofErr w:type="spellStart"/>
      <w:r w:rsidRPr="004820C7">
        <w:rPr>
          <w:rFonts w:ascii="Times New Roman" w:hAnsi="Times New Roman" w:cs="Times New Roman"/>
        </w:rPr>
        <w:t>Safeguarding.wales</w:t>
      </w:r>
      <w:proofErr w:type="spellEnd"/>
      <w:r w:rsidRPr="004820C7">
        <w:rPr>
          <w:rFonts w:ascii="Times New Roman" w:hAnsi="Times New Roman" w:cs="Times New Roman"/>
        </w:rPr>
        <w:t>. Available at: https://www.safeguarding.wales/en/int-i/int-i-i1/i1-p1/.</w:t>
      </w:r>
    </w:p>
    <w:p w14:paraId="19D5D3A0"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Tackling Child Exploitation (n.d.). </w:t>
      </w:r>
      <w:r w:rsidRPr="004820C7">
        <w:rPr>
          <w:rFonts w:ascii="Times New Roman" w:hAnsi="Times New Roman" w:cs="Times New Roman"/>
          <w:i/>
          <w:iCs/>
        </w:rPr>
        <w:t>Multi-agency Practice Principles for responding to child exploitation and extra-familial harm</w:t>
      </w:r>
      <w:r w:rsidRPr="004820C7">
        <w:rPr>
          <w:rFonts w:ascii="Times New Roman" w:hAnsi="Times New Roman" w:cs="Times New Roman"/>
        </w:rPr>
        <w:t>. [online] Tackling Child Exploitation. Available at: https://tce.researchinpractice.org.uk/.</w:t>
      </w:r>
    </w:p>
    <w:p w14:paraId="3B24616A"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Taylor-Collins, E. and Gomes, L. (2021). </w:t>
      </w:r>
      <w:r w:rsidRPr="004820C7">
        <w:rPr>
          <w:rFonts w:ascii="Times New Roman" w:hAnsi="Times New Roman" w:cs="Times New Roman"/>
          <w:i/>
          <w:iCs/>
        </w:rPr>
        <w:t>Multi-agency working and outcomes for children looked after - Wales Centre for Public Policy</w:t>
      </w:r>
      <w:r w:rsidRPr="004820C7">
        <w:rPr>
          <w:rFonts w:ascii="Times New Roman" w:hAnsi="Times New Roman" w:cs="Times New Roman"/>
        </w:rPr>
        <w:t>. [online] Wcpp.org.uk. Available at: https://wcpp.org.uk/report/multi-agency-working-and-outcomes-for-children-looked-after/.</w:t>
      </w:r>
    </w:p>
    <w:p w14:paraId="7DB9F380" w14:textId="77777777" w:rsidR="004820C7" w:rsidRPr="004820C7" w:rsidRDefault="004820C7" w:rsidP="004820C7">
      <w:pPr>
        <w:pStyle w:val="ListParagraph"/>
        <w:numPr>
          <w:ilvl w:val="0"/>
          <w:numId w:val="1"/>
        </w:numPr>
        <w:spacing w:line="360" w:lineRule="auto"/>
        <w:rPr>
          <w:rFonts w:ascii="Times New Roman" w:hAnsi="Times New Roman" w:cs="Times New Roman"/>
        </w:rPr>
      </w:pPr>
      <w:r w:rsidRPr="004820C7">
        <w:rPr>
          <w:rFonts w:ascii="Times New Roman" w:hAnsi="Times New Roman" w:cs="Times New Roman"/>
        </w:rPr>
        <w:t xml:space="preserve">Thompson, K. (2012). Multi-agency information practices in children’s services: the metaphorical ‘jigsaw’ and </w:t>
      </w:r>
      <w:proofErr w:type="gramStart"/>
      <w:r w:rsidRPr="004820C7">
        <w:rPr>
          <w:rFonts w:ascii="Times New Roman" w:hAnsi="Times New Roman" w:cs="Times New Roman"/>
        </w:rPr>
        <w:t>professionals</w:t>
      </w:r>
      <w:proofErr w:type="gramEnd"/>
      <w:r w:rsidRPr="004820C7">
        <w:rPr>
          <w:rFonts w:ascii="Times New Roman" w:hAnsi="Times New Roman" w:cs="Times New Roman"/>
        </w:rPr>
        <w:t xml:space="preserve"> quest for a ‘full’ picture. </w:t>
      </w:r>
      <w:r w:rsidRPr="004820C7">
        <w:rPr>
          <w:rFonts w:ascii="Times New Roman" w:hAnsi="Times New Roman" w:cs="Times New Roman"/>
          <w:i/>
          <w:iCs/>
        </w:rPr>
        <w:t>Child &amp; Family Social Work</w:t>
      </w:r>
      <w:r w:rsidRPr="004820C7">
        <w:rPr>
          <w:rFonts w:ascii="Times New Roman" w:hAnsi="Times New Roman" w:cs="Times New Roman"/>
        </w:rPr>
        <w:t xml:space="preserve">, 18(2), pp.189–197. </w:t>
      </w:r>
      <w:proofErr w:type="spellStart"/>
      <w:proofErr w:type="gramStart"/>
      <w:r w:rsidRPr="004820C7">
        <w:rPr>
          <w:rFonts w:ascii="Times New Roman" w:hAnsi="Times New Roman" w:cs="Times New Roman"/>
        </w:rPr>
        <w:t>doi:https</w:t>
      </w:r>
      <w:proofErr w:type="spellEnd"/>
      <w:r w:rsidRPr="004820C7">
        <w:rPr>
          <w:rFonts w:ascii="Times New Roman" w:hAnsi="Times New Roman" w:cs="Times New Roman"/>
        </w:rPr>
        <w:t>://doi.org/10.1111/j.1365-2206.2011.00821.x</w:t>
      </w:r>
      <w:proofErr w:type="gramEnd"/>
      <w:r w:rsidRPr="004820C7">
        <w:rPr>
          <w:rFonts w:ascii="Times New Roman" w:hAnsi="Times New Roman" w:cs="Times New Roman"/>
        </w:rPr>
        <w:t>.</w:t>
      </w:r>
    </w:p>
    <w:p w14:paraId="056402BE" w14:textId="77777777" w:rsidR="004820C7" w:rsidRPr="004050EF" w:rsidRDefault="004820C7" w:rsidP="005C0EC3">
      <w:pPr>
        <w:spacing w:line="360" w:lineRule="auto"/>
        <w:rPr>
          <w:rFonts w:ascii="Times New Roman" w:hAnsi="Times New Roman" w:cs="Times New Roman"/>
        </w:rPr>
      </w:pPr>
    </w:p>
    <w:sectPr w:rsidR="004820C7" w:rsidRPr="004050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43194"/>
    <w:multiLevelType w:val="hybridMultilevel"/>
    <w:tmpl w:val="507E4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F2A9B"/>
    <w:multiLevelType w:val="hybridMultilevel"/>
    <w:tmpl w:val="8C3A0C78"/>
    <w:lvl w:ilvl="0" w:tplc="BFA24F4C">
      <w:start w:val="1"/>
      <w:numFmt w:val="bullet"/>
      <w:lvlText w:val=" "/>
      <w:lvlJc w:val="left"/>
      <w:pPr>
        <w:tabs>
          <w:tab w:val="num" w:pos="720"/>
        </w:tabs>
        <w:ind w:left="720" w:hanging="360"/>
      </w:pPr>
      <w:rPr>
        <w:rFonts w:ascii="Calibri" w:hAnsi="Calibri" w:hint="default"/>
      </w:rPr>
    </w:lvl>
    <w:lvl w:ilvl="1" w:tplc="6D02689E" w:tentative="1">
      <w:start w:val="1"/>
      <w:numFmt w:val="bullet"/>
      <w:lvlText w:val=" "/>
      <w:lvlJc w:val="left"/>
      <w:pPr>
        <w:tabs>
          <w:tab w:val="num" w:pos="1440"/>
        </w:tabs>
        <w:ind w:left="1440" w:hanging="360"/>
      </w:pPr>
      <w:rPr>
        <w:rFonts w:ascii="Calibri" w:hAnsi="Calibri" w:hint="default"/>
      </w:rPr>
    </w:lvl>
    <w:lvl w:ilvl="2" w:tplc="0B1206B6" w:tentative="1">
      <w:start w:val="1"/>
      <w:numFmt w:val="bullet"/>
      <w:lvlText w:val=" "/>
      <w:lvlJc w:val="left"/>
      <w:pPr>
        <w:tabs>
          <w:tab w:val="num" w:pos="2160"/>
        </w:tabs>
        <w:ind w:left="2160" w:hanging="360"/>
      </w:pPr>
      <w:rPr>
        <w:rFonts w:ascii="Calibri" w:hAnsi="Calibri" w:hint="default"/>
      </w:rPr>
    </w:lvl>
    <w:lvl w:ilvl="3" w:tplc="B8A661D8" w:tentative="1">
      <w:start w:val="1"/>
      <w:numFmt w:val="bullet"/>
      <w:lvlText w:val=" "/>
      <w:lvlJc w:val="left"/>
      <w:pPr>
        <w:tabs>
          <w:tab w:val="num" w:pos="2880"/>
        </w:tabs>
        <w:ind w:left="2880" w:hanging="360"/>
      </w:pPr>
      <w:rPr>
        <w:rFonts w:ascii="Calibri" w:hAnsi="Calibri" w:hint="default"/>
      </w:rPr>
    </w:lvl>
    <w:lvl w:ilvl="4" w:tplc="2FC03068" w:tentative="1">
      <w:start w:val="1"/>
      <w:numFmt w:val="bullet"/>
      <w:lvlText w:val=" "/>
      <w:lvlJc w:val="left"/>
      <w:pPr>
        <w:tabs>
          <w:tab w:val="num" w:pos="3600"/>
        </w:tabs>
        <w:ind w:left="3600" w:hanging="360"/>
      </w:pPr>
      <w:rPr>
        <w:rFonts w:ascii="Calibri" w:hAnsi="Calibri" w:hint="default"/>
      </w:rPr>
    </w:lvl>
    <w:lvl w:ilvl="5" w:tplc="7DD015D4" w:tentative="1">
      <w:start w:val="1"/>
      <w:numFmt w:val="bullet"/>
      <w:lvlText w:val=" "/>
      <w:lvlJc w:val="left"/>
      <w:pPr>
        <w:tabs>
          <w:tab w:val="num" w:pos="4320"/>
        </w:tabs>
        <w:ind w:left="4320" w:hanging="360"/>
      </w:pPr>
      <w:rPr>
        <w:rFonts w:ascii="Calibri" w:hAnsi="Calibri" w:hint="default"/>
      </w:rPr>
    </w:lvl>
    <w:lvl w:ilvl="6" w:tplc="DF0C567E" w:tentative="1">
      <w:start w:val="1"/>
      <w:numFmt w:val="bullet"/>
      <w:lvlText w:val=" "/>
      <w:lvlJc w:val="left"/>
      <w:pPr>
        <w:tabs>
          <w:tab w:val="num" w:pos="5040"/>
        </w:tabs>
        <w:ind w:left="5040" w:hanging="360"/>
      </w:pPr>
      <w:rPr>
        <w:rFonts w:ascii="Calibri" w:hAnsi="Calibri" w:hint="default"/>
      </w:rPr>
    </w:lvl>
    <w:lvl w:ilvl="7" w:tplc="81121B68" w:tentative="1">
      <w:start w:val="1"/>
      <w:numFmt w:val="bullet"/>
      <w:lvlText w:val=" "/>
      <w:lvlJc w:val="left"/>
      <w:pPr>
        <w:tabs>
          <w:tab w:val="num" w:pos="5760"/>
        </w:tabs>
        <w:ind w:left="5760" w:hanging="360"/>
      </w:pPr>
      <w:rPr>
        <w:rFonts w:ascii="Calibri" w:hAnsi="Calibri" w:hint="default"/>
      </w:rPr>
    </w:lvl>
    <w:lvl w:ilvl="8" w:tplc="CD280458" w:tentative="1">
      <w:start w:val="1"/>
      <w:numFmt w:val="bullet"/>
      <w:lvlText w:val=" "/>
      <w:lvlJc w:val="left"/>
      <w:pPr>
        <w:tabs>
          <w:tab w:val="num" w:pos="6480"/>
        </w:tabs>
        <w:ind w:left="6480" w:hanging="360"/>
      </w:pPr>
      <w:rPr>
        <w:rFonts w:ascii="Calibri" w:hAnsi="Calibri" w:hint="default"/>
      </w:rPr>
    </w:lvl>
  </w:abstractNum>
  <w:num w:numId="1" w16cid:durableId="1288196404">
    <w:abstractNumId w:val="0"/>
  </w:num>
  <w:num w:numId="2" w16cid:durableId="888125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7D0"/>
    <w:rsid w:val="00000F12"/>
    <w:rsid w:val="000017D0"/>
    <w:rsid w:val="00003AD1"/>
    <w:rsid w:val="00031879"/>
    <w:rsid w:val="000C6DC8"/>
    <w:rsid w:val="000D6CA8"/>
    <w:rsid w:val="000D74BF"/>
    <w:rsid w:val="00157B6B"/>
    <w:rsid w:val="00163917"/>
    <w:rsid w:val="0019545D"/>
    <w:rsid w:val="001D38FC"/>
    <w:rsid w:val="002128F6"/>
    <w:rsid w:val="00246B1B"/>
    <w:rsid w:val="00250282"/>
    <w:rsid w:val="002D0C03"/>
    <w:rsid w:val="00320167"/>
    <w:rsid w:val="00325234"/>
    <w:rsid w:val="00325EF6"/>
    <w:rsid w:val="0039510D"/>
    <w:rsid w:val="003A0751"/>
    <w:rsid w:val="003E425A"/>
    <w:rsid w:val="003E7BB0"/>
    <w:rsid w:val="004050EF"/>
    <w:rsid w:val="00420AED"/>
    <w:rsid w:val="00436F7C"/>
    <w:rsid w:val="00462CA4"/>
    <w:rsid w:val="00463E85"/>
    <w:rsid w:val="00465BA0"/>
    <w:rsid w:val="00472243"/>
    <w:rsid w:val="00473547"/>
    <w:rsid w:val="004820C7"/>
    <w:rsid w:val="00485039"/>
    <w:rsid w:val="004E7736"/>
    <w:rsid w:val="00571942"/>
    <w:rsid w:val="0059157D"/>
    <w:rsid w:val="005C0EC3"/>
    <w:rsid w:val="005C4772"/>
    <w:rsid w:val="005F0547"/>
    <w:rsid w:val="0062453F"/>
    <w:rsid w:val="006A07C6"/>
    <w:rsid w:val="0078505B"/>
    <w:rsid w:val="00791BC1"/>
    <w:rsid w:val="00826B73"/>
    <w:rsid w:val="00857C0D"/>
    <w:rsid w:val="008D0DFB"/>
    <w:rsid w:val="008E0C22"/>
    <w:rsid w:val="008E60F8"/>
    <w:rsid w:val="008F3171"/>
    <w:rsid w:val="00906533"/>
    <w:rsid w:val="00937871"/>
    <w:rsid w:val="00991B84"/>
    <w:rsid w:val="00A97274"/>
    <w:rsid w:val="00B01098"/>
    <w:rsid w:val="00B13629"/>
    <w:rsid w:val="00B14DF1"/>
    <w:rsid w:val="00B32FD5"/>
    <w:rsid w:val="00B8691C"/>
    <w:rsid w:val="00BC1443"/>
    <w:rsid w:val="00BE34BB"/>
    <w:rsid w:val="00BE53DE"/>
    <w:rsid w:val="00BE73A7"/>
    <w:rsid w:val="00BF198A"/>
    <w:rsid w:val="00C056B5"/>
    <w:rsid w:val="00C2361E"/>
    <w:rsid w:val="00C25306"/>
    <w:rsid w:val="00C505C6"/>
    <w:rsid w:val="00CC74C2"/>
    <w:rsid w:val="00CF08CA"/>
    <w:rsid w:val="00D07650"/>
    <w:rsid w:val="00D42D1E"/>
    <w:rsid w:val="00D51DDA"/>
    <w:rsid w:val="00D805CE"/>
    <w:rsid w:val="00D9648A"/>
    <w:rsid w:val="00DA7B5B"/>
    <w:rsid w:val="00DE1F63"/>
    <w:rsid w:val="00E927BC"/>
    <w:rsid w:val="00ED749C"/>
    <w:rsid w:val="00F10C5F"/>
    <w:rsid w:val="00F85FC4"/>
    <w:rsid w:val="00FC0532"/>
    <w:rsid w:val="00FC2C5E"/>
    <w:rsid w:val="00FC5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6A6FD"/>
  <w15:chartTrackingRefBased/>
  <w15:docId w15:val="{6F442D98-6893-4A0E-B2CB-0F7FAFD6E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7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17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17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7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7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7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7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7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7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7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17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17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7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7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7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7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7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7D0"/>
    <w:rPr>
      <w:rFonts w:eastAsiaTheme="majorEastAsia" w:cstheme="majorBidi"/>
      <w:color w:val="272727" w:themeColor="text1" w:themeTint="D8"/>
    </w:rPr>
  </w:style>
  <w:style w:type="paragraph" w:styleId="Title">
    <w:name w:val="Title"/>
    <w:basedOn w:val="Normal"/>
    <w:next w:val="Normal"/>
    <w:link w:val="TitleChar"/>
    <w:uiPriority w:val="10"/>
    <w:qFormat/>
    <w:rsid w:val="00001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7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7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7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7D0"/>
    <w:pPr>
      <w:spacing w:before="160"/>
      <w:jc w:val="center"/>
    </w:pPr>
    <w:rPr>
      <w:i/>
      <w:iCs/>
      <w:color w:val="404040" w:themeColor="text1" w:themeTint="BF"/>
    </w:rPr>
  </w:style>
  <w:style w:type="character" w:customStyle="1" w:styleId="QuoteChar">
    <w:name w:val="Quote Char"/>
    <w:basedOn w:val="DefaultParagraphFont"/>
    <w:link w:val="Quote"/>
    <w:uiPriority w:val="29"/>
    <w:rsid w:val="000017D0"/>
    <w:rPr>
      <w:i/>
      <w:iCs/>
      <w:color w:val="404040" w:themeColor="text1" w:themeTint="BF"/>
    </w:rPr>
  </w:style>
  <w:style w:type="paragraph" w:styleId="ListParagraph">
    <w:name w:val="List Paragraph"/>
    <w:basedOn w:val="Normal"/>
    <w:uiPriority w:val="34"/>
    <w:qFormat/>
    <w:rsid w:val="000017D0"/>
    <w:pPr>
      <w:ind w:left="720"/>
      <w:contextualSpacing/>
    </w:pPr>
  </w:style>
  <w:style w:type="character" w:styleId="IntenseEmphasis">
    <w:name w:val="Intense Emphasis"/>
    <w:basedOn w:val="DefaultParagraphFont"/>
    <w:uiPriority w:val="21"/>
    <w:qFormat/>
    <w:rsid w:val="000017D0"/>
    <w:rPr>
      <w:i/>
      <w:iCs/>
      <w:color w:val="0F4761" w:themeColor="accent1" w:themeShade="BF"/>
    </w:rPr>
  </w:style>
  <w:style w:type="paragraph" w:styleId="IntenseQuote">
    <w:name w:val="Intense Quote"/>
    <w:basedOn w:val="Normal"/>
    <w:next w:val="Normal"/>
    <w:link w:val="IntenseQuoteChar"/>
    <w:uiPriority w:val="30"/>
    <w:qFormat/>
    <w:rsid w:val="000017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7D0"/>
    <w:rPr>
      <w:i/>
      <w:iCs/>
      <w:color w:val="0F4761" w:themeColor="accent1" w:themeShade="BF"/>
    </w:rPr>
  </w:style>
  <w:style w:type="character" w:styleId="IntenseReference">
    <w:name w:val="Intense Reference"/>
    <w:basedOn w:val="DefaultParagraphFont"/>
    <w:uiPriority w:val="32"/>
    <w:qFormat/>
    <w:rsid w:val="000017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61263">
      <w:bodyDiv w:val="1"/>
      <w:marLeft w:val="0"/>
      <w:marRight w:val="0"/>
      <w:marTop w:val="0"/>
      <w:marBottom w:val="0"/>
      <w:divBdr>
        <w:top w:val="none" w:sz="0" w:space="0" w:color="auto"/>
        <w:left w:val="none" w:sz="0" w:space="0" w:color="auto"/>
        <w:bottom w:val="none" w:sz="0" w:space="0" w:color="auto"/>
        <w:right w:val="none" w:sz="0" w:space="0" w:color="auto"/>
      </w:divBdr>
    </w:div>
    <w:div w:id="63452336">
      <w:bodyDiv w:val="1"/>
      <w:marLeft w:val="0"/>
      <w:marRight w:val="0"/>
      <w:marTop w:val="0"/>
      <w:marBottom w:val="0"/>
      <w:divBdr>
        <w:top w:val="none" w:sz="0" w:space="0" w:color="auto"/>
        <w:left w:val="none" w:sz="0" w:space="0" w:color="auto"/>
        <w:bottom w:val="none" w:sz="0" w:space="0" w:color="auto"/>
        <w:right w:val="none" w:sz="0" w:space="0" w:color="auto"/>
      </w:divBdr>
    </w:div>
    <w:div w:id="73625102">
      <w:bodyDiv w:val="1"/>
      <w:marLeft w:val="0"/>
      <w:marRight w:val="0"/>
      <w:marTop w:val="0"/>
      <w:marBottom w:val="0"/>
      <w:divBdr>
        <w:top w:val="none" w:sz="0" w:space="0" w:color="auto"/>
        <w:left w:val="none" w:sz="0" w:space="0" w:color="auto"/>
        <w:bottom w:val="none" w:sz="0" w:space="0" w:color="auto"/>
        <w:right w:val="none" w:sz="0" w:space="0" w:color="auto"/>
      </w:divBdr>
    </w:div>
    <w:div w:id="124350736">
      <w:bodyDiv w:val="1"/>
      <w:marLeft w:val="0"/>
      <w:marRight w:val="0"/>
      <w:marTop w:val="0"/>
      <w:marBottom w:val="0"/>
      <w:divBdr>
        <w:top w:val="none" w:sz="0" w:space="0" w:color="auto"/>
        <w:left w:val="none" w:sz="0" w:space="0" w:color="auto"/>
        <w:bottom w:val="none" w:sz="0" w:space="0" w:color="auto"/>
        <w:right w:val="none" w:sz="0" w:space="0" w:color="auto"/>
      </w:divBdr>
      <w:divsChild>
        <w:div w:id="1669089222">
          <w:marLeft w:val="0"/>
          <w:marRight w:val="0"/>
          <w:marTop w:val="0"/>
          <w:marBottom w:val="0"/>
          <w:divBdr>
            <w:top w:val="none" w:sz="0" w:space="0" w:color="auto"/>
            <w:left w:val="none" w:sz="0" w:space="0" w:color="auto"/>
            <w:bottom w:val="none" w:sz="0" w:space="0" w:color="auto"/>
            <w:right w:val="none" w:sz="0" w:space="0" w:color="auto"/>
          </w:divBdr>
        </w:div>
      </w:divsChild>
    </w:div>
    <w:div w:id="227376790">
      <w:bodyDiv w:val="1"/>
      <w:marLeft w:val="0"/>
      <w:marRight w:val="0"/>
      <w:marTop w:val="0"/>
      <w:marBottom w:val="0"/>
      <w:divBdr>
        <w:top w:val="none" w:sz="0" w:space="0" w:color="auto"/>
        <w:left w:val="none" w:sz="0" w:space="0" w:color="auto"/>
        <w:bottom w:val="none" w:sz="0" w:space="0" w:color="auto"/>
        <w:right w:val="none" w:sz="0" w:space="0" w:color="auto"/>
      </w:divBdr>
    </w:div>
    <w:div w:id="311910310">
      <w:bodyDiv w:val="1"/>
      <w:marLeft w:val="0"/>
      <w:marRight w:val="0"/>
      <w:marTop w:val="0"/>
      <w:marBottom w:val="0"/>
      <w:divBdr>
        <w:top w:val="none" w:sz="0" w:space="0" w:color="auto"/>
        <w:left w:val="none" w:sz="0" w:space="0" w:color="auto"/>
        <w:bottom w:val="none" w:sz="0" w:space="0" w:color="auto"/>
        <w:right w:val="none" w:sz="0" w:space="0" w:color="auto"/>
      </w:divBdr>
    </w:div>
    <w:div w:id="316736630">
      <w:bodyDiv w:val="1"/>
      <w:marLeft w:val="0"/>
      <w:marRight w:val="0"/>
      <w:marTop w:val="0"/>
      <w:marBottom w:val="0"/>
      <w:divBdr>
        <w:top w:val="none" w:sz="0" w:space="0" w:color="auto"/>
        <w:left w:val="none" w:sz="0" w:space="0" w:color="auto"/>
        <w:bottom w:val="none" w:sz="0" w:space="0" w:color="auto"/>
        <w:right w:val="none" w:sz="0" w:space="0" w:color="auto"/>
      </w:divBdr>
    </w:div>
    <w:div w:id="339043240">
      <w:bodyDiv w:val="1"/>
      <w:marLeft w:val="0"/>
      <w:marRight w:val="0"/>
      <w:marTop w:val="0"/>
      <w:marBottom w:val="0"/>
      <w:divBdr>
        <w:top w:val="none" w:sz="0" w:space="0" w:color="auto"/>
        <w:left w:val="none" w:sz="0" w:space="0" w:color="auto"/>
        <w:bottom w:val="none" w:sz="0" w:space="0" w:color="auto"/>
        <w:right w:val="none" w:sz="0" w:space="0" w:color="auto"/>
      </w:divBdr>
    </w:div>
    <w:div w:id="339939350">
      <w:bodyDiv w:val="1"/>
      <w:marLeft w:val="0"/>
      <w:marRight w:val="0"/>
      <w:marTop w:val="0"/>
      <w:marBottom w:val="0"/>
      <w:divBdr>
        <w:top w:val="none" w:sz="0" w:space="0" w:color="auto"/>
        <w:left w:val="none" w:sz="0" w:space="0" w:color="auto"/>
        <w:bottom w:val="none" w:sz="0" w:space="0" w:color="auto"/>
        <w:right w:val="none" w:sz="0" w:space="0" w:color="auto"/>
      </w:divBdr>
    </w:div>
    <w:div w:id="348142182">
      <w:bodyDiv w:val="1"/>
      <w:marLeft w:val="0"/>
      <w:marRight w:val="0"/>
      <w:marTop w:val="0"/>
      <w:marBottom w:val="0"/>
      <w:divBdr>
        <w:top w:val="none" w:sz="0" w:space="0" w:color="auto"/>
        <w:left w:val="none" w:sz="0" w:space="0" w:color="auto"/>
        <w:bottom w:val="none" w:sz="0" w:space="0" w:color="auto"/>
        <w:right w:val="none" w:sz="0" w:space="0" w:color="auto"/>
      </w:divBdr>
    </w:div>
    <w:div w:id="488402956">
      <w:bodyDiv w:val="1"/>
      <w:marLeft w:val="0"/>
      <w:marRight w:val="0"/>
      <w:marTop w:val="0"/>
      <w:marBottom w:val="0"/>
      <w:divBdr>
        <w:top w:val="none" w:sz="0" w:space="0" w:color="auto"/>
        <w:left w:val="none" w:sz="0" w:space="0" w:color="auto"/>
        <w:bottom w:val="none" w:sz="0" w:space="0" w:color="auto"/>
        <w:right w:val="none" w:sz="0" w:space="0" w:color="auto"/>
      </w:divBdr>
      <w:divsChild>
        <w:div w:id="2130123882">
          <w:marLeft w:val="101"/>
          <w:marRight w:val="0"/>
          <w:marTop w:val="240"/>
          <w:marBottom w:val="40"/>
          <w:divBdr>
            <w:top w:val="none" w:sz="0" w:space="0" w:color="auto"/>
            <w:left w:val="none" w:sz="0" w:space="0" w:color="auto"/>
            <w:bottom w:val="none" w:sz="0" w:space="0" w:color="auto"/>
            <w:right w:val="none" w:sz="0" w:space="0" w:color="auto"/>
          </w:divBdr>
        </w:div>
      </w:divsChild>
    </w:div>
    <w:div w:id="596792307">
      <w:bodyDiv w:val="1"/>
      <w:marLeft w:val="0"/>
      <w:marRight w:val="0"/>
      <w:marTop w:val="0"/>
      <w:marBottom w:val="0"/>
      <w:divBdr>
        <w:top w:val="none" w:sz="0" w:space="0" w:color="auto"/>
        <w:left w:val="none" w:sz="0" w:space="0" w:color="auto"/>
        <w:bottom w:val="none" w:sz="0" w:space="0" w:color="auto"/>
        <w:right w:val="none" w:sz="0" w:space="0" w:color="auto"/>
      </w:divBdr>
      <w:divsChild>
        <w:div w:id="1513685009">
          <w:marLeft w:val="0"/>
          <w:marRight w:val="0"/>
          <w:marTop w:val="0"/>
          <w:marBottom w:val="0"/>
          <w:divBdr>
            <w:top w:val="none" w:sz="0" w:space="0" w:color="auto"/>
            <w:left w:val="none" w:sz="0" w:space="0" w:color="auto"/>
            <w:bottom w:val="none" w:sz="0" w:space="0" w:color="auto"/>
            <w:right w:val="none" w:sz="0" w:space="0" w:color="auto"/>
          </w:divBdr>
        </w:div>
      </w:divsChild>
    </w:div>
    <w:div w:id="686522242">
      <w:bodyDiv w:val="1"/>
      <w:marLeft w:val="0"/>
      <w:marRight w:val="0"/>
      <w:marTop w:val="0"/>
      <w:marBottom w:val="0"/>
      <w:divBdr>
        <w:top w:val="none" w:sz="0" w:space="0" w:color="auto"/>
        <w:left w:val="none" w:sz="0" w:space="0" w:color="auto"/>
        <w:bottom w:val="none" w:sz="0" w:space="0" w:color="auto"/>
        <w:right w:val="none" w:sz="0" w:space="0" w:color="auto"/>
      </w:divBdr>
    </w:div>
    <w:div w:id="726415891">
      <w:bodyDiv w:val="1"/>
      <w:marLeft w:val="0"/>
      <w:marRight w:val="0"/>
      <w:marTop w:val="0"/>
      <w:marBottom w:val="0"/>
      <w:divBdr>
        <w:top w:val="none" w:sz="0" w:space="0" w:color="auto"/>
        <w:left w:val="none" w:sz="0" w:space="0" w:color="auto"/>
        <w:bottom w:val="none" w:sz="0" w:space="0" w:color="auto"/>
        <w:right w:val="none" w:sz="0" w:space="0" w:color="auto"/>
      </w:divBdr>
    </w:div>
    <w:div w:id="742920363">
      <w:bodyDiv w:val="1"/>
      <w:marLeft w:val="0"/>
      <w:marRight w:val="0"/>
      <w:marTop w:val="0"/>
      <w:marBottom w:val="0"/>
      <w:divBdr>
        <w:top w:val="none" w:sz="0" w:space="0" w:color="auto"/>
        <w:left w:val="none" w:sz="0" w:space="0" w:color="auto"/>
        <w:bottom w:val="none" w:sz="0" w:space="0" w:color="auto"/>
        <w:right w:val="none" w:sz="0" w:space="0" w:color="auto"/>
      </w:divBdr>
    </w:div>
    <w:div w:id="769854261">
      <w:bodyDiv w:val="1"/>
      <w:marLeft w:val="0"/>
      <w:marRight w:val="0"/>
      <w:marTop w:val="0"/>
      <w:marBottom w:val="0"/>
      <w:divBdr>
        <w:top w:val="none" w:sz="0" w:space="0" w:color="auto"/>
        <w:left w:val="none" w:sz="0" w:space="0" w:color="auto"/>
        <w:bottom w:val="none" w:sz="0" w:space="0" w:color="auto"/>
        <w:right w:val="none" w:sz="0" w:space="0" w:color="auto"/>
      </w:divBdr>
    </w:div>
    <w:div w:id="937829878">
      <w:bodyDiv w:val="1"/>
      <w:marLeft w:val="0"/>
      <w:marRight w:val="0"/>
      <w:marTop w:val="0"/>
      <w:marBottom w:val="0"/>
      <w:divBdr>
        <w:top w:val="none" w:sz="0" w:space="0" w:color="auto"/>
        <w:left w:val="none" w:sz="0" w:space="0" w:color="auto"/>
        <w:bottom w:val="none" w:sz="0" w:space="0" w:color="auto"/>
        <w:right w:val="none" w:sz="0" w:space="0" w:color="auto"/>
      </w:divBdr>
    </w:div>
    <w:div w:id="951785009">
      <w:bodyDiv w:val="1"/>
      <w:marLeft w:val="0"/>
      <w:marRight w:val="0"/>
      <w:marTop w:val="0"/>
      <w:marBottom w:val="0"/>
      <w:divBdr>
        <w:top w:val="none" w:sz="0" w:space="0" w:color="auto"/>
        <w:left w:val="none" w:sz="0" w:space="0" w:color="auto"/>
        <w:bottom w:val="none" w:sz="0" w:space="0" w:color="auto"/>
        <w:right w:val="none" w:sz="0" w:space="0" w:color="auto"/>
      </w:divBdr>
    </w:div>
    <w:div w:id="1000351060">
      <w:bodyDiv w:val="1"/>
      <w:marLeft w:val="0"/>
      <w:marRight w:val="0"/>
      <w:marTop w:val="0"/>
      <w:marBottom w:val="0"/>
      <w:divBdr>
        <w:top w:val="none" w:sz="0" w:space="0" w:color="auto"/>
        <w:left w:val="none" w:sz="0" w:space="0" w:color="auto"/>
        <w:bottom w:val="none" w:sz="0" w:space="0" w:color="auto"/>
        <w:right w:val="none" w:sz="0" w:space="0" w:color="auto"/>
      </w:divBdr>
    </w:div>
    <w:div w:id="1032192026">
      <w:bodyDiv w:val="1"/>
      <w:marLeft w:val="0"/>
      <w:marRight w:val="0"/>
      <w:marTop w:val="0"/>
      <w:marBottom w:val="0"/>
      <w:divBdr>
        <w:top w:val="none" w:sz="0" w:space="0" w:color="auto"/>
        <w:left w:val="none" w:sz="0" w:space="0" w:color="auto"/>
        <w:bottom w:val="none" w:sz="0" w:space="0" w:color="auto"/>
        <w:right w:val="none" w:sz="0" w:space="0" w:color="auto"/>
      </w:divBdr>
    </w:div>
    <w:div w:id="1041855934">
      <w:bodyDiv w:val="1"/>
      <w:marLeft w:val="0"/>
      <w:marRight w:val="0"/>
      <w:marTop w:val="0"/>
      <w:marBottom w:val="0"/>
      <w:divBdr>
        <w:top w:val="none" w:sz="0" w:space="0" w:color="auto"/>
        <w:left w:val="none" w:sz="0" w:space="0" w:color="auto"/>
        <w:bottom w:val="none" w:sz="0" w:space="0" w:color="auto"/>
        <w:right w:val="none" w:sz="0" w:space="0" w:color="auto"/>
      </w:divBdr>
    </w:div>
    <w:div w:id="1097939826">
      <w:bodyDiv w:val="1"/>
      <w:marLeft w:val="0"/>
      <w:marRight w:val="0"/>
      <w:marTop w:val="0"/>
      <w:marBottom w:val="0"/>
      <w:divBdr>
        <w:top w:val="none" w:sz="0" w:space="0" w:color="auto"/>
        <w:left w:val="none" w:sz="0" w:space="0" w:color="auto"/>
        <w:bottom w:val="none" w:sz="0" w:space="0" w:color="auto"/>
        <w:right w:val="none" w:sz="0" w:space="0" w:color="auto"/>
      </w:divBdr>
    </w:div>
    <w:div w:id="1191794512">
      <w:bodyDiv w:val="1"/>
      <w:marLeft w:val="0"/>
      <w:marRight w:val="0"/>
      <w:marTop w:val="0"/>
      <w:marBottom w:val="0"/>
      <w:divBdr>
        <w:top w:val="none" w:sz="0" w:space="0" w:color="auto"/>
        <w:left w:val="none" w:sz="0" w:space="0" w:color="auto"/>
        <w:bottom w:val="none" w:sz="0" w:space="0" w:color="auto"/>
        <w:right w:val="none" w:sz="0" w:space="0" w:color="auto"/>
      </w:divBdr>
    </w:div>
    <w:div w:id="1205754218">
      <w:bodyDiv w:val="1"/>
      <w:marLeft w:val="0"/>
      <w:marRight w:val="0"/>
      <w:marTop w:val="0"/>
      <w:marBottom w:val="0"/>
      <w:divBdr>
        <w:top w:val="none" w:sz="0" w:space="0" w:color="auto"/>
        <w:left w:val="none" w:sz="0" w:space="0" w:color="auto"/>
        <w:bottom w:val="none" w:sz="0" w:space="0" w:color="auto"/>
        <w:right w:val="none" w:sz="0" w:space="0" w:color="auto"/>
      </w:divBdr>
    </w:div>
    <w:div w:id="1293906786">
      <w:bodyDiv w:val="1"/>
      <w:marLeft w:val="0"/>
      <w:marRight w:val="0"/>
      <w:marTop w:val="0"/>
      <w:marBottom w:val="0"/>
      <w:divBdr>
        <w:top w:val="none" w:sz="0" w:space="0" w:color="auto"/>
        <w:left w:val="none" w:sz="0" w:space="0" w:color="auto"/>
        <w:bottom w:val="none" w:sz="0" w:space="0" w:color="auto"/>
        <w:right w:val="none" w:sz="0" w:space="0" w:color="auto"/>
      </w:divBdr>
    </w:div>
    <w:div w:id="1368218462">
      <w:bodyDiv w:val="1"/>
      <w:marLeft w:val="0"/>
      <w:marRight w:val="0"/>
      <w:marTop w:val="0"/>
      <w:marBottom w:val="0"/>
      <w:divBdr>
        <w:top w:val="none" w:sz="0" w:space="0" w:color="auto"/>
        <w:left w:val="none" w:sz="0" w:space="0" w:color="auto"/>
        <w:bottom w:val="none" w:sz="0" w:space="0" w:color="auto"/>
        <w:right w:val="none" w:sz="0" w:space="0" w:color="auto"/>
      </w:divBdr>
    </w:div>
    <w:div w:id="1393892058">
      <w:bodyDiv w:val="1"/>
      <w:marLeft w:val="0"/>
      <w:marRight w:val="0"/>
      <w:marTop w:val="0"/>
      <w:marBottom w:val="0"/>
      <w:divBdr>
        <w:top w:val="none" w:sz="0" w:space="0" w:color="auto"/>
        <w:left w:val="none" w:sz="0" w:space="0" w:color="auto"/>
        <w:bottom w:val="none" w:sz="0" w:space="0" w:color="auto"/>
        <w:right w:val="none" w:sz="0" w:space="0" w:color="auto"/>
      </w:divBdr>
    </w:div>
    <w:div w:id="1505314820">
      <w:bodyDiv w:val="1"/>
      <w:marLeft w:val="0"/>
      <w:marRight w:val="0"/>
      <w:marTop w:val="0"/>
      <w:marBottom w:val="0"/>
      <w:divBdr>
        <w:top w:val="none" w:sz="0" w:space="0" w:color="auto"/>
        <w:left w:val="none" w:sz="0" w:space="0" w:color="auto"/>
        <w:bottom w:val="none" w:sz="0" w:space="0" w:color="auto"/>
        <w:right w:val="none" w:sz="0" w:space="0" w:color="auto"/>
      </w:divBdr>
    </w:div>
    <w:div w:id="1505782355">
      <w:bodyDiv w:val="1"/>
      <w:marLeft w:val="0"/>
      <w:marRight w:val="0"/>
      <w:marTop w:val="0"/>
      <w:marBottom w:val="0"/>
      <w:divBdr>
        <w:top w:val="none" w:sz="0" w:space="0" w:color="auto"/>
        <w:left w:val="none" w:sz="0" w:space="0" w:color="auto"/>
        <w:bottom w:val="none" w:sz="0" w:space="0" w:color="auto"/>
        <w:right w:val="none" w:sz="0" w:space="0" w:color="auto"/>
      </w:divBdr>
    </w:div>
    <w:div w:id="1517041538">
      <w:bodyDiv w:val="1"/>
      <w:marLeft w:val="0"/>
      <w:marRight w:val="0"/>
      <w:marTop w:val="0"/>
      <w:marBottom w:val="0"/>
      <w:divBdr>
        <w:top w:val="none" w:sz="0" w:space="0" w:color="auto"/>
        <w:left w:val="none" w:sz="0" w:space="0" w:color="auto"/>
        <w:bottom w:val="none" w:sz="0" w:space="0" w:color="auto"/>
        <w:right w:val="none" w:sz="0" w:space="0" w:color="auto"/>
      </w:divBdr>
    </w:div>
    <w:div w:id="1553931273">
      <w:bodyDiv w:val="1"/>
      <w:marLeft w:val="0"/>
      <w:marRight w:val="0"/>
      <w:marTop w:val="0"/>
      <w:marBottom w:val="0"/>
      <w:divBdr>
        <w:top w:val="none" w:sz="0" w:space="0" w:color="auto"/>
        <w:left w:val="none" w:sz="0" w:space="0" w:color="auto"/>
        <w:bottom w:val="none" w:sz="0" w:space="0" w:color="auto"/>
        <w:right w:val="none" w:sz="0" w:space="0" w:color="auto"/>
      </w:divBdr>
    </w:div>
    <w:div w:id="1596283484">
      <w:bodyDiv w:val="1"/>
      <w:marLeft w:val="0"/>
      <w:marRight w:val="0"/>
      <w:marTop w:val="0"/>
      <w:marBottom w:val="0"/>
      <w:divBdr>
        <w:top w:val="none" w:sz="0" w:space="0" w:color="auto"/>
        <w:left w:val="none" w:sz="0" w:space="0" w:color="auto"/>
        <w:bottom w:val="none" w:sz="0" w:space="0" w:color="auto"/>
        <w:right w:val="none" w:sz="0" w:space="0" w:color="auto"/>
      </w:divBdr>
    </w:div>
    <w:div w:id="1639843797">
      <w:bodyDiv w:val="1"/>
      <w:marLeft w:val="0"/>
      <w:marRight w:val="0"/>
      <w:marTop w:val="0"/>
      <w:marBottom w:val="0"/>
      <w:divBdr>
        <w:top w:val="none" w:sz="0" w:space="0" w:color="auto"/>
        <w:left w:val="none" w:sz="0" w:space="0" w:color="auto"/>
        <w:bottom w:val="none" w:sz="0" w:space="0" w:color="auto"/>
        <w:right w:val="none" w:sz="0" w:space="0" w:color="auto"/>
      </w:divBdr>
    </w:div>
    <w:div w:id="1661617297">
      <w:bodyDiv w:val="1"/>
      <w:marLeft w:val="0"/>
      <w:marRight w:val="0"/>
      <w:marTop w:val="0"/>
      <w:marBottom w:val="0"/>
      <w:divBdr>
        <w:top w:val="none" w:sz="0" w:space="0" w:color="auto"/>
        <w:left w:val="none" w:sz="0" w:space="0" w:color="auto"/>
        <w:bottom w:val="none" w:sz="0" w:space="0" w:color="auto"/>
        <w:right w:val="none" w:sz="0" w:space="0" w:color="auto"/>
      </w:divBdr>
    </w:div>
    <w:div w:id="1678654166">
      <w:bodyDiv w:val="1"/>
      <w:marLeft w:val="0"/>
      <w:marRight w:val="0"/>
      <w:marTop w:val="0"/>
      <w:marBottom w:val="0"/>
      <w:divBdr>
        <w:top w:val="none" w:sz="0" w:space="0" w:color="auto"/>
        <w:left w:val="none" w:sz="0" w:space="0" w:color="auto"/>
        <w:bottom w:val="none" w:sz="0" w:space="0" w:color="auto"/>
        <w:right w:val="none" w:sz="0" w:space="0" w:color="auto"/>
      </w:divBdr>
    </w:div>
    <w:div w:id="1685280406">
      <w:bodyDiv w:val="1"/>
      <w:marLeft w:val="0"/>
      <w:marRight w:val="0"/>
      <w:marTop w:val="0"/>
      <w:marBottom w:val="0"/>
      <w:divBdr>
        <w:top w:val="none" w:sz="0" w:space="0" w:color="auto"/>
        <w:left w:val="none" w:sz="0" w:space="0" w:color="auto"/>
        <w:bottom w:val="none" w:sz="0" w:space="0" w:color="auto"/>
        <w:right w:val="none" w:sz="0" w:space="0" w:color="auto"/>
      </w:divBdr>
    </w:div>
    <w:div w:id="1731952536">
      <w:bodyDiv w:val="1"/>
      <w:marLeft w:val="0"/>
      <w:marRight w:val="0"/>
      <w:marTop w:val="0"/>
      <w:marBottom w:val="0"/>
      <w:divBdr>
        <w:top w:val="none" w:sz="0" w:space="0" w:color="auto"/>
        <w:left w:val="none" w:sz="0" w:space="0" w:color="auto"/>
        <w:bottom w:val="none" w:sz="0" w:space="0" w:color="auto"/>
        <w:right w:val="none" w:sz="0" w:space="0" w:color="auto"/>
      </w:divBdr>
    </w:div>
    <w:div w:id="1823228801">
      <w:bodyDiv w:val="1"/>
      <w:marLeft w:val="0"/>
      <w:marRight w:val="0"/>
      <w:marTop w:val="0"/>
      <w:marBottom w:val="0"/>
      <w:divBdr>
        <w:top w:val="none" w:sz="0" w:space="0" w:color="auto"/>
        <w:left w:val="none" w:sz="0" w:space="0" w:color="auto"/>
        <w:bottom w:val="none" w:sz="0" w:space="0" w:color="auto"/>
        <w:right w:val="none" w:sz="0" w:space="0" w:color="auto"/>
      </w:divBdr>
    </w:div>
    <w:div w:id="1905994176">
      <w:bodyDiv w:val="1"/>
      <w:marLeft w:val="0"/>
      <w:marRight w:val="0"/>
      <w:marTop w:val="0"/>
      <w:marBottom w:val="0"/>
      <w:divBdr>
        <w:top w:val="none" w:sz="0" w:space="0" w:color="auto"/>
        <w:left w:val="none" w:sz="0" w:space="0" w:color="auto"/>
        <w:bottom w:val="none" w:sz="0" w:space="0" w:color="auto"/>
        <w:right w:val="none" w:sz="0" w:space="0" w:color="auto"/>
      </w:divBdr>
    </w:div>
    <w:div w:id="1913615544">
      <w:bodyDiv w:val="1"/>
      <w:marLeft w:val="0"/>
      <w:marRight w:val="0"/>
      <w:marTop w:val="0"/>
      <w:marBottom w:val="0"/>
      <w:divBdr>
        <w:top w:val="none" w:sz="0" w:space="0" w:color="auto"/>
        <w:left w:val="none" w:sz="0" w:space="0" w:color="auto"/>
        <w:bottom w:val="none" w:sz="0" w:space="0" w:color="auto"/>
        <w:right w:val="none" w:sz="0" w:space="0" w:color="auto"/>
      </w:divBdr>
    </w:div>
    <w:div w:id="1993867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2969</TotalTime>
  <Pages>9</Pages>
  <Words>2636</Words>
  <Characters>15028</Characters>
  <Application>Microsoft Office Word</Application>
  <DocSecurity>0</DocSecurity>
  <Lines>125</Lines>
  <Paragraphs>35</Paragraphs>
  <ScaleCrop>false</ScaleCrop>
  <Company/>
  <LinksUpToDate>false</LinksUpToDate>
  <CharactersWithSpaces>17629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Bolton (Ysgol Maes y Gwendraeth)</dc:creator>
  <cp:keywords/>
  <dc:description/>
  <cp:lastModifiedBy>Tomos Bolton (Ysgol Maes y Gwendraeth)</cp:lastModifiedBy>
  <cp:revision>78</cp:revision>
  <dcterms:created xsi:type="dcterms:W3CDTF">2026-04-21T12:43:00Z</dcterms:created>
  <dcterms:modified xsi:type="dcterms:W3CDTF">2026-04-26T16:58:00Z</dcterms:modified>
</cp:coreProperties>
</file>