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51EB1F1" w:rsidR="00F73B35" w:rsidRPr="002002A0" w:rsidRDefault="002002A0" w:rsidP="002002A0">
      <w:pPr>
        <w:pStyle w:val="Quote0"/>
        <w:rPr>
          <w:sz w:val="56"/>
        </w:rPr>
      </w:pPr>
      <w:r w:rsidRPr="002002A0">
        <w:rPr>
          <w:sz w:val="56"/>
        </w:rPr>
        <w:t>Global Reporting Standards.</w:t>
      </w:r>
    </w:p>
    <w:p w14:paraId="58D27D51" w14:textId="77777777" w:rsidR="00D2187B" w:rsidRDefault="00D2187B">
      <w:pPr>
        <w:spacing w:after="160" w:line="259" w:lineRule="auto"/>
        <w:rPr>
          <w:rFonts w:ascii="Verdana" w:hAnsi="Verdana"/>
          <w:b/>
          <w:caps/>
          <w:sz w:val="18"/>
          <w:szCs w:val="18"/>
        </w:rPr>
      </w:pPr>
    </w:p>
    <w:p w14:paraId="1E1E79F9" w14:textId="70973713" w:rsidR="00D2187B" w:rsidRDefault="002002A0" w:rsidP="00D2187B">
      <w:pPr>
        <w:spacing w:after="160" w:line="259" w:lineRule="auto"/>
        <w:jc w:val="center"/>
        <w:rPr>
          <w:rFonts w:ascii="Verdana" w:hAnsi="Verdana"/>
          <w:b/>
          <w:caps/>
          <w:sz w:val="18"/>
          <w:szCs w:val="18"/>
        </w:rPr>
      </w:pPr>
      <w:r>
        <w:rPr>
          <w:noProof/>
        </w:rPr>
        <w:drawing>
          <wp:inline distT="0" distB="0" distL="0" distR="0" wp14:anchorId="56989DDF" wp14:editId="10AA4EA1">
            <wp:extent cx="5731510" cy="2977408"/>
            <wp:effectExtent l="0" t="0" r="2540" b="0"/>
            <wp:docPr id="1" name="Picture 1" descr="Image result for financial reporting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nancial reporting standar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77408"/>
                    </a:xfrm>
                    <a:prstGeom prst="rect">
                      <a:avLst/>
                    </a:prstGeom>
                    <a:noFill/>
                    <a:ln>
                      <a:noFill/>
                    </a:ln>
                  </pic:spPr>
                </pic:pic>
              </a:graphicData>
            </a:graphic>
          </wp:inline>
        </w:drawing>
      </w:r>
    </w:p>
    <w:p w14:paraId="2EACE6E4" w14:textId="77777777" w:rsidR="002002A0" w:rsidRDefault="002002A0" w:rsidP="002002A0">
      <w:pPr>
        <w:spacing w:after="160" w:line="259" w:lineRule="auto"/>
        <w:jc w:val="center"/>
        <w:rPr>
          <w:rFonts w:ascii="Verdana" w:hAnsi="Verdana"/>
          <w:b/>
          <w:caps/>
          <w:color w:val="000000" w:themeColor="text1"/>
          <w:sz w:val="18"/>
          <w:szCs w:val="18"/>
        </w:rPr>
      </w:pPr>
    </w:p>
    <w:p w14:paraId="580EA212" w14:textId="77777777" w:rsidR="002002A0" w:rsidRDefault="002002A0" w:rsidP="002002A0">
      <w:pPr>
        <w:spacing w:after="160" w:line="259" w:lineRule="auto"/>
        <w:jc w:val="center"/>
        <w:rPr>
          <w:rFonts w:ascii="Verdana" w:hAnsi="Verdana"/>
          <w:b/>
          <w:caps/>
          <w:color w:val="000000" w:themeColor="text1"/>
          <w:sz w:val="18"/>
          <w:szCs w:val="18"/>
        </w:rPr>
      </w:pPr>
    </w:p>
    <w:p w14:paraId="1223F4ED" w14:textId="77777777" w:rsidR="002002A0" w:rsidRDefault="002002A0" w:rsidP="002002A0">
      <w:pPr>
        <w:spacing w:after="160" w:line="259" w:lineRule="auto"/>
        <w:jc w:val="center"/>
        <w:rPr>
          <w:rFonts w:ascii="Verdana" w:hAnsi="Verdana"/>
          <w:b/>
          <w:caps/>
          <w:color w:val="000000" w:themeColor="text1"/>
          <w:sz w:val="18"/>
          <w:szCs w:val="18"/>
        </w:rPr>
      </w:pPr>
    </w:p>
    <w:p w14:paraId="0C086A43" w14:textId="52C3391A" w:rsidR="00D2187B" w:rsidRDefault="002002A0" w:rsidP="002002A0">
      <w:pPr>
        <w:spacing w:after="160" w:line="259" w:lineRule="auto"/>
        <w:jc w:val="center"/>
        <w:rPr>
          <w:rFonts w:ascii="Verdana" w:hAnsi="Verdana"/>
          <w:i/>
          <w:caps/>
          <w:color w:val="000000" w:themeColor="text1"/>
          <w:sz w:val="28"/>
          <w:szCs w:val="18"/>
        </w:rPr>
      </w:pPr>
      <w:r w:rsidRPr="002002A0">
        <w:rPr>
          <w:rFonts w:ascii="Verdana" w:hAnsi="Verdana"/>
          <w:i/>
          <w:caps/>
          <w:color w:val="000000" w:themeColor="text1"/>
          <w:sz w:val="28"/>
          <w:szCs w:val="18"/>
        </w:rPr>
        <w:t>financial reporting</w:t>
      </w:r>
      <w:r>
        <w:rPr>
          <w:rFonts w:ascii="Verdana" w:hAnsi="Verdana"/>
          <w:i/>
          <w:caps/>
          <w:color w:val="000000" w:themeColor="text1"/>
          <w:sz w:val="28"/>
          <w:szCs w:val="18"/>
        </w:rPr>
        <w:t xml:space="preserve"> assignment 1.</w:t>
      </w:r>
    </w:p>
    <w:p w14:paraId="26727A5B" w14:textId="4EA9207C" w:rsidR="002002A0" w:rsidRPr="002002A0" w:rsidRDefault="00D34B4D" w:rsidP="002002A0">
      <w:pPr>
        <w:spacing w:after="160" w:line="259" w:lineRule="auto"/>
        <w:jc w:val="center"/>
        <w:rPr>
          <w:rFonts w:ascii="Verdana" w:hAnsi="Verdana"/>
          <w:i/>
          <w:caps/>
          <w:color w:val="000000" w:themeColor="text1"/>
          <w:sz w:val="28"/>
          <w:szCs w:val="18"/>
        </w:rPr>
      </w:pPr>
      <w:r>
        <w:rPr>
          <w:rFonts w:ascii="Verdana" w:hAnsi="Verdana"/>
          <w:i/>
          <w:caps/>
          <w:color w:val="000000" w:themeColor="text1"/>
          <w:sz w:val="28"/>
          <w:szCs w:val="18"/>
        </w:rPr>
        <w:t xml:space="preserve">Word count - </w:t>
      </w:r>
      <w:r w:rsidR="00B102B8">
        <w:rPr>
          <w:rFonts w:ascii="Verdana" w:hAnsi="Verdana"/>
          <w:i/>
          <w:caps/>
          <w:color w:val="000000" w:themeColor="text1"/>
          <w:sz w:val="28"/>
          <w:szCs w:val="18"/>
        </w:rPr>
        <w:t>1409</w:t>
      </w:r>
    </w:p>
    <w:p w14:paraId="1387AD83" w14:textId="1C93DCD1" w:rsidR="00D2187B" w:rsidRPr="002002A0" w:rsidRDefault="002002A0" w:rsidP="002002A0">
      <w:pPr>
        <w:spacing w:after="160" w:line="259" w:lineRule="auto"/>
        <w:jc w:val="center"/>
        <w:rPr>
          <w:rFonts w:ascii="Verdana" w:hAnsi="Verdana"/>
          <w:i/>
          <w:caps/>
          <w:color w:val="000000" w:themeColor="text1"/>
          <w:sz w:val="28"/>
          <w:szCs w:val="18"/>
        </w:rPr>
      </w:pPr>
      <w:r w:rsidRPr="002002A0">
        <w:rPr>
          <w:rFonts w:ascii="Verdana" w:hAnsi="Verdana"/>
          <w:i/>
          <w:caps/>
          <w:color w:val="000000" w:themeColor="text1"/>
          <w:sz w:val="28"/>
          <w:szCs w:val="18"/>
        </w:rPr>
        <w:t>jay doherty-stewart</w:t>
      </w:r>
    </w:p>
    <w:p w14:paraId="571833C2" w14:textId="695C7F7D" w:rsidR="001D1483" w:rsidRPr="002002A0" w:rsidRDefault="002002A0" w:rsidP="002002A0">
      <w:pPr>
        <w:spacing w:after="160" w:line="259" w:lineRule="auto"/>
        <w:jc w:val="center"/>
        <w:rPr>
          <w:rFonts w:ascii="Verdana" w:hAnsi="Verdana"/>
          <w:i/>
          <w:caps/>
          <w:sz w:val="28"/>
          <w:szCs w:val="18"/>
        </w:rPr>
      </w:pPr>
      <w:r w:rsidRPr="002002A0">
        <w:rPr>
          <w:rFonts w:ascii="Verdana" w:hAnsi="Verdana"/>
          <w:i/>
          <w:caps/>
          <w:color w:val="000000" w:themeColor="text1"/>
          <w:sz w:val="28"/>
          <w:szCs w:val="18"/>
        </w:rPr>
        <w:t>1702614</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7158FF23" w14:textId="751CAA0B" w:rsidR="00D34B4D"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4"/>
          <w:szCs w:val="24"/>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D34B4D" w:rsidRPr="00227B0E">
        <w:rPr>
          <w:rFonts w:eastAsia="Times New Roman" w:cs="Arial"/>
          <w:noProof/>
        </w:rPr>
        <w:t>1.</w:t>
      </w:r>
      <w:r w:rsidR="00D34B4D">
        <w:rPr>
          <w:rFonts w:asciiTheme="minorHAnsi" w:eastAsiaTheme="minorEastAsia" w:hAnsiTheme="minorHAnsi" w:cstheme="minorBidi"/>
          <w:b w:val="0"/>
          <w:bCs w:val="0"/>
          <w:caps w:val="0"/>
          <w:noProof/>
          <w:color w:val="auto"/>
          <w:sz w:val="24"/>
          <w:szCs w:val="24"/>
        </w:rPr>
        <w:tab/>
      </w:r>
      <w:r w:rsidR="00D34B4D" w:rsidRPr="00227B0E">
        <w:rPr>
          <w:rFonts w:eastAsia="Times New Roman" w:cs="Arial"/>
          <w:noProof/>
        </w:rPr>
        <w:t>eXECUTIVE sUMMARY</w:t>
      </w:r>
      <w:r w:rsidR="00D34B4D">
        <w:rPr>
          <w:noProof/>
        </w:rPr>
        <w:tab/>
      </w:r>
      <w:r w:rsidR="00D34B4D">
        <w:rPr>
          <w:noProof/>
        </w:rPr>
        <w:fldChar w:fldCharType="begin"/>
      </w:r>
      <w:r w:rsidR="00D34B4D">
        <w:rPr>
          <w:noProof/>
        </w:rPr>
        <w:instrText xml:space="preserve"> PAGEREF _Toc27069555 \h </w:instrText>
      </w:r>
      <w:r w:rsidR="00D34B4D">
        <w:rPr>
          <w:noProof/>
        </w:rPr>
      </w:r>
      <w:r w:rsidR="00D34B4D">
        <w:rPr>
          <w:noProof/>
        </w:rPr>
        <w:fldChar w:fldCharType="separate"/>
      </w:r>
      <w:r w:rsidR="00D34B4D">
        <w:rPr>
          <w:noProof/>
        </w:rPr>
        <w:t>1</w:t>
      </w:r>
      <w:r w:rsidR="00D34B4D">
        <w:rPr>
          <w:noProof/>
        </w:rPr>
        <w:fldChar w:fldCharType="end"/>
      </w:r>
    </w:p>
    <w:p w14:paraId="7E40D03B" w14:textId="18CE4725" w:rsidR="00D34B4D" w:rsidRDefault="00D34B4D">
      <w:pPr>
        <w:pStyle w:val="TOC1"/>
        <w:tabs>
          <w:tab w:val="left" w:pos="440"/>
          <w:tab w:val="right" w:leader="dot" w:pos="9016"/>
        </w:tabs>
        <w:rPr>
          <w:rFonts w:asciiTheme="minorHAnsi" w:eastAsiaTheme="minorEastAsia" w:hAnsiTheme="minorHAnsi" w:cstheme="minorBidi"/>
          <w:b w:val="0"/>
          <w:bCs w:val="0"/>
          <w:caps w:val="0"/>
          <w:noProof/>
          <w:color w:val="auto"/>
          <w:sz w:val="24"/>
          <w:szCs w:val="24"/>
        </w:rPr>
      </w:pPr>
      <w:r>
        <w:rPr>
          <w:noProof/>
        </w:rPr>
        <w:t>1</w:t>
      </w:r>
      <w:r>
        <w:rPr>
          <w:rFonts w:asciiTheme="minorHAnsi" w:eastAsiaTheme="minorEastAsia" w:hAnsiTheme="minorHAnsi" w:cstheme="minorBidi"/>
          <w:b w:val="0"/>
          <w:bCs w:val="0"/>
          <w:caps w:val="0"/>
          <w:noProof/>
          <w:color w:val="auto"/>
          <w:sz w:val="24"/>
          <w:szCs w:val="24"/>
        </w:rPr>
        <w:tab/>
      </w:r>
      <w:r>
        <w:rPr>
          <w:noProof/>
        </w:rPr>
        <w:t>Introduction</w:t>
      </w:r>
      <w:r>
        <w:rPr>
          <w:noProof/>
        </w:rPr>
        <w:tab/>
      </w:r>
      <w:r>
        <w:rPr>
          <w:noProof/>
        </w:rPr>
        <w:fldChar w:fldCharType="begin"/>
      </w:r>
      <w:r>
        <w:rPr>
          <w:noProof/>
        </w:rPr>
        <w:instrText xml:space="preserve"> PAGEREF _Toc27069556 \h </w:instrText>
      </w:r>
      <w:r>
        <w:rPr>
          <w:noProof/>
        </w:rPr>
      </w:r>
      <w:r>
        <w:rPr>
          <w:noProof/>
        </w:rPr>
        <w:fldChar w:fldCharType="separate"/>
      </w:r>
      <w:r>
        <w:rPr>
          <w:noProof/>
        </w:rPr>
        <w:t>2</w:t>
      </w:r>
      <w:r>
        <w:rPr>
          <w:noProof/>
        </w:rPr>
        <w:fldChar w:fldCharType="end"/>
      </w:r>
    </w:p>
    <w:p w14:paraId="178164A4" w14:textId="300191CF" w:rsidR="00D34B4D" w:rsidRDefault="00D34B4D">
      <w:pPr>
        <w:pStyle w:val="TOC2"/>
        <w:rPr>
          <w:rFonts w:eastAsiaTheme="minorEastAsia" w:cstheme="minorBidi"/>
          <w:smallCaps w:val="0"/>
          <w:noProof/>
          <w:sz w:val="24"/>
          <w:szCs w:val="24"/>
        </w:rPr>
      </w:pPr>
      <w:r w:rsidRPr="00227B0E">
        <w:rPr>
          <w:rFonts w:eastAsia="Times New Roman" w:cs="Arial"/>
          <w:bCs/>
          <w:iCs/>
          <w:noProof/>
        </w:rPr>
        <w:t>1.1</w:t>
      </w:r>
      <w:r>
        <w:rPr>
          <w:rFonts w:eastAsiaTheme="minorEastAsia" w:cstheme="minorBidi"/>
          <w:smallCaps w:val="0"/>
          <w:noProof/>
          <w:sz w:val="24"/>
          <w:szCs w:val="24"/>
        </w:rPr>
        <w:tab/>
      </w:r>
      <w:r w:rsidRPr="00227B0E">
        <w:rPr>
          <w:rFonts w:eastAsia="Times New Roman" w:cs="Arial"/>
          <w:bCs/>
          <w:iCs/>
          <w:noProof/>
        </w:rPr>
        <w:t>Report Remit</w:t>
      </w:r>
      <w:r>
        <w:rPr>
          <w:noProof/>
        </w:rPr>
        <w:tab/>
      </w:r>
      <w:r>
        <w:rPr>
          <w:noProof/>
        </w:rPr>
        <w:fldChar w:fldCharType="begin"/>
      </w:r>
      <w:r>
        <w:rPr>
          <w:noProof/>
        </w:rPr>
        <w:instrText xml:space="preserve"> PAGEREF _Toc27069557 \h </w:instrText>
      </w:r>
      <w:r>
        <w:rPr>
          <w:noProof/>
        </w:rPr>
      </w:r>
      <w:r>
        <w:rPr>
          <w:noProof/>
        </w:rPr>
        <w:fldChar w:fldCharType="separate"/>
      </w:r>
      <w:r>
        <w:rPr>
          <w:noProof/>
        </w:rPr>
        <w:t>2</w:t>
      </w:r>
      <w:r>
        <w:rPr>
          <w:noProof/>
        </w:rPr>
        <w:fldChar w:fldCharType="end"/>
      </w:r>
    </w:p>
    <w:p w14:paraId="59FEAF22" w14:textId="0B9E53B3" w:rsidR="00D34B4D" w:rsidRDefault="00D34B4D">
      <w:pPr>
        <w:pStyle w:val="TOC2"/>
        <w:rPr>
          <w:rFonts w:eastAsiaTheme="minorEastAsia" w:cstheme="minorBidi"/>
          <w:smallCaps w:val="0"/>
          <w:noProof/>
          <w:sz w:val="24"/>
          <w:szCs w:val="24"/>
        </w:rPr>
      </w:pPr>
      <w:r w:rsidRPr="00227B0E">
        <w:rPr>
          <w:rFonts w:eastAsia="Times New Roman" w:cs="Arial"/>
          <w:bCs/>
          <w:iCs/>
          <w:noProof/>
        </w:rPr>
        <w:t>1.2</w:t>
      </w:r>
      <w:r>
        <w:rPr>
          <w:rFonts w:eastAsiaTheme="minorEastAsia" w:cstheme="minorBidi"/>
          <w:smallCaps w:val="0"/>
          <w:noProof/>
          <w:sz w:val="24"/>
          <w:szCs w:val="24"/>
        </w:rPr>
        <w:tab/>
      </w:r>
      <w:r w:rsidRPr="00227B0E">
        <w:rPr>
          <w:rFonts w:eastAsia="Times New Roman" w:cs="Arial"/>
          <w:bCs/>
          <w:iCs/>
          <w:noProof/>
        </w:rPr>
        <w:t>Background of GAAP.</w:t>
      </w:r>
      <w:r>
        <w:rPr>
          <w:noProof/>
        </w:rPr>
        <w:tab/>
      </w:r>
      <w:r>
        <w:rPr>
          <w:noProof/>
        </w:rPr>
        <w:fldChar w:fldCharType="begin"/>
      </w:r>
      <w:r>
        <w:rPr>
          <w:noProof/>
        </w:rPr>
        <w:instrText xml:space="preserve"> PAGEREF _Toc27069558 \h </w:instrText>
      </w:r>
      <w:r>
        <w:rPr>
          <w:noProof/>
        </w:rPr>
      </w:r>
      <w:r>
        <w:rPr>
          <w:noProof/>
        </w:rPr>
        <w:fldChar w:fldCharType="separate"/>
      </w:r>
      <w:r>
        <w:rPr>
          <w:noProof/>
        </w:rPr>
        <w:t>2</w:t>
      </w:r>
      <w:r>
        <w:rPr>
          <w:noProof/>
        </w:rPr>
        <w:fldChar w:fldCharType="end"/>
      </w:r>
    </w:p>
    <w:p w14:paraId="1A91971A" w14:textId="07447825" w:rsidR="00D34B4D" w:rsidRDefault="00D34B4D">
      <w:pPr>
        <w:pStyle w:val="TOC2"/>
        <w:rPr>
          <w:rFonts w:eastAsiaTheme="minorEastAsia" w:cstheme="minorBidi"/>
          <w:smallCaps w:val="0"/>
          <w:noProof/>
          <w:sz w:val="24"/>
          <w:szCs w:val="24"/>
        </w:rPr>
      </w:pPr>
      <w:r w:rsidRPr="00227B0E">
        <w:rPr>
          <w:rFonts w:eastAsia="Times New Roman" w:cs="Arial"/>
          <w:bCs/>
          <w:iCs/>
          <w:noProof/>
        </w:rPr>
        <w:t>1.3</w:t>
      </w:r>
      <w:r>
        <w:rPr>
          <w:rFonts w:eastAsiaTheme="minorEastAsia" w:cstheme="minorBidi"/>
          <w:smallCaps w:val="0"/>
          <w:noProof/>
          <w:sz w:val="24"/>
          <w:szCs w:val="24"/>
        </w:rPr>
        <w:tab/>
      </w:r>
      <w:r w:rsidRPr="00227B0E">
        <w:rPr>
          <w:rFonts w:eastAsia="Times New Roman" w:cs="Arial"/>
          <w:bCs/>
          <w:iCs/>
          <w:noProof/>
        </w:rPr>
        <w:t>BACKGROUND OF IASB CONCEPTUAL FRAMEWORK.</w:t>
      </w:r>
      <w:r>
        <w:rPr>
          <w:noProof/>
        </w:rPr>
        <w:tab/>
      </w:r>
      <w:r>
        <w:rPr>
          <w:noProof/>
        </w:rPr>
        <w:fldChar w:fldCharType="begin"/>
      </w:r>
      <w:r>
        <w:rPr>
          <w:noProof/>
        </w:rPr>
        <w:instrText xml:space="preserve"> PAGEREF _Toc27069559 \h </w:instrText>
      </w:r>
      <w:r>
        <w:rPr>
          <w:noProof/>
        </w:rPr>
      </w:r>
      <w:r>
        <w:rPr>
          <w:noProof/>
        </w:rPr>
        <w:fldChar w:fldCharType="separate"/>
      </w:r>
      <w:r>
        <w:rPr>
          <w:noProof/>
        </w:rPr>
        <w:t>2</w:t>
      </w:r>
      <w:r>
        <w:rPr>
          <w:noProof/>
        </w:rPr>
        <w:fldChar w:fldCharType="end"/>
      </w:r>
    </w:p>
    <w:p w14:paraId="5E5E7B90" w14:textId="74567B34" w:rsidR="00D34B4D" w:rsidRDefault="00D34B4D">
      <w:pPr>
        <w:pStyle w:val="TOC1"/>
        <w:tabs>
          <w:tab w:val="left" w:pos="660"/>
          <w:tab w:val="right" w:leader="dot" w:pos="9016"/>
        </w:tabs>
        <w:rPr>
          <w:rFonts w:asciiTheme="minorHAnsi" w:eastAsiaTheme="minorEastAsia" w:hAnsiTheme="minorHAnsi" w:cstheme="minorBidi"/>
          <w:b w:val="0"/>
          <w:bCs w:val="0"/>
          <w:caps w:val="0"/>
          <w:noProof/>
          <w:color w:val="auto"/>
          <w:sz w:val="24"/>
          <w:szCs w:val="24"/>
        </w:rPr>
      </w:pPr>
      <w:r>
        <w:rPr>
          <w:noProof/>
        </w:rPr>
        <w:t>2.0</w:t>
      </w:r>
      <w:r>
        <w:rPr>
          <w:rFonts w:asciiTheme="minorHAnsi" w:eastAsiaTheme="minorEastAsia" w:hAnsiTheme="minorHAnsi" w:cstheme="minorBidi"/>
          <w:b w:val="0"/>
          <w:bCs w:val="0"/>
          <w:caps w:val="0"/>
          <w:noProof/>
          <w:color w:val="auto"/>
          <w:sz w:val="24"/>
          <w:szCs w:val="24"/>
        </w:rPr>
        <w:tab/>
      </w:r>
      <w:r>
        <w:rPr>
          <w:noProof/>
        </w:rPr>
        <w:t>Main Body.</w:t>
      </w:r>
      <w:r>
        <w:rPr>
          <w:noProof/>
        </w:rPr>
        <w:tab/>
      </w:r>
      <w:r>
        <w:rPr>
          <w:noProof/>
        </w:rPr>
        <w:fldChar w:fldCharType="begin"/>
      </w:r>
      <w:r>
        <w:rPr>
          <w:noProof/>
        </w:rPr>
        <w:instrText xml:space="preserve"> PAGEREF _Toc27069560 \h </w:instrText>
      </w:r>
      <w:r>
        <w:rPr>
          <w:noProof/>
        </w:rPr>
      </w:r>
      <w:r>
        <w:rPr>
          <w:noProof/>
        </w:rPr>
        <w:fldChar w:fldCharType="separate"/>
      </w:r>
      <w:r>
        <w:rPr>
          <w:noProof/>
        </w:rPr>
        <w:t>3</w:t>
      </w:r>
      <w:r>
        <w:rPr>
          <w:noProof/>
        </w:rPr>
        <w:fldChar w:fldCharType="end"/>
      </w:r>
    </w:p>
    <w:p w14:paraId="69B72936" w14:textId="5457327D" w:rsidR="00D34B4D" w:rsidRDefault="00D34B4D">
      <w:pPr>
        <w:pStyle w:val="TOC2"/>
        <w:rPr>
          <w:rFonts w:eastAsiaTheme="minorEastAsia" w:cstheme="minorBidi"/>
          <w:smallCaps w:val="0"/>
          <w:noProof/>
          <w:sz w:val="24"/>
          <w:szCs w:val="24"/>
        </w:rPr>
      </w:pPr>
      <w:r w:rsidRPr="00227B0E">
        <w:rPr>
          <w:rFonts w:eastAsia="Times New Roman" w:cs="Arial"/>
          <w:bCs/>
          <w:iCs/>
          <w:noProof/>
        </w:rPr>
        <w:t>2.5</w:t>
      </w:r>
      <w:r>
        <w:rPr>
          <w:rFonts w:eastAsiaTheme="minorEastAsia" w:cstheme="minorBidi"/>
          <w:smallCaps w:val="0"/>
          <w:noProof/>
          <w:sz w:val="24"/>
          <w:szCs w:val="24"/>
        </w:rPr>
        <w:tab/>
      </w:r>
      <w:r w:rsidRPr="00227B0E">
        <w:rPr>
          <w:rFonts w:eastAsia="Times New Roman" w:cs="Arial"/>
          <w:bCs/>
          <w:iCs/>
          <w:noProof/>
        </w:rPr>
        <w:t>Project implementation</w:t>
      </w:r>
      <w:r>
        <w:rPr>
          <w:noProof/>
        </w:rPr>
        <w:tab/>
      </w:r>
      <w:r>
        <w:rPr>
          <w:noProof/>
        </w:rPr>
        <w:fldChar w:fldCharType="begin"/>
      </w:r>
      <w:r>
        <w:rPr>
          <w:noProof/>
        </w:rPr>
        <w:instrText xml:space="preserve"> PAGEREF _Toc27069561 \h </w:instrText>
      </w:r>
      <w:r>
        <w:rPr>
          <w:noProof/>
        </w:rPr>
      </w:r>
      <w:r>
        <w:rPr>
          <w:noProof/>
        </w:rPr>
        <w:fldChar w:fldCharType="separate"/>
      </w:r>
      <w:r>
        <w:rPr>
          <w:noProof/>
        </w:rPr>
        <w:t>4</w:t>
      </w:r>
      <w:r>
        <w:rPr>
          <w:noProof/>
        </w:rPr>
        <w:fldChar w:fldCharType="end"/>
      </w:r>
    </w:p>
    <w:p w14:paraId="32B4FE05" w14:textId="05F19DA3" w:rsidR="00D34B4D" w:rsidRDefault="00D34B4D">
      <w:pPr>
        <w:pStyle w:val="TOC2"/>
        <w:rPr>
          <w:rFonts w:eastAsiaTheme="minorEastAsia" w:cstheme="minorBidi"/>
          <w:smallCaps w:val="0"/>
          <w:noProof/>
          <w:sz w:val="24"/>
          <w:szCs w:val="24"/>
        </w:rPr>
      </w:pPr>
      <w:r w:rsidRPr="00227B0E">
        <w:rPr>
          <w:rFonts w:eastAsia="Times New Roman" w:cs="Arial"/>
          <w:bCs/>
          <w:iCs/>
          <w:noProof/>
        </w:rPr>
        <w:t>2.6</w:t>
      </w:r>
      <w:r>
        <w:rPr>
          <w:rFonts w:eastAsiaTheme="minorEastAsia" w:cstheme="minorBidi"/>
          <w:smallCaps w:val="0"/>
          <w:noProof/>
          <w:sz w:val="24"/>
          <w:szCs w:val="24"/>
        </w:rPr>
        <w:tab/>
      </w:r>
      <w:r w:rsidRPr="00227B0E">
        <w:rPr>
          <w:rFonts w:eastAsia="Times New Roman" w:cs="Arial"/>
          <w:bCs/>
          <w:iCs/>
          <w:noProof/>
        </w:rPr>
        <w:t>Conclusion</w:t>
      </w:r>
      <w:r>
        <w:rPr>
          <w:noProof/>
        </w:rPr>
        <w:tab/>
      </w:r>
      <w:r>
        <w:rPr>
          <w:noProof/>
        </w:rPr>
        <w:fldChar w:fldCharType="begin"/>
      </w:r>
      <w:r>
        <w:rPr>
          <w:noProof/>
        </w:rPr>
        <w:instrText xml:space="preserve"> PAGEREF _Toc27069562 \h </w:instrText>
      </w:r>
      <w:r>
        <w:rPr>
          <w:noProof/>
        </w:rPr>
      </w:r>
      <w:r>
        <w:rPr>
          <w:noProof/>
        </w:rPr>
        <w:fldChar w:fldCharType="separate"/>
      </w:r>
      <w:r>
        <w:rPr>
          <w:noProof/>
        </w:rPr>
        <w:t>5</w:t>
      </w:r>
      <w:r>
        <w:rPr>
          <w:noProof/>
        </w:rPr>
        <w:fldChar w:fldCharType="end"/>
      </w:r>
    </w:p>
    <w:p w14:paraId="6481D3E4" w14:textId="45528E4C" w:rsidR="00D34B4D" w:rsidRDefault="00D34B4D">
      <w:pPr>
        <w:pStyle w:val="TOC1"/>
        <w:tabs>
          <w:tab w:val="left" w:pos="660"/>
          <w:tab w:val="right" w:leader="dot" w:pos="9016"/>
        </w:tabs>
        <w:rPr>
          <w:rFonts w:asciiTheme="minorHAnsi" w:eastAsiaTheme="minorEastAsia" w:hAnsiTheme="minorHAnsi" w:cstheme="minorBidi"/>
          <w:b w:val="0"/>
          <w:bCs w:val="0"/>
          <w:caps w:val="0"/>
          <w:noProof/>
          <w:color w:val="auto"/>
          <w:sz w:val="24"/>
          <w:szCs w:val="24"/>
        </w:rPr>
      </w:pPr>
      <w:r w:rsidRPr="00227B0E">
        <w:rPr>
          <w:rFonts w:eastAsia="Times New Roman" w:cs="Arial"/>
          <w:noProof/>
        </w:rPr>
        <w:t>3.0</w:t>
      </w:r>
      <w:r>
        <w:rPr>
          <w:rFonts w:asciiTheme="minorHAnsi" w:eastAsiaTheme="minorEastAsia" w:hAnsiTheme="minorHAnsi" w:cstheme="minorBidi"/>
          <w:b w:val="0"/>
          <w:bCs w:val="0"/>
          <w:caps w:val="0"/>
          <w:noProof/>
          <w:color w:val="auto"/>
          <w:sz w:val="24"/>
          <w:szCs w:val="24"/>
        </w:rPr>
        <w:tab/>
      </w:r>
      <w:r w:rsidRPr="00227B0E">
        <w:rPr>
          <w:rFonts w:eastAsia="Times New Roman" w:cs="Arial"/>
          <w:noProof/>
        </w:rPr>
        <w:t>References</w:t>
      </w:r>
      <w:r>
        <w:rPr>
          <w:noProof/>
        </w:rPr>
        <w:tab/>
      </w:r>
      <w:r>
        <w:rPr>
          <w:noProof/>
        </w:rPr>
        <w:fldChar w:fldCharType="begin"/>
      </w:r>
      <w:r>
        <w:rPr>
          <w:noProof/>
        </w:rPr>
        <w:instrText xml:space="preserve"> PAGEREF _Toc27069563 \h </w:instrText>
      </w:r>
      <w:r>
        <w:rPr>
          <w:noProof/>
        </w:rPr>
      </w:r>
      <w:r>
        <w:rPr>
          <w:noProof/>
        </w:rPr>
        <w:fldChar w:fldCharType="separate"/>
      </w:r>
      <w:r>
        <w:rPr>
          <w:noProof/>
        </w:rPr>
        <w:t>7</w:t>
      </w:r>
      <w:r>
        <w:rPr>
          <w:noProof/>
        </w:rPr>
        <w:fldChar w:fldCharType="end"/>
      </w:r>
    </w:p>
    <w:p w14:paraId="4759A750" w14:textId="20F1A523"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26EB1DDE" w14:textId="06511463" w:rsidR="004F78D5" w:rsidRPr="005024CA" w:rsidRDefault="008B0864" w:rsidP="00D34B4D">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FF708E7" w14:textId="77777777" w:rsidR="000A10AA" w:rsidRDefault="000A10AA" w:rsidP="00A502A4">
      <w:pPr>
        <w:pStyle w:val="TOC1"/>
      </w:pPr>
    </w:p>
    <w:p w14:paraId="082BB808" w14:textId="7FE71A92" w:rsidR="00DE1400" w:rsidRDefault="00A502A4" w:rsidP="005024CA">
      <w:pPr>
        <w:pStyle w:val="Heading1"/>
        <w:keepNext/>
        <w:numPr>
          <w:ilvl w:val="0"/>
          <w:numId w:val="0"/>
        </w:numPr>
        <w:spacing w:after="0" w:line="480" w:lineRule="auto"/>
        <w:ind w:left="851"/>
        <w:contextualSpacing w:val="0"/>
        <w:rPr>
          <w:rFonts w:eastAsia="Times New Roman" w:cs="Arial"/>
          <w:bCs/>
          <w:szCs w:val="20"/>
        </w:rPr>
      </w:pPr>
      <w:bookmarkStart w:id="0" w:name="_Toc419303684"/>
      <w:bookmarkStart w:id="1" w:name="_Toc27069555"/>
      <w:r>
        <w:rPr>
          <w:rFonts w:eastAsia="Times New Roman" w:cs="Arial"/>
          <w:bCs/>
          <w:szCs w:val="20"/>
        </w:rPr>
        <w:t>eXECUTIVE sUMMARY</w:t>
      </w:r>
      <w:bookmarkEnd w:id="1"/>
    </w:p>
    <w:p w14:paraId="07E7D26D" w14:textId="42014D83" w:rsidR="00BB5A6E" w:rsidRDefault="00BB5A6E" w:rsidP="00BB5A6E">
      <w:pPr>
        <w:pStyle w:val="NormalIndent"/>
        <w:spacing w:line="480" w:lineRule="auto"/>
      </w:pPr>
      <w:r>
        <w:t xml:space="preserve">The overall purpose of this report is to critically analyse </w:t>
      </w:r>
      <w:r w:rsidR="00A61D67">
        <w:t xml:space="preserve">the accounting treatment of leases which conflict with the principles treasured with the IASB conceptual framework. As well as this, I will also be discussing the amendments which have been made to the standard which is included in IFRS 16, in the recognition of the criticisms and how it will impact on </w:t>
      </w:r>
      <w:r w:rsidR="00D52B8A">
        <w:t xml:space="preserve">companies’ </w:t>
      </w:r>
      <w:r w:rsidR="00A61D67">
        <w:t xml:space="preserve">financial statements. </w:t>
      </w:r>
      <w:r w:rsidR="00E77616">
        <w:t xml:space="preserve">The IFRS took over and combined the original UK GAAP and </w:t>
      </w:r>
      <w:r w:rsidR="003D0643">
        <w:t>Conceptual framework. It provides organisations with more opportunities with investors and stakeholders as it provides clear financial statements which follow the same format as most of the other organisations, despite which country they are in as they all follow the same reporting standards.</w:t>
      </w:r>
      <w:bookmarkStart w:id="2" w:name="_GoBack"/>
      <w:bookmarkEnd w:id="2"/>
    </w:p>
    <w:p w14:paraId="0505675B" w14:textId="515096EB" w:rsidR="00A502A4" w:rsidRPr="00704FEC" w:rsidRDefault="00A502A4" w:rsidP="002C6734">
      <w:pPr>
        <w:pStyle w:val="NormalIndent"/>
        <w:spacing w:line="480" w:lineRule="auto"/>
        <w:rPr>
          <w:b/>
          <w:color w:val="FF0000"/>
        </w:rPr>
      </w:pPr>
    </w:p>
    <w:p w14:paraId="60113592" w14:textId="70928D91" w:rsidR="002C6734" w:rsidRDefault="002C6734" w:rsidP="00D52B8A">
      <w:pPr>
        <w:pStyle w:val="NormalIndent"/>
        <w:spacing w:line="480" w:lineRule="auto"/>
        <w:ind w:left="0"/>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1C92A9FF" w14:textId="2FFC0C20" w:rsidR="00704FEC" w:rsidRPr="00B21A1C" w:rsidRDefault="009B20F4" w:rsidP="00B21A1C">
      <w:pPr>
        <w:pStyle w:val="Heading1"/>
      </w:pPr>
      <w:bookmarkStart w:id="3" w:name="_Toc27069556"/>
      <w:r w:rsidRPr="0043085E">
        <w:lastRenderedPageBreak/>
        <w:t>Introduction</w:t>
      </w:r>
      <w:bookmarkEnd w:id="0"/>
      <w:bookmarkEnd w:id="3"/>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27069557"/>
      <w:r>
        <w:rPr>
          <w:rFonts w:eastAsia="Times New Roman" w:cs="Arial"/>
          <w:bCs/>
          <w:iCs/>
          <w:szCs w:val="28"/>
        </w:rPr>
        <w:t>Report Remit</w:t>
      </w:r>
      <w:bookmarkEnd w:id="4"/>
    </w:p>
    <w:p w14:paraId="72ED2398" w14:textId="05D724F3" w:rsidR="0099626F" w:rsidRDefault="000C3E6F" w:rsidP="00D34B4D">
      <w:r>
        <w:t xml:space="preserve">The overall aim of this report is to critically analyse the current accounting treatment of leases and how it conflicts with the International Accounting Standards Board (IASB) conceptual framework. Alongside this, I will discuss the amendments which have been made to the standard which is included in IFRS due to the criticisms and how it will then go on to impact the company’s financial statements such as the profit and loss account and the balance sheet. </w:t>
      </w:r>
    </w:p>
    <w:p w14:paraId="32492B6F" w14:textId="77777777" w:rsidR="005346E4" w:rsidRPr="0043085E" w:rsidRDefault="005346E4" w:rsidP="009B20F4">
      <w:pPr>
        <w:pStyle w:val="NormalIndent"/>
        <w:spacing w:line="480" w:lineRule="auto"/>
      </w:pPr>
    </w:p>
    <w:p w14:paraId="3C141180" w14:textId="49AD61DE" w:rsidR="009B20F4"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27069558"/>
      <w:r>
        <w:rPr>
          <w:rFonts w:eastAsia="Times New Roman" w:cs="Arial"/>
          <w:bCs/>
          <w:iCs/>
          <w:szCs w:val="28"/>
        </w:rPr>
        <w:t xml:space="preserve">Background of </w:t>
      </w:r>
      <w:r w:rsidR="00D34B4D">
        <w:rPr>
          <w:rFonts w:eastAsia="Times New Roman" w:cs="Arial"/>
          <w:bCs/>
          <w:iCs/>
          <w:szCs w:val="28"/>
        </w:rPr>
        <w:t>IFRS</w:t>
      </w:r>
      <w:r w:rsidR="000C3E6F">
        <w:rPr>
          <w:rFonts w:eastAsia="Times New Roman" w:cs="Arial"/>
          <w:bCs/>
          <w:iCs/>
          <w:szCs w:val="28"/>
        </w:rPr>
        <w:t>.</w:t>
      </w:r>
      <w:bookmarkEnd w:id="5"/>
      <w:r w:rsidR="000C3E6F">
        <w:rPr>
          <w:rFonts w:eastAsia="Times New Roman" w:cs="Arial"/>
          <w:bCs/>
          <w:iCs/>
          <w:szCs w:val="28"/>
        </w:rPr>
        <w:t xml:space="preserve"> </w:t>
      </w:r>
    </w:p>
    <w:p w14:paraId="69F42943" w14:textId="3AC030F4" w:rsidR="009B20F4" w:rsidRDefault="00D34B4D" w:rsidP="00D34B4D">
      <w:r>
        <w:t xml:space="preserve">International Financial Reporting Standards (also known as IFRS) are the common accounting rules, which describe and explain how each transaction should be recorded. It also contains a set of rules which outline the information to include or disclose within a </w:t>
      </w:r>
      <w:r w:rsidR="005024CA">
        <w:t>company’s</w:t>
      </w:r>
      <w:r>
        <w:t xml:space="preserve"> financial statements. It is a common set of standards, which are used to solve many different issues within the accounting world for organisations. However, this system has also been </w:t>
      </w:r>
      <w:r w:rsidR="005024CA">
        <w:t>recognised</w:t>
      </w:r>
      <w:r>
        <w:t xml:space="preserve"> for creating problematic outcomes as well. Many countries have not yet </w:t>
      </w:r>
      <w:r w:rsidR="005024CA">
        <w:t>begun</w:t>
      </w:r>
      <w:r>
        <w:t xml:space="preserve"> to use IFRS, including the United States, due to the fact this system does not actually receive global acceptance. The firms which do not use the IFRS, must create a statement using one system and then another to make a report using the Generally Accepted Accounting Principles (GAAP) that other countries use. As with any accounting system, there are a huge variety of advantages and disadvantages of using IFRS, such as the system allows much more flexibility but this can also lead to the standards being manipulated to make an organisation seem much more financially stable than what it actually is in reality</w:t>
      </w:r>
      <w:sdt>
        <w:sdtPr>
          <w:id w:val="-649676083"/>
          <w:citation/>
        </w:sdtPr>
        <w:sdtContent>
          <w:r w:rsidR="00B102B8">
            <w:fldChar w:fldCharType="begin"/>
          </w:r>
          <w:r w:rsidR="00B102B8">
            <w:instrText xml:space="preserve"> CITATION Edi19 \l 2057 </w:instrText>
          </w:r>
          <w:r w:rsidR="00B102B8">
            <w:fldChar w:fldCharType="separate"/>
          </w:r>
          <w:r w:rsidR="00E77616">
            <w:rPr>
              <w:noProof/>
            </w:rPr>
            <w:t xml:space="preserve"> </w:t>
          </w:r>
          <w:r w:rsidR="00E77616" w:rsidRPr="00E77616">
            <w:rPr>
              <w:noProof/>
            </w:rPr>
            <w:t>(Chief, 2019)</w:t>
          </w:r>
          <w:r w:rsidR="00B102B8">
            <w:fldChar w:fldCharType="end"/>
          </w:r>
        </w:sdtContent>
      </w:sdt>
      <w:r>
        <w:t xml:space="preserve">. </w:t>
      </w:r>
    </w:p>
    <w:p w14:paraId="56DFDB63" w14:textId="1584BDAC" w:rsidR="0011351A" w:rsidRPr="0011351A" w:rsidRDefault="00B21A1C"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27069559"/>
      <w:r>
        <w:rPr>
          <w:rFonts w:eastAsia="Times New Roman" w:cs="Arial"/>
          <w:bCs/>
          <w:iCs/>
          <w:szCs w:val="28"/>
        </w:rPr>
        <w:t>BACKGROUND OF IASB CONCEPTUAL FRAMEWORK.</w:t>
      </w:r>
      <w:bookmarkEnd w:id="6"/>
    </w:p>
    <w:p w14:paraId="78123AC5" w14:textId="3DA389A8" w:rsidR="0011351A" w:rsidRPr="00D34B4D" w:rsidRDefault="00C27FA1" w:rsidP="00D34B4D">
      <w:pPr>
        <w:rPr>
          <w:color w:val="000000" w:themeColor="text1"/>
        </w:rPr>
      </w:pPr>
      <w:r w:rsidRPr="00D34B4D">
        <w:t xml:space="preserve">The International Accounting Standards Board, also referred to as IASB created the original Conceptual Framework in 1989 which has been revised since, in March 2018. The Conceptual Framework sets out the essential </w:t>
      </w:r>
      <w:r w:rsidRPr="00D34B4D">
        <w:rPr>
          <w:color w:val="000000" w:themeColor="text1"/>
        </w:rPr>
        <w:t xml:space="preserve">concepts for a </w:t>
      </w:r>
      <w:r w:rsidR="005024CA" w:rsidRPr="00D34B4D">
        <w:rPr>
          <w:color w:val="000000" w:themeColor="text1"/>
        </w:rPr>
        <w:t>company’s</w:t>
      </w:r>
      <w:r w:rsidRPr="00D34B4D">
        <w:rPr>
          <w:color w:val="000000" w:themeColor="text1"/>
        </w:rPr>
        <w:t xml:space="preserve"> financial reporting that guide the IASB in developing the IFRS standards. It allows the Board to ensure that the Standards are all treated in the same way and provide useful information to any investors, lenders and all other creditors. </w:t>
      </w:r>
      <w:r w:rsidR="00EA27BA" w:rsidRPr="00D34B4D">
        <w:rPr>
          <w:color w:val="000000" w:themeColor="text1"/>
        </w:rPr>
        <w:t xml:space="preserve">The Conceptual Framework also aids companies to be able to develop their accounting policy, when there is no IFRS standard to apply in a specific transaction and allows stakeholders to understand and also interpret the Standards. The Conceptual Framework was revised in 2018 and since sets out the following; </w:t>
      </w:r>
    </w:p>
    <w:p w14:paraId="67926CE6" w14:textId="151D83CA" w:rsidR="00EA27BA" w:rsidRPr="00D34B4D" w:rsidRDefault="00EA27BA" w:rsidP="00D34B4D">
      <w:pPr>
        <w:rPr>
          <w:color w:val="000000" w:themeColor="text1"/>
        </w:rPr>
      </w:pPr>
      <w:r w:rsidRPr="00D34B4D">
        <w:rPr>
          <w:color w:val="000000" w:themeColor="text1"/>
        </w:rPr>
        <w:t>The overall general purpose of financial reporting;</w:t>
      </w:r>
    </w:p>
    <w:p w14:paraId="28559B2D" w14:textId="538FC11F" w:rsidR="00EA27BA" w:rsidRPr="00D34B4D" w:rsidRDefault="00EA27BA" w:rsidP="00D34B4D">
      <w:pPr>
        <w:pStyle w:val="ListParagraph"/>
        <w:numPr>
          <w:ilvl w:val="0"/>
          <w:numId w:val="32"/>
        </w:numPr>
        <w:rPr>
          <w:color w:val="000000" w:themeColor="text1"/>
        </w:rPr>
      </w:pPr>
      <w:r w:rsidRPr="00D34B4D">
        <w:rPr>
          <w:color w:val="000000" w:themeColor="text1"/>
        </w:rPr>
        <w:t>The characteristics of what is considered as important financial information;</w:t>
      </w:r>
    </w:p>
    <w:p w14:paraId="276523B5" w14:textId="6A709DA7" w:rsidR="00EA27BA" w:rsidRPr="00D34B4D" w:rsidRDefault="00EA27BA" w:rsidP="00D34B4D">
      <w:pPr>
        <w:pStyle w:val="ListParagraph"/>
        <w:numPr>
          <w:ilvl w:val="0"/>
          <w:numId w:val="32"/>
        </w:numPr>
        <w:rPr>
          <w:color w:val="000000" w:themeColor="text1"/>
        </w:rPr>
      </w:pPr>
      <w:r w:rsidRPr="00D34B4D">
        <w:rPr>
          <w:color w:val="000000" w:themeColor="text1"/>
        </w:rPr>
        <w:t>A description of the reporting entity and its boundary;</w:t>
      </w:r>
    </w:p>
    <w:p w14:paraId="7D5CEE39" w14:textId="7F15BA89" w:rsidR="00EA27BA" w:rsidRPr="00D34B4D" w:rsidRDefault="00EA27BA" w:rsidP="00D34B4D">
      <w:pPr>
        <w:pStyle w:val="ListParagraph"/>
        <w:numPr>
          <w:ilvl w:val="0"/>
          <w:numId w:val="32"/>
        </w:numPr>
        <w:rPr>
          <w:color w:val="000000" w:themeColor="text1"/>
        </w:rPr>
      </w:pPr>
      <w:r w:rsidRPr="00D34B4D">
        <w:rPr>
          <w:color w:val="000000" w:themeColor="text1"/>
        </w:rPr>
        <w:t>Definition of an asset, liability, equity, income and expenses and guidance on supporting these;</w:t>
      </w:r>
    </w:p>
    <w:p w14:paraId="771B578A" w14:textId="6FC935A9" w:rsidR="00EA27BA" w:rsidRDefault="00EA27BA" w:rsidP="00D34B4D">
      <w:pPr>
        <w:pStyle w:val="ListParagraph"/>
        <w:numPr>
          <w:ilvl w:val="0"/>
          <w:numId w:val="32"/>
        </w:numPr>
        <w:rPr>
          <w:color w:val="000000" w:themeColor="text1"/>
        </w:rPr>
      </w:pPr>
      <w:r w:rsidRPr="00D34B4D">
        <w:rPr>
          <w:color w:val="000000" w:themeColor="text1"/>
        </w:rPr>
        <w:t>The criteria for including assets and liabilities on financial statements (where/when to recognise them, and when to remove them)</w:t>
      </w:r>
      <w:sdt>
        <w:sdtPr>
          <w:id w:val="267899421"/>
          <w:citation/>
        </w:sdtPr>
        <w:sdtEndPr/>
        <w:sdtContent>
          <w:r w:rsidRPr="00D34B4D">
            <w:rPr>
              <w:color w:val="000000" w:themeColor="text1"/>
            </w:rPr>
            <w:fldChar w:fldCharType="begin"/>
          </w:r>
          <w:r w:rsidRPr="00D34B4D">
            <w:rPr>
              <w:color w:val="000000" w:themeColor="text1"/>
            </w:rPr>
            <w:instrText xml:space="preserve"> CITATION IFR18 \l 2057 </w:instrText>
          </w:r>
          <w:r w:rsidRPr="00D34B4D">
            <w:rPr>
              <w:color w:val="000000" w:themeColor="text1"/>
            </w:rPr>
            <w:fldChar w:fldCharType="separate"/>
          </w:r>
          <w:r w:rsidR="00E77616">
            <w:rPr>
              <w:noProof/>
              <w:color w:val="000000" w:themeColor="text1"/>
            </w:rPr>
            <w:t xml:space="preserve"> </w:t>
          </w:r>
          <w:r w:rsidR="00E77616" w:rsidRPr="00E77616">
            <w:rPr>
              <w:noProof/>
              <w:color w:val="000000" w:themeColor="text1"/>
            </w:rPr>
            <w:t>(IFRS, 2018)</w:t>
          </w:r>
          <w:r w:rsidRPr="00D34B4D">
            <w:rPr>
              <w:color w:val="000000" w:themeColor="text1"/>
            </w:rPr>
            <w:fldChar w:fldCharType="end"/>
          </w:r>
        </w:sdtContent>
      </w:sdt>
      <w:r w:rsidRPr="00D34B4D">
        <w:rPr>
          <w:color w:val="000000" w:themeColor="text1"/>
        </w:rPr>
        <w:t>.</w:t>
      </w:r>
    </w:p>
    <w:p w14:paraId="11443833" w14:textId="77777777" w:rsidR="00E77616" w:rsidRPr="00D34B4D" w:rsidRDefault="00E77616" w:rsidP="00E77616">
      <w:pPr>
        <w:pStyle w:val="ListParagraph"/>
        <w:rPr>
          <w:color w:val="000000" w:themeColor="text1"/>
        </w:rPr>
      </w:pPr>
    </w:p>
    <w:p w14:paraId="5A34FFDF" w14:textId="73EBBFE7" w:rsidR="00D34B4D" w:rsidRDefault="00D34B4D" w:rsidP="00D34B4D">
      <w:pPr>
        <w:pStyle w:val="Heading1"/>
        <w:numPr>
          <w:ilvl w:val="0"/>
          <w:numId w:val="31"/>
        </w:numPr>
      </w:pPr>
      <w:bookmarkStart w:id="7" w:name="_Toc27069560"/>
      <w:r w:rsidRPr="00D34B4D">
        <w:lastRenderedPageBreak/>
        <w:t>Main Body.</w:t>
      </w:r>
      <w:bookmarkEnd w:id="7"/>
    </w:p>
    <w:p w14:paraId="388B57D7" w14:textId="77777777" w:rsidR="005024CA" w:rsidRPr="005024CA" w:rsidRDefault="005024CA" w:rsidP="005024CA">
      <w:pPr>
        <w:pStyle w:val="ListParagraph"/>
        <w:numPr>
          <w:ilvl w:val="0"/>
          <w:numId w:val="2"/>
        </w:numPr>
        <w:outlineLvl w:val="0"/>
        <w:rPr>
          <w:rFonts w:ascii="Verdana" w:hAnsi="Verdana"/>
          <w:b/>
          <w:caps/>
          <w:vanish/>
          <w:sz w:val="18"/>
          <w:szCs w:val="18"/>
        </w:rPr>
      </w:pPr>
    </w:p>
    <w:p w14:paraId="19A5112B" w14:textId="12F76932" w:rsidR="00D34B4D" w:rsidRDefault="00D34B4D" w:rsidP="005024CA">
      <w:pPr>
        <w:pStyle w:val="Heading2"/>
      </w:pPr>
      <w:r>
        <w:t>The Advantages and Disadvantages of a Common Set of Global Reporting Standards.</w:t>
      </w:r>
    </w:p>
    <w:p w14:paraId="1262BC0E" w14:textId="2503FA74" w:rsidR="00D34B4D" w:rsidRDefault="00D34B4D" w:rsidP="00D34B4D">
      <w:r>
        <w:t xml:space="preserve">There are many obvious benefits to applying the International Financial Reporting Standards, all across the world, otherwise there wouldn’t be as much time and money invested into applying them.  Organisations following the IFRS makes the </w:t>
      </w:r>
      <w:r w:rsidR="005024CA">
        <w:t>decision-making</w:t>
      </w:r>
      <w:r>
        <w:t xml:space="preserve"> process for investors much easier. Investors are able to compare the financial statements of companies which follow the International Accounting Board Standards, or the International Financial </w:t>
      </w:r>
      <w:r w:rsidR="005024CA">
        <w:t>Reporting</w:t>
      </w:r>
      <w:r>
        <w:t xml:space="preserve"> Standards, regardless of the </w:t>
      </w:r>
      <w:r w:rsidR="005024CA">
        <w:t>country’s</w:t>
      </w:r>
      <w:r>
        <w:t xml:space="preserve"> origin. Without the standards, making these </w:t>
      </w:r>
      <w:r w:rsidR="005024CA">
        <w:t>comparisons</w:t>
      </w:r>
      <w:r>
        <w:t xml:space="preserve"> would be much less reliable as the information which is recorded in the financial statements, is calculated using a range of different methods. Instead of using multiple accounting standards which are based on the preference of the country of origin, being able to adopt the IFRS enables agencies worldwide to apply the exact same principles and standards in each and every transaction</w:t>
      </w:r>
      <w:sdt>
        <w:sdtPr>
          <w:id w:val="1787157102"/>
          <w:citation/>
        </w:sdtPr>
        <w:sdtContent>
          <w:r w:rsidR="00C20355">
            <w:fldChar w:fldCharType="begin"/>
          </w:r>
          <w:r w:rsidR="00C20355">
            <w:instrText xml:space="preserve"> CITATION Edi19 \l 2057 </w:instrText>
          </w:r>
          <w:r w:rsidR="00C20355">
            <w:fldChar w:fldCharType="separate"/>
          </w:r>
          <w:r w:rsidR="00E77616">
            <w:rPr>
              <w:noProof/>
            </w:rPr>
            <w:t xml:space="preserve"> </w:t>
          </w:r>
          <w:r w:rsidR="00E77616" w:rsidRPr="00E77616">
            <w:rPr>
              <w:noProof/>
            </w:rPr>
            <w:t>(Chief, 2019)</w:t>
          </w:r>
          <w:r w:rsidR="00C20355">
            <w:fldChar w:fldCharType="end"/>
          </w:r>
        </w:sdtContent>
      </w:sdt>
      <w:r>
        <w:t>. The adoption of IFRS has allowed stock trading exchanges to be able to merge across the different continents and has opened up a whole new world of investments opportunities for people worldwide</w:t>
      </w:r>
      <w:sdt>
        <w:sdtPr>
          <w:id w:val="351383055"/>
          <w:citation/>
        </w:sdtPr>
        <w:sdtContent>
          <w:r w:rsidR="00B102B8">
            <w:fldChar w:fldCharType="begin"/>
          </w:r>
          <w:r w:rsidR="00B102B8">
            <w:instrText xml:space="preserve"> CITATION Dav17 \l 2057 </w:instrText>
          </w:r>
          <w:r w:rsidR="00B102B8">
            <w:fldChar w:fldCharType="separate"/>
          </w:r>
          <w:r w:rsidR="00E77616">
            <w:rPr>
              <w:noProof/>
            </w:rPr>
            <w:t xml:space="preserve"> </w:t>
          </w:r>
          <w:r w:rsidR="00E77616" w:rsidRPr="00E77616">
            <w:rPr>
              <w:noProof/>
            </w:rPr>
            <w:t>(Ingram, 2017)</w:t>
          </w:r>
          <w:r w:rsidR="00B102B8">
            <w:fldChar w:fldCharType="end"/>
          </w:r>
        </w:sdtContent>
      </w:sdt>
      <w:r>
        <w:t>. IFRS also strengthens the accountability of financial statements as it reduces the information gap between the providers of the capital and those who they have assigned their money too. This set of standards provide the information which is needed for management to account. Being a source of globally comparable information, IFRS are also of great importance to the regulators around the world</w:t>
      </w:r>
      <w:sdt>
        <w:sdtPr>
          <w:id w:val="1488972165"/>
          <w:citation/>
        </w:sdtPr>
        <w:sdtContent>
          <w:r w:rsidR="00C20355">
            <w:fldChar w:fldCharType="begin"/>
          </w:r>
          <w:r w:rsidR="00C20355">
            <w:instrText xml:space="preserve"> CITATION IFR17 \l 2057 </w:instrText>
          </w:r>
          <w:r w:rsidR="00C20355">
            <w:fldChar w:fldCharType="separate"/>
          </w:r>
          <w:r w:rsidR="00E77616">
            <w:rPr>
              <w:noProof/>
            </w:rPr>
            <w:t xml:space="preserve"> </w:t>
          </w:r>
          <w:r w:rsidR="00E77616" w:rsidRPr="00E77616">
            <w:rPr>
              <w:noProof/>
            </w:rPr>
            <w:t>(IFRS, 2017)</w:t>
          </w:r>
          <w:r w:rsidR="00C20355">
            <w:fldChar w:fldCharType="end"/>
          </w:r>
        </w:sdtContent>
      </w:sdt>
      <w:r>
        <w:t xml:space="preserve">. </w:t>
      </w:r>
    </w:p>
    <w:p w14:paraId="354BB03B" w14:textId="50032DF8" w:rsidR="00D34B4D" w:rsidRDefault="00D34B4D" w:rsidP="00D34B4D">
      <w:pPr>
        <w:rPr>
          <w:highlight w:val="yellow"/>
        </w:rPr>
      </w:pPr>
      <w:r>
        <w:t xml:space="preserve">However, as well as there being many </w:t>
      </w:r>
      <w:r w:rsidR="00C20355">
        <w:t>beneficial</w:t>
      </w:r>
      <w:r>
        <w:t xml:space="preserve"> points of adopting the IFRS, there is also the negative side of it. By having to adopt IFRS, there would be a huge increase in the cost of implementation for small businesses. There are much fewer resources which are available to SMEs (small or medium size enterprise), which would mean it would take them a lot longer and more money to be able to train their staff using this new accounting standard. The Securities and Exchange Commission (SEC) estimates that it could cost at least 12% of all global revenues to be able to implement IFRS across the United States. The Prudential CFO Nic Nicandrou estimates that it will cost the United Kingdom between £1bn and £2bn to implement IFRS 17. He also states that he finds it hard to see how anyone is able to conclude the </w:t>
      </w:r>
      <w:r w:rsidR="00C20355">
        <w:t>benefits</w:t>
      </w:r>
      <w:r>
        <w:t xml:space="preserve"> which will justify the cost and effort for businesses to be able to implement IFRS</w:t>
      </w:r>
      <w:sdt>
        <w:sdtPr>
          <w:id w:val="-2124991162"/>
          <w:citation/>
        </w:sdtPr>
        <w:sdtContent>
          <w:r w:rsidR="00C20355">
            <w:fldChar w:fldCharType="begin"/>
          </w:r>
          <w:r w:rsidR="00C20355">
            <w:instrText xml:space="preserve"> CITATION Eam16 \l 2057 </w:instrText>
          </w:r>
          <w:r w:rsidR="00C20355">
            <w:fldChar w:fldCharType="separate"/>
          </w:r>
          <w:r w:rsidR="00E77616">
            <w:rPr>
              <w:noProof/>
            </w:rPr>
            <w:t xml:space="preserve"> </w:t>
          </w:r>
          <w:r w:rsidR="00E77616" w:rsidRPr="00E77616">
            <w:rPr>
              <w:noProof/>
            </w:rPr>
            <w:t>(Eames Consulting Group , 2016)</w:t>
          </w:r>
          <w:r w:rsidR="00C20355">
            <w:fldChar w:fldCharType="end"/>
          </w:r>
        </w:sdtContent>
      </w:sdt>
    </w:p>
    <w:p w14:paraId="22B23719" w14:textId="1FD01763" w:rsidR="00D34B4D" w:rsidRDefault="00D34B4D" w:rsidP="005024CA">
      <w:pPr>
        <w:pStyle w:val="Heading2"/>
      </w:pPr>
      <w:r>
        <w:t xml:space="preserve">Progress of </w:t>
      </w:r>
      <w:r w:rsidR="005024CA">
        <w:t>Harmonisation</w:t>
      </w:r>
      <w:r>
        <w:t xml:space="preserve"> in Different Countries.</w:t>
      </w:r>
    </w:p>
    <w:p w14:paraId="4506F72E" w14:textId="457AE4FA" w:rsidR="00D34B4D" w:rsidRPr="00C20355" w:rsidRDefault="00D34B4D" w:rsidP="00D34B4D">
      <w:r>
        <w:t xml:space="preserve">The harmonisation of accounting standards is the reference to achieve an overall goal of creating one single set of standards which will be used internationally. The first major push for harmonisation of accounting standarads was the creation of International Accounting Standards Committee (IASC) back in 1973. It </w:t>
      </w:r>
      <w:r w:rsidR="00E77616">
        <w:t>was originally</w:t>
      </w:r>
      <w:r>
        <w:t xml:space="preserve"> formed by a group of professionals who were sponsored by their professional bodies. It was made up of countries </w:t>
      </w:r>
      <w:r w:rsidR="00E77616">
        <w:t>worldwide</w:t>
      </w:r>
      <w:r>
        <w:t xml:space="preserve"> such as Australia, Canada, France, Germany, Japan, Mexico, The Netherlands, The UK, Ireland and </w:t>
      </w:r>
      <w:r w:rsidR="00E77616">
        <w:t>the</w:t>
      </w:r>
      <w:r>
        <w:t xml:space="preserve"> US. Since then, the harmonisation of accounting standards has been replaced. Back in early 2001, the International Accounting Standards Board (IASB) took over as the official body setting the standards for IFRS. Since this, they have been able to develop what is classed as “a single set of high quality, understandable, enforceable and globally accepted international financial reporting standards” </w:t>
      </w:r>
      <w:sdt>
        <w:sdtPr>
          <w:id w:val="1344977162"/>
          <w:citation/>
        </w:sdtPr>
        <w:sdtContent>
          <w:r w:rsidR="00C20355" w:rsidRPr="00C20355">
            <w:fldChar w:fldCharType="begin"/>
          </w:r>
          <w:r w:rsidR="00C20355" w:rsidRPr="00C20355">
            <w:instrText xml:space="preserve"> CITATION IFR16 \l 2057 </w:instrText>
          </w:r>
          <w:r w:rsidR="00C20355" w:rsidRPr="00C20355">
            <w:fldChar w:fldCharType="separate"/>
          </w:r>
          <w:r w:rsidR="00E77616" w:rsidRPr="00E77616">
            <w:rPr>
              <w:noProof/>
            </w:rPr>
            <w:t>(IFRS, 2016)</w:t>
          </w:r>
          <w:r w:rsidR="00C20355" w:rsidRPr="00C20355">
            <w:fldChar w:fldCharType="end"/>
          </w:r>
        </w:sdtContent>
      </w:sdt>
    </w:p>
    <w:p w14:paraId="47090EC5" w14:textId="0ADE5F06" w:rsidR="00D34B4D" w:rsidRDefault="00D34B4D" w:rsidP="00D34B4D">
      <w:r>
        <w:lastRenderedPageBreak/>
        <w:t xml:space="preserve">The convergence is focussed on multiple factors such as including the belief that being able to have one single set of accounting requirements would be able to increase the </w:t>
      </w:r>
      <w:r w:rsidR="005024CA">
        <w:t>comparability</w:t>
      </w:r>
      <w:r>
        <w:t xml:space="preserve"> of different entities, which will then, as a result contribute to the flow of international investment and also have benefits to a variety of stakeholders. It is important for the UK to be </w:t>
      </w:r>
      <w:r w:rsidR="005024CA">
        <w:t>consistent</w:t>
      </w:r>
      <w:r>
        <w:t xml:space="preserve"> between themselves and IFRS as it is able to enhance the credibility and the clarity of all financial reporting in the UK. There are also companies in the UK which are continuing to prepare financial statements using the UK standards and wish to be able to be consistent with the IFRS. It also allows companies, regardless whether they are small, medium or large to be able to have their financial statements compared as wel</w:t>
      </w:r>
      <w:r w:rsidR="005024CA">
        <w:t>l</w:t>
      </w:r>
      <w:r>
        <w:t xml:space="preserve"> as enjoying a small cost of capital as their financial statements are much more easily understood.</w:t>
      </w:r>
    </w:p>
    <w:p w14:paraId="0FF02F2A" w14:textId="052FEE14" w:rsidR="00D52B8A" w:rsidRPr="00D34B4D" w:rsidRDefault="00D52B8A" w:rsidP="00D34B4D">
      <w:r>
        <w:t>The harmonisation process has been aided by the amendments which were made to FRS 102</w:t>
      </w:r>
      <w:r w:rsidR="00B102B8">
        <w:t xml:space="preserve">. </w:t>
      </w:r>
      <w:r>
        <w:t xml:space="preserve">These amendments </w:t>
      </w:r>
      <w:r w:rsidR="00B102B8">
        <w:t>were made to the accounting period starting on or after January 1</w:t>
      </w:r>
      <w:r w:rsidR="00B102B8" w:rsidRPr="00B102B8">
        <w:rPr>
          <w:vertAlign w:val="superscript"/>
        </w:rPr>
        <w:t>st</w:t>
      </w:r>
      <w:r w:rsidR="00B102B8">
        <w:t xml:space="preserve"> 2019. The major amendments which there were now simplified measurements of any </w:t>
      </w:r>
      <w:r w:rsidR="00E77616">
        <w:t>directors’</w:t>
      </w:r>
      <w:r w:rsidR="00B102B8">
        <w:t xml:space="preserve"> loans, for small companies, fewer intangible assets to be separated from goodwill in combinations, removal of any ‘undue cost and effort’ exemptions </w:t>
      </w:r>
      <w:r w:rsidR="00C20355">
        <w:t>and the</w:t>
      </w:r>
      <w:r w:rsidR="00B102B8">
        <w:t xml:space="preserve"> conditions for basic financial measurements</w:t>
      </w:r>
      <w:sdt>
        <w:sdtPr>
          <w:id w:val="870108338"/>
          <w:citation/>
        </w:sdtPr>
        <w:sdtContent>
          <w:r w:rsidR="00E77616">
            <w:fldChar w:fldCharType="begin"/>
          </w:r>
          <w:r w:rsidR="00E77616">
            <w:instrText xml:space="preserve">CITATION kkr18 \l 2057 </w:instrText>
          </w:r>
          <w:r w:rsidR="00E77616">
            <w:fldChar w:fldCharType="separate"/>
          </w:r>
          <w:r w:rsidR="00E77616">
            <w:rPr>
              <w:noProof/>
            </w:rPr>
            <w:t xml:space="preserve"> </w:t>
          </w:r>
          <w:r w:rsidR="00E77616" w:rsidRPr="00E77616">
            <w:rPr>
              <w:noProof/>
            </w:rPr>
            <w:t>(Smalley, 2018)</w:t>
          </w:r>
          <w:r w:rsidR="00E77616">
            <w:fldChar w:fldCharType="end"/>
          </w:r>
        </w:sdtContent>
      </w:sdt>
      <w:r w:rsidR="00B102B8">
        <w:t xml:space="preserve">. </w:t>
      </w:r>
    </w:p>
    <w:p w14:paraId="79976D00" w14:textId="66637F94" w:rsidR="00B5702F" w:rsidRDefault="005024CA" w:rsidP="005024CA">
      <w:pPr>
        <w:pStyle w:val="Heading2"/>
      </w:pPr>
      <w:r>
        <w:t>Potential barriers of adopting ifrs.</w:t>
      </w:r>
    </w:p>
    <w:p w14:paraId="12223BD7" w14:textId="1E717AD6" w:rsidR="00E77616" w:rsidRDefault="005024CA" w:rsidP="005024CA">
      <w:r>
        <w:t xml:space="preserve">As beneficial as it may seem for businesses to adopt the IFRS, there are also several barriers which may stop them from doing so, or at least make it much more difficult. </w:t>
      </w:r>
      <w:r w:rsidR="00D52B8A">
        <w:t>There is a lack of relevant and specific knowledge and practical experience of the new standard, which will mean it is more money for organisations to pay out to train their employee(s), some may not have the money aside to do so. This would also require them to have specific training and consultant services, which may not be available to all countries across the world, meaning some specific places would be at a disadvantage</w:t>
      </w:r>
      <w:sdt>
        <w:sdtPr>
          <w:id w:val="985657530"/>
          <w:citation/>
        </w:sdtPr>
        <w:sdtContent>
          <w:r w:rsidR="00E77616">
            <w:fldChar w:fldCharType="begin"/>
          </w:r>
          <w:r w:rsidR="00E77616">
            <w:instrText xml:space="preserve"> CITATION Nic19 \l 2057 </w:instrText>
          </w:r>
          <w:r w:rsidR="00E77616">
            <w:fldChar w:fldCharType="separate"/>
          </w:r>
          <w:r w:rsidR="00E77616">
            <w:rPr>
              <w:noProof/>
            </w:rPr>
            <w:t xml:space="preserve"> </w:t>
          </w:r>
          <w:r w:rsidR="00E77616" w:rsidRPr="00E77616">
            <w:rPr>
              <w:noProof/>
            </w:rPr>
            <w:t>(A.Pologeorgis, 2019)</w:t>
          </w:r>
          <w:r w:rsidR="00E77616">
            <w:fldChar w:fldCharType="end"/>
          </w:r>
        </w:sdtContent>
      </w:sdt>
      <w:r w:rsidR="00D52B8A">
        <w:t xml:space="preserve">. </w:t>
      </w:r>
    </w:p>
    <w:p w14:paraId="442FF100" w14:textId="339783C8" w:rsidR="005024CA" w:rsidRPr="005024CA" w:rsidRDefault="00E77616" w:rsidP="00E77616">
      <w:pPr>
        <w:autoSpaceDE/>
        <w:autoSpaceDN/>
        <w:adjustRightInd/>
        <w:spacing w:after="160" w:line="259" w:lineRule="auto"/>
      </w:pPr>
      <w:r>
        <w:br w:type="page"/>
      </w:r>
    </w:p>
    <w:p w14:paraId="3BA32692" w14:textId="488CB840" w:rsidR="005024CA" w:rsidRDefault="005024CA" w:rsidP="005024CA">
      <w:pPr>
        <w:pStyle w:val="Heading1"/>
      </w:pPr>
      <w:r>
        <w:lastRenderedPageBreak/>
        <w:t>Conclusion.</w:t>
      </w:r>
    </w:p>
    <w:p w14:paraId="59853BFA" w14:textId="4FF1DE0C" w:rsidR="00E77616" w:rsidRDefault="00D52B8A" w:rsidP="00D52B8A">
      <w:r>
        <w:t>In conclusion, it would be more beneficial for organisations to adapt to the International Financial Reporting Standards, as although it will cost money and require a lot of time to be invested into the training and transition process, there will be a lot more investment and stakeholder opportunities for businesses if they report and present their financial statements, in the same way as others all over the world. IFRS allows financial statements to have clarity, as well as the right and relevant information.</w:t>
      </w:r>
    </w:p>
    <w:p w14:paraId="32966D75" w14:textId="127F21B9" w:rsidR="00D52B8A" w:rsidRPr="00D52B8A" w:rsidRDefault="00E77616" w:rsidP="00E77616">
      <w:pPr>
        <w:autoSpaceDE/>
        <w:autoSpaceDN/>
        <w:adjustRightInd/>
        <w:spacing w:after="160" w:line="259" w:lineRule="auto"/>
      </w:pPr>
      <w:r>
        <w:br w:type="page"/>
      </w:r>
    </w:p>
    <w:sdt>
      <w:sdtPr>
        <w:id w:val="2135446198"/>
        <w:docPartObj>
          <w:docPartGallery w:val="Bibliographies"/>
          <w:docPartUnique/>
        </w:docPartObj>
      </w:sdtPr>
      <w:sdtEndPr>
        <w:rPr>
          <w:rFonts w:ascii="Calibri" w:hAnsi="Calibri"/>
          <w:b w:val="0"/>
          <w:caps w:val="0"/>
          <w:sz w:val="22"/>
          <w:szCs w:val="22"/>
        </w:rPr>
      </w:sdtEndPr>
      <w:sdtContent>
        <w:p w14:paraId="323D650A" w14:textId="5777F37D" w:rsidR="00E77616" w:rsidRDefault="00E77616" w:rsidP="00E77616">
          <w:pPr>
            <w:pStyle w:val="Heading1"/>
            <w:numPr>
              <w:ilvl w:val="0"/>
              <w:numId w:val="33"/>
            </w:numPr>
          </w:pPr>
          <w:r>
            <w:t>References</w:t>
          </w:r>
        </w:p>
        <w:sdt>
          <w:sdtPr>
            <w:id w:val="-573587230"/>
            <w:bibliography/>
          </w:sdtPr>
          <w:sdtContent>
            <w:p w14:paraId="747806EB" w14:textId="77777777" w:rsidR="00E77616" w:rsidRDefault="00E77616" w:rsidP="00E77616">
              <w:pPr>
                <w:pStyle w:val="Bibliography"/>
                <w:rPr>
                  <w:noProof/>
                  <w:sz w:val="24"/>
                  <w:szCs w:val="24"/>
                </w:rPr>
              </w:pPr>
              <w:r>
                <w:fldChar w:fldCharType="begin"/>
              </w:r>
              <w:r>
                <w:instrText xml:space="preserve"> BIBLIOGRAPHY </w:instrText>
              </w:r>
              <w:r>
                <w:fldChar w:fldCharType="separate"/>
              </w:r>
              <w:r>
                <w:rPr>
                  <w:noProof/>
                </w:rPr>
                <w:t xml:space="preserve">A.Pologeorgis, N., 2019. </w:t>
              </w:r>
              <w:r>
                <w:rPr>
                  <w:i/>
                  <w:iCs/>
                  <w:noProof/>
                </w:rPr>
                <w:t xml:space="preserve">Gauging the Impact of Combining GAAP and IFRS. </w:t>
              </w:r>
              <w:r>
                <w:rPr>
                  <w:noProof/>
                </w:rPr>
                <w:t xml:space="preserve">[Online] </w:t>
              </w:r>
              <w:r>
                <w:rPr>
                  <w:noProof/>
                </w:rPr>
                <w:br/>
                <w:t xml:space="preserve">Available at: </w:t>
              </w:r>
              <w:r>
                <w:rPr>
                  <w:noProof/>
                  <w:u w:val="single"/>
                </w:rPr>
                <w:t>https://www.investopedia.com/articles/economics/12/impact-gaap-ifrs-convergence.asp</w:t>
              </w:r>
              <w:r>
                <w:rPr>
                  <w:noProof/>
                </w:rPr>
                <w:br/>
                <w:t>[Accessed 12 December 2019].</w:t>
              </w:r>
            </w:p>
            <w:p w14:paraId="3BAE5B16" w14:textId="77777777" w:rsidR="00E77616" w:rsidRDefault="00E77616" w:rsidP="00E77616">
              <w:pPr>
                <w:pStyle w:val="Bibliography"/>
                <w:rPr>
                  <w:noProof/>
                </w:rPr>
              </w:pPr>
              <w:r>
                <w:rPr>
                  <w:noProof/>
                </w:rPr>
                <w:t xml:space="preserve">Chief, E. i., 2019. </w:t>
              </w:r>
              <w:r>
                <w:rPr>
                  <w:i/>
                  <w:iCs/>
                  <w:noProof/>
                </w:rPr>
                <w:t xml:space="preserve">19 Advantages and Disadvantages of Adopting IFRS. </w:t>
              </w:r>
              <w:r>
                <w:rPr>
                  <w:noProof/>
                </w:rPr>
                <w:t xml:space="preserve">[Online] </w:t>
              </w:r>
              <w:r>
                <w:rPr>
                  <w:noProof/>
                </w:rPr>
                <w:br/>
                <w:t xml:space="preserve">Available at: </w:t>
              </w:r>
              <w:r>
                <w:rPr>
                  <w:noProof/>
                  <w:u w:val="single"/>
                </w:rPr>
                <w:t>https://connectusfund.org/6-advantages-and-disadvantages-of-adopting-ifrs</w:t>
              </w:r>
              <w:r>
                <w:rPr>
                  <w:noProof/>
                </w:rPr>
                <w:br/>
                <w:t>[Accessed 12 December 2019].</w:t>
              </w:r>
            </w:p>
            <w:p w14:paraId="2AE91C42" w14:textId="77777777" w:rsidR="00E77616" w:rsidRDefault="00E77616" w:rsidP="00E77616">
              <w:pPr>
                <w:pStyle w:val="Bibliography"/>
                <w:rPr>
                  <w:noProof/>
                </w:rPr>
              </w:pPr>
              <w:r>
                <w:rPr>
                  <w:noProof/>
                </w:rPr>
                <w:t xml:space="preserve">Eames Consulting Group , 2016. </w:t>
              </w:r>
              <w:r>
                <w:rPr>
                  <w:i/>
                  <w:iCs/>
                  <w:noProof/>
                </w:rPr>
                <w:t xml:space="preserve">IFRS 17 COULD COST UP TO £2BN IN THE UK: PRUDENTIAL CFO. </w:t>
              </w:r>
              <w:r>
                <w:rPr>
                  <w:noProof/>
                </w:rPr>
                <w:t xml:space="preserve">[Online] </w:t>
              </w:r>
              <w:r>
                <w:rPr>
                  <w:noProof/>
                </w:rPr>
                <w:br/>
                <w:t xml:space="preserve">Available at: </w:t>
              </w:r>
              <w:r>
                <w:rPr>
                  <w:noProof/>
                  <w:u w:val="single"/>
                </w:rPr>
                <w:t>https://www.eamesconsulting.com/blog/2017/06/ifrs-17-could-cost-up-to-ps2bn-in-the-uk-prudential-cfo</w:t>
              </w:r>
              <w:r>
                <w:rPr>
                  <w:noProof/>
                </w:rPr>
                <w:br/>
                <w:t>[Accessed 12 December 2019].</w:t>
              </w:r>
            </w:p>
            <w:p w14:paraId="4BEDCB78" w14:textId="77777777" w:rsidR="00E77616" w:rsidRDefault="00E77616" w:rsidP="00E77616">
              <w:pPr>
                <w:pStyle w:val="Bibliography"/>
                <w:rPr>
                  <w:noProof/>
                </w:rPr>
              </w:pPr>
              <w:r>
                <w:rPr>
                  <w:noProof/>
                </w:rPr>
                <w:t xml:space="preserve">IFRS, 2016. </w:t>
              </w:r>
              <w:r>
                <w:rPr>
                  <w:i/>
                  <w:iCs/>
                  <w:noProof/>
                </w:rPr>
                <w:t xml:space="preserve">Who We Are. </w:t>
              </w:r>
              <w:r>
                <w:rPr>
                  <w:noProof/>
                </w:rPr>
                <w:t xml:space="preserve">[Online] </w:t>
              </w:r>
              <w:r>
                <w:rPr>
                  <w:noProof/>
                </w:rPr>
                <w:br/>
                <w:t xml:space="preserve">Available at: </w:t>
              </w:r>
              <w:r>
                <w:rPr>
                  <w:noProof/>
                  <w:u w:val="single"/>
                </w:rPr>
                <w:t>https://www.ifrs.org/about-us/who-we-are/</w:t>
              </w:r>
              <w:r>
                <w:rPr>
                  <w:noProof/>
                </w:rPr>
                <w:br/>
                <w:t>[Accessed 12 December 2019].</w:t>
              </w:r>
            </w:p>
            <w:p w14:paraId="7CA39CF9" w14:textId="77777777" w:rsidR="00E77616" w:rsidRDefault="00E77616" w:rsidP="00E77616">
              <w:pPr>
                <w:pStyle w:val="Bibliography"/>
                <w:rPr>
                  <w:noProof/>
                </w:rPr>
              </w:pPr>
              <w:r>
                <w:rPr>
                  <w:noProof/>
                </w:rPr>
                <w:t xml:space="preserve">IFRS, 2017. </w:t>
              </w:r>
              <w:r>
                <w:rPr>
                  <w:i/>
                  <w:iCs/>
                  <w:noProof/>
                </w:rPr>
                <w:t xml:space="preserve">Why Global Accounting Standards?. </w:t>
              </w:r>
              <w:r>
                <w:rPr>
                  <w:noProof/>
                </w:rPr>
                <w:t xml:space="preserve">[Online] </w:t>
              </w:r>
              <w:r>
                <w:rPr>
                  <w:noProof/>
                </w:rPr>
                <w:br/>
                <w:t xml:space="preserve">Available at: </w:t>
              </w:r>
              <w:r>
                <w:rPr>
                  <w:noProof/>
                  <w:u w:val="single"/>
                </w:rPr>
                <w:t>https://www.ifrs.org/use-around-the-world/why-global-accounting-standards/</w:t>
              </w:r>
              <w:r>
                <w:rPr>
                  <w:noProof/>
                </w:rPr>
                <w:br/>
                <w:t>[Accessed 12 December 2019].</w:t>
              </w:r>
            </w:p>
            <w:p w14:paraId="2BC9E941" w14:textId="77777777" w:rsidR="00E77616" w:rsidRDefault="00E77616" w:rsidP="00E77616">
              <w:pPr>
                <w:pStyle w:val="Bibliography"/>
                <w:rPr>
                  <w:noProof/>
                </w:rPr>
              </w:pPr>
              <w:r>
                <w:rPr>
                  <w:noProof/>
                </w:rPr>
                <w:t xml:space="preserve">IFRS, 2018. </w:t>
              </w:r>
              <w:r>
                <w:rPr>
                  <w:i/>
                  <w:iCs/>
                  <w:noProof/>
                </w:rPr>
                <w:t xml:space="preserve">Conceptual Framework for Financial Reporting. </w:t>
              </w:r>
              <w:r>
                <w:rPr>
                  <w:noProof/>
                </w:rPr>
                <w:t xml:space="preserve">[Online] </w:t>
              </w:r>
              <w:r>
                <w:rPr>
                  <w:noProof/>
                </w:rPr>
                <w:br/>
                <w:t xml:space="preserve">Available at: </w:t>
              </w:r>
              <w:r>
                <w:rPr>
                  <w:noProof/>
                  <w:u w:val="single"/>
                </w:rPr>
                <w:t>https://www.ifrs.org/issued-standards/list-of-standards/conceptual-framework/</w:t>
              </w:r>
              <w:r>
                <w:rPr>
                  <w:noProof/>
                </w:rPr>
                <w:br/>
                <w:t>[Accessed 4 December 2019].</w:t>
              </w:r>
            </w:p>
            <w:p w14:paraId="7C06328F" w14:textId="77777777" w:rsidR="00E77616" w:rsidRDefault="00E77616" w:rsidP="00E77616">
              <w:pPr>
                <w:pStyle w:val="Bibliography"/>
                <w:rPr>
                  <w:noProof/>
                </w:rPr>
              </w:pPr>
              <w:r>
                <w:rPr>
                  <w:noProof/>
                </w:rPr>
                <w:t xml:space="preserve">Ingram, D., 2017. </w:t>
              </w:r>
              <w:r>
                <w:rPr>
                  <w:i/>
                  <w:iCs/>
                  <w:noProof/>
                </w:rPr>
                <w:t xml:space="preserve">What Are The Benefits of International Accounting Standards?. </w:t>
              </w:r>
              <w:r>
                <w:rPr>
                  <w:noProof/>
                </w:rPr>
                <w:t xml:space="preserve">[Online] </w:t>
              </w:r>
              <w:r>
                <w:rPr>
                  <w:noProof/>
                </w:rPr>
                <w:br/>
                <w:t xml:space="preserve">Available at: </w:t>
              </w:r>
              <w:r>
                <w:rPr>
                  <w:noProof/>
                  <w:u w:val="single"/>
                </w:rPr>
                <w:t>https://bizfluent.com/info-7975847-benefits-international-accounting-standards.html</w:t>
              </w:r>
              <w:r>
                <w:rPr>
                  <w:noProof/>
                </w:rPr>
                <w:br/>
                <w:t>[Accessed 12 December 2019].</w:t>
              </w:r>
            </w:p>
            <w:p w14:paraId="14CE90E3" w14:textId="77777777" w:rsidR="00E77616" w:rsidRDefault="00E77616" w:rsidP="00E77616">
              <w:pPr>
                <w:pStyle w:val="Bibliography"/>
                <w:rPr>
                  <w:noProof/>
                </w:rPr>
              </w:pPr>
              <w:r>
                <w:rPr>
                  <w:noProof/>
                </w:rPr>
                <w:t xml:space="preserve">Smalley, M. a., 2018. </w:t>
              </w:r>
              <w:r>
                <w:rPr>
                  <w:i/>
                  <w:iCs/>
                  <w:noProof/>
                </w:rPr>
                <w:t xml:space="preserve">Key Changes in the FRS 102 Triennial Review. </w:t>
              </w:r>
              <w:r>
                <w:rPr>
                  <w:noProof/>
                </w:rPr>
                <w:t xml:space="preserve">[Online] </w:t>
              </w:r>
              <w:r>
                <w:rPr>
                  <w:noProof/>
                </w:rPr>
                <w:br/>
                <w:t xml:space="preserve">Available at: </w:t>
              </w:r>
              <w:r>
                <w:rPr>
                  <w:noProof/>
                  <w:u w:val="single"/>
                </w:rPr>
                <w:t>https://mooreandsmalley.co.uk/insights/knowledge-post/key-changes-in-the-frs-102-triennial-review/</w:t>
              </w:r>
              <w:r>
                <w:rPr>
                  <w:noProof/>
                </w:rPr>
                <w:br/>
                <w:t>[Accessed 12 December 2019].</w:t>
              </w:r>
            </w:p>
            <w:p w14:paraId="7859F843" w14:textId="4AF9DAC5" w:rsidR="00E77616" w:rsidRDefault="00E77616" w:rsidP="00E77616">
              <w:r>
                <w:rPr>
                  <w:b/>
                  <w:bCs/>
                  <w:noProof/>
                </w:rPr>
                <w:fldChar w:fldCharType="end"/>
              </w:r>
            </w:p>
          </w:sdtContent>
        </w:sdt>
      </w:sdtContent>
    </w:sdt>
    <w:p w14:paraId="5095BAD2" w14:textId="77777777" w:rsidR="006A168F" w:rsidRDefault="006A168F" w:rsidP="005024CA">
      <w:pPr>
        <w:pStyle w:val="Heading4"/>
        <w:rPr>
          <w:b/>
          <w:color w:val="FF0000"/>
        </w:rPr>
      </w:pPr>
    </w:p>
    <w:p w14:paraId="79EB7AAA" w14:textId="68AD1D37" w:rsidR="00846CC3" w:rsidRDefault="00846CC3" w:rsidP="005024CA">
      <w:pPr>
        <w:pStyle w:val="NormalIndent"/>
        <w:tabs>
          <w:tab w:val="left" w:pos="2430"/>
        </w:tabs>
        <w:spacing w:line="480" w:lineRule="auto"/>
        <w:rPr>
          <w:b/>
          <w:color w:val="FF0000"/>
        </w:rPr>
      </w:pPr>
    </w:p>
    <w:p w14:paraId="4617B708" w14:textId="5446A7F0" w:rsidR="00846CC3" w:rsidRDefault="00846CC3" w:rsidP="005024CA">
      <w:pPr>
        <w:pStyle w:val="NormalIndent"/>
        <w:spacing w:line="480" w:lineRule="auto"/>
        <w:ind w:left="0"/>
        <w:rPr>
          <w:b/>
          <w:color w:val="FF0000"/>
        </w:rPr>
      </w:pPr>
    </w:p>
    <w:p w14:paraId="4DA2705D" w14:textId="77777777" w:rsidR="00944684" w:rsidRDefault="00944684" w:rsidP="00E77616">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16"/>
          <w:headerReference w:type="first" r:id="rId17"/>
          <w:pgSz w:w="11906" w:h="16838"/>
          <w:pgMar w:top="1440" w:right="1440" w:bottom="1440" w:left="1440" w:header="567" w:footer="567" w:gutter="0"/>
          <w:cols w:space="708"/>
          <w:titlePg/>
          <w:docGrid w:linePitch="360"/>
        </w:sectPr>
      </w:pPr>
      <w:bookmarkStart w:id="8" w:name="_Toc305165507"/>
    </w:p>
    <w:bookmarkEnd w:id="8"/>
    <w:p w14:paraId="41D620F9" w14:textId="77777777" w:rsidR="00846CC3" w:rsidRDefault="00846CC3" w:rsidP="00E77616">
      <w:pPr>
        <w:pStyle w:val="Style1"/>
        <w:spacing w:line="480" w:lineRule="auto"/>
        <w:ind w:left="0"/>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5A66E" w14:textId="77777777" w:rsidR="008E25C5" w:rsidRDefault="008E25C5" w:rsidP="009B20F4">
      <w:pPr>
        <w:spacing w:after="0" w:line="240" w:lineRule="auto"/>
      </w:pPr>
      <w:r>
        <w:separator/>
      </w:r>
    </w:p>
  </w:endnote>
  <w:endnote w:type="continuationSeparator" w:id="0">
    <w:p w14:paraId="6341E33A" w14:textId="77777777" w:rsidR="008E25C5" w:rsidRDefault="008E25C5"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93029" w14:textId="0361C5CF" w:rsidR="00846CC3" w:rsidRDefault="00846CC3">
    <w:pPr>
      <w:pStyle w:val="Footer"/>
      <w:jc w:val="center"/>
    </w:pPr>
  </w:p>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04308C">
          <w:rPr>
            <w:noProof/>
          </w:rPr>
          <w:t>5</w:t>
        </w:r>
        <w:r>
          <w:rPr>
            <w:noProof/>
          </w:rPr>
          <w:fldChar w:fldCharType="end"/>
        </w:r>
      </w:p>
    </w:sdtContent>
  </w:sdt>
  <w:p w14:paraId="4AD9795B"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04308C">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FD919" w14:textId="77777777" w:rsidR="008E25C5" w:rsidRDefault="008E25C5" w:rsidP="009B20F4">
      <w:pPr>
        <w:spacing w:after="0" w:line="240" w:lineRule="auto"/>
      </w:pPr>
      <w:r>
        <w:separator/>
      </w:r>
    </w:p>
  </w:footnote>
  <w:footnote w:type="continuationSeparator" w:id="0">
    <w:p w14:paraId="4F4F43B2" w14:textId="77777777" w:rsidR="008E25C5" w:rsidRDefault="008E25C5"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0C6CC180"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xml:space="preserve">– </w:t>
    </w:r>
    <w:r w:rsidR="006C3C53">
      <w:rPr>
        <w:rFonts w:ascii="Verdana" w:hAnsi="Verdana"/>
        <w:b/>
        <w:caps/>
        <w:sz w:val="18"/>
        <w:szCs w:val="18"/>
      </w:rPr>
      <w:t>executive summary.</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C4BC70C" w:rsidR="00846CC3" w:rsidRPr="006C3C53" w:rsidRDefault="006C3C53" w:rsidP="006C4E5C">
    <w:pPr>
      <w:pStyle w:val="Header"/>
      <w:pBdr>
        <w:bottom w:val="single" w:sz="4" w:space="1" w:color="auto"/>
      </w:pBdr>
      <w:jc w:val="center"/>
      <w:rPr>
        <w:rFonts w:ascii="Verdana" w:hAnsi="Verdana"/>
        <w:b/>
        <w:caps/>
        <w:sz w:val="18"/>
        <w:szCs w:val="18"/>
      </w:rPr>
    </w:pPr>
    <w:r w:rsidRPr="006C3C53">
      <w:rPr>
        <w:rFonts w:ascii="Verdana" w:hAnsi="Verdana"/>
        <w:b/>
        <w:caps/>
        <w:sz w:val="18"/>
        <w:szCs w:val="18"/>
      </w:rPr>
      <w:t>contents page</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5762F" w14:textId="5E730583" w:rsidR="00846CC3" w:rsidRPr="00586DC0" w:rsidRDefault="00846CC3" w:rsidP="0095431E">
    <w:pPr>
      <w:pStyle w:val="Header"/>
      <w:pBdr>
        <w:bottom w:val="single" w:sz="4" w:space="1" w:color="auto"/>
      </w:pBdr>
      <w:jc w:val="center"/>
      <w:rPr>
        <w:b/>
        <w:caps/>
        <w:szCs w:val="18"/>
      </w:rPr>
    </w:pPr>
  </w:p>
  <w:p w14:paraId="1443DECA"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5C6DBB5E"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 xml:space="preserve">Chapter </w:t>
    </w:r>
    <w:r w:rsidR="00E77616">
      <w:rPr>
        <w:rFonts w:ascii="Verdana" w:hAnsi="Verdana"/>
        <w:b/>
        <w:caps/>
        <w:sz w:val="18"/>
        <w:szCs w:val="18"/>
      </w:rPr>
      <w:t>1 – introduction.</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79D4099"/>
    <w:multiLevelType w:val="hybridMultilevel"/>
    <w:tmpl w:val="F20AE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8E4A87"/>
    <w:multiLevelType w:val="multilevel"/>
    <w:tmpl w:val="B644EE38"/>
    <w:lvl w:ilvl="0">
      <w:start w:val="2"/>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A80AF898"/>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15:restartNumberingAfterBreak="0">
    <w:nsid w:val="7767060A"/>
    <w:multiLevelType w:val="hybridMultilevel"/>
    <w:tmpl w:val="9738C46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6"/>
  </w:num>
  <w:num w:numId="4">
    <w:abstractNumId w:val="5"/>
  </w:num>
  <w:num w:numId="5">
    <w:abstractNumId w:val="1"/>
  </w:num>
  <w:num w:numId="6">
    <w:abstractNumId w:val="19"/>
  </w:num>
  <w:num w:numId="7">
    <w:abstractNumId w:val="24"/>
  </w:num>
  <w:num w:numId="8">
    <w:abstractNumId w:val="30"/>
  </w:num>
  <w:num w:numId="9">
    <w:abstractNumId w:val="11"/>
  </w:num>
  <w:num w:numId="10">
    <w:abstractNumId w:val="12"/>
  </w:num>
  <w:num w:numId="11">
    <w:abstractNumId w:val="8"/>
  </w:num>
  <w:num w:numId="12">
    <w:abstractNumId w:val="29"/>
  </w:num>
  <w:num w:numId="13">
    <w:abstractNumId w:val="27"/>
  </w:num>
  <w:num w:numId="14">
    <w:abstractNumId w:val="0"/>
  </w:num>
  <w:num w:numId="15">
    <w:abstractNumId w:val="7"/>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4"/>
  </w:num>
  <w:num w:numId="29">
    <w:abstractNumId w:val="21"/>
  </w:num>
  <w:num w:numId="30">
    <w:abstractNumId w:val="31"/>
  </w:num>
  <w:num w:numId="31">
    <w:abstractNumId w:val="15"/>
  </w:num>
  <w:num w:numId="32">
    <w:abstractNumId w:val="3"/>
  </w:num>
  <w:num w:numId="33">
    <w:abstractNumId w:val="17"/>
    <w:lvlOverride w:ilvl="0">
      <w:startOverride w:val="4"/>
    </w:lvlOverride>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3E6F"/>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2A0"/>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4B33"/>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643"/>
    <w:rsid w:val="003D0ABB"/>
    <w:rsid w:val="003D12B0"/>
    <w:rsid w:val="003D1D77"/>
    <w:rsid w:val="003D3194"/>
    <w:rsid w:val="003D383B"/>
    <w:rsid w:val="003D5CAD"/>
    <w:rsid w:val="003D6518"/>
    <w:rsid w:val="003D71E7"/>
    <w:rsid w:val="003E1403"/>
    <w:rsid w:val="003E1826"/>
    <w:rsid w:val="003E1FEA"/>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24CA"/>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091"/>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C5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25C5"/>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271E9"/>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1D67"/>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02B8"/>
    <w:rsid w:val="00B1140E"/>
    <w:rsid w:val="00B116F4"/>
    <w:rsid w:val="00B12CA7"/>
    <w:rsid w:val="00B144F8"/>
    <w:rsid w:val="00B14F85"/>
    <w:rsid w:val="00B16E29"/>
    <w:rsid w:val="00B20BEB"/>
    <w:rsid w:val="00B21072"/>
    <w:rsid w:val="00B21A1C"/>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A6E"/>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0355"/>
    <w:rsid w:val="00C211EC"/>
    <w:rsid w:val="00C23629"/>
    <w:rsid w:val="00C23792"/>
    <w:rsid w:val="00C24216"/>
    <w:rsid w:val="00C252E5"/>
    <w:rsid w:val="00C259B1"/>
    <w:rsid w:val="00C25DBA"/>
    <w:rsid w:val="00C26BB3"/>
    <w:rsid w:val="00C273D5"/>
    <w:rsid w:val="00C27955"/>
    <w:rsid w:val="00C27D54"/>
    <w:rsid w:val="00C27FA1"/>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B4D"/>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2B8A"/>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77616"/>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BA"/>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Quote0">
    <w:name w:val="Quote"/>
    <w:basedOn w:val="Normal"/>
    <w:next w:val="Normal"/>
    <w:link w:val="QuoteChar0"/>
    <w:uiPriority w:val="29"/>
    <w:qFormat/>
    <w:rsid w:val="002002A0"/>
    <w:pPr>
      <w:spacing w:before="200" w:after="160"/>
      <w:ind w:left="864" w:right="864"/>
      <w:jc w:val="center"/>
    </w:pPr>
    <w:rPr>
      <w:i/>
      <w:iCs/>
      <w:color w:val="404040" w:themeColor="text1" w:themeTint="BF"/>
    </w:rPr>
  </w:style>
  <w:style w:type="character" w:customStyle="1" w:styleId="QuoteChar0">
    <w:name w:val="Quote Char"/>
    <w:basedOn w:val="DefaultParagraphFont"/>
    <w:link w:val="Quote0"/>
    <w:uiPriority w:val="29"/>
    <w:rsid w:val="002002A0"/>
    <w:rPr>
      <w:rFonts w:ascii="Calibri" w:hAnsi="Calibri" w:cs="Calibri"/>
      <w:i/>
      <w:iCs/>
      <w:color w:val="404040" w:themeColor="text1" w:themeTint="BF"/>
    </w:rPr>
  </w:style>
  <w:style w:type="paragraph" w:styleId="Revision">
    <w:name w:val="Revision"/>
    <w:hidden/>
    <w:uiPriority w:val="99"/>
    <w:semiHidden/>
    <w:rsid w:val="00D34B4D"/>
    <w:pPr>
      <w:spacing w:after="0" w:line="240" w:lineRule="auto"/>
    </w:pPr>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432">
      <w:bodyDiv w:val="1"/>
      <w:marLeft w:val="0"/>
      <w:marRight w:val="0"/>
      <w:marTop w:val="0"/>
      <w:marBottom w:val="0"/>
      <w:divBdr>
        <w:top w:val="none" w:sz="0" w:space="0" w:color="auto"/>
        <w:left w:val="none" w:sz="0" w:space="0" w:color="auto"/>
        <w:bottom w:val="none" w:sz="0" w:space="0" w:color="auto"/>
        <w:right w:val="none" w:sz="0" w:space="0" w:color="auto"/>
      </w:divBdr>
    </w:div>
    <w:div w:id="935437">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9867650">
      <w:bodyDiv w:val="1"/>
      <w:marLeft w:val="0"/>
      <w:marRight w:val="0"/>
      <w:marTop w:val="0"/>
      <w:marBottom w:val="0"/>
      <w:divBdr>
        <w:top w:val="none" w:sz="0" w:space="0" w:color="auto"/>
        <w:left w:val="none" w:sz="0" w:space="0" w:color="auto"/>
        <w:bottom w:val="none" w:sz="0" w:space="0" w:color="auto"/>
        <w:right w:val="none" w:sz="0" w:space="0" w:color="auto"/>
      </w:divBdr>
    </w:div>
    <w:div w:id="454518730">
      <w:bodyDiv w:val="1"/>
      <w:marLeft w:val="0"/>
      <w:marRight w:val="0"/>
      <w:marTop w:val="0"/>
      <w:marBottom w:val="0"/>
      <w:divBdr>
        <w:top w:val="none" w:sz="0" w:space="0" w:color="auto"/>
        <w:left w:val="none" w:sz="0" w:space="0" w:color="auto"/>
        <w:bottom w:val="none" w:sz="0" w:space="0" w:color="auto"/>
        <w:right w:val="none" w:sz="0" w:space="0" w:color="auto"/>
      </w:divBdr>
    </w:div>
    <w:div w:id="484977681">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89588154">
      <w:bodyDiv w:val="1"/>
      <w:marLeft w:val="0"/>
      <w:marRight w:val="0"/>
      <w:marTop w:val="0"/>
      <w:marBottom w:val="0"/>
      <w:divBdr>
        <w:top w:val="none" w:sz="0" w:space="0" w:color="auto"/>
        <w:left w:val="none" w:sz="0" w:space="0" w:color="auto"/>
        <w:bottom w:val="none" w:sz="0" w:space="0" w:color="auto"/>
        <w:right w:val="none" w:sz="0" w:space="0" w:color="auto"/>
      </w:divBdr>
    </w:div>
    <w:div w:id="592015039">
      <w:bodyDiv w:val="1"/>
      <w:marLeft w:val="0"/>
      <w:marRight w:val="0"/>
      <w:marTop w:val="0"/>
      <w:marBottom w:val="0"/>
      <w:divBdr>
        <w:top w:val="none" w:sz="0" w:space="0" w:color="auto"/>
        <w:left w:val="none" w:sz="0" w:space="0" w:color="auto"/>
        <w:bottom w:val="none" w:sz="0" w:space="0" w:color="auto"/>
        <w:right w:val="none" w:sz="0" w:space="0" w:color="auto"/>
      </w:divBdr>
    </w:div>
    <w:div w:id="63028841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2873288">
      <w:bodyDiv w:val="1"/>
      <w:marLeft w:val="0"/>
      <w:marRight w:val="0"/>
      <w:marTop w:val="0"/>
      <w:marBottom w:val="0"/>
      <w:divBdr>
        <w:top w:val="none" w:sz="0" w:space="0" w:color="auto"/>
        <w:left w:val="none" w:sz="0" w:space="0" w:color="auto"/>
        <w:bottom w:val="none" w:sz="0" w:space="0" w:color="auto"/>
        <w:right w:val="none" w:sz="0" w:space="0" w:color="auto"/>
      </w:divBdr>
    </w:div>
    <w:div w:id="677274031">
      <w:bodyDiv w:val="1"/>
      <w:marLeft w:val="0"/>
      <w:marRight w:val="0"/>
      <w:marTop w:val="0"/>
      <w:marBottom w:val="0"/>
      <w:divBdr>
        <w:top w:val="none" w:sz="0" w:space="0" w:color="auto"/>
        <w:left w:val="none" w:sz="0" w:space="0" w:color="auto"/>
        <w:bottom w:val="none" w:sz="0" w:space="0" w:color="auto"/>
        <w:right w:val="none" w:sz="0" w:space="0" w:color="auto"/>
      </w:divBdr>
    </w:div>
    <w:div w:id="690567076">
      <w:bodyDiv w:val="1"/>
      <w:marLeft w:val="0"/>
      <w:marRight w:val="0"/>
      <w:marTop w:val="0"/>
      <w:marBottom w:val="0"/>
      <w:divBdr>
        <w:top w:val="none" w:sz="0" w:space="0" w:color="auto"/>
        <w:left w:val="none" w:sz="0" w:space="0" w:color="auto"/>
        <w:bottom w:val="none" w:sz="0" w:space="0" w:color="auto"/>
        <w:right w:val="none" w:sz="0" w:space="0" w:color="auto"/>
      </w:divBdr>
    </w:div>
    <w:div w:id="709958443">
      <w:bodyDiv w:val="1"/>
      <w:marLeft w:val="0"/>
      <w:marRight w:val="0"/>
      <w:marTop w:val="0"/>
      <w:marBottom w:val="0"/>
      <w:divBdr>
        <w:top w:val="none" w:sz="0" w:space="0" w:color="auto"/>
        <w:left w:val="none" w:sz="0" w:space="0" w:color="auto"/>
        <w:bottom w:val="none" w:sz="0" w:space="0" w:color="auto"/>
        <w:right w:val="none" w:sz="0" w:space="0" w:color="auto"/>
      </w:divBdr>
    </w:div>
    <w:div w:id="721754011">
      <w:bodyDiv w:val="1"/>
      <w:marLeft w:val="0"/>
      <w:marRight w:val="0"/>
      <w:marTop w:val="0"/>
      <w:marBottom w:val="0"/>
      <w:divBdr>
        <w:top w:val="none" w:sz="0" w:space="0" w:color="auto"/>
        <w:left w:val="none" w:sz="0" w:space="0" w:color="auto"/>
        <w:bottom w:val="none" w:sz="0" w:space="0" w:color="auto"/>
        <w:right w:val="none" w:sz="0" w:space="0" w:color="auto"/>
      </w:divBdr>
    </w:div>
    <w:div w:id="768038470">
      <w:bodyDiv w:val="1"/>
      <w:marLeft w:val="0"/>
      <w:marRight w:val="0"/>
      <w:marTop w:val="0"/>
      <w:marBottom w:val="0"/>
      <w:divBdr>
        <w:top w:val="none" w:sz="0" w:space="0" w:color="auto"/>
        <w:left w:val="none" w:sz="0" w:space="0" w:color="auto"/>
        <w:bottom w:val="none" w:sz="0" w:space="0" w:color="auto"/>
        <w:right w:val="none" w:sz="0" w:space="0" w:color="auto"/>
      </w:divBdr>
    </w:div>
    <w:div w:id="781536946">
      <w:bodyDiv w:val="1"/>
      <w:marLeft w:val="0"/>
      <w:marRight w:val="0"/>
      <w:marTop w:val="0"/>
      <w:marBottom w:val="0"/>
      <w:divBdr>
        <w:top w:val="none" w:sz="0" w:space="0" w:color="auto"/>
        <w:left w:val="none" w:sz="0" w:space="0" w:color="auto"/>
        <w:bottom w:val="none" w:sz="0" w:space="0" w:color="auto"/>
        <w:right w:val="none" w:sz="0" w:space="0" w:color="auto"/>
      </w:divBdr>
    </w:div>
    <w:div w:id="834882878">
      <w:bodyDiv w:val="1"/>
      <w:marLeft w:val="0"/>
      <w:marRight w:val="0"/>
      <w:marTop w:val="0"/>
      <w:marBottom w:val="0"/>
      <w:divBdr>
        <w:top w:val="none" w:sz="0" w:space="0" w:color="auto"/>
        <w:left w:val="none" w:sz="0" w:space="0" w:color="auto"/>
        <w:bottom w:val="none" w:sz="0" w:space="0" w:color="auto"/>
        <w:right w:val="none" w:sz="0" w:space="0" w:color="auto"/>
      </w:divBdr>
    </w:div>
    <w:div w:id="83842619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7621194">
      <w:bodyDiv w:val="1"/>
      <w:marLeft w:val="0"/>
      <w:marRight w:val="0"/>
      <w:marTop w:val="0"/>
      <w:marBottom w:val="0"/>
      <w:divBdr>
        <w:top w:val="none" w:sz="0" w:space="0" w:color="auto"/>
        <w:left w:val="none" w:sz="0" w:space="0" w:color="auto"/>
        <w:bottom w:val="none" w:sz="0" w:space="0" w:color="auto"/>
        <w:right w:val="none" w:sz="0" w:space="0" w:color="auto"/>
      </w:divBdr>
    </w:div>
    <w:div w:id="933631644">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2348468">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29799269">
      <w:bodyDiv w:val="1"/>
      <w:marLeft w:val="0"/>
      <w:marRight w:val="0"/>
      <w:marTop w:val="0"/>
      <w:marBottom w:val="0"/>
      <w:divBdr>
        <w:top w:val="none" w:sz="0" w:space="0" w:color="auto"/>
        <w:left w:val="none" w:sz="0" w:space="0" w:color="auto"/>
        <w:bottom w:val="none" w:sz="0" w:space="0" w:color="auto"/>
        <w:right w:val="none" w:sz="0" w:space="0" w:color="auto"/>
      </w:divBdr>
    </w:div>
    <w:div w:id="1039470142">
      <w:bodyDiv w:val="1"/>
      <w:marLeft w:val="0"/>
      <w:marRight w:val="0"/>
      <w:marTop w:val="0"/>
      <w:marBottom w:val="0"/>
      <w:divBdr>
        <w:top w:val="none" w:sz="0" w:space="0" w:color="auto"/>
        <w:left w:val="none" w:sz="0" w:space="0" w:color="auto"/>
        <w:bottom w:val="none" w:sz="0" w:space="0" w:color="auto"/>
        <w:right w:val="none" w:sz="0" w:space="0" w:color="auto"/>
      </w:divBdr>
    </w:div>
    <w:div w:id="104275380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5401129">
      <w:bodyDiv w:val="1"/>
      <w:marLeft w:val="0"/>
      <w:marRight w:val="0"/>
      <w:marTop w:val="0"/>
      <w:marBottom w:val="0"/>
      <w:divBdr>
        <w:top w:val="none" w:sz="0" w:space="0" w:color="auto"/>
        <w:left w:val="none" w:sz="0" w:space="0" w:color="auto"/>
        <w:bottom w:val="none" w:sz="0" w:space="0" w:color="auto"/>
        <w:right w:val="none" w:sz="0" w:space="0" w:color="auto"/>
      </w:divBdr>
    </w:div>
    <w:div w:id="1079907567">
      <w:bodyDiv w:val="1"/>
      <w:marLeft w:val="0"/>
      <w:marRight w:val="0"/>
      <w:marTop w:val="0"/>
      <w:marBottom w:val="0"/>
      <w:divBdr>
        <w:top w:val="none" w:sz="0" w:space="0" w:color="auto"/>
        <w:left w:val="none" w:sz="0" w:space="0" w:color="auto"/>
        <w:bottom w:val="none" w:sz="0" w:space="0" w:color="auto"/>
        <w:right w:val="none" w:sz="0" w:space="0" w:color="auto"/>
      </w:divBdr>
    </w:div>
    <w:div w:id="1129275610">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9128918">
      <w:bodyDiv w:val="1"/>
      <w:marLeft w:val="0"/>
      <w:marRight w:val="0"/>
      <w:marTop w:val="0"/>
      <w:marBottom w:val="0"/>
      <w:divBdr>
        <w:top w:val="none" w:sz="0" w:space="0" w:color="auto"/>
        <w:left w:val="none" w:sz="0" w:space="0" w:color="auto"/>
        <w:bottom w:val="none" w:sz="0" w:space="0" w:color="auto"/>
        <w:right w:val="none" w:sz="0" w:space="0" w:color="auto"/>
      </w:divBdr>
    </w:div>
    <w:div w:id="1218585050">
      <w:bodyDiv w:val="1"/>
      <w:marLeft w:val="0"/>
      <w:marRight w:val="0"/>
      <w:marTop w:val="0"/>
      <w:marBottom w:val="0"/>
      <w:divBdr>
        <w:top w:val="none" w:sz="0" w:space="0" w:color="auto"/>
        <w:left w:val="none" w:sz="0" w:space="0" w:color="auto"/>
        <w:bottom w:val="none" w:sz="0" w:space="0" w:color="auto"/>
        <w:right w:val="none" w:sz="0" w:space="0" w:color="auto"/>
      </w:divBdr>
    </w:div>
    <w:div w:id="1237981935">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7231509">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2633317">
      <w:bodyDiv w:val="1"/>
      <w:marLeft w:val="0"/>
      <w:marRight w:val="0"/>
      <w:marTop w:val="0"/>
      <w:marBottom w:val="0"/>
      <w:divBdr>
        <w:top w:val="none" w:sz="0" w:space="0" w:color="auto"/>
        <w:left w:val="none" w:sz="0" w:space="0" w:color="auto"/>
        <w:bottom w:val="none" w:sz="0" w:space="0" w:color="auto"/>
        <w:right w:val="none" w:sz="0" w:space="0" w:color="auto"/>
      </w:divBdr>
    </w:div>
    <w:div w:id="131236950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653605">
      <w:bodyDiv w:val="1"/>
      <w:marLeft w:val="0"/>
      <w:marRight w:val="0"/>
      <w:marTop w:val="0"/>
      <w:marBottom w:val="0"/>
      <w:divBdr>
        <w:top w:val="none" w:sz="0" w:space="0" w:color="auto"/>
        <w:left w:val="none" w:sz="0" w:space="0" w:color="auto"/>
        <w:bottom w:val="none" w:sz="0" w:space="0" w:color="auto"/>
        <w:right w:val="none" w:sz="0" w:space="0" w:color="auto"/>
      </w:divBdr>
    </w:div>
    <w:div w:id="1450975267">
      <w:bodyDiv w:val="1"/>
      <w:marLeft w:val="0"/>
      <w:marRight w:val="0"/>
      <w:marTop w:val="0"/>
      <w:marBottom w:val="0"/>
      <w:divBdr>
        <w:top w:val="none" w:sz="0" w:space="0" w:color="auto"/>
        <w:left w:val="none" w:sz="0" w:space="0" w:color="auto"/>
        <w:bottom w:val="none" w:sz="0" w:space="0" w:color="auto"/>
        <w:right w:val="none" w:sz="0" w:space="0" w:color="auto"/>
      </w:divBdr>
    </w:div>
    <w:div w:id="1459300197">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5393269">
      <w:bodyDiv w:val="1"/>
      <w:marLeft w:val="0"/>
      <w:marRight w:val="0"/>
      <w:marTop w:val="0"/>
      <w:marBottom w:val="0"/>
      <w:divBdr>
        <w:top w:val="none" w:sz="0" w:space="0" w:color="auto"/>
        <w:left w:val="none" w:sz="0" w:space="0" w:color="auto"/>
        <w:bottom w:val="none" w:sz="0" w:space="0" w:color="auto"/>
        <w:right w:val="none" w:sz="0" w:space="0" w:color="auto"/>
      </w:divBdr>
    </w:div>
    <w:div w:id="1489440559">
      <w:bodyDiv w:val="1"/>
      <w:marLeft w:val="0"/>
      <w:marRight w:val="0"/>
      <w:marTop w:val="0"/>
      <w:marBottom w:val="0"/>
      <w:divBdr>
        <w:top w:val="none" w:sz="0" w:space="0" w:color="auto"/>
        <w:left w:val="none" w:sz="0" w:space="0" w:color="auto"/>
        <w:bottom w:val="none" w:sz="0" w:space="0" w:color="auto"/>
        <w:right w:val="none" w:sz="0" w:space="0" w:color="auto"/>
      </w:divBdr>
    </w:div>
    <w:div w:id="15353864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86571790">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11549199">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7067178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6079761">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9003636">
      <w:bodyDiv w:val="1"/>
      <w:marLeft w:val="0"/>
      <w:marRight w:val="0"/>
      <w:marTop w:val="0"/>
      <w:marBottom w:val="0"/>
      <w:divBdr>
        <w:top w:val="none" w:sz="0" w:space="0" w:color="auto"/>
        <w:left w:val="none" w:sz="0" w:space="0" w:color="auto"/>
        <w:bottom w:val="none" w:sz="0" w:space="0" w:color="auto"/>
        <w:right w:val="none" w:sz="0" w:space="0" w:color="auto"/>
      </w:divBdr>
    </w:div>
    <w:div w:id="1795517179">
      <w:bodyDiv w:val="1"/>
      <w:marLeft w:val="0"/>
      <w:marRight w:val="0"/>
      <w:marTop w:val="0"/>
      <w:marBottom w:val="0"/>
      <w:divBdr>
        <w:top w:val="none" w:sz="0" w:space="0" w:color="auto"/>
        <w:left w:val="none" w:sz="0" w:space="0" w:color="auto"/>
        <w:bottom w:val="none" w:sz="0" w:space="0" w:color="auto"/>
        <w:right w:val="none" w:sz="0" w:space="0" w:color="auto"/>
      </w:divBdr>
    </w:div>
    <w:div w:id="1867014164">
      <w:bodyDiv w:val="1"/>
      <w:marLeft w:val="0"/>
      <w:marRight w:val="0"/>
      <w:marTop w:val="0"/>
      <w:marBottom w:val="0"/>
      <w:divBdr>
        <w:top w:val="none" w:sz="0" w:space="0" w:color="auto"/>
        <w:left w:val="none" w:sz="0" w:space="0" w:color="auto"/>
        <w:bottom w:val="none" w:sz="0" w:space="0" w:color="auto"/>
        <w:right w:val="none" w:sz="0" w:space="0" w:color="auto"/>
      </w:divBdr>
    </w:div>
    <w:div w:id="1901987250">
      <w:bodyDiv w:val="1"/>
      <w:marLeft w:val="0"/>
      <w:marRight w:val="0"/>
      <w:marTop w:val="0"/>
      <w:marBottom w:val="0"/>
      <w:divBdr>
        <w:top w:val="none" w:sz="0" w:space="0" w:color="auto"/>
        <w:left w:val="none" w:sz="0" w:space="0" w:color="auto"/>
        <w:bottom w:val="none" w:sz="0" w:space="0" w:color="auto"/>
        <w:right w:val="none" w:sz="0" w:space="0" w:color="auto"/>
      </w:divBdr>
    </w:div>
    <w:div w:id="1913541394">
      <w:bodyDiv w:val="1"/>
      <w:marLeft w:val="0"/>
      <w:marRight w:val="0"/>
      <w:marTop w:val="0"/>
      <w:marBottom w:val="0"/>
      <w:divBdr>
        <w:top w:val="none" w:sz="0" w:space="0" w:color="auto"/>
        <w:left w:val="none" w:sz="0" w:space="0" w:color="auto"/>
        <w:bottom w:val="none" w:sz="0" w:space="0" w:color="auto"/>
        <w:right w:val="none" w:sz="0" w:space="0" w:color="auto"/>
      </w:divBdr>
    </w:div>
    <w:div w:id="1914657984">
      <w:bodyDiv w:val="1"/>
      <w:marLeft w:val="0"/>
      <w:marRight w:val="0"/>
      <w:marTop w:val="0"/>
      <w:marBottom w:val="0"/>
      <w:divBdr>
        <w:top w:val="none" w:sz="0" w:space="0" w:color="auto"/>
        <w:left w:val="none" w:sz="0" w:space="0" w:color="auto"/>
        <w:bottom w:val="none" w:sz="0" w:space="0" w:color="auto"/>
        <w:right w:val="none" w:sz="0" w:space="0" w:color="auto"/>
      </w:divBdr>
    </w:div>
    <w:div w:id="1929846915">
      <w:bodyDiv w:val="1"/>
      <w:marLeft w:val="0"/>
      <w:marRight w:val="0"/>
      <w:marTop w:val="0"/>
      <w:marBottom w:val="0"/>
      <w:divBdr>
        <w:top w:val="none" w:sz="0" w:space="0" w:color="auto"/>
        <w:left w:val="none" w:sz="0" w:space="0" w:color="auto"/>
        <w:bottom w:val="none" w:sz="0" w:space="0" w:color="auto"/>
        <w:right w:val="none" w:sz="0" w:space="0" w:color="auto"/>
      </w:divBdr>
    </w:div>
    <w:div w:id="1958641658">
      <w:bodyDiv w:val="1"/>
      <w:marLeft w:val="0"/>
      <w:marRight w:val="0"/>
      <w:marTop w:val="0"/>
      <w:marBottom w:val="0"/>
      <w:divBdr>
        <w:top w:val="none" w:sz="0" w:space="0" w:color="auto"/>
        <w:left w:val="none" w:sz="0" w:space="0" w:color="auto"/>
        <w:bottom w:val="none" w:sz="0" w:space="0" w:color="auto"/>
        <w:right w:val="none" w:sz="0" w:space="0" w:color="auto"/>
      </w:divBdr>
    </w:div>
    <w:div w:id="2048136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IFR18</b:Tag>
    <b:SourceType>InternetSite</b:SourceType>
    <b:Guid>{30229E08-FEB5-48CB-B9C9-69F1F9DA7E85}</b:Guid>
    <b:Author>
      <b:Author>
        <b:Corporate>IFRS</b:Corporate>
      </b:Author>
    </b:Author>
    <b:Title>Conceptual Framework for Financial Reporting </b:Title>
    <b:Year>2018</b:Year>
    <b:YearAccessed>2019</b:YearAccessed>
    <b:MonthAccessed>December</b:MonthAccessed>
    <b:DayAccessed>4</b:DayAccessed>
    <b:URL>https://www.ifrs.org/issued-standards/list-of-standards/conceptual-framework/</b:URL>
    <b:RefOrder>2</b:RefOrder>
  </b:Source>
  <b:Source>
    <b:Tag>Edi19</b:Tag>
    <b:SourceType>InternetSite</b:SourceType>
    <b:Guid>{0B3E3512-DD2D-4391-82CC-9DA255A58298}</b:Guid>
    <b:Author>
      <b:Author>
        <b:NameList>
          <b:Person>
            <b:Last>Chief</b:Last>
            <b:First>Editor</b:First>
            <b:Middle>in</b:Middle>
          </b:Person>
        </b:NameList>
      </b:Author>
    </b:Author>
    <b:Title>19 Advantages and Disadvantages of Adopting IFRS</b:Title>
    <b:Year>2019</b:Year>
    <b:YearAccessed>2019</b:YearAccessed>
    <b:MonthAccessed>December</b:MonthAccessed>
    <b:DayAccessed>12</b:DayAccessed>
    <b:URL>https://connectusfund.org/6-advantages-and-disadvantages-of-adopting-ifrs</b:URL>
    <b:RefOrder>1</b:RefOrder>
  </b:Source>
  <b:Source>
    <b:Tag>Dav17</b:Tag>
    <b:SourceType>InternetSite</b:SourceType>
    <b:Guid>{2CF3023A-3F97-4410-80D3-B02782D529A9}</b:Guid>
    <b:Author>
      <b:Author>
        <b:NameList>
          <b:Person>
            <b:Last>Ingram</b:Last>
            <b:First>David</b:First>
          </b:Person>
        </b:NameList>
      </b:Author>
    </b:Author>
    <b:Title>What Are The Benefits of International Accounting Standards?</b:Title>
    <b:Year>2017</b:Year>
    <b:YearAccessed>2019</b:YearAccessed>
    <b:MonthAccessed>December</b:MonthAccessed>
    <b:DayAccessed>12</b:DayAccessed>
    <b:URL>https://bizfluent.com/info-7975847-benefits-international-accounting-standards.html</b:URL>
    <b:RefOrder>3</b:RefOrder>
  </b:Source>
  <b:Source>
    <b:Tag>IFR17</b:Tag>
    <b:SourceType>InternetSite</b:SourceType>
    <b:Guid>{4C2D0A7D-880B-4AD8-BF1B-493637030335}</b:Guid>
    <b:Author>
      <b:Author>
        <b:Corporate>IFRS</b:Corporate>
      </b:Author>
    </b:Author>
    <b:Title>Why Global Accounting Standards?</b:Title>
    <b:Year>2017</b:Year>
    <b:YearAccessed>2019</b:YearAccessed>
    <b:MonthAccessed>December</b:MonthAccessed>
    <b:DayAccessed>12</b:DayAccessed>
    <b:URL>https://www.ifrs.org/use-around-the-world/why-global-accounting-standards/</b:URL>
    <b:RefOrder>4</b:RefOrder>
  </b:Source>
  <b:Source>
    <b:Tag>Eam16</b:Tag>
    <b:SourceType>InternetSite</b:SourceType>
    <b:Guid>{196600C2-805D-4CD2-B979-0E4F12ABCAFE}</b:Guid>
    <b:Author>
      <b:Author>
        <b:Corporate>Eames Consulting Group </b:Corporate>
      </b:Author>
    </b:Author>
    <b:Title>IFRS 17 COULD COST UP TO £2BN IN THE UK: PRUDENTIAL CFO </b:Title>
    <b:Year>2016</b:Year>
    <b:YearAccessed>2019</b:YearAccessed>
    <b:MonthAccessed>December</b:MonthAccessed>
    <b:DayAccessed>12</b:DayAccessed>
    <b:URL>https://www.eamesconsulting.com/blog/2017/06/ifrs-17-could-cost-up-to-ps2bn-in-the-uk-prudential-cfo</b:URL>
    <b:RefOrder>5</b:RefOrder>
  </b:Source>
  <b:Source>
    <b:Tag>IFR16</b:Tag>
    <b:SourceType>InternetSite</b:SourceType>
    <b:Guid>{84F2660A-1F54-43AA-97BC-0B2FF8F387B5}</b:Guid>
    <b:Author>
      <b:Author>
        <b:Corporate>IFRS</b:Corporate>
      </b:Author>
    </b:Author>
    <b:Title>Who We Are</b:Title>
    <b:Year>2016</b:Year>
    <b:YearAccessed>2019</b:YearAccessed>
    <b:MonthAccessed>December</b:MonthAccessed>
    <b:DayAccessed>12</b:DayAccessed>
    <b:URL>https://www.ifrs.org/about-us/who-we-are/</b:URL>
    <b:RefOrder>6</b:RefOrder>
  </b:Source>
  <b:Source>
    <b:Tag>Nic19</b:Tag>
    <b:SourceType>InternetSite</b:SourceType>
    <b:Guid>{BC5F52ED-93AF-45AA-9F87-C8A9B6F72323}</b:Guid>
    <b:Author>
      <b:Author>
        <b:NameList>
          <b:Person>
            <b:Last>A.Pologeorgis</b:Last>
            <b:First>Nicolas</b:First>
          </b:Person>
        </b:NameList>
      </b:Author>
    </b:Author>
    <b:Title>Gauging the Impact of Combining GAAP and IFRS</b:Title>
    <b:Year>2019</b:Year>
    <b:YearAccessed>2019</b:YearAccessed>
    <b:MonthAccessed>December</b:MonthAccessed>
    <b:DayAccessed>12</b:DayAccessed>
    <b:URL>https://www.investopedia.com/articles/economics/12/impact-gaap-ifrs-convergence.asp</b:URL>
    <b:RefOrder>8</b:RefOrder>
  </b:Source>
  <b:Source>
    <b:Tag>kkr18</b:Tag>
    <b:SourceType>InternetSite</b:SourceType>
    <b:Guid>{62267564-005D-4C77-B335-7D0C9024EE99}</b:Guid>
    <b:Author>
      <b:Author>
        <b:NameList>
          <b:Person>
            <b:Last>Smalley</b:Last>
            <b:First>Moore</b:First>
            <b:Middle>and</b:Middle>
          </b:Person>
        </b:NameList>
      </b:Author>
    </b:Author>
    <b:Title>Key Changes in the FRS 102 Triennial Review</b:Title>
    <b:Year>2018</b:Year>
    <b:YearAccessed>2019</b:YearAccessed>
    <b:MonthAccessed>December</b:MonthAccessed>
    <b:DayAccessed>12</b:DayAccessed>
    <b:URL>https://mooreandsmalley.co.uk/insights/knowledge-post/key-changes-in-the-frs-102-triennial-review/</b:URL>
    <b:RefOrder>7</b:RefOrder>
  </b:Source>
</b:Sources>
</file>

<file path=customXml/itemProps1.xml><?xml version="1.0" encoding="utf-8"?>
<ds:datastoreItem xmlns:ds="http://schemas.openxmlformats.org/officeDocument/2006/customXml" ds:itemID="{335AE0B1-596C-45E1-BF5D-9BA1C4759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9</Pages>
  <Words>1852</Words>
  <Characters>10562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Jay Doherty-stewart (1702614)</cp:lastModifiedBy>
  <cp:revision>3</cp:revision>
  <cp:lastPrinted>2017-10-18T08:13:00Z</cp:lastPrinted>
  <dcterms:created xsi:type="dcterms:W3CDTF">2019-12-12T21:49:00Z</dcterms:created>
  <dcterms:modified xsi:type="dcterms:W3CDTF">2019-12-12T23:03:00Z</dcterms:modified>
</cp:coreProperties>
</file>