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320840" w14:textId="77777777" w:rsidR="00394804" w:rsidRPr="0071464B" w:rsidRDefault="00AB3159" w:rsidP="00046491">
      <w:pPr>
        <w:spacing w:before="2100" w:line="480" w:lineRule="auto"/>
        <w:jc w:val="center"/>
        <w:rPr>
          <w:rFonts w:asciiTheme="majorBidi" w:hAnsiTheme="majorBidi" w:cstheme="majorBidi"/>
          <w:i/>
          <w:iCs/>
          <w:szCs w:val="24"/>
        </w:rPr>
      </w:pPr>
      <w:r w:rsidRPr="0071464B">
        <w:rPr>
          <w:rFonts w:asciiTheme="majorBidi" w:hAnsiTheme="majorBidi" w:cstheme="majorBidi"/>
          <w:b/>
          <w:i/>
          <w:iCs/>
          <w:szCs w:val="24"/>
        </w:rPr>
        <w:t>STAKEHOLDER MANAGEMENT PLAN</w:t>
      </w:r>
    </w:p>
    <w:p w14:paraId="1B7380E1" w14:textId="77777777" w:rsidR="00394804" w:rsidRPr="0071464B" w:rsidRDefault="00AB3159" w:rsidP="00BD5C4A">
      <w:pPr>
        <w:spacing w:before="120" w:after="80" w:line="480" w:lineRule="auto"/>
        <w:jc w:val="center"/>
        <w:rPr>
          <w:rFonts w:asciiTheme="majorBidi" w:hAnsiTheme="majorBidi" w:cstheme="majorBidi"/>
          <w:szCs w:val="24"/>
        </w:rPr>
      </w:pPr>
      <w:r w:rsidRPr="0071464B">
        <w:rPr>
          <w:rFonts w:asciiTheme="majorBidi" w:hAnsiTheme="majorBidi" w:cstheme="majorBidi"/>
          <w:b/>
          <w:szCs w:val="24"/>
        </w:rPr>
        <w:t xml:space="preserve">Pendleton </w:t>
      </w:r>
      <w:proofErr w:type="spellStart"/>
      <w:r w:rsidRPr="0071464B">
        <w:rPr>
          <w:rFonts w:asciiTheme="majorBidi" w:hAnsiTheme="majorBidi" w:cstheme="majorBidi"/>
          <w:b/>
          <w:szCs w:val="24"/>
        </w:rPr>
        <w:t>GreenLink</w:t>
      </w:r>
      <w:proofErr w:type="spellEnd"/>
      <w:r w:rsidRPr="0071464B">
        <w:rPr>
          <w:rFonts w:asciiTheme="majorBidi" w:hAnsiTheme="majorBidi" w:cstheme="majorBidi"/>
          <w:b/>
          <w:szCs w:val="24"/>
        </w:rPr>
        <w:t xml:space="preserve"> Mobility Hub and Active Travel Corridor</w:t>
      </w:r>
    </w:p>
    <w:p w14:paraId="3923F482" w14:textId="77777777" w:rsidR="00394804" w:rsidRPr="0071464B" w:rsidRDefault="00AB3159" w:rsidP="00BD5C4A">
      <w:pPr>
        <w:spacing w:after="680" w:line="480" w:lineRule="auto"/>
        <w:jc w:val="center"/>
        <w:rPr>
          <w:rFonts w:asciiTheme="majorBidi" w:hAnsiTheme="majorBidi" w:cstheme="majorBidi"/>
          <w:szCs w:val="24"/>
        </w:rPr>
      </w:pPr>
      <w:r w:rsidRPr="0071464B">
        <w:rPr>
          <w:rFonts w:asciiTheme="majorBidi" w:hAnsiTheme="majorBidi" w:cstheme="majorBidi"/>
          <w:szCs w:val="24"/>
        </w:rPr>
        <w:t>Salford, Greater Manchester</w:t>
      </w:r>
    </w:p>
    <w:tbl>
      <w:tblPr>
        <w:tblStyle w:val="TableGrid"/>
        <w:tblW w:w="0" w:type="auto"/>
        <w:tblInd w:w="108" w:type="dxa"/>
        <w:tblLayout w:type="fixed"/>
        <w:tblLook w:val="04A0" w:firstRow="1" w:lastRow="0" w:firstColumn="1" w:lastColumn="0" w:noHBand="0" w:noVBand="1"/>
      </w:tblPr>
      <w:tblGrid>
        <w:gridCol w:w="2552"/>
        <w:gridCol w:w="6662"/>
      </w:tblGrid>
      <w:tr w:rsidR="00394804" w:rsidRPr="0071464B" w14:paraId="0EEFA4D2" w14:textId="77777777" w:rsidTr="00BD5C4A">
        <w:tc>
          <w:tcPr>
            <w:tcW w:w="2552" w:type="dxa"/>
          </w:tcPr>
          <w:p w14:paraId="3367DE9E"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Assessment</w:t>
            </w:r>
          </w:p>
        </w:tc>
        <w:tc>
          <w:tcPr>
            <w:tcW w:w="6662" w:type="dxa"/>
          </w:tcPr>
          <w:p w14:paraId="32D42080"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Assessment Component 1: Portfolio</w:t>
            </w:r>
          </w:p>
        </w:tc>
      </w:tr>
      <w:tr w:rsidR="00394804" w:rsidRPr="0071464B" w14:paraId="1511C3C6" w14:textId="77777777" w:rsidTr="00BD5C4A">
        <w:tc>
          <w:tcPr>
            <w:tcW w:w="2552" w:type="dxa"/>
          </w:tcPr>
          <w:p w14:paraId="1A92C95C"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Role</w:t>
            </w:r>
          </w:p>
        </w:tc>
        <w:tc>
          <w:tcPr>
            <w:tcW w:w="6662" w:type="dxa"/>
          </w:tcPr>
          <w:p w14:paraId="0C43835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Junior Stakeholder Manager</w:t>
            </w:r>
          </w:p>
        </w:tc>
      </w:tr>
      <w:tr w:rsidR="00394804" w:rsidRPr="0071464B" w14:paraId="0A64E17C" w14:textId="77777777" w:rsidTr="00BD5C4A">
        <w:tc>
          <w:tcPr>
            <w:tcW w:w="2552" w:type="dxa"/>
          </w:tcPr>
          <w:p w14:paraId="65903461"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Student name</w:t>
            </w:r>
          </w:p>
        </w:tc>
        <w:tc>
          <w:tcPr>
            <w:tcW w:w="6662" w:type="dxa"/>
          </w:tcPr>
          <w:p w14:paraId="683668F1" w14:textId="24240B56" w:rsidR="00394804" w:rsidRPr="0071464B" w:rsidRDefault="00C27F46" w:rsidP="00BD5C4A">
            <w:pPr>
              <w:spacing w:after="0" w:line="480" w:lineRule="auto"/>
              <w:rPr>
                <w:rFonts w:asciiTheme="majorBidi" w:hAnsiTheme="majorBidi" w:cstheme="majorBidi"/>
                <w:szCs w:val="24"/>
              </w:rPr>
            </w:pPr>
            <w:r>
              <w:rPr>
                <w:rFonts w:asciiTheme="majorBidi" w:hAnsiTheme="majorBidi" w:cstheme="majorBidi"/>
                <w:szCs w:val="24"/>
              </w:rPr>
              <w:t xml:space="preserve">Humaira Mahboob </w:t>
            </w:r>
          </w:p>
        </w:tc>
      </w:tr>
      <w:tr w:rsidR="00394804" w:rsidRPr="0071464B" w14:paraId="0BB9A4D1" w14:textId="77777777" w:rsidTr="00BD5C4A">
        <w:tc>
          <w:tcPr>
            <w:tcW w:w="2552" w:type="dxa"/>
          </w:tcPr>
          <w:p w14:paraId="5B2B1628"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Student ID</w:t>
            </w:r>
          </w:p>
        </w:tc>
        <w:tc>
          <w:tcPr>
            <w:tcW w:w="6662" w:type="dxa"/>
          </w:tcPr>
          <w:p w14:paraId="1EFDDAA5" w14:textId="25B62033" w:rsidR="00394804" w:rsidRPr="0071464B" w:rsidRDefault="00C27F46" w:rsidP="00BD5C4A">
            <w:pPr>
              <w:spacing w:after="0" w:line="480" w:lineRule="auto"/>
              <w:rPr>
                <w:rFonts w:asciiTheme="majorBidi" w:hAnsiTheme="majorBidi" w:cstheme="majorBidi"/>
                <w:szCs w:val="24"/>
              </w:rPr>
            </w:pPr>
            <w:r>
              <w:rPr>
                <w:rFonts w:asciiTheme="majorBidi" w:hAnsiTheme="majorBidi" w:cstheme="majorBidi"/>
                <w:szCs w:val="24"/>
              </w:rPr>
              <w:t>2406922</w:t>
            </w:r>
          </w:p>
        </w:tc>
      </w:tr>
      <w:tr w:rsidR="00394804" w:rsidRPr="0071464B" w14:paraId="6C007F5D" w14:textId="77777777" w:rsidTr="00BD5C4A">
        <w:tc>
          <w:tcPr>
            <w:tcW w:w="2552" w:type="dxa"/>
          </w:tcPr>
          <w:p w14:paraId="6BF4943B"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Module</w:t>
            </w:r>
          </w:p>
        </w:tc>
        <w:tc>
          <w:tcPr>
            <w:tcW w:w="6662" w:type="dxa"/>
          </w:tcPr>
          <w:p w14:paraId="20E77F04" w14:textId="366B4389" w:rsidR="00394804" w:rsidRPr="00C27F46" w:rsidRDefault="00C27F46" w:rsidP="00BD5C4A">
            <w:pPr>
              <w:spacing w:after="0" w:line="480" w:lineRule="auto"/>
              <w:rPr>
                <w:rFonts w:cs="Times New Roman"/>
                <w:szCs w:val="24"/>
              </w:rPr>
            </w:pPr>
            <w:r w:rsidRPr="00C27F46">
              <w:rPr>
                <w:rFonts w:cs="Times New Roman"/>
                <w:color w:val="000000"/>
                <w:szCs w:val="24"/>
              </w:rPr>
              <w:t>LCBB4013</w:t>
            </w:r>
          </w:p>
        </w:tc>
      </w:tr>
      <w:tr w:rsidR="00394804" w:rsidRPr="0071464B" w14:paraId="5A33E504" w14:textId="77777777" w:rsidTr="00BD5C4A">
        <w:tc>
          <w:tcPr>
            <w:tcW w:w="2552" w:type="dxa"/>
          </w:tcPr>
          <w:p w14:paraId="6A22F47D"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Submission date</w:t>
            </w:r>
          </w:p>
        </w:tc>
        <w:tc>
          <w:tcPr>
            <w:tcW w:w="6662" w:type="dxa"/>
          </w:tcPr>
          <w:p w14:paraId="5A0A5A37" w14:textId="29EF6F81" w:rsidR="00394804" w:rsidRPr="0071464B" w:rsidRDefault="00C27F46" w:rsidP="00BD5C4A">
            <w:pPr>
              <w:spacing w:after="0" w:line="480" w:lineRule="auto"/>
              <w:rPr>
                <w:rFonts w:asciiTheme="majorBidi" w:hAnsiTheme="majorBidi" w:cstheme="majorBidi"/>
                <w:szCs w:val="24"/>
              </w:rPr>
            </w:pPr>
            <w:r>
              <w:rPr>
                <w:rFonts w:asciiTheme="majorBidi" w:hAnsiTheme="majorBidi" w:cstheme="majorBidi"/>
                <w:szCs w:val="24"/>
              </w:rPr>
              <w:t>26/07/2026</w:t>
            </w:r>
          </w:p>
        </w:tc>
      </w:tr>
      <w:tr w:rsidR="00394804" w:rsidRPr="0071464B" w14:paraId="6C27F64E" w14:textId="77777777" w:rsidTr="00BD5C4A">
        <w:tc>
          <w:tcPr>
            <w:tcW w:w="2552" w:type="dxa"/>
          </w:tcPr>
          <w:p w14:paraId="13E5C005"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b/>
                <w:szCs w:val="24"/>
              </w:rPr>
              <w:t>Word count</w:t>
            </w:r>
          </w:p>
        </w:tc>
        <w:tc>
          <w:tcPr>
            <w:tcW w:w="6662" w:type="dxa"/>
          </w:tcPr>
          <w:p w14:paraId="70043311" w14:textId="6A447C9A" w:rsidR="00394804" w:rsidRPr="0071464B" w:rsidRDefault="00C27F46" w:rsidP="00BD5C4A">
            <w:pPr>
              <w:spacing w:after="0" w:line="480" w:lineRule="auto"/>
              <w:rPr>
                <w:rFonts w:asciiTheme="majorBidi" w:hAnsiTheme="majorBidi" w:cstheme="majorBidi"/>
                <w:szCs w:val="24"/>
              </w:rPr>
            </w:pPr>
            <w:r>
              <w:rPr>
                <w:rFonts w:asciiTheme="majorBidi" w:hAnsiTheme="majorBidi" w:cstheme="majorBidi"/>
                <w:szCs w:val="24"/>
              </w:rPr>
              <w:t>3000 words</w:t>
            </w:r>
          </w:p>
        </w:tc>
      </w:tr>
    </w:tbl>
    <w:p w14:paraId="5420F42A" w14:textId="623FCA64" w:rsidR="0071464B" w:rsidRDefault="0071464B" w:rsidP="00BD5C4A">
      <w:pPr>
        <w:spacing w:before="520" w:line="480" w:lineRule="auto"/>
        <w:rPr>
          <w:rFonts w:asciiTheme="majorBidi" w:hAnsiTheme="majorBidi" w:cstheme="majorBidi"/>
          <w:szCs w:val="24"/>
        </w:rPr>
      </w:pPr>
    </w:p>
    <w:p w14:paraId="44445431" w14:textId="77777777" w:rsidR="0071464B" w:rsidRDefault="0071464B">
      <w:pPr>
        <w:spacing w:after="200"/>
        <w:jc w:val="left"/>
        <w:rPr>
          <w:rFonts w:asciiTheme="majorBidi" w:hAnsiTheme="majorBidi" w:cstheme="majorBidi"/>
          <w:szCs w:val="24"/>
        </w:rPr>
      </w:pPr>
      <w:r>
        <w:rPr>
          <w:rFonts w:asciiTheme="majorBidi" w:hAnsiTheme="majorBidi" w:cstheme="majorBidi"/>
          <w:szCs w:val="24"/>
        </w:rPr>
        <w:br w:type="page"/>
      </w:r>
    </w:p>
    <w:sdt>
      <w:sdtPr>
        <w:rPr>
          <w:rFonts w:asciiTheme="majorBidi" w:eastAsiaTheme="minorEastAsia" w:hAnsiTheme="majorBidi" w:cstheme="minorBidi"/>
          <w:b w:val="0"/>
          <w:bCs w:val="0"/>
          <w:color w:val="auto"/>
          <w:sz w:val="24"/>
          <w:szCs w:val="22"/>
        </w:rPr>
        <w:id w:val="553044976"/>
        <w:docPartObj>
          <w:docPartGallery w:val="Table of Contents"/>
          <w:docPartUnique/>
        </w:docPartObj>
      </w:sdtPr>
      <w:sdtEndPr>
        <w:rPr>
          <w:noProof/>
        </w:rPr>
      </w:sdtEndPr>
      <w:sdtContent>
        <w:p w14:paraId="4A6C6F2E" w14:textId="210069C3" w:rsidR="0071464B" w:rsidRPr="0071464B" w:rsidRDefault="0071464B" w:rsidP="0071464B">
          <w:pPr>
            <w:pStyle w:val="TOCHeading"/>
            <w:spacing w:line="360" w:lineRule="auto"/>
            <w:jc w:val="center"/>
            <w:rPr>
              <w:rFonts w:asciiTheme="majorBidi" w:hAnsiTheme="majorBidi"/>
            </w:rPr>
          </w:pPr>
          <w:r w:rsidRPr="0071464B">
            <w:rPr>
              <w:rFonts w:asciiTheme="majorBidi" w:hAnsiTheme="majorBidi"/>
            </w:rPr>
            <w:t>Contents</w:t>
          </w:r>
        </w:p>
        <w:p w14:paraId="51221466" w14:textId="77AD07B4" w:rsidR="0071464B" w:rsidRPr="0071464B" w:rsidRDefault="0071464B" w:rsidP="0071464B">
          <w:pPr>
            <w:pStyle w:val="TOC1"/>
            <w:tabs>
              <w:tab w:val="right" w:leader="dot" w:pos="9174"/>
            </w:tabs>
            <w:spacing w:line="360" w:lineRule="auto"/>
            <w:jc w:val="center"/>
            <w:rPr>
              <w:rFonts w:asciiTheme="majorBidi" w:hAnsiTheme="majorBidi" w:cstheme="majorBidi"/>
              <w:noProof/>
            </w:rPr>
          </w:pPr>
          <w:r w:rsidRPr="0071464B">
            <w:rPr>
              <w:rFonts w:asciiTheme="majorBidi" w:hAnsiTheme="majorBidi" w:cstheme="majorBidi"/>
            </w:rPr>
            <w:fldChar w:fldCharType="begin"/>
          </w:r>
          <w:r w:rsidRPr="0071464B">
            <w:rPr>
              <w:rFonts w:asciiTheme="majorBidi" w:hAnsiTheme="majorBidi" w:cstheme="majorBidi"/>
            </w:rPr>
            <w:instrText xml:space="preserve"> TOC \o "1-3" \h \z \u </w:instrText>
          </w:r>
          <w:r w:rsidRPr="0071464B">
            <w:rPr>
              <w:rFonts w:asciiTheme="majorBidi" w:hAnsiTheme="majorBidi" w:cstheme="majorBidi"/>
            </w:rPr>
            <w:fldChar w:fldCharType="separate"/>
          </w:r>
          <w:hyperlink w:anchor="_Toc235796484" w:history="1">
            <w:r w:rsidRPr="0071464B">
              <w:rPr>
                <w:rStyle w:val="Hyperlink"/>
                <w:rFonts w:asciiTheme="majorBidi" w:hAnsiTheme="majorBidi" w:cstheme="majorBidi"/>
                <w:noProof/>
              </w:rPr>
              <w:t>Element 1: Introduction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_Toc235796484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3</w:t>
            </w:r>
            <w:r w:rsidRPr="0071464B">
              <w:rPr>
                <w:rFonts w:asciiTheme="majorBidi" w:hAnsiTheme="majorBidi" w:cstheme="majorBidi"/>
                <w:noProof/>
                <w:webHidden/>
              </w:rPr>
              <w:fldChar w:fldCharType="end"/>
            </w:r>
          </w:hyperlink>
        </w:p>
        <w:p w14:paraId="23756AF1" w14:textId="529F4FD4"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85" w:history="1">
            <w:r w:rsidRPr="0071464B">
              <w:rPr>
                <w:rStyle w:val="Hyperlink"/>
                <w:rFonts w:asciiTheme="majorBidi" w:hAnsiTheme="majorBidi" w:cstheme="majorBidi"/>
                <w:noProof/>
              </w:rPr>
              <w:t>1.1 Project description and relevance</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_Toc235796485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3</w:t>
            </w:r>
            <w:r w:rsidRPr="0071464B">
              <w:rPr>
                <w:rFonts w:asciiTheme="majorBidi" w:hAnsiTheme="majorBidi" w:cstheme="majorBidi"/>
                <w:noProof/>
                <w:webHidden/>
              </w:rPr>
              <w:fldChar w:fldCharType="end"/>
            </w:r>
          </w:hyperlink>
        </w:p>
        <w:p w14:paraId="6A9469E1" w14:textId="08AC1FCF"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86" w:history="1">
            <w:r w:rsidRPr="0071464B">
              <w:rPr>
                <w:rStyle w:val="Hyperlink"/>
                <w:rFonts w:asciiTheme="majorBidi" w:hAnsiTheme="majorBidi" w:cstheme="majorBidi"/>
                <w:noProof/>
              </w:rPr>
              <w:t>1.2 Key stakeholders and anticipated benefits</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_Toc235796486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4</w:t>
            </w:r>
            <w:r w:rsidRPr="0071464B">
              <w:rPr>
                <w:rFonts w:asciiTheme="majorBidi" w:hAnsiTheme="majorBidi" w:cstheme="majorBidi"/>
                <w:noProof/>
                <w:webHidden/>
              </w:rPr>
              <w:fldChar w:fldCharType="end"/>
            </w:r>
          </w:hyperlink>
        </w:p>
        <w:p w14:paraId="5AAEBDC5" w14:textId="7C5CB6A0" w:rsidR="0071464B" w:rsidRPr="0071464B" w:rsidRDefault="0071464B" w:rsidP="0071464B">
          <w:pPr>
            <w:pStyle w:val="TOC1"/>
            <w:tabs>
              <w:tab w:val="right" w:leader="dot" w:pos="9174"/>
            </w:tabs>
            <w:spacing w:line="360" w:lineRule="auto"/>
            <w:jc w:val="center"/>
            <w:rPr>
              <w:rFonts w:asciiTheme="majorBidi" w:hAnsiTheme="majorBidi" w:cstheme="majorBidi"/>
              <w:noProof/>
            </w:rPr>
          </w:pPr>
          <w:hyperlink w:anchor="_Toc235796487" w:history="1">
            <w:r w:rsidRPr="0071464B">
              <w:rPr>
                <w:rStyle w:val="Hyperlink"/>
                <w:rFonts w:asciiTheme="majorBidi" w:hAnsiTheme="majorBidi" w:cstheme="majorBidi"/>
                <w:noProof/>
              </w:rPr>
              <w:t>Element 2: Application of stakeholder engagement strategies</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_Toc235796487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4</w:t>
            </w:r>
            <w:r w:rsidRPr="0071464B">
              <w:rPr>
                <w:rFonts w:asciiTheme="majorBidi" w:hAnsiTheme="majorBidi" w:cstheme="majorBidi"/>
                <w:noProof/>
                <w:webHidden/>
              </w:rPr>
              <w:fldChar w:fldCharType="end"/>
            </w:r>
          </w:hyperlink>
        </w:p>
        <w:p w14:paraId="7CB31105" w14:textId="55A7C204"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88" w:history="1">
            <w:r w:rsidRPr="0071464B">
              <w:rPr>
                <w:rStyle w:val="Hyperlink"/>
                <w:rFonts w:asciiTheme="majorBidi" w:hAnsiTheme="majorBidi" w:cstheme="majorBidi"/>
                <w:noProof/>
              </w:rPr>
              <w:t>2.1 Analytical approach</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_Toc235796488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4</w:t>
            </w:r>
            <w:r w:rsidRPr="0071464B">
              <w:rPr>
                <w:rFonts w:asciiTheme="majorBidi" w:hAnsiTheme="majorBidi" w:cstheme="majorBidi"/>
                <w:noProof/>
                <w:webHidden/>
              </w:rPr>
              <w:fldChar w:fldCharType="end"/>
            </w:r>
          </w:hyperlink>
        </w:p>
        <w:p w14:paraId="7CA0E094" w14:textId="4B4B1663"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89" w:history="1">
            <w:r w:rsidRPr="0071464B">
              <w:rPr>
                <w:rStyle w:val="Hyperlink"/>
                <w:rFonts w:asciiTheme="majorBidi" w:hAnsiTheme="majorBidi" w:cstheme="majorBidi"/>
                <w:noProof/>
              </w:rPr>
              <w:t>2.2 Power, influence and interest assessment</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_Toc235796489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5</w:t>
            </w:r>
            <w:r w:rsidRPr="0071464B">
              <w:rPr>
                <w:rFonts w:asciiTheme="majorBidi" w:hAnsiTheme="majorBidi" w:cstheme="majorBidi"/>
                <w:noProof/>
                <w:webHidden/>
              </w:rPr>
              <w:fldChar w:fldCharType="end"/>
            </w:r>
          </w:hyperlink>
        </w:p>
        <w:p w14:paraId="42D48008" w14:textId="068373BA"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0" w:history="1">
            <w:r w:rsidRPr="0071464B">
              <w:rPr>
                <w:rStyle w:val="Hyperlink"/>
                <w:rFonts w:asciiTheme="majorBidi" w:hAnsiTheme="majorBidi" w:cstheme="majorBidi"/>
                <w:noProof/>
              </w:rPr>
              <w:t>2.3 Stakeholder map and justification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_Toc235796490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6</w:t>
            </w:r>
            <w:r w:rsidRPr="0071464B">
              <w:rPr>
                <w:rFonts w:asciiTheme="majorBidi" w:hAnsiTheme="majorBidi" w:cstheme="majorBidi"/>
                <w:noProof/>
                <w:webHidden/>
              </w:rPr>
              <w:fldChar w:fldCharType="end"/>
            </w:r>
          </w:hyperlink>
        </w:p>
        <w:p w14:paraId="6D408CE5" w14:textId="7774D09A"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1" w:history="1">
            <w:r w:rsidRPr="0071464B">
              <w:rPr>
                <w:rStyle w:val="Hyperlink"/>
                <w:rFonts w:asciiTheme="majorBidi" w:hAnsiTheme="majorBidi" w:cstheme="majorBidi"/>
                <w:noProof/>
              </w:rPr>
              <w:t>2.4 Communication plan and consultation strategy</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_Toc235796491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7</w:t>
            </w:r>
            <w:r w:rsidRPr="0071464B">
              <w:rPr>
                <w:rFonts w:asciiTheme="majorBidi" w:hAnsiTheme="majorBidi" w:cstheme="majorBidi"/>
                <w:noProof/>
                <w:webHidden/>
              </w:rPr>
              <w:fldChar w:fldCharType="end"/>
            </w:r>
          </w:hyperlink>
        </w:p>
        <w:p w14:paraId="606A0CCC" w14:textId="09C65F0E" w:rsidR="0071464B" w:rsidRPr="0071464B" w:rsidRDefault="0071464B" w:rsidP="0071464B">
          <w:pPr>
            <w:pStyle w:val="TOC1"/>
            <w:tabs>
              <w:tab w:val="right" w:leader="dot" w:pos="9174"/>
            </w:tabs>
            <w:spacing w:line="360" w:lineRule="auto"/>
            <w:jc w:val="center"/>
            <w:rPr>
              <w:rFonts w:asciiTheme="majorBidi" w:hAnsiTheme="majorBidi" w:cstheme="majorBidi"/>
              <w:noProof/>
            </w:rPr>
          </w:pPr>
          <w:hyperlink w:anchor="_Toc235796492" w:history="1">
            <w:r w:rsidRPr="0071464B">
              <w:rPr>
                <w:rStyle w:val="Hyperlink"/>
                <w:rFonts w:asciiTheme="majorBidi" w:hAnsiTheme="majorBidi" w:cstheme="majorBidi"/>
                <w:noProof/>
              </w:rPr>
              <w:t>Element 3: Ethical considerations in consultation, participation and feedback</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_Toc235796492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9</w:t>
            </w:r>
            <w:r w:rsidRPr="0071464B">
              <w:rPr>
                <w:rFonts w:asciiTheme="majorBidi" w:hAnsiTheme="majorBidi" w:cstheme="majorBidi"/>
                <w:noProof/>
                <w:webHidden/>
              </w:rPr>
              <w:fldChar w:fldCharType="end"/>
            </w:r>
          </w:hyperlink>
        </w:p>
        <w:p w14:paraId="5F79E59E" w14:textId="25FB5E79"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3" w:history="1">
            <w:r w:rsidRPr="0071464B">
              <w:rPr>
                <w:rStyle w:val="Hyperlink"/>
                <w:rFonts w:asciiTheme="majorBidi" w:hAnsiTheme="majorBidi" w:cstheme="majorBidi"/>
                <w:noProof/>
              </w:rPr>
              <w:t>3.1 Consultation methods and participation design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_Toc235796493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9</w:t>
            </w:r>
            <w:r w:rsidRPr="0071464B">
              <w:rPr>
                <w:rFonts w:asciiTheme="majorBidi" w:hAnsiTheme="majorBidi" w:cstheme="majorBidi"/>
                <w:noProof/>
                <w:webHidden/>
              </w:rPr>
              <w:fldChar w:fldCharType="end"/>
            </w:r>
          </w:hyperlink>
        </w:p>
        <w:p w14:paraId="626AD3BC" w14:textId="174082FC"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4" w:history="1">
            <w:r w:rsidRPr="0071464B">
              <w:rPr>
                <w:rStyle w:val="Hyperlink"/>
                <w:rFonts w:asciiTheme="majorBidi" w:hAnsiTheme="majorBidi" w:cstheme="majorBidi"/>
                <w:noProof/>
              </w:rPr>
              <w:t>3.2 Data ethics, privacy and informed participation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_Toc235796494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10</w:t>
            </w:r>
            <w:r w:rsidRPr="0071464B">
              <w:rPr>
                <w:rFonts w:asciiTheme="majorBidi" w:hAnsiTheme="majorBidi" w:cstheme="majorBidi"/>
                <w:noProof/>
                <w:webHidden/>
              </w:rPr>
              <w:fldChar w:fldCharType="end"/>
            </w:r>
          </w:hyperlink>
        </w:p>
        <w:p w14:paraId="3749BE5F" w14:textId="589BF123"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5" w:history="1">
            <w:r w:rsidRPr="0071464B">
              <w:rPr>
                <w:rStyle w:val="Hyperlink"/>
                <w:rFonts w:asciiTheme="majorBidi" w:hAnsiTheme="majorBidi" w:cstheme="majorBidi"/>
                <w:noProof/>
              </w:rPr>
              <w:t>3.3 Bias, diversity, equity and inclusion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_Toc235796495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10</w:t>
            </w:r>
            <w:r w:rsidRPr="0071464B">
              <w:rPr>
                <w:rFonts w:asciiTheme="majorBidi" w:hAnsiTheme="majorBidi" w:cstheme="majorBidi"/>
                <w:noProof/>
                <w:webHidden/>
              </w:rPr>
              <w:fldChar w:fldCharType="end"/>
            </w:r>
          </w:hyperlink>
        </w:p>
        <w:p w14:paraId="23190BA5" w14:textId="23BE9D75"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6" w:history="1">
            <w:r w:rsidRPr="0071464B">
              <w:rPr>
                <w:rStyle w:val="Hyperlink"/>
                <w:rFonts w:asciiTheme="majorBidi" w:hAnsiTheme="majorBidi" w:cstheme="majorBidi"/>
                <w:noProof/>
              </w:rPr>
              <w:t>3.4 Feedback collection, review and accountability</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_Toc235796496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11</w:t>
            </w:r>
            <w:r w:rsidRPr="0071464B">
              <w:rPr>
                <w:rFonts w:asciiTheme="majorBidi" w:hAnsiTheme="majorBidi" w:cstheme="majorBidi"/>
                <w:noProof/>
                <w:webHidden/>
              </w:rPr>
              <w:fldChar w:fldCharType="end"/>
            </w:r>
          </w:hyperlink>
        </w:p>
        <w:p w14:paraId="12E07736" w14:textId="618D4B51" w:rsidR="0071464B" w:rsidRPr="0071464B" w:rsidRDefault="0071464B" w:rsidP="0071464B">
          <w:pPr>
            <w:pStyle w:val="TOC1"/>
            <w:tabs>
              <w:tab w:val="right" w:leader="dot" w:pos="9174"/>
            </w:tabs>
            <w:spacing w:line="360" w:lineRule="auto"/>
            <w:jc w:val="center"/>
            <w:rPr>
              <w:rFonts w:asciiTheme="majorBidi" w:hAnsiTheme="majorBidi" w:cstheme="majorBidi"/>
              <w:noProof/>
            </w:rPr>
          </w:pPr>
          <w:hyperlink w:anchor="_Toc235796497" w:history="1">
            <w:r w:rsidRPr="0071464B">
              <w:rPr>
                <w:rStyle w:val="Hyperlink"/>
                <w:rFonts w:asciiTheme="majorBidi" w:hAnsiTheme="majorBidi" w:cstheme="majorBidi"/>
                <w:noProof/>
              </w:rPr>
              <w:t>Element 4: Conclusion and reflection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_Toc235796497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12</w:t>
            </w:r>
            <w:r w:rsidRPr="0071464B">
              <w:rPr>
                <w:rFonts w:asciiTheme="majorBidi" w:hAnsiTheme="majorBidi" w:cstheme="majorBidi"/>
                <w:noProof/>
                <w:webHidden/>
              </w:rPr>
              <w:fldChar w:fldCharType="end"/>
            </w:r>
          </w:hyperlink>
        </w:p>
        <w:p w14:paraId="484A03EB" w14:textId="088BB169"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8" w:history="1">
            <w:r w:rsidRPr="0071464B">
              <w:rPr>
                <w:rStyle w:val="Hyperlink"/>
                <w:rFonts w:asciiTheme="majorBidi" w:hAnsiTheme="majorBidi" w:cstheme="majorBidi"/>
                <w:noProof/>
              </w:rPr>
              <w:t>4.1 Conclusion</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_Toc235796498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12</w:t>
            </w:r>
            <w:r w:rsidRPr="0071464B">
              <w:rPr>
                <w:rFonts w:asciiTheme="majorBidi" w:hAnsiTheme="majorBidi" w:cstheme="majorBidi"/>
                <w:noProof/>
                <w:webHidden/>
              </w:rPr>
              <w:fldChar w:fldCharType="end"/>
            </w:r>
          </w:hyperlink>
        </w:p>
        <w:p w14:paraId="5A853C24" w14:textId="12E0B65A" w:rsidR="0071464B" w:rsidRPr="0071464B" w:rsidRDefault="0071464B" w:rsidP="0071464B">
          <w:pPr>
            <w:pStyle w:val="TOC2"/>
            <w:tabs>
              <w:tab w:val="right" w:leader="dot" w:pos="9174"/>
            </w:tabs>
            <w:spacing w:line="360" w:lineRule="auto"/>
            <w:jc w:val="center"/>
            <w:rPr>
              <w:rFonts w:asciiTheme="majorBidi" w:hAnsiTheme="majorBidi" w:cstheme="majorBidi"/>
              <w:noProof/>
            </w:rPr>
          </w:pPr>
          <w:hyperlink w:anchor="_Toc235796499" w:history="1">
            <w:r w:rsidRPr="0071464B">
              <w:rPr>
                <w:rStyle w:val="Hyperlink"/>
                <w:rFonts w:asciiTheme="majorBidi" w:hAnsiTheme="majorBidi" w:cstheme="majorBidi"/>
                <w:noProof/>
              </w:rPr>
              <w:t>4.2 Reflective account</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_Toc235796499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12</w:t>
            </w:r>
            <w:r w:rsidRPr="0071464B">
              <w:rPr>
                <w:rFonts w:asciiTheme="majorBidi" w:hAnsiTheme="majorBidi" w:cstheme="majorBidi"/>
                <w:noProof/>
                <w:webHidden/>
              </w:rPr>
              <w:fldChar w:fldCharType="end"/>
            </w:r>
          </w:hyperlink>
        </w:p>
        <w:p w14:paraId="44610EE3" w14:textId="59EB3B00" w:rsidR="0071464B" w:rsidRPr="0071464B" w:rsidRDefault="0071464B" w:rsidP="0071464B">
          <w:pPr>
            <w:pStyle w:val="TOC1"/>
            <w:tabs>
              <w:tab w:val="right" w:leader="dot" w:pos="9174"/>
            </w:tabs>
            <w:spacing w:line="360" w:lineRule="auto"/>
            <w:jc w:val="center"/>
            <w:rPr>
              <w:rFonts w:asciiTheme="majorBidi" w:hAnsiTheme="majorBidi" w:cstheme="majorBidi"/>
              <w:noProof/>
            </w:rPr>
          </w:pPr>
          <w:hyperlink w:anchor="_Toc235796500" w:history="1">
            <w:r w:rsidRPr="0071464B">
              <w:rPr>
                <w:rStyle w:val="Hyperlink"/>
                <w:rFonts w:asciiTheme="majorBidi" w:hAnsiTheme="majorBidi" w:cstheme="majorBidi"/>
                <w:noProof/>
              </w:rPr>
              <w:t>References</w:t>
            </w:r>
            <w:r w:rsidRPr="0071464B">
              <w:rPr>
                <w:rFonts w:asciiTheme="majorBidi" w:hAnsiTheme="majorBidi" w:cstheme="majorBidi"/>
                <w:noProof/>
                <w:webHidden/>
              </w:rPr>
              <w:tab/>
            </w:r>
            <w:r w:rsidRPr="0071464B">
              <w:rPr>
                <w:rFonts w:asciiTheme="majorBidi" w:hAnsiTheme="majorBidi" w:cstheme="majorBidi"/>
                <w:noProof/>
                <w:webHidden/>
              </w:rPr>
              <w:fldChar w:fldCharType="begin"/>
            </w:r>
            <w:r w:rsidRPr="0071464B">
              <w:rPr>
                <w:rFonts w:asciiTheme="majorBidi" w:hAnsiTheme="majorBidi" w:cstheme="majorBidi"/>
                <w:noProof/>
                <w:webHidden/>
              </w:rPr>
              <w:instrText xml:space="preserve"> PAGEREF _Toc235796500 \h </w:instrText>
            </w:r>
            <w:r w:rsidRPr="0071464B">
              <w:rPr>
                <w:rFonts w:asciiTheme="majorBidi" w:hAnsiTheme="majorBidi" w:cstheme="majorBidi"/>
                <w:noProof/>
                <w:webHidden/>
              </w:rPr>
            </w:r>
            <w:r w:rsidRPr="0071464B">
              <w:rPr>
                <w:rFonts w:asciiTheme="majorBidi" w:hAnsiTheme="majorBidi" w:cstheme="majorBidi"/>
                <w:noProof/>
                <w:webHidden/>
              </w:rPr>
              <w:fldChar w:fldCharType="separate"/>
            </w:r>
            <w:r w:rsidRPr="0071464B">
              <w:rPr>
                <w:rFonts w:asciiTheme="majorBidi" w:hAnsiTheme="majorBidi" w:cstheme="majorBidi"/>
                <w:noProof/>
                <w:webHidden/>
              </w:rPr>
              <w:t>14</w:t>
            </w:r>
            <w:r w:rsidRPr="0071464B">
              <w:rPr>
                <w:rFonts w:asciiTheme="majorBidi" w:hAnsiTheme="majorBidi" w:cstheme="majorBidi"/>
                <w:noProof/>
                <w:webHidden/>
              </w:rPr>
              <w:fldChar w:fldCharType="end"/>
            </w:r>
          </w:hyperlink>
        </w:p>
        <w:p w14:paraId="3CF2070F" w14:textId="30434D7C" w:rsidR="0071464B" w:rsidRPr="0071464B" w:rsidRDefault="0071464B" w:rsidP="0071464B">
          <w:pPr>
            <w:spacing w:line="360" w:lineRule="auto"/>
            <w:jc w:val="center"/>
            <w:rPr>
              <w:rFonts w:asciiTheme="majorBidi" w:hAnsiTheme="majorBidi" w:cstheme="majorBidi"/>
            </w:rPr>
          </w:pPr>
          <w:r w:rsidRPr="0071464B">
            <w:rPr>
              <w:rFonts w:asciiTheme="majorBidi" w:hAnsiTheme="majorBidi" w:cstheme="majorBidi"/>
              <w:b/>
              <w:bCs/>
              <w:noProof/>
            </w:rPr>
            <w:fldChar w:fldCharType="end"/>
          </w:r>
        </w:p>
      </w:sdtContent>
    </w:sdt>
    <w:p w14:paraId="754E91E4" w14:textId="77777777" w:rsidR="00394804" w:rsidRPr="0071464B" w:rsidRDefault="00394804" w:rsidP="00BD5C4A">
      <w:pPr>
        <w:spacing w:before="520" w:line="480" w:lineRule="auto"/>
        <w:rPr>
          <w:rFonts w:asciiTheme="majorBidi" w:hAnsiTheme="majorBidi" w:cstheme="majorBidi"/>
          <w:szCs w:val="24"/>
        </w:rPr>
      </w:pPr>
    </w:p>
    <w:p w14:paraId="0F43C368" w14:textId="77777777" w:rsidR="00394804" w:rsidRPr="0071464B" w:rsidRDefault="00AB3159" w:rsidP="00BD5C4A">
      <w:pPr>
        <w:spacing w:line="480" w:lineRule="auto"/>
        <w:rPr>
          <w:rFonts w:asciiTheme="majorBidi" w:hAnsiTheme="majorBidi" w:cstheme="majorBidi"/>
          <w:szCs w:val="24"/>
        </w:rPr>
      </w:pPr>
      <w:r w:rsidRPr="0071464B">
        <w:rPr>
          <w:rFonts w:asciiTheme="majorBidi" w:hAnsiTheme="majorBidi" w:cstheme="majorBidi"/>
          <w:szCs w:val="24"/>
        </w:rPr>
        <w:br w:type="page"/>
      </w:r>
    </w:p>
    <w:p w14:paraId="35AC1F95" w14:textId="77777777" w:rsidR="00394804" w:rsidRPr="0071464B" w:rsidRDefault="00AB3159" w:rsidP="00BD5C4A">
      <w:pPr>
        <w:pStyle w:val="Heading1"/>
        <w:spacing w:line="480" w:lineRule="auto"/>
        <w:rPr>
          <w:rFonts w:asciiTheme="majorBidi" w:hAnsiTheme="majorBidi"/>
          <w:sz w:val="24"/>
          <w:szCs w:val="24"/>
        </w:rPr>
      </w:pPr>
      <w:bookmarkStart w:id="0" w:name="_Toc235796484"/>
      <w:r w:rsidRPr="0071464B">
        <w:rPr>
          <w:rFonts w:asciiTheme="majorBidi" w:hAnsiTheme="majorBidi"/>
          <w:sz w:val="24"/>
          <w:szCs w:val="24"/>
        </w:rPr>
        <w:lastRenderedPageBreak/>
        <w:t>Element 1: Introduction</w:t>
      </w:r>
      <w:bookmarkEnd w:id="0"/>
    </w:p>
    <w:p w14:paraId="274476D0" w14:textId="77777777" w:rsidR="00394804" w:rsidRPr="0071464B" w:rsidRDefault="00AB3159" w:rsidP="00BD5C4A">
      <w:pPr>
        <w:pStyle w:val="Heading2"/>
      </w:pPr>
      <w:bookmarkStart w:id="1" w:name="_Toc235796485"/>
      <w:r w:rsidRPr="0071464B">
        <w:t>1.1 Project description and relevance</w:t>
      </w:r>
      <w:bookmarkEnd w:id="1"/>
    </w:p>
    <w:p w14:paraId="422DD604"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This portfolio is the stakeholder management plan for the proposed Pendleton </w:t>
      </w:r>
      <w:proofErr w:type="spellStart"/>
      <w:r w:rsidRPr="0071464B">
        <w:rPr>
          <w:rFonts w:asciiTheme="majorBidi" w:hAnsiTheme="majorBidi" w:cstheme="majorBidi"/>
          <w:szCs w:val="24"/>
        </w:rPr>
        <w:t>GreenLink</w:t>
      </w:r>
      <w:proofErr w:type="spellEnd"/>
      <w:r w:rsidRPr="0071464B">
        <w:rPr>
          <w:rFonts w:asciiTheme="majorBidi" w:hAnsiTheme="majorBidi" w:cstheme="majorBidi"/>
          <w:szCs w:val="24"/>
        </w:rPr>
        <w:t xml:space="preserve"> Mobility Hub and Active Travel Corridor. The project is realistic but hypothetical, representing a local infrastructure project between Salford Crescent station, the University of Salford, Pendleton district centre and other residential streets. The planning assumption is for an £18.5m, 30-month programme that will create a 2.4km protected walking, wheeling and cycling route, eight accessible bus stops, safer crossings, better lighting and drainage, and a small mobility hub with real-time information, secure cycle parking, e-bike charging, seating and an accessible toilet.</w:t>
      </w:r>
    </w:p>
    <w:p w14:paraId="73783A81"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scheme is relevant because of the emphasis on sustainable infrastructure, inclusive design and the management of local impacts that have been placed in the adopted development plan of Salford City Council (2023). It also supports a current Greater Manchester policy for an integrated, accessible network in which walking, wheeling, cycling and public transport are planned together and are all part of the network (Transport for Greater Manchester, 2026). The project, however, will also involve reallocating road space, altering loading arrangements and causing temporary noise, access and traffic disruption. The management of stakeholders is thus an integral component of project governance and project design assurance, not publicity.</w:t>
      </w:r>
    </w:p>
    <w:p w14:paraId="506DA042" w14:textId="66696C02"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According to Freeman's stakeholder theory, stakeholders are “groups or individuals who can influence or are influenced by organisational goals” (Freeman, 1984). Applied here, success is not limited to delivery on time, on budget and on scope, it is the process of doing it fairly, with accessible outcomes, with credible mitigation and benefits post-construction.</w:t>
      </w:r>
    </w:p>
    <w:p w14:paraId="6BC0C34E" w14:textId="77777777" w:rsidR="00BD5C4A" w:rsidRPr="0071464B" w:rsidRDefault="00BD5C4A" w:rsidP="00BD5C4A">
      <w:pPr>
        <w:spacing w:line="480" w:lineRule="auto"/>
        <w:rPr>
          <w:rFonts w:asciiTheme="majorBidi" w:hAnsiTheme="majorBidi" w:cstheme="majorBidi"/>
          <w:szCs w:val="24"/>
        </w:rPr>
      </w:pPr>
    </w:p>
    <w:p w14:paraId="4A6CCD0B" w14:textId="294F3F87" w:rsidR="00394804" w:rsidRPr="0071464B" w:rsidRDefault="00AB3159" w:rsidP="00BD5C4A">
      <w:pPr>
        <w:pStyle w:val="Heading2"/>
      </w:pPr>
      <w:bookmarkStart w:id="2" w:name="_Toc235796486"/>
      <w:r w:rsidRPr="0071464B">
        <w:lastRenderedPageBreak/>
        <w:t>1.2 Key stakeholders and anticipated benefits</w:t>
      </w:r>
      <w:bookmarkEnd w:id="2"/>
    </w:p>
    <w:p w14:paraId="7CA6595B" w14:textId="20DD0945" w:rsidR="00BD5C4A" w:rsidRPr="0071464B" w:rsidRDefault="00BD5C4A" w:rsidP="00BD5C4A">
      <w:pPr>
        <w:pStyle w:val="Caption"/>
        <w:keepNext/>
      </w:pPr>
      <w:r w:rsidRPr="0071464B">
        <w:t xml:space="preserve">Table </w:t>
      </w:r>
      <w:r w:rsidRPr="0071464B">
        <w:fldChar w:fldCharType="begin"/>
      </w:r>
      <w:r w:rsidRPr="0071464B">
        <w:instrText xml:space="preserve"> SEQ Table \* ARABIC </w:instrText>
      </w:r>
      <w:r w:rsidRPr="0071464B">
        <w:fldChar w:fldCharType="separate"/>
      </w:r>
      <w:r w:rsidRPr="0071464B">
        <w:t>1</w:t>
      </w:r>
      <w:r w:rsidRPr="0071464B">
        <w:fldChar w:fldCharType="end"/>
      </w:r>
      <w:r w:rsidRPr="0071464B">
        <w:t>: Key stakeholders and anticipated benefits</w:t>
      </w:r>
    </w:p>
    <w:tbl>
      <w:tblPr>
        <w:tblStyle w:val="TableGrid"/>
        <w:tblW w:w="0" w:type="auto"/>
        <w:tblLayout w:type="fixed"/>
        <w:tblLook w:val="04A0" w:firstRow="1" w:lastRow="0" w:firstColumn="1" w:lastColumn="0" w:noHBand="0" w:noVBand="1"/>
      </w:tblPr>
      <w:tblGrid>
        <w:gridCol w:w="2802"/>
        <w:gridCol w:w="6198"/>
      </w:tblGrid>
      <w:tr w:rsidR="00394804" w:rsidRPr="0071464B" w14:paraId="272EC35D" w14:textId="77777777" w:rsidTr="00BD5C4A">
        <w:tc>
          <w:tcPr>
            <w:tcW w:w="2802" w:type="dxa"/>
          </w:tcPr>
          <w:p w14:paraId="4B02F04B"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Key stakeholder</w:t>
            </w:r>
          </w:p>
        </w:tc>
        <w:tc>
          <w:tcPr>
            <w:tcW w:w="6198" w:type="dxa"/>
          </w:tcPr>
          <w:p w14:paraId="4AC94A28"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Anticipated benefit</w:t>
            </w:r>
          </w:p>
        </w:tc>
      </w:tr>
      <w:tr w:rsidR="00394804" w:rsidRPr="0071464B" w14:paraId="37C3AFCA" w14:textId="77777777" w:rsidTr="00BD5C4A">
        <w:tc>
          <w:tcPr>
            <w:tcW w:w="2802" w:type="dxa"/>
          </w:tcPr>
          <w:p w14:paraId="480990A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Salford City Council</w:t>
            </w:r>
          </w:p>
        </w:tc>
        <w:tc>
          <w:tcPr>
            <w:tcW w:w="6198" w:type="dxa"/>
          </w:tcPr>
          <w:p w14:paraId="31FFA758"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Policy delivery, safer streets, social value and accountable use of public funds.</w:t>
            </w:r>
          </w:p>
        </w:tc>
      </w:tr>
      <w:tr w:rsidR="00394804" w:rsidRPr="0071464B" w14:paraId="2FE57E0F" w14:textId="77777777" w:rsidTr="00BD5C4A">
        <w:tc>
          <w:tcPr>
            <w:tcW w:w="2802" w:type="dxa"/>
          </w:tcPr>
          <w:p w14:paraId="693BA389"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Transport for Greater Manchester</w:t>
            </w:r>
          </w:p>
        </w:tc>
        <w:tc>
          <w:tcPr>
            <w:tcW w:w="6198" w:type="dxa"/>
          </w:tcPr>
          <w:p w14:paraId="2FFD9FB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Bee Network integration, reliable interchange and increased sustainable travel.</w:t>
            </w:r>
          </w:p>
        </w:tc>
      </w:tr>
      <w:tr w:rsidR="00394804" w:rsidRPr="0071464B" w14:paraId="4DF4961C" w14:textId="77777777" w:rsidTr="00BD5C4A">
        <w:tc>
          <w:tcPr>
            <w:tcW w:w="2802" w:type="dxa"/>
          </w:tcPr>
          <w:p w14:paraId="1221D6F9" w14:textId="1C5C934B" w:rsidR="00394804" w:rsidRPr="0071464B" w:rsidRDefault="00BD5C4A" w:rsidP="00BD5C4A">
            <w:pPr>
              <w:spacing w:after="0" w:line="360" w:lineRule="auto"/>
              <w:rPr>
                <w:rFonts w:asciiTheme="majorBidi" w:hAnsiTheme="majorBidi" w:cstheme="majorBidi"/>
                <w:szCs w:val="24"/>
              </w:rPr>
            </w:pPr>
            <w:r w:rsidRPr="0071464B">
              <w:rPr>
                <w:rFonts w:asciiTheme="majorBidi" w:hAnsiTheme="majorBidi" w:cstheme="majorBidi"/>
                <w:szCs w:val="24"/>
              </w:rPr>
              <w:t>Residents and tenants</w:t>
            </w:r>
          </w:p>
        </w:tc>
        <w:tc>
          <w:tcPr>
            <w:tcW w:w="6198" w:type="dxa"/>
          </w:tcPr>
          <w:p w14:paraId="3740D9E9"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Safer crossings, better local access and improved public realm.</w:t>
            </w:r>
          </w:p>
        </w:tc>
      </w:tr>
      <w:tr w:rsidR="00394804" w:rsidRPr="0071464B" w14:paraId="30A701E6" w14:textId="77777777" w:rsidTr="00BD5C4A">
        <w:tc>
          <w:tcPr>
            <w:tcW w:w="2802" w:type="dxa"/>
          </w:tcPr>
          <w:p w14:paraId="3B2FA18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Disabled people and older residents</w:t>
            </w:r>
          </w:p>
        </w:tc>
        <w:tc>
          <w:tcPr>
            <w:tcW w:w="6198" w:type="dxa"/>
          </w:tcPr>
          <w:p w14:paraId="2D54FE28"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Step-free routes, suitable crossing times, seating and accessible information.</w:t>
            </w:r>
          </w:p>
        </w:tc>
      </w:tr>
      <w:tr w:rsidR="00394804" w:rsidRPr="0071464B" w14:paraId="7030FE67" w14:textId="77777777" w:rsidTr="00BD5C4A">
        <w:tc>
          <w:tcPr>
            <w:tcW w:w="2802" w:type="dxa"/>
          </w:tcPr>
          <w:p w14:paraId="1200A555"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University of Salford community</w:t>
            </w:r>
          </w:p>
        </w:tc>
        <w:tc>
          <w:tcPr>
            <w:tcW w:w="6198" w:type="dxa"/>
          </w:tcPr>
          <w:p w14:paraId="3DD35A03"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Safer campus access, healthier travel choices and lower parking pressure.</w:t>
            </w:r>
          </w:p>
        </w:tc>
      </w:tr>
      <w:tr w:rsidR="00394804" w:rsidRPr="0071464B" w14:paraId="7D62D4B2" w14:textId="77777777" w:rsidTr="00BD5C4A">
        <w:tc>
          <w:tcPr>
            <w:tcW w:w="2802" w:type="dxa"/>
          </w:tcPr>
          <w:p w14:paraId="229CA30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Local businesses and market traders</w:t>
            </w:r>
          </w:p>
        </w:tc>
        <w:tc>
          <w:tcPr>
            <w:tcW w:w="6198" w:type="dxa"/>
          </w:tcPr>
          <w:p w14:paraId="6E278694"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Improved footfall and place quality, subject to workable servicing and access.</w:t>
            </w:r>
          </w:p>
        </w:tc>
      </w:tr>
      <w:tr w:rsidR="00394804" w:rsidRPr="0071464B" w14:paraId="0F02976E" w14:textId="77777777" w:rsidTr="00BD5C4A">
        <w:tc>
          <w:tcPr>
            <w:tcW w:w="2802" w:type="dxa"/>
          </w:tcPr>
          <w:p w14:paraId="5386B776"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Bus operators, drivers and passengers</w:t>
            </w:r>
          </w:p>
        </w:tc>
        <w:tc>
          <w:tcPr>
            <w:tcW w:w="6198" w:type="dxa"/>
          </w:tcPr>
          <w:p w14:paraId="7238FB03"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Accessible stops, clearer information and operationally practical interchange.</w:t>
            </w:r>
          </w:p>
        </w:tc>
      </w:tr>
      <w:tr w:rsidR="00394804" w:rsidRPr="0071464B" w14:paraId="76296598" w14:textId="77777777" w:rsidTr="00BD5C4A">
        <w:tc>
          <w:tcPr>
            <w:tcW w:w="2802" w:type="dxa"/>
          </w:tcPr>
          <w:p w14:paraId="71781BD1"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Utilities and emergency services</w:t>
            </w:r>
          </w:p>
        </w:tc>
        <w:tc>
          <w:tcPr>
            <w:tcW w:w="6198" w:type="dxa"/>
          </w:tcPr>
          <w:p w14:paraId="27D01E5C"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Early coordination, protected assets and maintained emergency access.</w:t>
            </w:r>
          </w:p>
        </w:tc>
      </w:tr>
    </w:tbl>
    <w:p w14:paraId="4BB3DA3D" w14:textId="77777777" w:rsidR="00BD5C4A" w:rsidRPr="0071464B" w:rsidRDefault="00BD5C4A" w:rsidP="00BD5C4A"/>
    <w:p w14:paraId="2D2B5E93" w14:textId="268B5E78" w:rsidR="00394804" w:rsidRPr="0071464B" w:rsidRDefault="00AB3159" w:rsidP="00BD5C4A">
      <w:pPr>
        <w:pStyle w:val="Heading1"/>
        <w:spacing w:line="480" w:lineRule="auto"/>
        <w:rPr>
          <w:rFonts w:asciiTheme="majorBidi" w:hAnsiTheme="majorBidi"/>
          <w:sz w:val="24"/>
          <w:szCs w:val="24"/>
        </w:rPr>
      </w:pPr>
      <w:bookmarkStart w:id="3" w:name="_Toc235796487"/>
      <w:r w:rsidRPr="0071464B">
        <w:rPr>
          <w:rFonts w:asciiTheme="majorBidi" w:hAnsiTheme="majorBidi"/>
          <w:sz w:val="24"/>
          <w:szCs w:val="24"/>
        </w:rPr>
        <w:t>Element 2: Application of stakeholder engagement strategies</w:t>
      </w:r>
      <w:bookmarkEnd w:id="3"/>
    </w:p>
    <w:p w14:paraId="73D7E5AC" w14:textId="77777777" w:rsidR="00394804" w:rsidRPr="0071464B" w:rsidRDefault="00AB3159" w:rsidP="00BD5C4A">
      <w:pPr>
        <w:pStyle w:val="Heading2"/>
      </w:pPr>
      <w:bookmarkStart w:id="4" w:name="_Toc235796488"/>
      <w:r w:rsidRPr="0071464B">
        <w:t>2.1 Analytical approach</w:t>
      </w:r>
      <w:bookmarkEnd w:id="4"/>
    </w:p>
    <w:p w14:paraId="594BF82A"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Stakeholder identification will start with a live register that documents decision rights, resources, likely impacts, dependencies, stakeholder legitimacy as well as their current attitude and preferred communication. Bryson (2004) suggests that the use of stakeholder analysis in public projects should be related to public value and should be reviewed when issues and coalitions evolve. The register will therefore be reviewed monthly and at option selection, design, procurement, mobilisation, major traffic switches and commissioning.</w:t>
      </w:r>
    </w:p>
    <w:p w14:paraId="69D3B3AF" w14:textId="527C4018"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One matrix is adequate for prioritisation but also can mask ethically relevant considerations. The first power-interest assessment will therefore be supplemented by the power, legitimacy and </w:t>
      </w:r>
      <w:r w:rsidRPr="0071464B">
        <w:rPr>
          <w:rFonts w:asciiTheme="majorBidi" w:hAnsiTheme="majorBidi" w:cstheme="majorBidi"/>
          <w:szCs w:val="24"/>
        </w:rPr>
        <w:lastRenderedPageBreak/>
        <w:t>urgency (PLU) salience attributes (Mitchell, Agle and Wood, 1997). In addition to formal authority, impact will be assessed separately since stakeholders in the construction industry can be strongly affected without having formal authority over the decision (Olander, 2007). This prevents low-power groups from being treated as low priority if safety, accessibility or livelihood impacts are significant.</w:t>
      </w:r>
    </w:p>
    <w:p w14:paraId="387018C9" w14:textId="234B2D88" w:rsidR="00394804" w:rsidRPr="0071464B" w:rsidRDefault="00AB3159" w:rsidP="00BD5C4A">
      <w:pPr>
        <w:pStyle w:val="Heading2"/>
      </w:pPr>
      <w:bookmarkStart w:id="5" w:name="_Toc235796489"/>
      <w:r w:rsidRPr="0071464B">
        <w:t>2.2 Power, influence and interest assessment</w:t>
      </w:r>
      <w:bookmarkEnd w:id="5"/>
    </w:p>
    <w:p w14:paraId="6E7382B4" w14:textId="206173F4" w:rsidR="00BD5C4A" w:rsidRPr="0071464B" w:rsidRDefault="00BD5C4A" w:rsidP="00BD5C4A">
      <w:pPr>
        <w:pStyle w:val="Caption"/>
        <w:keepNext/>
      </w:pPr>
      <w:r w:rsidRPr="0071464B">
        <w:t xml:space="preserve">Table </w:t>
      </w:r>
      <w:r w:rsidRPr="0071464B">
        <w:fldChar w:fldCharType="begin"/>
      </w:r>
      <w:r w:rsidRPr="0071464B">
        <w:instrText xml:space="preserve"> SEQ Table \* ARABIC </w:instrText>
      </w:r>
      <w:r w:rsidRPr="0071464B">
        <w:fldChar w:fldCharType="separate"/>
      </w:r>
      <w:r w:rsidRPr="0071464B">
        <w:t>2</w:t>
      </w:r>
      <w:r w:rsidRPr="0071464B">
        <w:fldChar w:fldCharType="end"/>
      </w:r>
      <w:r w:rsidRPr="0071464B">
        <w:t>: Initial stakeholder assessment</w:t>
      </w:r>
    </w:p>
    <w:tbl>
      <w:tblPr>
        <w:tblStyle w:val="TableGrid"/>
        <w:tblW w:w="0" w:type="auto"/>
        <w:tblLayout w:type="fixed"/>
        <w:tblLook w:val="04A0" w:firstRow="1" w:lastRow="0" w:firstColumn="1" w:lastColumn="0" w:noHBand="0" w:noVBand="1"/>
      </w:tblPr>
      <w:tblGrid>
        <w:gridCol w:w="4320"/>
        <w:gridCol w:w="1512"/>
        <w:gridCol w:w="1584"/>
        <w:gridCol w:w="1584"/>
      </w:tblGrid>
      <w:tr w:rsidR="00394804" w:rsidRPr="0071464B" w14:paraId="6B2B0A2E" w14:textId="77777777" w:rsidTr="00BD5C4A">
        <w:tc>
          <w:tcPr>
            <w:tcW w:w="4320" w:type="dxa"/>
          </w:tcPr>
          <w:p w14:paraId="3F73BBCC" w14:textId="77777777" w:rsidR="00394804" w:rsidRPr="0071464B" w:rsidRDefault="00AB3159" w:rsidP="00BD5C4A">
            <w:pPr>
              <w:spacing w:after="0" w:line="480" w:lineRule="auto"/>
              <w:jc w:val="center"/>
              <w:rPr>
                <w:rFonts w:asciiTheme="majorBidi" w:hAnsiTheme="majorBidi" w:cstheme="majorBidi"/>
                <w:i/>
                <w:iCs/>
                <w:szCs w:val="24"/>
              </w:rPr>
            </w:pPr>
            <w:r w:rsidRPr="0071464B">
              <w:rPr>
                <w:rFonts w:asciiTheme="majorBidi" w:hAnsiTheme="majorBidi" w:cstheme="majorBidi"/>
                <w:b/>
                <w:i/>
                <w:iCs/>
                <w:szCs w:val="24"/>
              </w:rPr>
              <w:t>Stakeholder</w:t>
            </w:r>
          </w:p>
        </w:tc>
        <w:tc>
          <w:tcPr>
            <w:tcW w:w="1512" w:type="dxa"/>
          </w:tcPr>
          <w:p w14:paraId="55F866B6" w14:textId="77777777" w:rsidR="00394804" w:rsidRPr="0071464B" w:rsidRDefault="00AB3159" w:rsidP="00BD5C4A">
            <w:pPr>
              <w:spacing w:after="0" w:line="480" w:lineRule="auto"/>
              <w:jc w:val="center"/>
              <w:rPr>
                <w:rFonts w:asciiTheme="majorBidi" w:hAnsiTheme="majorBidi" w:cstheme="majorBidi"/>
                <w:i/>
                <w:iCs/>
                <w:szCs w:val="24"/>
              </w:rPr>
            </w:pPr>
            <w:r w:rsidRPr="0071464B">
              <w:rPr>
                <w:rFonts w:asciiTheme="majorBidi" w:hAnsiTheme="majorBidi" w:cstheme="majorBidi"/>
                <w:b/>
                <w:i/>
                <w:iCs/>
                <w:szCs w:val="24"/>
              </w:rPr>
              <w:t>Power</w:t>
            </w:r>
          </w:p>
        </w:tc>
        <w:tc>
          <w:tcPr>
            <w:tcW w:w="1584" w:type="dxa"/>
          </w:tcPr>
          <w:p w14:paraId="358939A5" w14:textId="77777777" w:rsidR="00394804" w:rsidRPr="0071464B" w:rsidRDefault="00AB3159" w:rsidP="00BD5C4A">
            <w:pPr>
              <w:spacing w:after="0" w:line="480" w:lineRule="auto"/>
              <w:jc w:val="center"/>
              <w:rPr>
                <w:rFonts w:asciiTheme="majorBidi" w:hAnsiTheme="majorBidi" w:cstheme="majorBidi"/>
                <w:i/>
                <w:iCs/>
                <w:szCs w:val="24"/>
              </w:rPr>
            </w:pPr>
            <w:r w:rsidRPr="0071464B">
              <w:rPr>
                <w:rFonts w:asciiTheme="majorBidi" w:hAnsiTheme="majorBidi" w:cstheme="majorBidi"/>
                <w:b/>
                <w:i/>
                <w:iCs/>
                <w:szCs w:val="24"/>
              </w:rPr>
              <w:t>Influence</w:t>
            </w:r>
          </w:p>
        </w:tc>
        <w:tc>
          <w:tcPr>
            <w:tcW w:w="1584" w:type="dxa"/>
          </w:tcPr>
          <w:p w14:paraId="6C754D80" w14:textId="77777777" w:rsidR="00394804" w:rsidRPr="0071464B" w:rsidRDefault="00AB3159" w:rsidP="00BD5C4A">
            <w:pPr>
              <w:spacing w:after="0" w:line="480" w:lineRule="auto"/>
              <w:jc w:val="center"/>
              <w:rPr>
                <w:rFonts w:asciiTheme="majorBidi" w:hAnsiTheme="majorBidi" w:cstheme="majorBidi"/>
                <w:i/>
                <w:iCs/>
                <w:szCs w:val="24"/>
              </w:rPr>
            </w:pPr>
            <w:r w:rsidRPr="0071464B">
              <w:rPr>
                <w:rFonts w:asciiTheme="majorBidi" w:hAnsiTheme="majorBidi" w:cstheme="majorBidi"/>
                <w:b/>
                <w:i/>
                <w:iCs/>
                <w:szCs w:val="24"/>
              </w:rPr>
              <w:t>Interest</w:t>
            </w:r>
          </w:p>
        </w:tc>
      </w:tr>
      <w:tr w:rsidR="00394804" w:rsidRPr="0071464B" w14:paraId="00A07EF9" w14:textId="77777777" w:rsidTr="00BD5C4A">
        <w:tc>
          <w:tcPr>
            <w:tcW w:w="4320" w:type="dxa"/>
          </w:tcPr>
          <w:p w14:paraId="6D326917"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Salford City Council / sponsor</w:t>
            </w:r>
          </w:p>
        </w:tc>
        <w:tc>
          <w:tcPr>
            <w:tcW w:w="1512" w:type="dxa"/>
          </w:tcPr>
          <w:p w14:paraId="41F6843A"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293B7C10"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6A13473A"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585EE0B9" w14:textId="77777777" w:rsidTr="00BD5C4A">
        <w:tc>
          <w:tcPr>
            <w:tcW w:w="4320" w:type="dxa"/>
          </w:tcPr>
          <w:p w14:paraId="2833D67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TfGM / network authority</w:t>
            </w:r>
          </w:p>
        </w:tc>
        <w:tc>
          <w:tcPr>
            <w:tcW w:w="1512" w:type="dxa"/>
          </w:tcPr>
          <w:p w14:paraId="67B6B1E6"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66D3ABC4"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6171733D"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4F910963" w14:textId="77777777" w:rsidTr="00BD5C4A">
        <w:tc>
          <w:tcPr>
            <w:tcW w:w="4320" w:type="dxa"/>
          </w:tcPr>
          <w:p w14:paraId="4ADFF2D2"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GMCA funding gateway</w:t>
            </w:r>
          </w:p>
        </w:tc>
        <w:tc>
          <w:tcPr>
            <w:tcW w:w="1512" w:type="dxa"/>
          </w:tcPr>
          <w:p w14:paraId="0C73456C"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3D3AFFA0"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1B6D6A3B"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r>
      <w:tr w:rsidR="00394804" w:rsidRPr="0071464B" w14:paraId="30B7BC1C" w14:textId="77777777" w:rsidTr="00BD5C4A">
        <w:tc>
          <w:tcPr>
            <w:tcW w:w="4320" w:type="dxa"/>
          </w:tcPr>
          <w:p w14:paraId="0A21FE66"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Utilities and emergency services</w:t>
            </w:r>
          </w:p>
        </w:tc>
        <w:tc>
          <w:tcPr>
            <w:tcW w:w="1512" w:type="dxa"/>
          </w:tcPr>
          <w:p w14:paraId="552943F4"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2B20CA9F"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240A0D94"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r>
      <w:tr w:rsidR="00394804" w:rsidRPr="0071464B" w14:paraId="354D6A1E" w14:textId="77777777" w:rsidTr="00BD5C4A">
        <w:tc>
          <w:tcPr>
            <w:tcW w:w="4320" w:type="dxa"/>
          </w:tcPr>
          <w:p w14:paraId="13B853BE"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Bus operators and drivers</w:t>
            </w:r>
          </w:p>
        </w:tc>
        <w:tc>
          <w:tcPr>
            <w:tcW w:w="1512" w:type="dxa"/>
          </w:tcPr>
          <w:p w14:paraId="2171642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161B4A77"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3004701A"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3CD38F0B" w14:textId="77777777" w:rsidTr="00BD5C4A">
        <w:tc>
          <w:tcPr>
            <w:tcW w:w="4320" w:type="dxa"/>
          </w:tcPr>
          <w:p w14:paraId="75ECBE1D"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Principal contractor</w:t>
            </w:r>
          </w:p>
        </w:tc>
        <w:tc>
          <w:tcPr>
            <w:tcW w:w="1512" w:type="dxa"/>
          </w:tcPr>
          <w:p w14:paraId="164647BD"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213AD20A"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c>
          <w:tcPr>
            <w:tcW w:w="1584" w:type="dxa"/>
          </w:tcPr>
          <w:p w14:paraId="68987BD5"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6B893D5A" w14:textId="77777777" w:rsidTr="00BD5C4A">
        <w:tc>
          <w:tcPr>
            <w:tcW w:w="4320" w:type="dxa"/>
          </w:tcPr>
          <w:p w14:paraId="1B236BB8"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Residents and tenants</w:t>
            </w:r>
          </w:p>
        </w:tc>
        <w:tc>
          <w:tcPr>
            <w:tcW w:w="1512" w:type="dxa"/>
          </w:tcPr>
          <w:p w14:paraId="38E839B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3FFA6949"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04A5E685"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6509E634" w14:textId="77777777" w:rsidTr="00BD5C4A">
        <w:tc>
          <w:tcPr>
            <w:tcW w:w="4320" w:type="dxa"/>
          </w:tcPr>
          <w:p w14:paraId="0B03990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Disabled and older people's groups</w:t>
            </w:r>
          </w:p>
        </w:tc>
        <w:tc>
          <w:tcPr>
            <w:tcW w:w="1512" w:type="dxa"/>
          </w:tcPr>
          <w:p w14:paraId="2411D08C"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5A7A572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226DB01C"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7D786A01" w14:textId="77777777" w:rsidTr="00BD5C4A">
        <w:tc>
          <w:tcPr>
            <w:tcW w:w="4320" w:type="dxa"/>
          </w:tcPr>
          <w:p w14:paraId="47D15665"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University of Salford</w:t>
            </w:r>
          </w:p>
        </w:tc>
        <w:tc>
          <w:tcPr>
            <w:tcW w:w="1512" w:type="dxa"/>
          </w:tcPr>
          <w:p w14:paraId="44EC440C"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36FB54A8"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62EB71C4"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r w:rsidR="00394804" w:rsidRPr="0071464B" w14:paraId="05F4F4B0" w14:textId="77777777" w:rsidTr="00BD5C4A">
        <w:tc>
          <w:tcPr>
            <w:tcW w:w="4320" w:type="dxa"/>
          </w:tcPr>
          <w:p w14:paraId="0F87A798"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Businesses and traders</w:t>
            </w:r>
          </w:p>
        </w:tc>
        <w:tc>
          <w:tcPr>
            <w:tcW w:w="1512" w:type="dxa"/>
          </w:tcPr>
          <w:p w14:paraId="6235362D"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2E6C52E3"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Medium</w:t>
            </w:r>
          </w:p>
        </w:tc>
        <w:tc>
          <w:tcPr>
            <w:tcW w:w="1584" w:type="dxa"/>
          </w:tcPr>
          <w:p w14:paraId="0CB48F95" w14:textId="77777777" w:rsidR="00394804" w:rsidRPr="0071464B" w:rsidRDefault="00AB3159" w:rsidP="00BD5C4A">
            <w:pPr>
              <w:spacing w:after="0" w:line="480" w:lineRule="auto"/>
              <w:rPr>
                <w:rFonts w:asciiTheme="majorBidi" w:hAnsiTheme="majorBidi" w:cstheme="majorBidi"/>
                <w:szCs w:val="24"/>
              </w:rPr>
            </w:pPr>
            <w:r w:rsidRPr="0071464B">
              <w:rPr>
                <w:rFonts w:asciiTheme="majorBidi" w:hAnsiTheme="majorBidi" w:cstheme="majorBidi"/>
                <w:szCs w:val="24"/>
              </w:rPr>
              <w:t>High</w:t>
            </w:r>
          </w:p>
        </w:tc>
      </w:tr>
    </w:tbl>
    <w:p w14:paraId="2EEA49F1"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The ratings are not </w:t>
      </w:r>
      <w:proofErr w:type="gramStart"/>
      <w:r w:rsidRPr="0071464B">
        <w:rPr>
          <w:rFonts w:asciiTheme="majorBidi" w:hAnsiTheme="majorBidi" w:cstheme="majorBidi"/>
          <w:szCs w:val="24"/>
        </w:rPr>
        <w:t>absolute, but</w:t>
      </w:r>
      <w:proofErr w:type="gramEnd"/>
      <w:r w:rsidRPr="0071464B">
        <w:rPr>
          <w:rFonts w:asciiTheme="majorBidi" w:hAnsiTheme="majorBidi" w:cstheme="majorBidi"/>
          <w:szCs w:val="24"/>
        </w:rPr>
        <w:t xml:space="preserve"> depend on the stage. Residents do not have formal power but can exert influence through councillors, collective objections, media and petitions. Contractor influence increases after appointment, while funding-body interest rises at gateway decisions. Coordinating external involvement in the process, where the different delivery organisations have different duties and interests (Lehtinen and Aaltonen, 2020), is particularly challenging. The Project Manager should therefore record any movement between categories during the project lifecycle, not consider the table to be a permanent ranking.</w:t>
      </w:r>
    </w:p>
    <w:p w14:paraId="591C1236" w14:textId="6D23641C"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lastRenderedPageBreak/>
        <w:t>The assessment will also capture supportive, neutral, concerned and opposed attitudes of each stakeholder but attitude will not be used as a filter to exclude critical voices. Perspective-taking is important because the disruption that project teams face can be different from the one that the communities face (Cuganesan and Floris, 2020).</w:t>
      </w:r>
    </w:p>
    <w:p w14:paraId="24F3789C" w14:textId="77777777" w:rsidR="00394804" w:rsidRPr="0071464B" w:rsidRDefault="00AB3159" w:rsidP="00BD5C4A">
      <w:pPr>
        <w:pStyle w:val="Heading2"/>
      </w:pPr>
      <w:bookmarkStart w:id="6" w:name="_Toc235796490"/>
      <w:r w:rsidRPr="0071464B">
        <w:t>2.3 Stakeholder map and justification</w:t>
      </w:r>
      <w:bookmarkEnd w:id="6"/>
    </w:p>
    <w:p w14:paraId="6D8B3A34" w14:textId="77777777" w:rsidR="00BD5C4A" w:rsidRPr="0071464B" w:rsidRDefault="00BD5C4A" w:rsidP="00BD5C4A">
      <w:pPr>
        <w:keepNext/>
      </w:pPr>
      <w:r w:rsidRPr="0071464B">
        <w:rPr>
          <w:noProof/>
        </w:rPr>
        <w:drawing>
          <wp:inline distT="0" distB="0" distL="0" distR="0" wp14:anchorId="7B1A5521" wp14:editId="36392B81">
            <wp:extent cx="5831840" cy="4292600"/>
            <wp:effectExtent l="0" t="0" r="0" b="0"/>
            <wp:docPr id="14602272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27289" name=""/>
                    <pic:cNvPicPr/>
                  </pic:nvPicPr>
                  <pic:blipFill>
                    <a:blip r:embed="rId8"/>
                    <a:stretch>
                      <a:fillRect/>
                    </a:stretch>
                  </pic:blipFill>
                  <pic:spPr>
                    <a:xfrm>
                      <a:off x="0" y="0"/>
                      <a:ext cx="5831840" cy="4292600"/>
                    </a:xfrm>
                    <a:prstGeom prst="rect">
                      <a:avLst/>
                    </a:prstGeom>
                  </pic:spPr>
                </pic:pic>
              </a:graphicData>
            </a:graphic>
          </wp:inline>
        </w:drawing>
      </w:r>
    </w:p>
    <w:p w14:paraId="6495CF31" w14:textId="105ADD24" w:rsidR="00BD5C4A" w:rsidRPr="0071464B" w:rsidRDefault="00BD5C4A" w:rsidP="00BD5C4A">
      <w:pPr>
        <w:pStyle w:val="Caption"/>
        <w:jc w:val="center"/>
      </w:pPr>
      <w:r w:rsidRPr="0071464B">
        <w:t xml:space="preserve">Figure </w:t>
      </w:r>
      <w:r w:rsidRPr="0071464B">
        <w:fldChar w:fldCharType="begin"/>
      </w:r>
      <w:r w:rsidRPr="0071464B">
        <w:instrText xml:space="preserve"> SEQ Figure \* ARABIC </w:instrText>
      </w:r>
      <w:r w:rsidRPr="0071464B">
        <w:fldChar w:fldCharType="separate"/>
      </w:r>
      <w:r w:rsidRPr="0071464B">
        <w:t>1</w:t>
      </w:r>
      <w:r w:rsidRPr="0071464B">
        <w:fldChar w:fldCharType="end"/>
      </w:r>
      <w:r w:rsidRPr="0071464B">
        <w:t>: Power-interest stakeholder map</w:t>
      </w:r>
    </w:p>
    <w:p w14:paraId="75F40058"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The map focuses the attention of </w:t>
      </w:r>
      <w:proofErr w:type="gramStart"/>
      <w:r w:rsidRPr="0071464B">
        <w:rPr>
          <w:rFonts w:asciiTheme="majorBidi" w:hAnsiTheme="majorBidi" w:cstheme="majorBidi"/>
          <w:szCs w:val="24"/>
        </w:rPr>
        <w:t>management, and</w:t>
      </w:r>
      <w:proofErr w:type="gramEnd"/>
      <w:r w:rsidRPr="0071464B">
        <w:rPr>
          <w:rFonts w:asciiTheme="majorBidi" w:hAnsiTheme="majorBidi" w:cstheme="majorBidi"/>
          <w:szCs w:val="24"/>
        </w:rPr>
        <w:t xml:space="preserve"> makes the proposed engagement response visible – a fundamental benefit of stakeholder visualisation (Bourne and Walker, 2005). Its downside is that judgement can be dominated by formal power. Disabled and older people's groups will thus be included in the ‘manage closely’ workstream, even though they are regarded as medium power. Their lived experience is not merely consultative input; it is design evidence.</w:t>
      </w:r>
    </w:p>
    <w:p w14:paraId="37EB8B67" w14:textId="2CBE3079"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A review of the map will take place with an issue network. Changes to loading, for instance, could impact traders, refuse collection, bus reliability, and pedestrians and emergency access </w:t>
      </w:r>
      <w:r w:rsidRPr="0071464B">
        <w:rPr>
          <w:rFonts w:asciiTheme="majorBidi" w:hAnsiTheme="majorBidi" w:cstheme="majorBidi"/>
          <w:szCs w:val="24"/>
        </w:rPr>
        <w:lastRenderedPageBreak/>
        <w:t>simultaneously. For each linked issue, there will be one accountable owner, a due date and an escalation path.</w:t>
      </w:r>
    </w:p>
    <w:p w14:paraId="624FB36D" w14:textId="77777777" w:rsidR="00394804" w:rsidRPr="0071464B" w:rsidRDefault="00AB3159" w:rsidP="00BD5C4A">
      <w:pPr>
        <w:pStyle w:val="Heading2"/>
      </w:pPr>
      <w:bookmarkStart w:id="7" w:name="_Toc235796491"/>
      <w:r w:rsidRPr="0071464B">
        <w:t>2.4 Communication plan and consultation strategy</w:t>
      </w:r>
      <w:bookmarkEnd w:id="7"/>
    </w:p>
    <w:p w14:paraId="5F5932CF" w14:textId="257AE4B6"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engagement strategy will differentiate between informing, consulting, involving and collaborating, based on the real decision that is open. Arnstein's ladder cautions that when people can comment but not see that their comments are making a difference, it becomes tokenistic (Arnstein, 1969). The project will therefore have a brief 'You said - evidence considered - decision - reason' log to publish before each subsequent activity, and will identify legal, safety and budget constraints before each activity.</w:t>
      </w:r>
    </w:p>
    <w:p w14:paraId="27B69C86" w14:textId="7BFF2941"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level of participation will be commensurate with the problem, not to promise universal co-decision, consistent with Fung's (2006) analysis of participation design. Where residents, operators, accessibility representatives and designers need to understand interdependent trade-offs, deliberative workshops will be used (Innes and Booher, 2004).</w:t>
      </w:r>
    </w:p>
    <w:p w14:paraId="06CA90F3" w14:textId="52FB60F5" w:rsidR="00BD5C4A" w:rsidRPr="0071464B" w:rsidRDefault="00BD5C4A" w:rsidP="00BD5C4A">
      <w:pPr>
        <w:pStyle w:val="Caption"/>
        <w:keepNext/>
      </w:pPr>
      <w:r w:rsidRPr="0071464B">
        <w:t xml:space="preserve">Table </w:t>
      </w:r>
      <w:r w:rsidRPr="0071464B">
        <w:fldChar w:fldCharType="begin"/>
      </w:r>
      <w:r w:rsidRPr="0071464B">
        <w:instrText xml:space="preserve"> SEQ Table \* ARABIC </w:instrText>
      </w:r>
      <w:r w:rsidRPr="0071464B">
        <w:fldChar w:fldCharType="separate"/>
      </w:r>
      <w:r w:rsidRPr="0071464B">
        <w:t>3</w:t>
      </w:r>
      <w:r w:rsidRPr="0071464B">
        <w:fldChar w:fldCharType="end"/>
      </w:r>
      <w:r w:rsidRPr="0071464B">
        <w:t>: Communication and consultation plan</w:t>
      </w:r>
    </w:p>
    <w:tbl>
      <w:tblPr>
        <w:tblStyle w:val="TableGrid"/>
        <w:tblW w:w="0" w:type="auto"/>
        <w:tblLayout w:type="fixed"/>
        <w:tblLook w:val="04A0" w:firstRow="1" w:lastRow="0" w:firstColumn="1" w:lastColumn="0" w:noHBand="0" w:noVBand="1"/>
      </w:tblPr>
      <w:tblGrid>
        <w:gridCol w:w="2232"/>
        <w:gridCol w:w="2520"/>
        <w:gridCol w:w="1987"/>
        <w:gridCol w:w="2260"/>
      </w:tblGrid>
      <w:tr w:rsidR="00394804" w:rsidRPr="0071464B" w14:paraId="3B3FDA23" w14:textId="77777777" w:rsidTr="00BD5C4A">
        <w:tc>
          <w:tcPr>
            <w:tcW w:w="2232" w:type="dxa"/>
          </w:tcPr>
          <w:p w14:paraId="239F7A00"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Stakeholder group</w:t>
            </w:r>
          </w:p>
        </w:tc>
        <w:tc>
          <w:tcPr>
            <w:tcW w:w="2520" w:type="dxa"/>
          </w:tcPr>
          <w:p w14:paraId="38182A1E"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Information / decision focus</w:t>
            </w:r>
          </w:p>
        </w:tc>
        <w:tc>
          <w:tcPr>
            <w:tcW w:w="1987" w:type="dxa"/>
          </w:tcPr>
          <w:p w14:paraId="12148BC1"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Timing</w:t>
            </w:r>
          </w:p>
        </w:tc>
        <w:tc>
          <w:tcPr>
            <w:tcW w:w="2260" w:type="dxa"/>
          </w:tcPr>
          <w:p w14:paraId="39423033" w14:textId="77777777" w:rsidR="00394804" w:rsidRPr="0071464B" w:rsidRDefault="00AB3159" w:rsidP="00BD5C4A">
            <w:pPr>
              <w:spacing w:after="0" w:line="360" w:lineRule="auto"/>
              <w:jc w:val="center"/>
              <w:rPr>
                <w:rFonts w:asciiTheme="majorBidi" w:hAnsiTheme="majorBidi" w:cstheme="majorBidi"/>
                <w:i/>
                <w:iCs/>
                <w:szCs w:val="24"/>
              </w:rPr>
            </w:pPr>
            <w:r w:rsidRPr="0071464B">
              <w:rPr>
                <w:rFonts w:asciiTheme="majorBidi" w:hAnsiTheme="majorBidi" w:cstheme="majorBidi"/>
                <w:b/>
                <w:i/>
                <w:iCs/>
                <w:szCs w:val="24"/>
              </w:rPr>
              <w:t>Channels and feedback route</w:t>
            </w:r>
          </w:p>
        </w:tc>
      </w:tr>
      <w:tr w:rsidR="00394804" w:rsidRPr="0071464B" w14:paraId="30A7D908" w14:textId="77777777" w:rsidTr="00BD5C4A">
        <w:tc>
          <w:tcPr>
            <w:tcW w:w="2232" w:type="dxa"/>
          </w:tcPr>
          <w:p w14:paraId="1BA040BE"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Council, TfGM and project board</w:t>
            </w:r>
          </w:p>
        </w:tc>
        <w:tc>
          <w:tcPr>
            <w:tcW w:w="2520" w:type="dxa"/>
          </w:tcPr>
          <w:p w14:paraId="6DE06C32"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Scope, cost, risk, benefits, decisions and unresolved objections.</w:t>
            </w:r>
          </w:p>
        </w:tc>
        <w:tc>
          <w:tcPr>
            <w:tcW w:w="1987" w:type="dxa"/>
          </w:tcPr>
          <w:p w14:paraId="55A3BCB0"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Weekly technical meeting; monthly board; stage gates.</w:t>
            </w:r>
          </w:p>
        </w:tc>
        <w:tc>
          <w:tcPr>
            <w:tcW w:w="2260" w:type="dxa"/>
          </w:tcPr>
          <w:p w14:paraId="058A95F7"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Decision papers, dashboard, risk workshop and action log.</w:t>
            </w:r>
          </w:p>
        </w:tc>
      </w:tr>
      <w:tr w:rsidR="00394804" w:rsidRPr="0071464B" w14:paraId="30F0EA0B" w14:textId="77777777" w:rsidTr="00BD5C4A">
        <w:tc>
          <w:tcPr>
            <w:tcW w:w="2232" w:type="dxa"/>
          </w:tcPr>
          <w:p w14:paraId="323DD981"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GMCA funding gateway</w:t>
            </w:r>
          </w:p>
        </w:tc>
        <w:tc>
          <w:tcPr>
            <w:tcW w:w="2520" w:type="dxa"/>
          </w:tcPr>
          <w:p w14:paraId="09CDFC4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Business case, milestones, forecast outturn, social value and assurance.</w:t>
            </w:r>
          </w:p>
        </w:tc>
        <w:tc>
          <w:tcPr>
            <w:tcW w:w="1987" w:type="dxa"/>
          </w:tcPr>
          <w:p w14:paraId="3E544EDE"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Monthly report; quarterly gateway; immediate exception notice.</w:t>
            </w:r>
          </w:p>
        </w:tc>
        <w:tc>
          <w:tcPr>
            <w:tcW w:w="2260" w:type="dxa"/>
          </w:tcPr>
          <w:p w14:paraId="43626607"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Assurance report, finance dashboard and review meeting.</w:t>
            </w:r>
          </w:p>
        </w:tc>
      </w:tr>
      <w:tr w:rsidR="00394804" w:rsidRPr="0071464B" w14:paraId="1567DA63" w14:textId="77777777" w:rsidTr="00BD5C4A">
        <w:tc>
          <w:tcPr>
            <w:tcW w:w="2232" w:type="dxa"/>
          </w:tcPr>
          <w:p w14:paraId="254F771F"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Residents and tenants</w:t>
            </w:r>
          </w:p>
        </w:tc>
        <w:tc>
          <w:tcPr>
            <w:tcW w:w="2520" w:type="dxa"/>
          </w:tcPr>
          <w:p w14:paraId="7499B2E8"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Options, access, noise, traffic management, mitigation and progress.</w:t>
            </w:r>
          </w:p>
        </w:tc>
        <w:tc>
          <w:tcPr>
            <w:tcW w:w="1987" w:type="dxa"/>
          </w:tcPr>
          <w:p w14:paraId="47715588"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 xml:space="preserve">Concept, 30% and 80% design; eight weeks before </w:t>
            </w:r>
            <w:r w:rsidRPr="0071464B">
              <w:rPr>
                <w:rFonts w:asciiTheme="majorBidi" w:hAnsiTheme="majorBidi" w:cstheme="majorBidi"/>
                <w:szCs w:val="24"/>
              </w:rPr>
              <w:lastRenderedPageBreak/>
              <w:t>works; fortnightly during works.</w:t>
            </w:r>
          </w:p>
        </w:tc>
        <w:tc>
          <w:tcPr>
            <w:tcW w:w="2260" w:type="dxa"/>
          </w:tcPr>
          <w:p w14:paraId="61EB27EF"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lastRenderedPageBreak/>
              <w:t xml:space="preserve">Drop-ins, letters, website, SMS/email </w:t>
            </w:r>
            <w:r w:rsidRPr="0071464B">
              <w:rPr>
                <w:rFonts w:asciiTheme="majorBidi" w:hAnsiTheme="majorBidi" w:cstheme="majorBidi"/>
                <w:szCs w:val="24"/>
              </w:rPr>
              <w:lastRenderedPageBreak/>
              <w:t>alerts, paper and telephone feedback.</w:t>
            </w:r>
          </w:p>
        </w:tc>
      </w:tr>
      <w:tr w:rsidR="00394804" w:rsidRPr="0071464B" w14:paraId="241C127F" w14:textId="77777777" w:rsidTr="00BD5C4A">
        <w:tc>
          <w:tcPr>
            <w:tcW w:w="2232" w:type="dxa"/>
          </w:tcPr>
          <w:p w14:paraId="4C31C448"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lastRenderedPageBreak/>
              <w:t>Disabled and older people's groups</w:t>
            </w:r>
          </w:p>
        </w:tc>
        <w:tc>
          <w:tcPr>
            <w:tcW w:w="2520" w:type="dxa"/>
          </w:tcPr>
          <w:p w14:paraId="2C43E077"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Widths, crossings, gradients, seating, stop layouts and information.</w:t>
            </w:r>
          </w:p>
        </w:tc>
        <w:tc>
          <w:tcPr>
            <w:tcW w:w="1987" w:type="dxa"/>
          </w:tcPr>
          <w:p w14:paraId="4306F4B2"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Before option selection; each design stage; pre-opening audit.</w:t>
            </w:r>
          </w:p>
        </w:tc>
        <w:tc>
          <w:tcPr>
            <w:tcW w:w="2260" w:type="dxa"/>
          </w:tcPr>
          <w:p w14:paraId="7CE624BB"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Accessible workshop, site walk/wheel audit, Easy Read, large print and telephone.</w:t>
            </w:r>
          </w:p>
        </w:tc>
      </w:tr>
      <w:tr w:rsidR="00394804" w:rsidRPr="0071464B" w14:paraId="433E0A52" w14:textId="77777777" w:rsidTr="00BD5C4A">
        <w:tc>
          <w:tcPr>
            <w:tcW w:w="2232" w:type="dxa"/>
          </w:tcPr>
          <w:p w14:paraId="63FE4FA7"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Businesses and traders</w:t>
            </w:r>
          </w:p>
        </w:tc>
        <w:tc>
          <w:tcPr>
            <w:tcW w:w="2520" w:type="dxa"/>
          </w:tcPr>
          <w:p w14:paraId="2E429861"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Loading, customer access, signage, work phasing and compensation routes.</w:t>
            </w:r>
          </w:p>
        </w:tc>
        <w:tc>
          <w:tcPr>
            <w:tcW w:w="1987" w:type="dxa"/>
          </w:tcPr>
          <w:p w14:paraId="4BDC8B7E"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One-to-one design contact; 12-week look-ahead; weekly in critical phases.</w:t>
            </w:r>
          </w:p>
        </w:tc>
        <w:tc>
          <w:tcPr>
            <w:tcW w:w="2260" w:type="dxa"/>
          </w:tcPr>
          <w:p w14:paraId="66E03AD6"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Business clinic, site visit, direct phone line and logistics-plan sign-off.</w:t>
            </w:r>
          </w:p>
        </w:tc>
      </w:tr>
      <w:tr w:rsidR="00394804" w:rsidRPr="0071464B" w14:paraId="6827920A" w14:textId="77777777" w:rsidTr="00BD5C4A">
        <w:tc>
          <w:tcPr>
            <w:tcW w:w="2232" w:type="dxa"/>
          </w:tcPr>
          <w:p w14:paraId="3E1EB8D1"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University community</w:t>
            </w:r>
          </w:p>
        </w:tc>
        <w:tc>
          <w:tcPr>
            <w:tcW w:w="2520" w:type="dxa"/>
          </w:tcPr>
          <w:p w14:paraId="3BA4F947"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Campus access, safety, travel demand, events and term-sensitive phasing.</w:t>
            </w:r>
          </w:p>
        </w:tc>
        <w:tc>
          <w:tcPr>
            <w:tcW w:w="1987" w:type="dxa"/>
          </w:tcPr>
          <w:p w14:paraId="42FBD9FB"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Design workshops; before each term and traffic switch.</w:t>
            </w:r>
          </w:p>
        </w:tc>
        <w:tc>
          <w:tcPr>
            <w:tcW w:w="2260" w:type="dxa"/>
          </w:tcPr>
          <w:p w14:paraId="52E64D12"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Campus forum, travel survey, student-union channels and operations liaison.</w:t>
            </w:r>
          </w:p>
        </w:tc>
      </w:tr>
      <w:tr w:rsidR="00394804" w:rsidRPr="0071464B" w14:paraId="6458B6DD" w14:textId="77777777" w:rsidTr="00BD5C4A">
        <w:tc>
          <w:tcPr>
            <w:tcW w:w="2232" w:type="dxa"/>
          </w:tcPr>
          <w:p w14:paraId="511A760E"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Bus operators and drivers</w:t>
            </w:r>
          </w:p>
        </w:tc>
        <w:tc>
          <w:tcPr>
            <w:tcW w:w="2520" w:type="dxa"/>
          </w:tcPr>
          <w:p w14:paraId="7F2FCA8D"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Stop locations, turning, dwell time, passenger information and diversions.</w:t>
            </w:r>
          </w:p>
        </w:tc>
        <w:tc>
          <w:tcPr>
            <w:tcW w:w="1987" w:type="dxa"/>
          </w:tcPr>
          <w:p w14:paraId="677A90C3"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Monthly design group; weekly before and during service changes.</w:t>
            </w:r>
          </w:p>
        </w:tc>
        <w:tc>
          <w:tcPr>
            <w:tcW w:w="2260" w:type="dxa"/>
          </w:tcPr>
          <w:p w14:paraId="64106753"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Operations workshop, swept-path drawings, driver trial and control-room notice.</w:t>
            </w:r>
          </w:p>
        </w:tc>
      </w:tr>
      <w:tr w:rsidR="00394804" w:rsidRPr="0071464B" w14:paraId="7D0694D0" w14:textId="77777777" w:rsidTr="00BD5C4A">
        <w:tc>
          <w:tcPr>
            <w:tcW w:w="2232" w:type="dxa"/>
          </w:tcPr>
          <w:p w14:paraId="3A6C22B6"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Utilities, emergency services and contractor</w:t>
            </w:r>
          </w:p>
        </w:tc>
        <w:tc>
          <w:tcPr>
            <w:tcW w:w="2520" w:type="dxa"/>
          </w:tcPr>
          <w:p w14:paraId="617C8592"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Asset protection, permits, emergency routes, methods and incident response.</w:t>
            </w:r>
          </w:p>
        </w:tc>
        <w:tc>
          <w:tcPr>
            <w:tcW w:w="1987" w:type="dxa"/>
          </w:tcPr>
          <w:p w14:paraId="011D09A2"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Concept and detailed design; rolling 12-week construction look-ahead.</w:t>
            </w:r>
          </w:p>
        </w:tc>
        <w:tc>
          <w:tcPr>
            <w:tcW w:w="2260" w:type="dxa"/>
          </w:tcPr>
          <w:p w14:paraId="52074C4A" w14:textId="77777777" w:rsidR="00394804" w:rsidRPr="0071464B" w:rsidRDefault="00AB3159" w:rsidP="00BD5C4A">
            <w:pPr>
              <w:spacing w:after="0" w:line="360" w:lineRule="auto"/>
              <w:rPr>
                <w:rFonts w:asciiTheme="majorBidi" w:hAnsiTheme="majorBidi" w:cstheme="majorBidi"/>
                <w:szCs w:val="24"/>
              </w:rPr>
            </w:pPr>
            <w:r w:rsidRPr="0071464B">
              <w:rPr>
                <w:rFonts w:asciiTheme="majorBidi" w:hAnsiTheme="majorBidi" w:cstheme="majorBidi"/>
                <w:szCs w:val="24"/>
              </w:rPr>
              <w:t>Technical coordination, digital drawings, permit meetings and emergency exercise.</w:t>
            </w:r>
          </w:p>
        </w:tc>
      </w:tr>
    </w:tbl>
    <w:p w14:paraId="4F84F289"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The channels are carefully blended. Recent infrastructure research indicates that online communication can complement the engagement of </w:t>
      </w:r>
      <w:proofErr w:type="gramStart"/>
      <w:r w:rsidRPr="0071464B">
        <w:rPr>
          <w:rFonts w:asciiTheme="majorBidi" w:hAnsiTheme="majorBidi" w:cstheme="majorBidi"/>
          <w:szCs w:val="24"/>
        </w:rPr>
        <w:t>communities, but</w:t>
      </w:r>
      <w:proofErr w:type="gramEnd"/>
      <w:r w:rsidRPr="0071464B">
        <w:rPr>
          <w:rFonts w:asciiTheme="majorBidi" w:hAnsiTheme="majorBidi" w:cstheme="majorBidi"/>
          <w:szCs w:val="24"/>
        </w:rPr>
        <w:t xml:space="preserve"> cannot be a substitute for accessible and place-based contact (Lehtinen and Aaltonen, 2024). High-power stakeholders require a quick and succinct assurance and escalation; high-impact community groups require time and support to influence the design before changes become costly. Engagement will start </w:t>
      </w:r>
      <w:r w:rsidRPr="0071464B">
        <w:rPr>
          <w:rFonts w:asciiTheme="majorBidi" w:hAnsiTheme="majorBidi" w:cstheme="majorBidi"/>
          <w:szCs w:val="24"/>
        </w:rPr>
        <w:lastRenderedPageBreak/>
        <w:t>before the establishment of a preferred option as early engagement results in better utilisation of local knowledge and avoids unnecessary conflicts (Reed, 2008).</w:t>
      </w:r>
    </w:p>
    <w:p w14:paraId="3A5962FD" w14:textId="639354E9"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All interactions will be recorded in the stakeholder register with an owner, commitment and due date. The monthly dashboard will provide the following information: response times, unresolved high-impact issues, representation gaps, complaints, accessibility actions and commitments closed on time. These measures assess decision quality and follow-through, not merely engagement activity.</w:t>
      </w:r>
    </w:p>
    <w:p w14:paraId="5A038241" w14:textId="123748FF"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A named community liaison manager will co-ordinate the contractor and council and the affected stakeholders during construction. Any safety or access issues that need to be addressed will be addressed within one working day and if they are not addressed, they will be escalated to the project board and not repeatedly deferred.</w:t>
      </w:r>
    </w:p>
    <w:p w14:paraId="53A8E109" w14:textId="77777777" w:rsidR="00394804" w:rsidRPr="0071464B" w:rsidRDefault="00AB3159" w:rsidP="00BD5C4A">
      <w:pPr>
        <w:pStyle w:val="Heading1"/>
        <w:spacing w:line="480" w:lineRule="auto"/>
        <w:rPr>
          <w:rFonts w:asciiTheme="majorBidi" w:hAnsiTheme="majorBidi"/>
          <w:sz w:val="24"/>
          <w:szCs w:val="24"/>
        </w:rPr>
      </w:pPr>
      <w:bookmarkStart w:id="8" w:name="_Toc235796492"/>
      <w:r w:rsidRPr="0071464B">
        <w:rPr>
          <w:rFonts w:asciiTheme="majorBidi" w:hAnsiTheme="majorBidi"/>
          <w:sz w:val="24"/>
          <w:szCs w:val="24"/>
        </w:rPr>
        <w:t>Element 3: Ethical considerations in consultation, participation and feedback</w:t>
      </w:r>
      <w:bookmarkEnd w:id="8"/>
    </w:p>
    <w:p w14:paraId="10CE05EA" w14:textId="77777777" w:rsidR="00394804" w:rsidRPr="0071464B" w:rsidRDefault="00AB3159" w:rsidP="00BD5C4A">
      <w:pPr>
        <w:pStyle w:val="Heading2"/>
      </w:pPr>
      <w:bookmarkStart w:id="9" w:name="_Toc235796493"/>
      <w:r w:rsidRPr="0071464B">
        <w:t>3.1 Consultation methods and participation design</w:t>
      </w:r>
      <w:bookmarkEnd w:id="9"/>
    </w:p>
    <w:p w14:paraId="492C35CE"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Consultation will be through a survey (online and paper), telephone responses, staffed drop-ins, targeted interviews, business clinics, small deliberative workshops and accessible route audits. Surveys give broad coverage, and interviews and workshops help to explain the significance of an impact and test mitigations. Mixed-mode design is suitable because reliance on one mode can create coverage differences and exclude some participants (Dillman, Smyth and Christian, 2014). Participants will be recruited through council, housing association, the University, community organisations, disability networks and business visits.</w:t>
      </w:r>
    </w:p>
    <w:p w14:paraId="1CB91D0B" w14:textId="4018FFAB"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Participation and inclusion will be assessed separately. High response numbers are not enough if those who are affected have no control over the questions, the way the meeting is organised or how the evidence is interpreted (Quick and Feldman, 2011). Materials and emerging themes will </w:t>
      </w:r>
      <w:r w:rsidRPr="0071464B">
        <w:rPr>
          <w:rFonts w:asciiTheme="majorBidi" w:hAnsiTheme="majorBidi" w:cstheme="majorBidi"/>
          <w:szCs w:val="24"/>
        </w:rPr>
        <w:lastRenderedPageBreak/>
        <w:t>be reviewed by a small advisory panel, which will include representatives from the community, business and accessibility.</w:t>
      </w:r>
    </w:p>
    <w:p w14:paraId="049BF728" w14:textId="77777777" w:rsidR="00394804" w:rsidRPr="0071464B" w:rsidRDefault="00AB3159" w:rsidP="00BD5C4A">
      <w:pPr>
        <w:pStyle w:val="Heading2"/>
      </w:pPr>
      <w:bookmarkStart w:id="10" w:name="_Toc235796494"/>
      <w:r w:rsidRPr="0071464B">
        <w:t>3.2 Data ethics, privacy and informed participation</w:t>
      </w:r>
      <w:bookmarkEnd w:id="10"/>
    </w:p>
    <w:p w14:paraId="71C3C052"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For each activity there will be a purpose statement (in plain language), how the responses will be used, voluntary consent wording, contact information and a complaints procedure. Participants can opt out of providing identifiable contributions until they are anonymised for analysis. Incentives can be offered to cover reasonable travel, interpretation and caring costs but will not be significant enough to create undue pressure.</w:t>
      </w:r>
    </w:p>
    <w:p w14:paraId="7DB5F1B6"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Only data that is needed to understand project impacts will be collected. Contact information for updates will be kept separate from consultation responses, free text comments will be redacted, access will be by </w:t>
      </w:r>
      <w:proofErr w:type="gramStart"/>
      <w:r w:rsidRPr="0071464B">
        <w:rPr>
          <w:rFonts w:asciiTheme="majorBidi" w:hAnsiTheme="majorBidi" w:cstheme="majorBidi"/>
          <w:szCs w:val="24"/>
        </w:rPr>
        <w:t>role</w:t>
      </w:r>
      <w:proofErr w:type="gramEnd"/>
      <w:r w:rsidRPr="0071464B">
        <w:rPr>
          <w:rFonts w:asciiTheme="majorBidi" w:hAnsiTheme="majorBidi" w:cstheme="majorBidi"/>
          <w:szCs w:val="24"/>
        </w:rPr>
        <w:t xml:space="preserve"> and identifiable information will be removed after the decision and challenge period. These controls are based upon UK GDPR principles: purpose limitation, data minimisation, security and storage limitation (Information Commissioner's Office, n.d.). Where disability, demographic or location data could identify individuals, a data-protection impact assessment will be carried out.</w:t>
      </w:r>
    </w:p>
    <w:p w14:paraId="1A28A801" w14:textId="4806D0EC"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privacy notice will separate out consultation responses from mailing-list consent, and by opting out of future updates, a person will not lose their substantive feedback. Small groups will be aggregated in reports and quotes will be anonymised to minimise deductive identification. Contractors will not be provided with any consultation data for marketing or for any purpose other than the consultation.</w:t>
      </w:r>
    </w:p>
    <w:p w14:paraId="24C1F433" w14:textId="77777777" w:rsidR="00394804" w:rsidRPr="0071464B" w:rsidRDefault="00AB3159" w:rsidP="00BD5C4A">
      <w:pPr>
        <w:pStyle w:val="Heading2"/>
      </w:pPr>
      <w:bookmarkStart w:id="11" w:name="_Toc235796495"/>
      <w:r w:rsidRPr="0071464B">
        <w:t>3.3 Bias, diversity, equity and inclusion</w:t>
      </w:r>
      <w:bookmarkEnd w:id="11"/>
    </w:p>
    <w:p w14:paraId="72014E39"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Potential biases include: self-selection, digital exclusion, non-response, leading questions, social desirability, organised or confident voices influencing the facilitator and the respondent(s). The results from the web survey will not be reported as statistically representative unless the sampling </w:t>
      </w:r>
      <w:r w:rsidRPr="0071464B">
        <w:rPr>
          <w:rFonts w:asciiTheme="majorBidi" w:hAnsiTheme="majorBidi" w:cstheme="majorBidi"/>
          <w:szCs w:val="24"/>
        </w:rPr>
        <w:lastRenderedPageBreak/>
        <w:t>design reflects this (Bethlehem, 2010). Neutral language, pilot testing, different session durations, offline routes, and explicit statements of limitations will be used.</w:t>
      </w:r>
    </w:p>
    <w:p w14:paraId="1196F0E6" w14:textId="7271C929"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Equality Act 2010 places a duty on public services and engagement to prevent unlawful discrimination and consider the needs of people with protected characteristics (Great Britain, 2010). Venues will be step-free, close to public transport, materials will be in large print, Easy Read and key community languages and BSL interpretation, captioning and telephone participation will be available. Route audits will be conducted to assess gradients, surfaces, tactile paving, crossing times, seating, lighting, boarding and information against existing inclusive-mobility guidance (Department for Transport, 2022). Equity analysis will explore the time, safety and affordability benefits and burdens for those who benefit and those who are disrupted or disadvantaged in accessing transport services, as transport disadvantage can compound exclusion from jobs and services (Lucas et al., 2016).</w:t>
      </w:r>
    </w:p>
    <w:p w14:paraId="66A45E7A" w14:textId="77777777" w:rsidR="00394804" w:rsidRPr="0071464B" w:rsidRDefault="00AB3159" w:rsidP="00BD5C4A">
      <w:pPr>
        <w:pStyle w:val="Heading2"/>
      </w:pPr>
      <w:bookmarkStart w:id="12" w:name="_Toc235796496"/>
      <w:r w:rsidRPr="0071464B">
        <w:t>3.4 Feedback collection, review and accountability</w:t>
      </w:r>
      <w:bookmarkEnd w:id="12"/>
    </w:p>
    <w:p w14:paraId="4AC94DA1" w14:textId="6CA5DCAC" w:rsidR="00394804" w:rsidRPr="0071464B" w:rsidRDefault="009D28C7" w:rsidP="00BD5C4A">
      <w:pPr>
        <w:spacing w:line="480" w:lineRule="auto"/>
        <w:rPr>
          <w:rFonts w:asciiTheme="majorBidi" w:hAnsiTheme="majorBidi" w:cstheme="majorBidi"/>
          <w:szCs w:val="24"/>
        </w:rPr>
      </w:pPr>
      <w:r w:rsidRPr="0071464B">
        <w:rPr>
          <w:rFonts w:asciiTheme="majorBidi" w:hAnsiTheme="majorBidi" w:cstheme="majorBidi"/>
          <w:szCs w:val="24"/>
        </w:rPr>
        <w:t xml:space="preserve">Feedback will be channelled into a controlled register that will track source, location, theme, those impacted, evidence, urgency, response, owner, date of decision, closure date. Qualitative comments will be double-coded by analysts and themes will be cross-checked against survey results, route audits, traffic evidence and operational constraints. The effectiveness of the consultation will be assessed by transparency, inclusiveness, impact on decisions and cost-effectiveness, not just the number of responses (Rowe and </w:t>
      </w:r>
      <w:proofErr w:type="spellStart"/>
      <w:r w:rsidRPr="0071464B">
        <w:rPr>
          <w:rFonts w:asciiTheme="majorBidi" w:hAnsiTheme="majorBidi" w:cstheme="majorBidi"/>
          <w:szCs w:val="24"/>
        </w:rPr>
        <w:t>Frewer</w:t>
      </w:r>
      <w:proofErr w:type="spellEnd"/>
      <w:r w:rsidRPr="0071464B">
        <w:rPr>
          <w:rFonts w:asciiTheme="majorBidi" w:hAnsiTheme="majorBidi" w:cstheme="majorBidi"/>
          <w:szCs w:val="24"/>
        </w:rPr>
        <w:t xml:space="preserve">, 2000). Acknowledgements will be sent within five working </w:t>
      </w:r>
      <w:proofErr w:type="gramStart"/>
      <w:r w:rsidRPr="0071464B">
        <w:rPr>
          <w:rFonts w:asciiTheme="majorBidi" w:hAnsiTheme="majorBidi" w:cstheme="majorBidi"/>
          <w:szCs w:val="24"/>
        </w:rPr>
        <w:t>days</w:t>
      </w:r>
      <w:proofErr w:type="gramEnd"/>
      <w:r w:rsidRPr="0071464B">
        <w:rPr>
          <w:rFonts w:asciiTheme="majorBidi" w:hAnsiTheme="majorBidi" w:cstheme="majorBidi"/>
          <w:szCs w:val="24"/>
        </w:rPr>
        <w:t xml:space="preserve"> and formal response reports will be sent within 20 working days. An independent accessibility representative will review and challenge any high-impact issues that are not resolved, and commitments will remain open until evidence of completion is recorded.</w:t>
      </w:r>
    </w:p>
    <w:p w14:paraId="27B3F521" w14:textId="77777777" w:rsidR="00394804" w:rsidRPr="0071464B" w:rsidRDefault="00AB3159" w:rsidP="00BD5C4A">
      <w:pPr>
        <w:pStyle w:val="Heading1"/>
        <w:spacing w:line="480" w:lineRule="auto"/>
        <w:rPr>
          <w:rFonts w:asciiTheme="majorBidi" w:hAnsiTheme="majorBidi"/>
          <w:sz w:val="24"/>
          <w:szCs w:val="24"/>
        </w:rPr>
      </w:pPr>
      <w:bookmarkStart w:id="13" w:name="_Toc235796497"/>
      <w:r w:rsidRPr="0071464B">
        <w:rPr>
          <w:rFonts w:asciiTheme="majorBidi" w:hAnsiTheme="majorBidi"/>
          <w:sz w:val="24"/>
          <w:szCs w:val="24"/>
        </w:rPr>
        <w:lastRenderedPageBreak/>
        <w:t>Element 4: Conclusion and reflection</w:t>
      </w:r>
      <w:bookmarkEnd w:id="13"/>
    </w:p>
    <w:p w14:paraId="3DCFAC16" w14:textId="77777777" w:rsidR="00394804" w:rsidRPr="0071464B" w:rsidRDefault="00AB3159" w:rsidP="00BD5C4A">
      <w:pPr>
        <w:pStyle w:val="Heading2"/>
      </w:pPr>
      <w:bookmarkStart w:id="14" w:name="_Toc235796498"/>
      <w:r w:rsidRPr="0071464B">
        <w:t>4.1 Conclusion</w:t>
      </w:r>
      <w:bookmarkEnd w:id="14"/>
    </w:p>
    <w:p w14:paraId="7D753F9A"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 xml:space="preserve">The Pendleton </w:t>
      </w:r>
      <w:proofErr w:type="spellStart"/>
      <w:r w:rsidRPr="0071464B">
        <w:rPr>
          <w:rFonts w:asciiTheme="majorBidi" w:hAnsiTheme="majorBidi" w:cstheme="majorBidi"/>
          <w:szCs w:val="24"/>
        </w:rPr>
        <w:t>GreenLink</w:t>
      </w:r>
      <w:proofErr w:type="spellEnd"/>
      <w:r w:rsidRPr="0071464B">
        <w:rPr>
          <w:rFonts w:asciiTheme="majorBidi" w:hAnsiTheme="majorBidi" w:cstheme="majorBidi"/>
          <w:szCs w:val="24"/>
        </w:rPr>
        <w:t xml:space="preserve"> scheme has some clear evidence of the positive impacts it can have on sustainable access, safety and local connectivity and this provides a strong rationale for delivery but does not guarantee success. It redistributes road space, access opportunities, construction impacts and public funds, generating legitimate conflicts between the performance of the network, business servicing, parking, accessibility and affordability and environmental goals. The proposed plan responds to the assessment through a live power-influence-interest assessment, salience and impact safeguards and a transparent stakeholder map, tailored communication and an ethical mixed-method consultation process.</w:t>
      </w:r>
    </w:p>
    <w:p w14:paraId="002E211D" w14:textId="1615F175"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Time, cost and scope are not the only metrics for success; other metrics include closure of stakeholder commitments, accessibility defects, unresolved complaints, participation gaps, trust and post-opening outcomes. This governance approach mitigates two risks that are common: formal authority dominating the design process and the late use of consultation in the programme to validate a solution. Effective engagement consequently operates as design assurance, risk management and public accountability.</w:t>
      </w:r>
    </w:p>
    <w:p w14:paraId="04B8F323" w14:textId="77777777" w:rsidR="00394804" w:rsidRPr="0071464B" w:rsidRDefault="00AB3159" w:rsidP="00BD5C4A">
      <w:pPr>
        <w:pStyle w:val="Heading2"/>
      </w:pPr>
      <w:bookmarkStart w:id="15" w:name="_Toc235796499"/>
      <w:r w:rsidRPr="0071464B">
        <w:t>4.2 Reflective account</w:t>
      </w:r>
      <w:bookmarkEnd w:id="15"/>
    </w:p>
    <w:p w14:paraId="34221B27"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As a junior stakeholder manager, my initial focus was on organisations with the financial, approvals and construction resources. The creation of the plan proved useful but incomplete. The disruption of access can last for several months for a resident, a visually impaired passenger may identify a crossing hazard that a technical compliance test does not detect, and a trader may have key information about servicing patterns. Formal power is thus just one type of expertise relevant to the project.</w:t>
      </w:r>
    </w:p>
    <w:p w14:paraId="1B787240"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lastRenderedPageBreak/>
        <w:t xml:space="preserve">I also learned not to treat the matrix as more than a working hypothesis. As design details become visible, influence grows amid </w:t>
      </w:r>
      <w:proofErr w:type="gramStart"/>
      <w:r w:rsidRPr="0071464B">
        <w:rPr>
          <w:rFonts w:asciiTheme="majorBidi" w:hAnsiTheme="majorBidi" w:cstheme="majorBidi"/>
          <w:szCs w:val="24"/>
        </w:rPr>
        <w:t>controversy ;</w:t>
      </w:r>
      <w:proofErr w:type="gramEnd"/>
      <w:r w:rsidRPr="0071464B">
        <w:rPr>
          <w:rFonts w:asciiTheme="majorBidi" w:hAnsiTheme="majorBidi" w:cstheme="majorBidi"/>
          <w:szCs w:val="24"/>
        </w:rPr>
        <w:t xml:space="preserve"> delivery partners exert influence at different stages, and interests change. My practice would include the visual map plus a review of the relationships, emerging coalitions, missing voices and overdue commitments each month. This reflects Schön's (2017) idea of reviewing and adjusting professional judgement while action is underway.</w:t>
      </w:r>
    </w:p>
    <w:p w14:paraId="76C3B4DF"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The biggest challenge lies in balancing open-mindedness and discipline in decision making. Whilst the project is subject to statutory obligations and safety requirements, and network performance and affordability, genuine consultation cannot guarantee that all preferences will be implemented. But constraints can be applied prematurely to end debate. I would say what decisions are open, what evidence and trade-offs inform decisions in easily understood language, and which authority has decision-making power. People are more inclined to believe you if it is done for the right reasons and demonstrated by changes rather than marketing and advertising.</w:t>
      </w:r>
    </w:p>
    <w:p w14:paraId="4CFED4FC" w14:textId="77777777" w:rsidR="009D28C7"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Another lesson deals with representation. People who have time, confidence, access to the internet, and an organisational network are likely to be overrepresented at public meetings and on online surveys. I would assess representation among those present and identify who is missing and respond through careful use of demographic data and targeted outreach where needed. I would also not assume that silence equals consent as this could be due to methods that are not accessible or consultation fatigue or lack of trust, not satisfaction.</w:t>
      </w:r>
    </w:p>
    <w:p w14:paraId="5E89D652" w14:textId="673D98B1" w:rsidR="00394804" w:rsidRPr="0071464B" w:rsidRDefault="009D28C7" w:rsidP="009D28C7">
      <w:pPr>
        <w:spacing w:line="480" w:lineRule="auto"/>
        <w:rPr>
          <w:rFonts w:asciiTheme="majorBidi" w:hAnsiTheme="majorBidi" w:cstheme="majorBidi"/>
          <w:szCs w:val="24"/>
        </w:rPr>
      </w:pPr>
      <w:r w:rsidRPr="0071464B">
        <w:rPr>
          <w:rFonts w:asciiTheme="majorBidi" w:hAnsiTheme="majorBidi" w:cstheme="majorBidi"/>
          <w:szCs w:val="24"/>
        </w:rPr>
        <w:t>Engagement should be maintained post-construction. Safety, bus reliability, accessibility faults, business access, complaints and travel behaviour should be reviewed by a local user panel at 3 and 12 months after opening. Where outcomes fall short, the project owner should make the outcomes public and state the corrective actions and timelines. This extends accountability, ensures learning for future schemes and transforms a public asset from one-off consultation towards long-term stewardship.</w:t>
      </w:r>
    </w:p>
    <w:p w14:paraId="68EFEDFD" w14:textId="77777777" w:rsidR="00394804" w:rsidRPr="0071464B" w:rsidRDefault="00AB3159" w:rsidP="00BD5C4A">
      <w:pPr>
        <w:spacing w:line="480" w:lineRule="auto"/>
        <w:rPr>
          <w:rFonts w:asciiTheme="majorBidi" w:hAnsiTheme="majorBidi" w:cstheme="majorBidi"/>
          <w:szCs w:val="24"/>
        </w:rPr>
      </w:pPr>
      <w:r w:rsidRPr="0071464B">
        <w:rPr>
          <w:rFonts w:asciiTheme="majorBidi" w:hAnsiTheme="majorBidi" w:cstheme="majorBidi"/>
          <w:szCs w:val="24"/>
        </w:rPr>
        <w:br w:type="page"/>
      </w:r>
    </w:p>
    <w:p w14:paraId="5789F9D2" w14:textId="77777777" w:rsidR="00394804" w:rsidRPr="0071464B" w:rsidRDefault="00AB3159" w:rsidP="00BD5C4A">
      <w:pPr>
        <w:pStyle w:val="Heading1"/>
        <w:spacing w:line="480" w:lineRule="auto"/>
        <w:rPr>
          <w:rFonts w:asciiTheme="majorBidi" w:hAnsiTheme="majorBidi"/>
          <w:sz w:val="24"/>
          <w:szCs w:val="24"/>
        </w:rPr>
      </w:pPr>
      <w:bookmarkStart w:id="16" w:name="_Toc235796500"/>
      <w:r w:rsidRPr="0071464B">
        <w:rPr>
          <w:rFonts w:asciiTheme="majorBidi" w:hAnsiTheme="majorBidi"/>
          <w:sz w:val="24"/>
          <w:szCs w:val="24"/>
        </w:rPr>
        <w:lastRenderedPageBreak/>
        <w:t>References</w:t>
      </w:r>
      <w:bookmarkEnd w:id="16"/>
    </w:p>
    <w:p w14:paraId="6341D13E" w14:textId="0F66AD11"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Arnstein, S. R. (1969). A ladder of citizen participation. </w:t>
      </w:r>
      <w:r w:rsidRPr="0071464B">
        <w:rPr>
          <w:rFonts w:asciiTheme="majorBidi" w:hAnsiTheme="majorBidi" w:cstheme="majorBidi"/>
          <w:i/>
          <w:iCs/>
          <w:szCs w:val="24"/>
        </w:rPr>
        <w:t>Journal of the American Institute of planners</w:t>
      </w:r>
      <w:r w:rsidRPr="0071464B">
        <w:rPr>
          <w:rFonts w:asciiTheme="majorBidi" w:hAnsiTheme="majorBidi" w:cstheme="majorBidi"/>
          <w:szCs w:val="24"/>
        </w:rPr>
        <w:t>, </w:t>
      </w:r>
      <w:r w:rsidRPr="0071464B">
        <w:rPr>
          <w:rFonts w:asciiTheme="majorBidi" w:hAnsiTheme="majorBidi" w:cstheme="majorBidi"/>
          <w:i/>
          <w:iCs/>
          <w:szCs w:val="24"/>
        </w:rPr>
        <w:t>35</w:t>
      </w:r>
      <w:r w:rsidRPr="0071464B">
        <w:rPr>
          <w:rFonts w:asciiTheme="majorBidi" w:hAnsiTheme="majorBidi" w:cstheme="majorBidi"/>
          <w:szCs w:val="24"/>
        </w:rPr>
        <w:t xml:space="preserve">(4), 216-224. </w:t>
      </w:r>
      <w:hyperlink r:id="rId9" w:history="1">
        <w:r w:rsidRPr="0071464B">
          <w:rPr>
            <w:rStyle w:val="Hyperlink"/>
            <w:rFonts w:asciiTheme="majorBidi" w:hAnsiTheme="majorBidi" w:cstheme="majorBidi"/>
            <w:szCs w:val="24"/>
          </w:rPr>
          <w:t>https://doi.org/10.1080/01944366908977225</w:t>
        </w:r>
      </w:hyperlink>
      <w:r w:rsidRPr="0071464B">
        <w:rPr>
          <w:rFonts w:asciiTheme="majorBidi" w:hAnsiTheme="majorBidi" w:cstheme="majorBidi"/>
          <w:szCs w:val="24"/>
        </w:rPr>
        <w:t xml:space="preserve">. </w:t>
      </w:r>
    </w:p>
    <w:p w14:paraId="6F051D33" w14:textId="3EA8825F"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Bethlehem, J. (2010). Selection bias in web surveys. </w:t>
      </w:r>
      <w:r w:rsidRPr="0071464B">
        <w:rPr>
          <w:rFonts w:asciiTheme="majorBidi" w:hAnsiTheme="majorBidi" w:cstheme="majorBidi"/>
          <w:i/>
          <w:iCs/>
          <w:szCs w:val="24"/>
        </w:rPr>
        <w:t>International statistical review</w:t>
      </w:r>
      <w:r w:rsidRPr="0071464B">
        <w:rPr>
          <w:rFonts w:asciiTheme="majorBidi" w:hAnsiTheme="majorBidi" w:cstheme="majorBidi"/>
          <w:szCs w:val="24"/>
        </w:rPr>
        <w:t>, </w:t>
      </w:r>
      <w:r w:rsidRPr="0071464B">
        <w:rPr>
          <w:rFonts w:asciiTheme="majorBidi" w:hAnsiTheme="majorBidi" w:cstheme="majorBidi"/>
          <w:i/>
          <w:iCs/>
          <w:szCs w:val="24"/>
        </w:rPr>
        <w:t>78</w:t>
      </w:r>
      <w:r w:rsidRPr="0071464B">
        <w:rPr>
          <w:rFonts w:asciiTheme="majorBidi" w:hAnsiTheme="majorBidi" w:cstheme="majorBidi"/>
          <w:szCs w:val="24"/>
        </w:rPr>
        <w:t xml:space="preserve">(2), 161-188. </w:t>
      </w:r>
      <w:hyperlink r:id="rId10" w:history="1">
        <w:r w:rsidRPr="0071464B">
          <w:rPr>
            <w:rStyle w:val="Hyperlink"/>
            <w:rFonts w:asciiTheme="majorBidi" w:hAnsiTheme="majorBidi" w:cstheme="majorBidi"/>
            <w:szCs w:val="24"/>
          </w:rPr>
          <w:t>https://doi.org/10.1111/j.1751-5823.2010.00112.x</w:t>
        </w:r>
      </w:hyperlink>
      <w:r w:rsidRPr="0071464B">
        <w:rPr>
          <w:rFonts w:asciiTheme="majorBidi" w:hAnsiTheme="majorBidi" w:cstheme="majorBidi"/>
          <w:szCs w:val="24"/>
        </w:rPr>
        <w:t xml:space="preserve">. </w:t>
      </w:r>
    </w:p>
    <w:p w14:paraId="323E1A06" w14:textId="5E9E1AD8"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Bourne, L., &amp; Walker, D. H. (2005). Visualising and mapping stakeholder influence. </w:t>
      </w:r>
      <w:r w:rsidRPr="0071464B">
        <w:rPr>
          <w:rFonts w:asciiTheme="majorBidi" w:hAnsiTheme="majorBidi" w:cstheme="majorBidi"/>
          <w:i/>
          <w:iCs/>
          <w:szCs w:val="24"/>
        </w:rPr>
        <w:t>Management decision</w:t>
      </w:r>
      <w:r w:rsidRPr="0071464B">
        <w:rPr>
          <w:rFonts w:asciiTheme="majorBidi" w:hAnsiTheme="majorBidi" w:cstheme="majorBidi"/>
          <w:szCs w:val="24"/>
        </w:rPr>
        <w:t>, </w:t>
      </w:r>
      <w:r w:rsidRPr="0071464B">
        <w:rPr>
          <w:rFonts w:asciiTheme="majorBidi" w:hAnsiTheme="majorBidi" w:cstheme="majorBidi"/>
          <w:i/>
          <w:iCs/>
          <w:szCs w:val="24"/>
        </w:rPr>
        <w:t>43</w:t>
      </w:r>
      <w:r w:rsidRPr="0071464B">
        <w:rPr>
          <w:rFonts w:asciiTheme="majorBidi" w:hAnsiTheme="majorBidi" w:cstheme="majorBidi"/>
          <w:szCs w:val="24"/>
        </w:rPr>
        <w:t xml:space="preserve">(5), 649-660. </w:t>
      </w:r>
      <w:hyperlink r:id="rId11" w:history="1">
        <w:r w:rsidRPr="0071464B">
          <w:rPr>
            <w:rStyle w:val="Hyperlink"/>
            <w:rFonts w:asciiTheme="majorBidi" w:hAnsiTheme="majorBidi" w:cstheme="majorBidi"/>
            <w:szCs w:val="24"/>
          </w:rPr>
          <w:t>https://doi.org/10.1108/00251740510597680</w:t>
        </w:r>
      </w:hyperlink>
      <w:r w:rsidRPr="0071464B">
        <w:rPr>
          <w:rFonts w:asciiTheme="majorBidi" w:hAnsiTheme="majorBidi" w:cstheme="majorBidi"/>
          <w:szCs w:val="24"/>
        </w:rPr>
        <w:t xml:space="preserve">. </w:t>
      </w:r>
    </w:p>
    <w:p w14:paraId="1379329F" w14:textId="76AAE400"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Bryson, J. M. (2004). What to do when stakeholders matter: stakeholder identification and analysis techniques. </w:t>
      </w:r>
      <w:r w:rsidRPr="0071464B">
        <w:rPr>
          <w:rFonts w:asciiTheme="majorBidi" w:hAnsiTheme="majorBidi" w:cstheme="majorBidi"/>
          <w:i/>
          <w:iCs/>
          <w:szCs w:val="24"/>
        </w:rPr>
        <w:t>Public management review</w:t>
      </w:r>
      <w:r w:rsidRPr="0071464B">
        <w:rPr>
          <w:rFonts w:asciiTheme="majorBidi" w:hAnsiTheme="majorBidi" w:cstheme="majorBidi"/>
          <w:szCs w:val="24"/>
        </w:rPr>
        <w:t>, </w:t>
      </w:r>
      <w:r w:rsidRPr="0071464B">
        <w:rPr>
          <w:rFonts w:asciiTheme="majorBidi" w:hAnsiTheme="majorBidi" w:cstheme="majorBidi"/>
          <w:i/>
          <w:iCs/>
          <w:szCs w:val="24"/>
        </w:rPr>
        <w:t>6</w:t>
      </w:r>
      <w:r w:rsidRPr="0071464B">
        <w:rPr>
          <w:rFonts w:asciiTheme="majorBidi" w:hAnsiTheme="majorBidi" w:cstheme="majorBidi"/>
          <w:szCs w:val="24"/>
        </w:rPr>
        <w:t xml:space="preserve">(1), 21-53. </w:t>
      </w:r>
      <w:hyperlink r:id="rId12" w:history="1">
        <w:r w:rsidRPr="0071464B">
          <w:rPr>
            <w:rStyle w:val="Hyperlink"/>
            <w:rFonts w:asciiTheme="majorBidi" w:hAnsiTheme="majorBidi" w:cstheme="majorBidi"/>
            <w:szCs w:val="24"/>
          </w:rPr>
          <w:t>https://doi.org/10.1080/14719030410001675722</w:t>
        </w:r>
      </w:hyperlink>
      <w:r w:rsidRPr="0071464B">
        <w:rPr>
          <w:rFonts w:asciiTheme="majorBidi" w:hAnsiTheme="majorBidi" w:cstheme="majorBidi"/>
          <w:szCs w:val="24"/>
        </w:rPr>
        <w:t xml:space="preserve">. </w:t>
      </w:r>
    </w:p>
    <w:p w14:paraId="2B97BA75" w14:textId="05D55F50"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Cuganesan, S., &amp; Floris, M. (2020). Investigating perspective taking when infrastructure megaproject teams engage local communities: Navigating tensions and balancing perspectives. </w:t>
      </w:r>
      <w:r w:rsidRPr="0071464B">
        <w:rPr>
          <w:rFonts w:asciiTheme="majorBidi" w:hAnsiTheme="majorBidi" w:cstheme="majorBidi"/>
          <w:i/>
          <w:iCs/>
          <w:szCs w:val="24"/>
        </w:rPr>
        <w:t>International Journal of Project Management</w:t>
      </w:r>
      <w:r w:rsidRPr="0071464B">
        <w:rPr>
          <w:rFonts w:asciiTheme="majorBidi" w:hAnsiTheme="majorBidi" w:cstheme="majorBidi"/>
          <w:szCs w:val="24"/>
        </w:rPr>
        <w:t>, </w:t>
      </w:r>
      <w:r w:rsidRPr="0071464B">
        <w:rPr>
          <w:rFonts w:asciiTheme="majorBidi" w:hAnsiTheme="majorBidi" w:cstheme="majorBidi"/>
          <w:i/>
          <w:iCs/>
          <w:szCs w:val="24"/>
        </w:rPr>
        <w:t>38</w:t>
      </w:r>
      <w:r w:rsidRPr="0071464B">
        <w:rPr>
          <w:rFonts w:asciiTheme="majorBidi" w:hAnsiTheme="majorBidi" w:cstheme="majorBidi"/>
          <w:szCs w:val="24"/>
        </w:rPr>
        <w:t xml:space="preserve">(3), 153-164. </w:t>
      </w:r>
      <w:hyperlink r:id="rId13" w:history="1">
        <w:r w:rsidRPr="0071464B">
          <w:rPr>
            <w:rStyle w:val="Hyperlink"/>
            <w:rFonts w:asciiTheme="majorBidi" w:hAnsiTheme="majorBidi" w:cstheme="majorBidi"/>
            <w:szCs w:val="24"/>
          </w:rPr>
          <w:t>https://doi.org/10.1016/j.ijproman.2020.01.006</w:t>
        </w:r>
      </w:hyperlink>
      <w:r w:rsidRPr="0071464B">
        <w:rPr>
          <w:rFonts w:asciiTheme="majorBidi" w:hAnsiTheme="majorBidi" w:cstheme="majorBidi"/>
          <w:szCs w:val="24"/>
        </w:rPr>
        <w:t xml:space="preserve">. </w:t>
      </w:r>
    </w:p>
    <w:p w14:paraId="76D8D2EC" w14:textId="2A6C3B8B" w:rsidR="00394804" w:rsidRPr="0071464B" w:rsidRDefault="00AB3159"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Department for Transport (2022) Inclusive Mobility: A Guide to Best Practice on Access to Pedestrian and Transport Infrastructure. London: Department for Transport. Available at: </w:t>
      </w:r>
      <w:hyperlink r:id="rId14" w:history="1">
        <w:r w:rsidR="00BD5C4A" w:rsidRPr="0071464B">
          <w:rPr>
            <w:rStyle w:val="Hyperlink"/>
            <w:rFonts w:asciiTheme="majorBidi" w:hAnsiTheme="majorBidi" w:cstheme="majorBidi"/>
            <w:szCs w:val="24"/>
          </w:rPr>
          <w:t>https://www.gov.uk/government/publications/inclusive-mobility-making-transport-accessible-for-passengers-and-pedestrians</w:t>
        </w:r>
      </w:hyperlink>
      <w:r w:rsidR="00BD5C4A" w:rsidRPr="0071464B">
        <w:rPr>
          <w:rFonts w:asciiTheme="majorBidi" w:hAnsiTheme="majorBidi" w:cstheme="majorBidi"/>
          <w:szCs w:val="24"/>
        </w:rPr>
        <w:t xml:space="preserve"> </w:t>
      </w:r>
    </w:p>
    <w:p w14:paraId="77209F51" w14:textId="3E0BC771"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Dillman, D. A., Smyth, J. D., &amp; Christian, L. M. (2014). Internet, phone, mail, and mixed-mode surveys: The tailored design method. </w:t>
      </w:r>
      <w:r w:rsidRPr="0071464B">
        <w:rPr>
          <w:rFonts w:asciiTheme="majorBidi" w:hAnsiTheme="majorBidi" w:cstheme="majorBidi"/>
          <w:i/>
          <w:iCs/>
          <w:szCs w:val="24"/>
        </w:rPr>
        <w:t>Indianapolis, Indiana</w:t>
      </w:r>
      <w:r w:rsidRPr="0071464B">
        <w:rPr>
          <w:rFonts w:asciiTheme="majorBidi" w:hAnsiTheme="majorBidi" w:cstheme="majorBidi"/>
          <w:szCs w:val="24"/>
        </w:rPr>
        <w:t>, </w:t>
      </w:r>
      <w:r w:rsidRPr="0071464B">
        <w:rPr>
          <w:rFonts w:asciiTheme="majorBidi" w:hAnsiTheme="majorBidi" w:cstheme="majorBidi"/>
          <w:i/>
          <w:iCs/>
          <w:szCs w:val="24"/>
        </w:rPr>
        <w:t>17</w:t>
      </w:r>
      <w:r w:rsidRPr="0071464B">
        <w:rPr>
          <w:rFonts w:asciiTheme="majorBidi" w:hAnsiTheme="majorBidi" w:cstheme="majorBidi"/>
          <w:szCs w:val="24"/>
        </w:rPr>
        <w:t>.</w:t>
      </w:r>
    </w:p>
    <w:p w14:paraId="398CE2BC" w14:textId="4594135D"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Freeman, R. E. (1984). </w:t>
      </w:r>
      <w:r w:rsidRPr="0071464B">
        <w:rPr>
          <w:rFonts w:asciiTheme="majorBidi" w:hAnsiTheme="majorBidi" w:cstheme="majorBidi"/>
          <w:i/>
          <w:iCs/>
          <w:szCs w:val="24"/>
        </w:rPr>
        <w:t>Strategic management: A stakeholder approach</w:t>
      </w:r>
      <w:r w:rsidRPr="0071464B">
        <w:rPr>
          <w:rFonts w:asciiTheme="majorBidi" w:hAnsiTheme="majorBidi" w:cstheme="majorBidi"/>
          <w:szCs w:val="24"/>
        </w:rPr>
        <w:t>. Boston, MA: Pitman.</w:t>
      </w:r>
    </w:p>
    <w:p w14:paraId="6CE306F5" w14:textId="1EDABFA3"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Fung, A. (2006). Varieties of participation in complex governance. </w:t>
      </w:r>
      <w:r w:rsidRPr="0071464B">
        <w:rPr>
          <w:rFonts w:asciiTheme="majorBidi" w:hAnsiTheme="majorBidi" w:cstheme="majorBidi"/>
          <w:i/>
          <w:iCs/>
          <w:szCs w:val="24"/>
        </w:rPr>
        <w:t>Public administration review</w:t>
      </w:r>
      <w:r w:rsidRPr="0071464B">
        <w:rPr>
          <w:rFonts w:asciiTheme="majorBidi" w:hAnsiTheme="majorBidi" w:cstheme="majorBidi"/>
          <w:szCs w:val="24"/>
        </w:rPr>
        <w:t>, </w:t>
      </w:r>
      <w:r w:rsidRPr="0071464B">
        <w:rPr>
          <w:rFonts w:asciiTheme="majorBidi" w:hAnsiTheme="majorBidi" w:cstheme="majorBidi"/>
          <w:i/>
          <w:iCs/>
          <w:szCs w:val="24"/>
        </w:rPr>
        <w:t>66</w:t>
      </w:r>
      <w:r w:rsidRPr="0071464B">
        <w:rPr>
          <w:rFonts w:asciiTheme="majorBidi" w:hAnsiTheme="majorBidi" w:cstheme="majorBidi"/>
          <w:szCs w:val="24"/>
        </w:rPr>
        <w:t xml:space="preserve">, 66-75. </w:t>
      </w:r>
      <w:hyperlink r:id="rId15" w:history="1">
        <w:r w:rsidRPr="0071464B">
          <w:rPr>
            <w:rStyle w:val="Hyperlink"/>
            <w:rFonts w:asciiTheme="majorBidi" w:hAnsiTheme="majorBidi" w:cstheme="majorBidi"/>
            <w:szCs w:val="24"/>
          </w:rPr>
          <w:t>https://doi.org/10.1111/j.1540-6210.2006.00667.x</w:t>
        </w:r>
      </w:hyperlink>
      <w:r w:rsidRPr="0071464B">
        <w:rPr>
          <w:rFonts w:asciiTheme="majorBidi" w:hAnsiTheme="majorBidi" w:cstheme="majorBidi"/>
          <w:szCs w:val="24"/>
        </w:rPr>
        <w:t xml:space="preserve">. </w:t>
      </w:r>
    </w:p>
    <w:p w14:paraId="5C8EDBD7" w14:textId="672FB02A" w:rsidR="00394804" w:rsidRPr="0071464B" w:rsidRDefault="00AB3159"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lastRenderedPageBreak/>
        <w:t xml:space="preserve">Great Britain (2010) Equality Act 2010, c. 15. London: The Stationery Office. Available at: </w:t>
      </w:r>
      <w:hyperlink r:id="rId16" w:history="1">
        <w:r w:rsidR="00BD5C4A" w:rsidRPr="0071464B">
          <w:rPr>
            <w:rStyle w:val="Hyperlink"/>
            <w:rFonts w:asciiTheme="majorBidi" w:hAnsiTheme="majorBidi" w:cstheme="majorBidi"/>
            <w:szCs w:val="24"/>
          </w:rPr>
          <w:t>https://www.legislation.gov.uk/ukpga/2010/15/contents</w:t>
        </w:r>
      </w:hyperlink>
      <w:r w:rsidR="00BD5C4A" w:rsidRPr="0071464B">
        <w:rPr>
          <w:rFonts w:asciiTheme="majorBidi" w:hAnsiTheme="majorBidi" w:cstheme="majorBidi"/>
          <w:szCs w:val="24"/>
        </w:rPr>
        <w:t xml:space="preserve"> </w:t>
      </w:r>
    </w:p>
    <w:p w14:paraId="6F94A43D" w14:textId="3E25D013" w:rsidR="00394804" w:rsidRPr="0071464B" w:rsidRDefault="00AB3159"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Information Commissioner's Office (n.d.) UK GDPR Guidance and Resources. Wilmslow: ICO. Available at: </w:t>
      </w:r>
      <w:hyperlink r:id="rId17" w:history="1">
        <w:r w:rsidR="00BD5C4A" w:rsidRPr="0071464B">
          <w:rPr>
            <w:rStyle w:val="Hyperlink"/>
            <w:rFonts w:asciiTheme="majorBidi" w:hAnsiTheme="majorBidi" w:cstheme="majorBidi"/>
            <w:szCs w:val="24"/>
          </w:rPr>
          <w:t>https://ico.org.uk/for-organisations/uk-gdpr-guidance-and-resources/</w:t>
        </w:r>
      </w:hyperlink>
      <w:r w:rsidR="00BD5C4A" w:rsidRPr="0071464B">
        <w:rPr>
          <w:rFonts w:asciiTheme="majorBidi" w:hAnsiTheme="majorBidi" w:cstheme="majorBidi"/>
          <w:szCs w:val="24"/>
        </w:rPr>
        <w:t xml:space="preserve"> </w:t>
      </w:r>
    </w:p>
    <w:p w14:paraId="346DAFE6" w14:textId="23A149B5"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Innes, J. E., &amp; Booher, D. E. (2004). Reframing public participation: strategies for the 21st century. </w:t>
      </w:r>
      <w:r w:rsidRPr="0071464B">
        <w:rPr>
          <w:rFonts w:asciiTheme="majorBidi" w:hAnsiTheme="majorBidi" w:cstheme="majorBidi"/>
          <w:i/>
          <w:iCs/>
          <w:szCs w:val="24"/>
        </w:rPr>
        <w:t>Planning theory &amp; practice</w:t>
      </w:r>
      <w:r w:rsidRPr="0071464B">
        <w:rPr>
          <w:rFonts w:asciiTheme="majorBidi" w:hAnsiTheme="majorBidi" w:cstheme="majorBidi"/>
          <w:szCs w:val="24"/>
        </w:rPr>
        <w:t>, </w:t>
      </w:r>
      <w:r w:rsidRPr="0071464B">
        <w:rPr>
          <w:rFonts w:asciiTheme="majorBidi" w:hAnsiTheme="majorBidi" w:cstheme="majorBidi"/>
          <w:i/>
          <w:iCs/>
          <w:szCs w:val="24"/>
        </w:rPr>
        <w:t>5</w:t>
      </w:r>
      <w:r w:rsidRPr="0071464B">
        <w:rPr>
          <w:rFonts w:asciiTheme="majorBidi" w:hAnsiTheme="majorBidi" w:cstheme="majorBidi"/>
          <w:szCs w:val="24"/>
        </w:rPr>
        <w:t xml:space="preserve">(4), 419-436. </w:t>
      </w:r>
      <w:hyperlink r:id="rId18" w:history="1">
        <w:r w:rsidRPr="0071464B">
          <w:rPr>
            <w:rStyle w:val="Hyperlink"/>
            <w:rFonts w:asciiTheme="majorBidi" w:hAnsiTheme="majorBidi" w:cstheme="majorBidi"/>
            <w:szCs w:val="24"/>
          </w:rPr>
          <w:t>https://doi.org/10.1080/1464935042000293170</w:t>
        </w:r>
      </w:hyperlink>
      <w:r w:rsidRPr="0071464B">
        <w:rPr>
          <w:rFonts w:asciiTheme="majorBidi" w:hAnsiTheme="majorBidi" w:cstheme="majorBidi"/>
          <w:szCs w:val="24"/>
        </w:rPr>
        <w:t xml:space="preserve">. </w:t>
      </w:r>
    </w:p>
    <w:p w14:paraId="6F01C838" w14:textId="172ABE32" w:rsidR="00394804" w:rsidRPr="0071464B" w:rsidRDefault="00BD5C4A"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Lehtinen, J., &amp; Aaltonen, K. (2020). Organizing external stakeholder engagement in inter-organizational projects: Opening the black box. </w:t>
      </w:r>
      <w:r w:rsidRPr="0071464B">
        <w:rPr>
          <w:rFonts w:asciiTheme="majorBidi" w:hAnsiTheme="majorBidi" w:cstheme="majorBidi"/>
          <w:i/>
          <w:iCs/>
          <w:szCs w:val="24"/>
        </w:rPr>
        <w:t>International journal of project management</w:t>
      </w:r>
      <w:r w:rsidRPr="0071464B">
        <w:rPr>
          <w:rFonts w:asciiTheme="majorBidi" w:hAnsiTheme="majorBidi" w:cstheme="majorBidi"/>
          <w:szCs w:val="24"/>
        </w:rPr>
        <w:t>, </w:t>
      </w:r>
      <w:r w:rsidRPr="0071464B">
        <w:rPr>
          <w:rFonts w:asciiTheme="majorBidi" w:hAnsiTheme="majorBidi" w:cstheme="majorBidi"/>
          <w:i/>
          <w:iCs/>
          <w:szCs w:val="24"/>
        </w:rPr>
        <w:t>38</w:t>
      </w:r>
      <w:r w:rsidRPr="0071464B">
        <w:rPr>
          <w:rFonts w:asciiTheme="majorBidi" w:hAnsiTheme="majorBidi" w:cstheme="majorBidi"/>
          <w:szCs w:val="24"/>
        </w:rPr>
        <w:t xml:space="preserve">(2), 85-98. </w:t>
      </w:r>
      <w:hyperlink r:id="rId19" w:history="1">
        <w:r w:rsidRPr="0071464B">
          <w:rPr>
            <w:rStyle w:val="Hyperlink"/>
            <w:rFonts w:asciiTheme="majorBidi" w:hAnsiTheme="majorBidi" w:cstheme="majorBidi"/>
            <w:szCs w:val="24"/>
          </w:rPr>
          <w:t>https://doi.org/10.1016/j.ijproman.2019.12.001</w:t>
        </w:r>
      </w:hyperlink>
      <w:r w:rsidRPr="0071464B">
        <w:rPr>
          <w:rFonts w:asciiTheme="majorBidi" w:hAnsiTheme="majorBidi" w:cstheme="majorBidi"/>
          <w:szCs w:val="24"/>
        </w:rPr>
        <w:t xml:space="preserve">. </w:t>
      </w:r>
    </w:p>
    <w:p w14:paraId="326AF8FE" w14:textId="40883C3F"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Lehtinen, J., &amp; Aaltonen, K. (2024). Community stakeholders’ online engagement in infrastructure projects: a theory-testing single-case study. </w:t>
      </w:r>
      <w:r w:rsidRPr="0071464B">
        <w:rPr>
          <w:rFonts w:asciiTheme="majorBidi" w:hAnsiTheme="majorBidi" w:cstheme="majorBidi"/>
          <w:i/>
          <w:iCs/>
          <w:szCs w:val="24"/>
        </w:rPr>
        <w:t>Construction Management and Economics</w:t>
      </w:r>
      <w:r w:rsidRPr="0071464B">
        <w:rPr>
          <w:rFonts w:asciiTheme="majorBidi" w:hAnsiTheme="majorBidi" w:cstheme="majorBidi"/>
          <w:szCs w:val="24"/>
        </w:rPr>
        <w:t>, </w:t>
      </w:r>
      <w:r w:rsidRPr="0071464B">
        <w:rPr>
          <w:rFonts w:asciiTheme="majorBidi" w:hAnsiTheme="majorBidi" w:cstheme="majorBidi"/>
          <w:i/>
          <w:iCs/>
          <w:szCs w:val="24"/>
        </w:rPr>
        <w:t>42</w:t>
      </w:r>
      <w:r w:rsidRPr="0071464B">
        <w:rPr>
          <w:rFonts w:asciiTheme="majorBidi" w:hAnsiTheme="majorBidi" w:cstheme="majorBidi"/>
          <w:szCs w:val="24"/>
        </w:rPr>
        <w:t xml:space="preserve">(8), 758-786. </w:t>
      </w:r>
      <w:hyperlink r:id="rId20" w:history="1">
        <w:r w:rsidRPr="0071464B">
          <w:rPr>
            <w:rStyle w:val="Hyperlink"/>
            <w:rFonts w:asciiTheme="majorBidi" w:hAnsiTheme="majorBidi" w:cstheme="majorBidi"/>
            <w:szCs w:val="24"/>
          </w:rPr>
          <w:t>https://doi.org/10.1080/01446193.2024.2326558</w:t>
        </w:r>
      </w:hyperlink>
      <w:r w:rsidRPr="0071464B">
        <w:rPr>
          <w:rFonts w:asciiTheme="majorBidi" w:hAnsiTheme="majorBidi" w:cstheme="majorBidi"/>
          <w:szCs w:val="24"/>
        </w:rPr>
        <w:t xml:space="preserve">. </w:t>
      </w:r>
    </w:p>
    <w:p w14:paraId="4CDEEA6F" w14:textId="5E97A42F"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Lucas, K., Mattioli, G., </w:t>
      </w:r>
      <w:proofErr w:type="spellStart"/>
      <w:r w:rsidRPr="0071464B">
        <w:rPr>
          <w:rFonts w:asciiTheme="majorBidi" w:hAnsiTheme="majorBidi" w:cstheme="majorBidi"/>
          <w:szCs w:val="24"/>
        </w:rPr>
        <w:t>Verlinghieri</w:t>
      </w:r>
      <w:proofErr w:type="spellEnd"/>
      <w:r w:rsidRPr="0071464B">
        <w:rPr>
          <w:rFonts w:asciiTheme="majorBidi" w:hAnsiTheme="majorBidi" w:cstheme="majorBidi"/>
          <w:szCs w:val="24"/>
        </w:rPr>
        <w:t>, E., &amp; Guzman, A. (2016, December). Transport poverty and its adverse social consequences. In </w:t>
      </w:r>
      <w:r w:rsidRPr="0071464B">
        <w:rPr>
          <w:rFonts w:asciiTheme="majorBidi" w:hAnsiTheme="majorBidi" w:cstheme="majorBidi"/>
          <w:i/>
          <w:iCs/>
          <w:szCs w:val="24"/>
        </w:rPr>
        <w:t>Proceedings of the institution of civil engineers-transport</w:t>
      </w:r>
      <w:r w:rsidRPr="0071464B">
        <w:rPr>
          <w:rFonts w:asciiTheme="majorBidi" w:hAnsiTheme="majorBidi" w:cstheme="majorBidi"/>
          <w:szCs w:val="24"/>
        </w:rPr>
        <w:t xml:space="preserve"> (Vol. 169, No. 6, pp. 353-365). Thomas Telford Ltd. </w:t>
      </w:r>
      <w:hyperlink r:id="rId21" w:history="1">
        <w:r w:rsidRPr="0071464B">
          <w:rPr>
            <w:rStyle w:val="Hyperlink"/>
            <w:rFonts w:asciiTheme="majorBidi" w:hAnsiTheme="majorBidi" w:cstheme="majorBidi"/>
            <w:szCs w:val="24"/>
          </w:rPr>
          <w:t>https://doi.org/10.1680/jtran.15.00073</w:t>
        </w:r>
      </w:hyperlink>
      <w:r w:rsidRPr="0071464B">
        <w:rPr>
          <w:rFonts w:asciiTheme="majorBidi" w:hAnsiTheme="majorBidi" w:cstheme="majorBidi"/>
          <w:szCs w:val="24"/>
        </w:rPr>
        <w:t xml:space="preserve">. </w:t>
      </w:r>
    </w:p>
    <w:p w14:paraId="1ED48D14" w14:textId="499FC7B3"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Mitchell, R. K., Agle, B. R., &amp; Wood, D. J. (1997). Toward a theory of stakeholder identification and salience: Defining the principle of who and what really counts. </w:t>
      </w:r>
      <w:r w:rsidRPr="0071464B">
        <w:rPr>
          <w:rFonts w:asciiTheme="majorBidi" w:hAnsiTheme="majorBidi" w:cstheme="majorBidi"/>
          <w:i/>
          <w:iCs/>
          <w:szCs w:val="24"/>
        </w:rPr>
        <w:t>Academy of management review</w:t>
      </w:r>
      <w:r w:rsidRPr="0071464B">
        <w:rPr>
          <w:rFonts w:asciiTheme="majorBidi" w:hAnsiTheme="majorBidi" w:cstheme="majorBidi"/>
          <w:szCs w:val="24"/>
        </w:rPr>
        <w:t>, </w:t>
      </w:r>
      <w:r w:rsidRPr="0071464B">
        <w:rPr>
          <w:rFonts w:asciiTheme="majorBidi" w:hAnsiTheme="majorBidi" w:cstheme="majorBidi"/>
          <w:i/>
          <w:iCs/>
          <w:szCs w:val="24"/>
        </w:rPr>
        <w:t>22</w:t>
      </w:r>
      <w:r w:rsidRPr="0071464B">
        <w:rPr>
          <w:rFonts w:asciiTheme="majorBidi" w:hAnsiTheme="majorBidi" w:cstheme="majorBidi"/>
          <w:szCs w:val="24"/>
        </w:rPr>
        <w:t xml:space="preserve">(4), 853-886. </w:t>
      </w:r>
      <w:hyperlink r:id="rId22" w:history="1">
        <w:r w:rsidRPr="0071464B">
          <w:rPr>
            <w:rStyle w:val="Hyperlink"/>
            <w:rFonts w:asciiTheme="majorBidi" w:hAnsiTheme="majorBidi" w:cstheme="majorBidi"/>
            <w:szCs w:val="24"/>
          </w:rPr>
          <w:t>https://doi.org/10.5465/amr.1997.9711022105</w:t>
        </w:r>
      </w:hyperlink>
      <w:r w:rsidRPr="0071464B">
        <w:rPr>
          <w:rFonts w:asciiTheme="majorBidi" w:hAnsiTheme="majorBidi" w:cstheme="majorBidi"/>
          <w:szCs w:val="24"/>
        </w:rPr>
        <w:t xml:space="preserve">. </w:t>
      </w:r>
    </w:p>
    <w:p w14:paraId="5B34E931" w14:textId="47C92B81"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Olander, S. (2007). Stakeholder impact analysis in construction project management. </w:t>
      </w:r>
      <w:r w:rsidRPr="0071464B">
        <w:rPr>
          <w:rFonts w:asciiTheme="majorBidi" w:hAnsiTheme="majorBidi" w:cstheme="majorBidi"/>
          <w:i/>
          <w:iCs/>
          <w:szCs w:val="24"/>
        </w:rPr>
        <w:t>Construction management and economics</w:t>
      </w:r>
      <w:r w:rsidRPr="0071464B">
        <w:rPr>
          <w:rFonts w:asciiTheme="majorBidi" w:hAnsiTheme="majorBidi" w:cstheme="majorBidi"/>
          <w:szCs w:val="24"/>
        </w:rPr>
        <w:t>, </w:t>
      </w:r>
      <w:r w:rsidRPr="0071464B">
        <w:rPr>
          <w:rFonts w:asciiTheme="majorBidi" w:hAnsiTheme="majorBidi" w:cstheme="majorBidi"/>
          <w:i/>
          <w:iCs/>
          <w:szCs w:val="24"/>
        </w:rPr>
        <w:t>25</w:t>
      </w:r>
      <w:r w:rsidRPr="0071464B">
        <w:rPr>
          <w:rFonts w:asciiTheme="majorBidi" w:hAnsiTheme="majorBidi" w:cstheme="majorBidi"/>
          <w:szCs w:val="24"/>
        </w:rPr>
        <w:t xml:space="preserve">(3), 277-287. </w:t>
      </w:r>
      <w:hyperlink r:id="rId23" w:history="1">
        <w:r w:rsidRPr="0071464B">
          <w:rPr>
            <w:rStyle w:val="Hyperlink"/>
            <w:rFonts w:asciiTheme="majorBidi" w:hAnsiTheme="majorBidi" w:cstheme="majorBidi"/>
            <w:szCs w:val="24"/>
          </w:rPr>
          <w:t>https://doi.org/10.1080/01446190600879125</w:t>
        </w:r>
      </w:hyperlink>
      <w:r w:rsidRPr="0071464B">
        <w:rPr>
          <w:rFonts w:asciiTheme="majorBidi" w:hAnsiTheme="majorBidi" w:cstheme="majorBidi"/>
          <w:szCs w:val="24"/>
        </w:rPr>
        <w:t xml:space="preserve">. </w:t>
      </w:r>
    </w:p>
    <w:p w14:paraId="17E2EE18" w14:textId="6553FB7F"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lastRenderedPageBreak/>
        <w:t>Quick, K. S., &amp; Feldman, M. S. (2011). Distinguishing participation and inclusion. </w:t>
      </w:r>
      <w:r w:rsidRPr="0071464B">
        <w:rPr>
          <w:rFonts w:asciiTheme="majorBidi" w:hAnsiTheme="majorBidi" w:cstheme="majorBidi"/>
          <w:i/>
          <w:iCs/>
          <w:szCs w:val="24"/>
        </w:rPr>
        <w:t>Journal of planning education and research</w:t>
      </w:r>
      <w:r w:rsidRPr="0071464B">
        <w:rPr>
          <w:rFonts w:asciiTheme="majorBidi" w:hAnsiTheme="majorBidi" w:cstheme="majorBidi"/>
          <w:szCs w:val="24"/>
        </w:rPr>
        <w:t>, </w:t>
      </w:r>
      <w:r w:rsidRPr="0071464B">
        <w:rPr>
          <w:rFonts w:asciiTheme="majorBidi" w:hAnsiTheme="majorBidi" w:cstheme="majorBidi"/>
          <w:i/>
          <w:iCs/>
          <w:szCs w:val="24"/>
        </w:rPr>
        <w:t>31</w:t>
      </w:r>
      <w:r w:rsidRPr="0071464B">
        <w:rPr>
          <w:rFonts w:asciiTheme="majorBidi" w:hAnsiTheme="majorBidi" w:cstheme="majorBidi"/>
          <w:szCs w:val="24"/>
        </w:rPr>
        <w:t xml:space="preserve">(3), 272-290. </w:t>
      </w:r>
      <w:hyperlink r:id="rId24" w:history="1">
        <w:r w:rsidRPr="0071464B">
          <w:rPr>
            <w:rStyle w:val="Hyperlink"/>
            <w:rFonts w:asciiTheme="majorBidi" w:hAnsiTheme="majorBidi" w:cstheme="majorBidi"/>
            <w:szCs w:val="24"/>
          </w:rPr>
          <w:t>https://doi.org/10.1177/0739456X11410979</w:t>
        </w:r>
      </w:hyperlink>
      <w:r w:rsidRPr="0071464B">
        <w:rPr>
          <w:rFonts w:asciiTheme="majorBidi" w:hAnsiTheme="majorBidi" w:cstheme="majorBidi"/>
          <w:szCs w:val="24"/>
        </w:rPr>
        <w:t xml:space="preserve">. </w:t>
      </w:r>
    </w:p>
    <w:p w14:paraId="77D4DAC5" w14:textId="6CC3B60C"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Reed, M. S. (2008). Stakeholder participation for environmental management: a literature review. </w:t>
      </w:r>
      <w:r w:rsidRPr="0071464B">
        <w:rPr>
          <w:rFonts w:asciiTheme="majorBidi" w:hAnsiTheme="majorBidi" w:cstheme="majorBidi"/>
          <w:i/>
          <w:iCs/>
          <w:szCs w:val="24"/>
        </w:rPr>
        <w:t>Biological conservation</w:t>
      </w:r>
      <w:r w:rsidRPr="0071464B">
        <w:rPr>
          <w:rFonts w:asciiTheme="majorBidi" w:hAnsiTheme="majorBidi" w:cstheme="majorBidi"/>
          <w:szCs w:val="24"/>
        </w:rPr>
        <w:t>, </w:t>
      </w:r>
      <w:r w:rsidRPr="0071464B">
        <w:rPr>
          <w:rFonts w:asciiTheme="majorBidi" w:hAnsiTheme="majorBidi" w:cstheme="majorBidi"/>
          <w:i/>
          <w:iCs/>
          <w:szCs w:val="24"/>
        </w:rPr>
        <w:t>141</w:t>
      </w:r>
      <w:r w:rsidRPr="0071464B">
        <w:rPr>
          <w:rFonts w:asciiTheme="majorBidi" w:hAnsiTheme="majorBidi" w:cstheme="majorBidi"/>
          <w:szCs w:val="24"/>
        </w:rPr>
        <w:t xml:space="preserve">(10), 2417-2431. </w:t>
      </w:r>
      <w:hyperlink r:id="rId25" w:history="1">
        <w:r w:rsidRPr="0071464B">
          <w:rPr>
            <w:rStyle w:val="Hyperlink"/>
            <w:rFonts w:asciiTheme="majorBidi" w:hAnsiTheme="majorBidi" w:cstheme="majorBidi"/>
            <w:szCs w:val="24"/>
          </w:rPr>
          <w:t>https://doi.org/10.1016/j.biocon.2008.07.014</w:t>
        </w:r>
      </w:hyperlink>
      <w:r w:rsidRPr="0071464B">
        <w:rPr>
          <w:rFonts w:asciiTheme="majorBidi" w:hAnsiTheme="majorBidi" w:cstheme="majorBidi"/>
          <w:szCs w:val="24"/>
        </w:rPr>
        <w:t xml:space="preserve">. </w:t>
      </w:r>
    </w:p>
    <w:p w14:paraId="3BD99F6B" w14:textId="4BF0ACCE"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Rowe, G., &amp; </w:t>
      </w:r>
      <w:proofErr w:type="spellStart"/>
      <w:r w:rsidRPr="0071464B">
        <w:rPr>
          <w:rFonts w:asciiTheme="majorBidi" w:hAnsiTheme="majorBidi" w:cstheme="majorBidi"/>
          <w:szCs w:val="24"/>
        </w:rPr>
        <w:t>Frewer</w:t>
      </w:r>
      <w:proofErr w:type="spellEnd"/>
      <w:r w:rsidRPr="0071464B">
        <w:rPr>
          <w:rFonts w:asciiTheme="majorBidi" w:hAnsiTheme="majorBidi" w:cstheme="majorBidi"/>
          <w:szCs w:val="24"/>
        </w:rPr>
        <w:t>, L. J. (2000). Public participation methods: a framework for evaluation. </w:t>
      </w:r>
      <w:r w:rsidRPr="0071464B">
        <w:rPr>
          <w:rFonts w:asciiTheme="majorBidi" w:hAnsiTheme="majorBidi" w:cstheme="majorBidi"/>
          <w:i/>
          <w:iCs/>
          <w:szCs w:val="24"/>
        </w:rPr>
        <w:t>Science, technology, &amp; human values</w:t>
      </w:r>
      <w:r w:rsidRPr="0071464B">
        <w:rPr>
          <w:rFonts w:asciiTheme="majorBidi" w:hAnsiTheme="majorBidi" w:cstheme="majorBidi"/>
          <w:szCs w:val="24"/>
        </w:rPr>
        <w:t>, </w:t>
      </w:r>
      <w:r w:rsidRPr="0071464B">
        <w:rPr>
          <w:rFonts w:asciiTheme="majorBidi" w:hAnsiTheme="majorBidi" w:cstheme="majorBidi"/>
          <w:i/>
          <w:iCs/>
          <w:szCs w:val="24"/>
        </w:rPr>
        <w:t>25</w:t>
      </w:r>
      <w:r w:rsidRPr="0071464B">
        <w:rPr>
          <w:rFonts w:asciiTheme="majorBidi" w:hAnsiTheme="majorBidi" w:cstheme="majorBidi"/>
          <w:szCs w:val="24"/>
        </w:rPr>
        <w:t xml:space="preserve">(1), 3-29. </w:t>
      </w:r>
      <w:hyperlink r:id="rId26" w:history="1">
        <w:r w:rsidRPr="0071464B">
          <w:rPr>
            <w:rStyle w:val="Hyperlink"/>
            <w:rFonts w:asciiTheme="majorBidi" w:hAnsiTheme="majorBidi" w:cstheme="majorBidi"/>
            <w:szCs w:val="24"/>
          </w:rPr>
          <w:t>https://doi.org/10.1177/016224390002500101</w:t>
        </w:r>
      </w:hyperlink>
      <w:r w:rsidRPr="0071464B">
        <w:rPr>
          <w:rFonts w:asciiTheme="majorBidi" w:hAnsiTheme="majorBidi" w:cstheme="majorBidi"/>
          <w:szCs w:val="24"/>
        </w:rPr>
        <w:t xml:space="preserve">. </w:t>
      </w:r>
    </w:p>
    <w:p w14:paraId="26C59C6C" w14:textId="50503114" w:rsidR="00394804" w:rsidRPr="0071464B" w:rsidRDefault="00AB3159"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Salford City Council (2023) Salford Local Plan: Development Management Policies and Designations. Salford: Salford City Council. Available at: </w:t>
      </w:r>
      <w:hyperlink r:id="rId27" w:history="1">
        <w:r w:rsidR="009D28C7" w:rsidRPr="0071464B">
          <w:rPr>
            <w:rStyle w:val="Hyperlink"/>
            <w:rFonts w:asciiTheme="majorBidi" w:hAnsiTheme="majorBidi" w:cstheme="majorBidi"/>
            <w:szCs w:val="24"/>
          </w:rPr>
          <w:t>https://www.salford.gov.uk/planning-building-and-regeneration/planning-policies/local-planning-policy/salfords-development-plan/salford-local-plan/</w:t>
        </w:r>
      </w:hyperlink>
      <w:r w:rsidR="009D28C7" w:rsidRPr="0071464B">
        <w:rPr>
          <w:rFonts w:asciiTheme="majorBidi" w:hAnsiTheme="majorBidi" w:cstheme="majorBidi"/>
          <w:szCs w:val="24"/>
        </w:rPr>
        <w:t xml:space="preserve"> </w:t>
      </w:r>
    </w:p>
    <w:p w14:paraId="060E98D4" w14:textId="7BCAB851" w:rsidR="00394804" w:rsidRPr="0071464B" w:rsidRDefault="009D28C7" w:rsidP="009D28C7">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Schön, D. A. (2017). </w:t>
      </w:r>
      <w:r w:rsidRPr="0071464B">
        <w:rPr>
          <w:rFonts w:asciiTheme="majorBidi" w:hAnsiTheme="majorBidi" w:cstheme="majorBidi"/>
          <w:i/>
          <w:iCs/>
          <w:szCs w:val="24"/>
        </w:rPr>
        <w:t>The reflective practitioner: How professionals think in action</w:t>
      </w:r>
      <w:r w:rsidRPr="0071464B">
        <w:rPr>
          <w:rFonts w:asciiTheme="majorBidi" w:hAnsiTheme="majorBidi" w:cstheme="majorBidi"/>
          <w:szCs w:val="24"/>
        </w:rPr>
        <w:t>. Routledge.</w:t>
      </w:r>
    </w:p>
    <w:p w14:paraId="7909BC54" w14:textId="7A9551BF" w:rsidR="00394804" w:rsidRPr="00BD5C4A" w:rsidRDefault="00AB3159" w:rsidP="00BD5C4A">
      <w:pPr>
        <w:spacing w:after="60" w:line="480" w:lineRule="auto"/>
        <w:ind w:left="369" w:hanging="369"/>
        <w:rPr>
          <w:rFonts w:asciiTheme="majorBidi" w:hAnsiTheme="majorBidi" w:cstheme="majorBidi"/>
          <w:szCs w:val="24"/>
        </w:rPr>
      </w:pPr>
      <w:r w:rsidRPr="0071464B">
        <w:rPr>
          <w:rFonts w:asciiTheme="majorBidi" w:hAnsiTheme="majorBidi" w:cstheme="majorBidi"/>
          <w:szCs w:val="24"/>
        </w:rPr>
        <w:t xml:space="preserve">Transport for Greater Manchester (2026) Greater Manchester Transport Strategy 2050. Manchester: TfGM. Available at: </w:t>
      </w:r>
      <w:hyperlink r:id="rId28" w:history="1">
        <w:r w:rsidR="009D28C7" w:rsidRPr="0071464B">
          <w:rPr>
            <w:rStyle w:val="Hyperlink"/>
            <w:rFonts w:asciiTheme="majorBidi" w:hAnsiTheme="majorBidi" w:cstheme="majorBidi"/>
            <w:szCs w:val="24"/>
          </w:rPr>
          <w:t>https://tfgm.com/strategy</w:t>
        </w:r>
      </w:hyperlink>
      <w:r w:rsidR="009D28C7" w:rsidRPr="009D28C7">
        <w:rPr>
          <w:rFonts w:asciiTheme="majorBidi" w:hAnsiTheme="majorBidi" w:cstheme="majorBidi"/>
          <w:szCs w:val="24"/>
        </w:rPr>
        <w:t xml:space="preserve"> </w:t>
      </w:r>
    </w:p>
    <w:sectPr w:rsidR="00394804" w:rsidRPr="00BD5C4A" w:rsidSect="005010CC">
      <w:footerReference w:type="default" r:id="rId29"/>
      <w:pgSz w:w="11906" w:h="16838"/>
      <w:pgMar w:top="1304" w:right="1361" w:bottom="1304" w:left="1361" w:header="680" w:footer="680" w:gutter="0"/>
      <w:pgBorders w:offsetFrom="page">
        <w:top w:val="double" w:sz="4" w:space="24" w:color="auto"/>
        <w:left w:val="double" w:sz="4" w:space="24" w:color="auto"/>
        <w:bottom w:val="double" w:sz="4" w:space="24" w:color="auto"/>
        <w:right w:val="doub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F3AC2" w14:textId="77777777" w:rsidR="00E70782" w:rsidRPr="009D28C7" w:rsidRDefault="00E70782">
      <w:pPr>
        <w:spacing w:after="0" w:line="240" w:lineRule="auto"/>
      </w:pPr>
      <w:r w:rsidRPr="009D28C7">
        <w:separator/>
      </w:r>
    </w:p>
  </w:endnote>
  <w:endnote w:type="continuationSeparator" w:id="0">
    <w:p w14:paraId="79996592" w14:textId="77777777" w:rsidR="00E70782" w:rsidRPr="009D28C7" w:rsidRDefault="00E70782">
      <w:pPr>
        <w:spacing w:after="0" w:line="240" w:lineRule="auto"/>
      </w:pPr>
      <w:r w:rsidRPr="009D28C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1406772"/>
      <w:docPartObj>
        <w:docPartGallery w:val="Page Numbers (Bottom of Page)"/>
        <w:docPartUnique/>
      </w:docPartObj>
    </w:sdtPr>
    <w:sdtEndPr>
      <w:rPr>
        <w:color w:val="7F7F7F" w:themeColor="background1" w:themeShade="7F"/>
        <w:spacing w:val="60"/>
      </w:rPr>
    </w:sdtEndPr>
    <w:sdtContent>
      <w:p w14:paraId="4E7837F9" w14:textId="4FF3DF74" w:rsidR="005010CC" w:rsidRDefault="005010C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320B45" w14:textId="4D265903" w:rsidR="00394804" w:rsidRPr="009D28C7" w:rsidRDefault="0039480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845E8E" w14:textId="77777777" w:rsidR="00E70782" w:rsidRPr="009D28C7" w:rsidRDefault="00E70782">
      <w:pPr>
        <w:spacing w:after="0" w:line="240" w:lineRule="auto"/>
      </w:pPr>
      <w:r w:rsidRPr="009D28C7">
        <w:separator/>
      </w:r>
    </w:p>
  </w:footnote>
  <w:footnote w:type="continuationSeparator" w:id="0">
    <w:p w14:paraId="78F97B0F" w14:textId="77777777" w:rsidR="00E70782" w:rsidRPr="009D28C7" w:rsidRDefault="00E70782">
      <w:pPr>
        <w:spacing w:after="0" w:line="240" w:lineRule="auto"/>
      </w:pPr>
      <w:r w:rsidRPr="009D28C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66235130">
    <w:abstractNumId w:val="8"/>
  </w:num>
  <w:num w:numId="2" w16cid:durableId="637996387">
    <w:abstractNumId w:val="6"/>
  </w:num>
  <w:num w:numId="3" w16cid:durableId="720207055">
    <w:abstractNumId w:val="5"/>
  </w:num>
  <w:num w:numId="4" w16cid:durableId="1770199975">
    <w:abstractNumId w:val="4"/>
  </w:num>
  <w:num w:numId="5" w16cid:durableId="767118259">
    <w:abstractNumId w:val="7"/>
  </w:num>
  <w:num w:numId="6" w16cid:durableId="889852130">
    <w:abstractNumId w:val="3"/>
  </w:num>
  <w:num w:numId="7" w16cid:durableId="1331252193">
    <w:abstractNumId w:val="2"/>
  </w:num>
  <w:num w:numId="8" w16cid:durableId="1425304556">
    <w:abstractNumId w:val="1"/>
  </w:num>
  <w:num w:numId="9" w16cid:durableId="2280822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6491"/>
    <w:rsid w:val="0006063C"/>
    <w:rsid w:val="0015074B"/>
    <w:rsid w:val="0029639D"/>
    <w:rsid w:val="00326F90"/>
    <w:rsid w:val="00394804"/>
    <w:rsid w:val="005010CC"/>
    <w:rsid w:val="0071464B"/>
    <w:rsid w:val="0086631F"/>
    <w:rsid w:val="009D28C7"/>
    <w:rsid w:val="00AA1D8D"/>
    <w:rsid w:val="00AB3159"/>
    <w:rsid w:val="00B47730"/>
    <w:rsid w:val="00B6132F"/>
    <w:rsid w:val="00B9471A"/>
    <w:rsid w:val="00BD5C4A"/>
    <w:rsid w:val="00C14215"/>
    <w:rsid w:val="00C27F46"/>
    <w:rsid w:val="00CB0664"/>
    <w:rsid w:val="00E70782"/>
    <w:rsid w:val="00EA372B"/>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705058"/>
  <w14:defaultImageDpi w14:val="300"/>
  <w15:docId w15:val="{28D1BAB8-D65F-4534-8E86-BADB10EDE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jc w:val="both"/>
    </w:pPr>
    <w:rPr>
      <w:rFonts w:ascii="Times New Roman" w:hAnsi="Times New Roman"/>
      <w:sz w:val="24"/>
      <w:lang w:val="en-GB"/>
    </w:rPr>
  </w:style>
  <w:style w:type="paragraph" w:styleId="Heading1">
    <w:name w:val="heading 1"/>
    <w:basedOn w:val="Normal"/>
    <w:next w:val="Normal"/>
    <w:link w:val="Heading1Char"/>
    <w:uiPriority w:val="9"/>
    <w:qFormat/>
    <w:rsid w:val="00FC693F"/>
    <w:pPr>
      <w:keepNext/>
      <w:keepLines/>
      <w:spacing w:before="240" w:after="14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BD5C4A"/>
    <w:pPr>
      <w:keepNext/>
      <w:keepLines/>
      <w:spacing w:before="200" w:after="100" w:line="480" w:lineRule="auto"/>
      <w:outlineLvl w:val="1"/>
    </w:pPr>
    <w:rPr>
      <w:rFonts w:asciiTheme="majorBidi" w:eastAsiaTheme="majorEastAsia" w:hAnsiTheme="majorBidi" w:cstheme="majorBidi"/>
      <w:b/>
      <w:bCs/>
      <w:i/>
      <w:iCs/>
      <w:color w:val="000000"/>
      <w:szCs w:val="24"/>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D5C4A"/>
    <w:rPr>
      <w:rFonts w:asciiTheme="majorBidi" w:eastAsiaTheme="majorEastAsia" w:hAnsiTheme="majorBidi" w:cstheme="majorBidi"/>
      <w:b/>
      <w:bCs/>
      <w:i/>
      <w:iCs/>
      <w:color w:val="000000"/>
      <w:sz w:val="24"/>
      <w:szCs w:val="24"/>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200" w:line="240" w:lineRule="auto"/>
      <w:contextualSpacing/>
      <w:jc w:val="center"/>
    </w:pPr>
    <w:rPr>
      <w:rFonts w:asciiTheme="majorHAnsi" w:eastAsiaTheme="majorEastAsia" w:hAnsiTheme="majorHAnsi" w:cstheme="majorBidi"/>
      <w:b/>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after="160"/>
      <w:jc w:val="center"/>
    </w:pPr>
    <w:rPr>
      <w:rFonts w:asciiTheme="majorHAnsi" w:eastAsiaTheme="majorEastAsia" w:hAnsiTheme="majorHAnsi" w:cstheme="majorBidi"/>
      <w:i/>
      <w:iCs/>
      <w:color w:val="4F81BD" w:themeColor="accent1"/>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BD5C4A"/>
    <w:rPr>
      <w:color w:val="0000FF" w:themeColor="hyperlink"/>
      <w:u w:val="single"/>
    </w:rPr>
  </w:style>
  <w:style w:type="character" w:styleId="UnresolvedMention">
    <w:name w:val="Unresolved Mention"/>
    <w:basedOn w:val="DefaultParagraphFont"/>
    <w:uiPriority w:val="99"/>
    <w:semiHidden/>
    <w:unhideWhenUsed/>
    <w:rsid w:val="00BD5C4A"/>
    <w:rPr>
      <w:color w:val="605E5C"/>
      <w:shd w:val="clear" w:color="auto" w:fill="E1DFDD"/>
    </w:rPr>
  </w:style>
  <w:style w:type="paragraph" w:styleId="TOC1">
    <w:name w:val="toc 1"/>
    <w:basedOn w:val="Normal"/>
    <w:next w:val="Normal"/>
    <w:autoRedefine/>
    <w:uiPriority w:val="39"/>
    <w:unhideWhenUsed/>
    <w:rsid w:val="0071464B"/>
    <w:pPr>
      <w:spacing w:after="100"/>
    </w:pPr>
  </w:style>
  <w:style w:type="paragraph" w:styleId="TOC2">
    <w:name w:val="toc 2"/>
    <w:basedOn w:val="Normal"/>
    <w:next w:val="Normal"/>
    <w:autoRedefine/>
    <w:uiPriority w:val="39"/>
    <w:unhideWhenUsed/>
    <w:rsid w:val="0071464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ijproman.2020.01.006" TargetMode="External"/><Relationship Id="rId18" Type="http://schemas.openxmlformats.org/officeDocument/2006/relationships/hyperlink" Target="https://doi.org/10.1080/1464935042000293170" TargetMode="External"/><Relationship Id="rId26" Type="http://schemas.openxmlformats.org/officeDocument/2006/relationships/hyperlink" Target="https://doi.org/10.1177/016224390002500101" TargetMode="External"/><Relationship Id="rId3" Type="http://schemas.openxmlformats.org/officeDocument/2006/relationships/styles" Target="styles.xml"/><Relationship Id="rId21" Type="http://schemas.openxmlformats.org/officeDocument/2006/relationships/hyperlink" Target="https://doi.org/10.1680/jtran.15.00073" TargetMode="External"/><Relationship Id="rId7" Type="http://schemas.openxmlformats.org/officeDocument/2006/relationships/endnotes" Target="endnotes.xml"/><Relationship Id="rId12" Type="http://schemas.openxmlformats.org/officeDocument/2006/relationships/hyperlink" Target="https://doi.org/10.1080/14719030410001675722" TargetMode="External"/><Relationship Id="rId17" Type="http://schemas.openxmlformats.org/officeDocument/2006/relationships/hyperlink" Target="https://ico.org.uk/for-organisations/uk-gdpr-guidance-and-resources/" TargetMode="External"/><Relationship Id="rId25" Type="http://schemas.openxmlformats.org/officeDocument/2006/relationships/hyperlink" Target="https://doi.org/10.1016/j.biocon.2008.07.014" TargetMode="External"/><Relationship Id="rId2" Type="http://schemas.openxmlformats.org/officeDocument/2006/relationships/numbering" Target="numbering.xml"/><Relationship Id="rId16" Type="http://schemas.openxmlformats.org/officeDocument/2006/relationships/hyperlink" Target="https://www.legislation.gov.uk/ukpga/2010/15/contents" TargetMode="External"/><Relationship Id="rId20" Type="http://schemas.openxmlformats.org/officeDocument/2006/relationships/hyperlink" Target="https://doi.org/10.1080/01446193.2024.2326558"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0251740510597680" TargetMode="External"/><Relationship Id="rId24" Type="http://schemas.openxmlformats.org/officeDocument/2006/relationships/hyperlink" Target="https://doi.org/10.1177/0739456X11410979" TargetMode="External"/><Relationship Id="rId5" Type="http://schemas.openxmlformats.org/officeDocument/2006/relationships/webSettings" Target="webSettings.xml"/><Relationship Id="rId15" Type="http://schemas.openxmlformats.org/officeDocument/2006/relationships/hyperlink" Target="https://doi.org/10.1111/j.1540-6210.2006.00667.x" TargetMode="External"/><Relationship Id="rId23" Type="http://schemas.openxmlformats.org/officeDocument/2006/relationships/hyperlink" Target="https://doi.org/10.1080/01446190600879125" TargetMode="External"/><Relationship Id="rId28" Type="http://schemas.openxmlformats.org/officeDocument/2006/relationships/hyperlink" Target="https://tfgm.com/strategy" TargetMode="External"/><Relationship Id="rId10" Type="http://schemas.openxmlformats.org/officeDocument/2006/relationships/hyperlink" Target="https://doi.org/10.1111/j.1751-5823.2010.00112.x" TargetMode="External"/><Relationship Id="rId19" Type="http://schemas.openxmlformats.org/officeDocument/2006/relationships/hyperlink" Target="https://doi.org/10.1016/j.ijproman.2019.12.00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80/01944366908977225" TargetMode="External"/><Relationship Id="rId14" Type="http://schemas.openxmlformats.org/officeDocument/2006/relationships/hyperlink" Target="https://www.gov.uk/government/publications/inclusive-mobility-making-transport-accessible-for-passengers-and-pedestrians" TargetMode="External"/><Relationship Id="rId22" Type="http://schemas.openxmlformats.org/officeDocument/2006/relationships/hyperlink" Target="https://doi.org/10.5465/amr.1997.9711022105" TargetMode="External"/><Relationship Id="rId27" Type="http://schemas.openxmlformats.org/officeDocument/2006/relationships/hyperlink" Target="https://www.salford.gov.uk/planning-building-and-regeneration/planning-policies/local-planning-policy/salfords-development-plan/salford-local-pla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4147</Words>
  <Characters>23643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Stakeholder Management Plan: Pendleton GreenLink</vt:lpstr>
    </vt:vector>
  </TitlesOfParts>
  <Manager/>
  <Company/>
  <LinksUpToDate>false</LinksUpToDate>
  <CharactersWithSpaces>27735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Stakeholder Management Plan: Pendleton GreenLink</dc:title>
  <dc:subject>Assessment Component 1 Portfolio</dc:subject>
  <dc:creator>python-docx</dc:creator>
  <cp:keywords>stakeholder management, infrastructure, consultation, Salford</cp:keywords>
  <dc:description>generated by python-docx</dc:description>
  <cp:lastModifiedBy>Humaira Mahboob (2406922)</cp:lastModifiedBy>
  <cp:revision>2</cp:revision>
  <dcterms:created xsi:type="dcterms:W3CDTF">2026-07-25T18:23:00Z</dcterms:created>
  <dcterms:modified xsi:type="dcterms:W3CDTF">2026-07-25T18:23:00Z</dcterms:modified>
  <cp:category/>
</cp:coreProperties>
</file>