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51D23" w14:textId="77777777" w:rsidR="0020036A" w:rsidRDefault="0020036A" w:rsidP="0020036A">
      <w:pPr>
        <w:spacing w:line="360" w:lineRule="auto"/>
        <w:jc w:val="center"/>
        <w:rPr>
          <w:rFonts w:ascii="Arial" w:hAnsi="Arial" w:cs="Arial"/>
          <w:sz w:val="22"/>
          <w:szCs w:val="22"/>
        </w:rPr>
      </w:pPr>
    </w:p>
    <w:p w14:paraId="22EC995D" w14:textId="77777777" w:rsidR="0020036A" w:rsidRDefault="0020036A" w:rsidP="0020036A">
      <w:pPr>
        <w:spacing w:line="360" w:lineRule="auto"/>
        <w:jc w:val="center"/>
        <w:rPr>
          <w:rFonts w:ascii="Arial" w:hAnsi="Arial" w:cs="Arial"/>
          <w:sz w:val="22"/>
          <w:szCs w:val="22"/>
        </w:rPr>
      </w:pPr>
    </w:p>
    <w:p w14:paraId="2AF68E40" w14:textId="77777777" w:rsidR="0020036A" w:rsidRDefault="0020036A" w:rsidP="0020036A">
      <w:pPr>
        <w:spacing w:line="360" w:lineRule="auto"/>
        <w:jc w:val="center"/>
        <w:rPr>
          <w:rFonts w:ascii="Arial" w:hAnsi="Arial" w:cs="Arial"/>
          <w:sz w:val="22"/>
          <w:szCs w:val="22"/>
        </w:rPr>
      </w:pPr>
    </w:p>
    <w:p w14:paraId="793B281D" w14:textId="03E53078" w:rsidR="0020036A" w:rsidRDefault="0020036A" w:rsidP="0020036A">
      <w:pPr>
        <w:spacing w:line="360" w:lineRule="auto"/>
        <w:jc w:val="center"/>
        <w:rPr>
          <w:rFonts w:ascii="Arial" w:hAnsi="Arial" w:cs="Arial"/>
          <w:sz w:val="22"/>
          <w:szCs w:val="22"/>
        </w:rPr>
      </w:pPr>
    </w:p>
    <w:p w14:paraId="0A810C01" w14:textId="77777777" w:rsidR="001C41F1" w:rsidRDefault="001C41F1" w:rsidP="0020036A">
      <w:pPr>
        <w:spacing w:line="360" w:lineRule="auto"/>
        <w:jc w:val="center"/>
        <w:rPr>
          <w:rFonts w:ascii="Arial" w:hAnsi="Arial" w:cs="Arial"/>
          <w:sz w:val="22"/>
          <w:szCs w:val="22"/>
        </w:rPr>
      </w:pPr>
    </w:p>
    <w:p w14:paraId="36838FCA" w14:textId="77777777" w:rsidR="0020036A" w:rsidRDefault="0020036A" w:rsidP="0020036A">
      <w:pPr>
        <w:spacing w:line="360" w:lineRule="auto"/>
        <w:jc w:val="center"/>
        <w:rPr>
          <w:rFonts w:ascii="Arial" w:hAnsi="Arial" w:cs="Arial"/>
          <w:sz w:val="22"/>
          <w:szCs w:val="22"/>
        </w:rPr>
      </w:pPr>
    </w:p>
    <w:p w14:paraId="7D0FFF35" w14:textId="161CABDA" w:rsidR="0020036A" w:rsidRDefault="0020036A" w:rsidP="0020036A">
      <w:pPr>
        <w:spacing w:line="360" w:lineRule="auto"/>
        <w:jc w:val="center"/>
        <w:rPr>
          <w:rFonts w:ascii="Arial" w:hAnsi="Arial" w:cs="Arial"/>
          <w:sz w:val="22"/>
          <w:szCs w:val="22"/>
        </w:rPr>
      </w:pPr>
    </w:p>
    <w:p w14:paraId="64F97EA5" w14:textId="527C5F79" w:rsidR="0020036A" w:rsidRDefault="0020036A" w:rsidP="0020036A">
      <w:pPr>
        <w:spacing w:line="360" w:lineRule="auto"/>
        <w:jc w:val="center"/>
        <w:rPr>
          <w:rFonts w:ascii="Arial" w:hAnsi="Arial" w:cs="Arial"/>
          <w:sz w:val="22"/>
          <w:szCs w:val="22"/>
        </w:rPr>
      </w:pPr>
    </w:p>
    <w:p w14:paraId="08679581" w14:textId="77777777" w:rsidR="0020036A" w:rsidRDefault="0020036A" w:rsidP="0020036A">
      <w:pPr>
        <w:spacing w:line="360" w:lineRule="auto"/>
        <w:jc w:val="center"/>
        <w:rPr>
          <w:rFonts w:ascii="Arial" w:hAnsi="Arial" w:cs="Arial"/>
          <w:sz w:val="22"/>
          <w:szCs w:val="22"/>
        </w:rPr>
      </w:pPr>
    </w:p>
    <w:p w14:paraId="4D1EB799" w14:textId="77777777" w:rsidR="0020036A" w:rsidRDefault="0020036A" w:rsidP="0020036A">
      <w:pPr>
        <w:spacing w:line="360" w:lineRule="auto"/>
        <w:jc w:val="center"/>
        <w:rPr>
          <w:rFonts w:ascii="Arial" w:hAnsi="Arial" w:cs="Arial"/>
          <w:sz w:val="22"/>
          <w:szCs w:val="22"/>
        </w:rPr>
      </w:pPr>
    </w:p>
    <w:p w14:paraId="0B298C0A" w14:textId="77777777" w:rsidR="0020036A" w:rsidRDefault="0020036A" w:rsidP="0020036A">
      <w:pPr>
        <w:spacing w:line="360" w:lineRule="auto"/>
        <w:jc w:val="center"/>
        <w:rPr>
          <w:rFonts w:ascii="Arial" w:hAnsi="Arial" w:cs="Arial"/>
          <w:sz w:val="22"/>
          <w:szCs w:val="22"/>
        </w:rPr>
      </w:pPr>
    </w:p>
    <w:p w14:paraId="6CACEF06" w14:textId="77777777" w:rsidR="0020036A" w:rsidRDefault="0020036A" w:rsidP="0020036A">
      <w:pPr>
        <w:spacing w:line="360" w:lineRule="auto"/>
        <w:jc w:val="center"/>
        <w:rPr>
          <w:rFonts w:ascii="Arial" w:hAnsi="Arial" w:cs="Arial"/>
          <w:sz w:val="22"/>
          <w:szCs w:val="22"/>
        </w:rPr>
      </w:pPr>
    </w:p>
    <w:p w14:paraId="5297715E" w14:textId="53EE0119"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 xml:space="preserve">Student: Larisa </w:t>
      </w:r>
      <w:proofErr w:type="spellStart"/>
      <w:r w:rsidRPr="0020036A">
        <w:rPr>
          <w:rFonts w:ascii="Arial" w:hAnsi="Arial" w:cs="Arial"/>
          <w:sz w:val="22"/>
          <w:szCs w:val="22"/>
        </w:rPr>
        <w:t>Denisa</w:t>
      </w:r>
      <w:proofErr w:type="spellEnd"/>
      <w:r w:rsidRPr="0020036A">
        <w:rPr>
          <w:rFonts w:ascii="Arial" w:hAnsi="Arial" w:cs="Arial"/>
          <w:sz w:val="22"/>
          <w:szCs w:val="22"/>
        </w:rPr>
        <w:t xml:space="preserve"> Bardas </w:t>
      </w:r>
    </w:p>
    <w:p w14:paraId="16E50A7A" w14:textId="77777777"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Student number: 2217305</w:t>
      </w:r>
    </w:p>
    <w:p w14:paraId="6BCFB04D" w14:textId="5627429B"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Module: LCHS400</w:t>
      </w:r>
      <w:r>
        <w:rPr>
          <w:rFonts w:ascii="Arial" w:hAnsi="Arial" w:cs="Arial"/>
          <w:sz w:val="22"/>
          <w:szCs w:val="22"/>
        </w:rPr>
        <w:t>4</w:t>
      </w:r>
      <w:r w:rsidRPr="0020036A">
        <w:rPr>
          <w:rFonts w:ascii="Arial" w:hAnsi="Arial" w:cs="Arial"/>
          <w:sz w:val="22"/>
          <w:szCs w:val="22"/>
        </w:rPr>
        <w:t xml:space="preserve"> </w:t>
      </w:r>
      <w:r>
        <w:rPr>
          <w:rFonts w:ascii="Arial" w:hAnsi="Arial" w:cs="Arial"/>
          <w:sz w:val="22"/>
          <w:szCs w:val="22"/>
        </w:rPr>
        <w:t>Introduction to Public Health</w:t>
      </w:r>
    </w:p>
    <w:p w14:paraId="19AB6CD7" w14:textId="7748FA97"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 xml:space="preserve">Lecturer: </w:t>
      </w:r>
      <w:r>
        <w:rPr>
          <w:rFonts w:ascii="Arial" w:hAnsi="Arial" w:cs="Arial"/>
          <w:sz w:val="22"/>
          <w:szCs w:val="22"/>
        </w:rPr>
        <w:t xml:space="preserve">Dr </w:t>
      </w:r>
      <w:proofErr w:type="spellStart"/>
      <w:r>
        <w:rPr>
          <w:rFonts w:ascii="Arial" w:hAnsi="Arial" w:cs="Arial"/>
          <w:sz w:val="22"/>
          <w:szCs w:val="22"/>
        </w:rPr>
        <w:t>Aishat</w:t>
      </w:r>
      <w:proofErr w:type="spellEnd"/>
      <w:r>
        <w:rPr>
          <w:rFonts w:ascii="Arial" w:hAnsi="Arial" w:cs="Arial"/>
          <w:sz w:val="22"/>
          <w:szCs w:val="22"/>
        </w:rPr>
        <w:t xml:space="preserve"> </w:t>
      </w:r>
      <w:proofErr w:type="spellStart"/>
      <w:r>
        <w:rPr>
          <w:rFonts w:ascii="Arial" w:hAnsi="Arial" w:cs="Arial"/>
          <w:sz w:val="22"/>
          <w:szCs w:val="22"/>
        </w:rPr>
        <w:t>Bakre</w:t>
      </w:r>
      <w:proofErr w:type="spellEnd"/>
    </w:p>
    <w:p w14:paraId="607B391D" w14:textId="5B670901" w:rsidR="0020036A" w:rsidRPr="0020036A" w:rsidRDefault="0020036A" w:rsidP="0020036A">
      <w:pPr>
        <w:spacing w:line="360" w:lineRule="auto"/>
        <w:jc w:val="center"/>
        <w:rPr>
          <w:rFonts w:ascii="Arial" w:hAnsi="Arial" w:cs="Arial"/>
          <w:sz w:val="22"/>
          <w:szCs w:val="22"/>
        </w:rPr>
      </w:pPr>
      <w:r w:rsidRPr="0020036A">
        <w:rPr>
          <w:rFonts w:ascii="Arial" w:hAnsi="Arial" w:cs="Arial"/>
          <w:sz w:val="22"/>
          <w:szCs w:val="22"/>
        </w:rPr>
        <w:t xml:space="preserve">Assignment title: </w:t>
      </w:r>
      <w:r>
        <w:rPr>
          <w:rFonts w:ascii="Arial" w:hAnsi="Arial" w:cs="Arial"/>
          <w:sz w:val="22"/>
          <w:szCs w:val="22"/>
        </w:rPr>
        <w:t>Assessment Component 2 – Major Health Issue</w:t>
      </w:r>
    </w:p>
    <w:p w14:paraId="39E76487" w14:textId="415ABC4E" w:rsidR="00886418" w:rsidRDefault="00886418" w:rsidP="0020036A">
      <w:pPr>
        <w:spacing w:line="360" w:lineRule="auto"/>
        <w:ind w:left="709"/>
        <w:rPr>
          <w:rFonts w:ascii="Arial" w:hAnsi="Arial" w:cs="Arial"/>
          <w:sz w:val="22"/>
          <w:szCs w:val="22"/>
        </w:rPr>
      </w:pPr>
    </w:p>
    <w:p w14:paraId="50F6D161" w14:textId="27CB564C" w:rsidR="0020036A" w:rsidRDefault="0020036A" w:rsidP="0020036A">
      <w:pPr>
        <w:spacing w:line="360" w:lineRule="auto"/>
        <w:ind w:left="709"/>
        <w:rPr>
          <w:rFonts w:ascii="Arial" w:hAnsi="Arial" w:cs="Arial"/>
          <w:sz w:val="22"/>
          <w:szCs w:val="22"/>
        </w:rPr>
      </w:pPr>
    </w:p>
    <w:p w14:paraId="3EBA7634" w14:textId="12558581" w:rsidR="0020036A" w:rsidRDefault="0020036A" w:rsidP="0020036A">
      <w:pPr>
        <w:spacing w:line="360" w:lineRule="auto"/>
        <w:ind w:left="709"/>
        <w:rPr>
          <w:rFonts w:ascii="Arial" w:hAnsi="Arial" w:cs="Arial"/>
          <w:sz w:val="22"/>
          <w:szCs w:val="22"/>
        </w:rPr>
      </w:pPr>
    </w:p>
    <w:p w14:paraId="75EF6CD1" w14:textId="7D2E8EA6" w:rsidR="0020036A" w:rsidRDefault="0020036A" w:rsidP="0020036A">
      <w:pPr>
        <w:spacing w:line="360" w:lineRule="auto"/>
        <w:ind w:left="709"/>
        <w:rPr>
          <w:rFonts w:ascii="Arial" w:hAnsi="Arial" w:cs="Arial"/>
          <w:sz w:val="22"/>
          <w:szCs w:val="22"/>
        </w:rPr>
      </w:pPr>
    </w:p>
    <w:p w14:paraId="7E2378E7" w14:textId="31E226D6" w:rsidR="0020036A" w:rsidRDefault="0020036A" w:rsidP="0020036A">
      <w:pPr>
        <w:spacing w:line="360" w:lineRule="auto"/>
        <w:ind w:left="709"/>
        <w:rPr>
          <w:rFonts w:ascii="Arial" w:hAnsi="Arial" w:cs="Arial"/>
          <w:sz w:val="22"/>
          <w:szCs w:val="22"/>
        </w:rPr>
      </w:pPr>
    </w:p>
    <w:p w14:paraId="4BF8AF64" w14:textId="1E6D6C64" w:rsidR="0020036A" w:rsidRDefault="0020036A" w:rsidP="0020036A">
      <w:pPr>
        <w:spacing w:line="360" w:lineRule="auto"/>
        <w:ind w:left="709"/>
        <w:rPr>
          <w:rFonts w:ascii="Arial" w:hAnsi="Arial" w:cs="Arial"/>
          <w:sz w:val="22"/>
          <w:szCs w:val="22"/>
        </w:rPr>
      </w:pPr>
    </w:p>
    <w:p w14:paraId="66E402BB" w14:textId="5449A7EF" w:rsidR="0020036A" w:rsidRDefault="0020036A" w:rsidP="0020036A">
      <w:pPr>
        <w:spacing w:line="360" w:lineRule="auto"/>
        <w:ind w:left="709"/>
        <w:rPr>
          <w:rFonts w:ascii="Arial" w:hAnsi="Arial" w:cs="Arial"/>
          <w:sz w:val="22"/>
          <w:szCs w:val="22"/>
        </w:rPr>
      </w:pPr>
    </w:p>
    <w:p w14:paraId="28BC5A29" w14:textId="7152EF5B" w:rsidR="0020036A" w:rsidRDefault="0020036A" w:rsidP="001C41F1">
      <w:pPr>
        <w:spacing w:line="360" w:lineRule="auto"/>
        <w:rPr>
          <w:rFonts w:ascii="Arial" w:hAnsi="Arial" w:cs="Arial"/>
          <w:sz w:val="22"/>
          <w:szCs w:val="22"/>
        </w:rPr>
      </w:pPr>
    </w:p>
    <w:p w14:paraId="15B559A4" w14:textId="009FB886" w:rsidR="001C41F1" w:rsidRDefault="001C41F1" w:rsidP="0020036A">
      <w:pPr>
        <w:spacing w:line="360" w:lineRule="auto"/>
        <w:ind w:left="709"/>
        <w:rPr>
          <w:rFonts w:ascii="Arial" w:hAnsi="Arial" w:cs="Arial"/>
          <w:sz w:val="22"/>
          <w:szCs w:val="22"/>
        </w:rPr>
      </w:pPr>
    </w:p>
    <w:p w14:paraId="0A76A002" w14:textId="77777777" w:rsidR="001C41F1" w:rsidRDefault="001C41F1" w:rsidP="0020036A">
      <w:pPr>
        <w:spacing w:line="360" w:lineRule="auto"/>
        <w:ind w:left="709"/>
        <w:rPr>
          <w:rFonts w:ascii="Arial" w:hAnsi="Arial" w:cs="Arial"/>
          <w:sz w:val="22"/>
          <w:szCs w:val="22"/>
        </w:rPr>
      </w:pPr>
    </w:p>
    <w:p w14:paraId="578BBC1E" w14:textId="26BC9F58" w:rsidR="001C41F1" w:rsidRDefault="001C41F1" w:rsidP="0020036A">
      <w:pPr>
        <w:spacing w:line="360" w:lineRule="auto"/>
        <w:ind w:left="709"/>
        <w:rPr>
          <w:rFonts w:ascii="Arial" w:hAnsi="Arial" w:cs="Arial"/>
          <w:sz w:val="22"/>
          <w:szCs w:val="22"/>
        </w:rPr>
      </w:pPr>
    </w:p>
    <w:p w14:paraId="2D39C1A5" w14:textId="1BC6A625" w:rsidR="001C41F1" w:rsidRDefault="001C41F1" w:rsidP="0020036A">
      <w:pPr>
        <w:spacing w:line="360" w:lineRule="auto"/>
        <w:ind w:left="709"/>
        <w:rPr>
          <w:rFonts w:ascii="Arial" w:hAnsi="Arial" w:cs="Arial"/>
          <w:sz w:val="22"/>
          <w:szCs w:val="22"/>
        </w:rPr>
      </w:pPr>
    </w:p>
    <w:p w14:paraId="2EE08CB2" w14:textId="7782456E" w:rsidR="001C41F1" w:rsidRDefault="001C41F1" w:rsidP="0020036A">
      <w:pPr>
        <w:spacing w:line="360" w:lineRule="auto"/>
        <w:ind w:left="709"/>
        <w:rPr>
          <w:rFonts w:ascii="Arial" w:hAnsi="Arial" w:cs="Arial"/>
          <w:sz w:val="22"/>
          <w:szCs w:val="22"/>
        </w:rPr>
      </w:pPr>
    </w:p>
    <w:p w14:paraId="5BAE72B6" w14:textId="4E73A3BB" w:rsidR="001C41F1" w:rsidRDefault="001C41F1" w:rsidP="0020036A">
      <w:pPr>
        <w:spacing w:line="360" w:lineRule="auto"/>
        <w:ind w:left="709"/>
        <w:rPr>
          <w:rFonts w:ascii="Arial" w:hAnsi="Arial" w:cs="Arial"/>
          <w:sz w:val="22"/>
          <w:szCs w:val="22"/>
        </w:rPr>
      </w:pPr>
    </w:p>
    <w:p w14:paraId="455D2130" w14:textId="20CF09A1" w:rsidR="001C41F1" w:rsidRDefault="001C41F1" w:rsidP="0020036A">
      <w:pPr>
        <w:spacing w:line="360" w:lineRule="auto"/>
        <w:ind w:left="709"/>
        <w:rPr>
          <w:rFonts w:ascii="Arial" w:hAnsi="Arial" w:cs="Arial"/>
          <w:sz w:val="22"/>
          <w:szCs w:val="22"/>
        </w:rPr>
      </w:pPr>
    </w:p>
    <w:p w14:paraId="41B11B23" w14:textId="426AE9A7" w:rsidR="001C41F1" w:rsidRDefault="001C41F1" w:rsidP="0020036A">
      <w:pPr>
        <w:spacing w:line="360" w:lineRule="auto"/>
        <w:ind w:left="709"/>
        <w:rPr>
          <w:rFonts w:ascii="Arial" w:hAnsi="Arial" w:cs="Arial"/>
          <w:sz w:val="22"/>
          <w:szCs w:val="22"/>
        </w:rPr>
      </w:pPr>
    </w:p>
    <w:p w14:paraId="1A9280A4" w14:textId="015DC64F" w:rsidR="001C41F1" w:rsidRDefault="001C41F1" w:rsidP="0020036A">
      <w:pPr>
        <w:spacing w:line="360" w:lineRule="auto"/>
        <w:ind w:left="709"/>
        <w:rPr>
          <w:rFonts w:ascii="Arial" w:hAnsi="Arial" w:cs="Arial"/>
          <w:sz w:val="22"/>
          <w:szCs w:val="22"/>
        </w:rPr>
      </w:pPr>
    </w:p>
    <w:sdt>
      <w:sdtPr>
        <w:rPr>
          <w:rFonts w:ascii="Times New Roman" w:eastAsia="Times New Roman" w:hAnsi="Times New Roman" w:cs="Times New Roman"/>
          <w:b w:val="0"/>
          <w:bCs w:val="0"/>
          <w:color w:val="auto"/>
          <w:sz w:val="20"/>
          <w:szCs w:val="20"/>
          <w:lang w:val="en-GB" w:eastAsia="en-GB"/>
        </w:rPr>
        <w:id w:val="-1760975231"/>
        <w:docPartObj>
          <w:docPartGallery w:val="Table of Contents"/>
          <w:docPartUnique/>
        </w:docPartObj>
      </w:sdtPr>
      <w:sdtEndPr>
        <w:rPr>
          <w:noProof/>
        </w:rPr>
      </w:sdtEndPr>
      <w:sdtContent>
        <w:p w14:paraId="56B0C314" w14:textId="77777777" w:rsidR="001C41F1" w:rsidRDefault="001C41F1">
          <w:pPr>
            <w:pStyle w:val="TOCHeading"/>
          </w:pPr>
        </w:p>
        <w:p w14:paraId="5F40B496" w14:textId="77777777" w:rsidR="001C41F1" w:rsidRDefault="001C41F1">
          <w:pPr>
            <w:pStyle w:val="TOCHeading"/>
          </w:pPr>
        </w:p>
        <w:p w14:paraId="10E75D3E" w14:textId="77777777" w:rsidR="001C41F1" w:rsidRDefault="001C41F1">
          <w:pPr>
            <w:pStyle w:val="TOCHeading"/>
          </w:pPr>
        </w:p>
        <w:p w14:paraId="31A2F42B" w14:textId="505CBDBA" w:rsidR="001C41F1" w:rsidRDefault="001C41F1">
          <w:pPr>
            <w:pStyle w:val="TOCHeading"/>
          </w:pPr>
          <w:r>
            <w:t>Table of Contents</w:t>
          </w:r>
        </w:p>
        <w:p w14:paraId="0F56445B" w14:textId="48BE9F3E" w:rsidR="001C41F1" w:rsidRDefault="001C41F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1080356" w:history="1">
            <w:r w:rsidRPr="007513FA">
              <w:rPr>
                <w:rStyle w:val="Hyperlink"/>
                <w:noProof/>
              </w:rPr>
              <w:t>Introduction</w:t>
            </w:r>
            <w:r>
              <w:rPr>
                <w:noProof/>
                <w:webHidden/>
              </w:rPr>
              <w:tab/>
            </w:r>
            <w:r>
              <w:rPr>
                <w:noProof/>
                <w:webHidden/>
              </w:rPr>
              <w:fldChar w:fldCharType="begin"/>
            </w:r>
            <w:r>
              <w:rPr>
                <w:noProof/>
                <w:webHidden/>
              </w:rPr>
              <w:instrText xml:space="preserve"> PAGEREF _Toc131080356 \h </w:instrText>
            </w:r>
            <w:r>
              <w:rPr>
                <w:noProof/>
                <w:webHidden/>
              </w:rPr>
            </w:r>
            <w:r>
              <w:rPr>
                <w:noProof/>
                <w:webHidden/>
              </w:rPr>
              <w:fldChar w:fldCharType="separate"/>
            </w:r>
            <w:r>
              <w:rPr>
                <w:noProof/>
                <w:webHidden/>
              </w:rPr>
              <w:t>3</w:t>
            </w:r>
            <w:r>
              <w:rPr>
                <w:noProof/>
                <w:webHidden/>
              </w:rPr>
              <w:fldChar w:fldCharType="end"/>
            </w:r>
          </w:hyperlink>
        </w:p>
        <w:p w14:paraId="7B8910FA" w14:textId="330D892B" w:rsidR="001C41F1" w:rsidRDefault="00000000">
          <w:pPr>
            <w:pStyle w:val="TOC1"/>
            <w:tabs>
              <w:tab w:val="right" w:leader="dot" w:pos="9016"/>
            </w:tabs>
            <w:rPr>
              <w:noProof/>
            </w:rPr>
          </w:pPr>
          <w:hyperlink w:anchor="_Toc131080357" w:history="1">
            <w:r w:rsidR="001C41F1" w:rsidRPr="007513FA">
              <w:rPr>
                <w:rStyle w:val="Hyperlink"/>
                <w:noProof/>
              </w:rPr>
              <w:t>Main Body</w:t>
            </w:r>
            <w:r w:rsidR="001C41F1">
              <w:rPr>
                <w:noProof/>
                <w:webHidden/>
              </w:rPr>
              <w:tab/>
            </w:r>
            <w:r w:rsidR="001C41F1">
              <w:rPr>
                <w:noProof/>
                <w:webHidden/>
              </w:rPr>
              <w:fldChar w:fldCharType="begin"/>
            </w:r>
            <w:r w:rsidR="001C41F1">
              <w:rPr>
                <w:noProof/>
                <w:webHidden/>
              </w:rPr>
              <w:instrText xml:space="preserve"> PAGEREF _Toc131080357 \h </w:instrText>
            </w:r>
            <w:r w:rsidR="001C41F1">
              <w:rPr>
                <w:noProof/>
                <w:webHidden/>
              </w:rPr>
            </w:r>
            <w:r w:rsidR="001C41F1">
              <w:rPr>
                <w:noProof/>
                <w:webHidden/>
              </w:rPr>
              <w:fldChar w:fldCharType="separate"/>
            </w:r>
            <w:r w:rsidR="001C41F1">
              <w:rPr>
                <w:noProof/>
                <w:webHidden/>
              </w:rPr>
              <w:t>4</w:t>
            </w:r>
            <w:r w:rsidR="001C41F1">
              <w:rPr>
                <w:noProof/>
                <w:webHidden/>
              </w:rPr>
              <w:fldChar w:fldCharType="end"/>
            </w:r>
          </w:hyperlink>
        </w:p>
        <w:p w14:paraId="545D3052" w14:textId="1816DB68" w:rsidR="001C41F1" w:rsidRDefault="00000000">
          <w:pPr>
            <w:pStyle w:val="TOC1"/>
            <w:tabs>
              <w:tab w:val="right" w:leader="dot" w:pos="9016"/>
            </w:tabs>
            <w:rPr>
              <w:noProof/>
            </w:rPr>
          </w:pPr>
          <w:hyperlink w:anchor="_Toc131080358" w:history="1">
            <w:r w:rsidR="001C41F1" w:rsidRPr="007513FA">
              <w:rPr>
                <w:rStyle w:val="Hyperlink"/>
                <w:noProof/>
              </w:rPr>
              <w:t>The key determinants/risk factors of the chosen disease</w:t>
            </w:r>
            <w:r w:rsidR="001C41F1">
              <w:rPr>
                <w:noProof/>
                <w:webHidden/>
              </w:rPr>
              <w:tab/>
            </w:r>
            <w:r w:rsidR="001C41F1">
              <w:rPr>
                <w:noProof/>
                <w:webHidden/>
              </w:rPr>
              <w:fldChar w:fldCharType="begin"/>
            </w:r>
            <w:r w:rsidR="001C41F1">
              <w:rPr>
                <w:noProof/>
                <w:webHidden/>
              </w:rPr>
              <w:instrText xml:space="preserve"> PAGEREF _Toc131080358 \h </w:instrText>
            </w:r>
            <w:r w:rsidR="001C41F1">
              <w:rPr>
                <w:noProof/>
                <w:webHidden/>
              </w:rPr>
            </w:r>
            <w:r w:rsidR="001C41F1">
              <w:rPr>
                <w:noProof/>
                <w:webHidden/>
              </w:rPr>
              <w:fldChar w:fldCharType="separate"/>
            </w:r>
            <w:r w:rsidR="001C41F1">
              <w:rPr>
                <w:noProof/>
                <w:webHidden/>
              </w:rPr>
              <w:t>5</w:t>
            </w:r>
            <w:r w:rsidR="001C41F1">
              <w:rPr>
                <w:noProof/>
                <w:webHidden/>
              </w:rPr>
              <w:fldChar w:fldCharType="end"/>
            </w:r>
          </w:hyperlink>
        </w:p>
        <w:p w14:paraId="16138A0A" w14:textId="55E56CDF" w:rsidR="001C41F1" w:rsidRDefault="00000000">
          <w:pPr>
            <w:pStyle w:val="TOC1"/>
            <w:tabs>
              <w:tab w:val="right" w:leader="dot" w:pos="9016"/>
            </w:tabs>
            <w:rPr>
              <w:noProof/>
            </w:rPr>
          </w:pPr>
          <w:hyperlink w:anchor="_Toc131080359" w:history="1">
            <w:r w:rsidR="001C41F1" w:rsidRPr="007513FA">
              <w:rPr>
                <w:rStyle w:val="Hyperlink"/>
                <w:noProof/>
              </w:rPr>
              <w:t>Short-term public health consequences of the disease in a health or social care setting</w:t>
            </w:r>
            <w:r w:rsidR="001C41F1">
              <w:rPr>
                <w:noProof/>
                <w:webHidden/>
              </w:rPr>
              <w:tab/>
            </w:r>
            <w:r w:rsidR="001C41F1">
              <w:rPr>
                <w:noProof/>
                <w:webHidden/>
              </w:rPr>
              <w:fldChar w:fldCharType="begin"/>
            </w:r>
            <w:r w:rsidR="001C41F1">
              <w:rPr>
                <w:noProof/>
                <w:webHidden/>
              </w:rPr>
              <w:instrText xml:space="preserve"> PAGEREF _Toc131080359 \h </w:instrText>
            </w:r>
            <w:r w:rsidR="001C41F1">
              <w:rPr>
                <w:noProof/>
                <w:webHidden/>
              </w:rPr>
            </w:r>
            <w:r w:rsidR="001C41F1">
              <w:rPr>
                <w:noProof/>
                <w:webHidden/>
              </w:rPr>
              <w:fldChar w:fldCharType="separate"/>
            </w:r>
            <w:r w:rsidR="001C41F1">
              <w:rPr>
                <w:noProof/>
                <w:webHidden/>
              </w:rPr>
              <w:t>5</w:t>
            </w:r>
            <w:r w:rsidR="001C41F1">
              <w:rPr>
                <w:noProof/>
                <w:webHidden/>
              </w:rPr>
              <w:fldChar w:fldCharType="end"/>
            </w:r>
          </w:hyperlink>
        </w:p>
        <w:p w14:paraId="06A369B8" w14:textId="40EBE61B" w:rsidR="001C41F1" w:rsidRDefault="00000000">
          <w:pPr>
            <w:pStyle w:val="TOC1"/>
            <w:tabs>
              <w:tab w:val="right" w:leader="dot" w:pos="9016"/>
            </w:tabs>
            <w:rPr>
              <w:noProof/>
            </w:rPr>
          </w:pPr>
          <w:hyperlink w:anchor="_Toc131080360" w:history="1">
            <w:r w:rsidR="001C41F1" w:rsidRPr="007513FA">
              <w:rPr>
                <w:rStyle w:val="Hyperlink"/>
                <w:noProof/>
              </w:rPr>
              <w:t>Long-term public health consequences of the disease in a health or social care setting</w:t>
            </w:r>
            <w:r w:rsidR="001C41F1">
              <w:rPr>
                <w:noProof/>
                <w:webHidden/>
              </w:rPr>
              <w:tab/>
            </w:r>
            <w:r w:rsidR="001C41F1">
              <w:rPr>
                <w:noProof/>
                <w:webHidden/>
              </w:rPr>
              <w:fldChar w:fldCharType="begin"/>
            </w:r>
            <w:r w:rsidR="001C41F1">
              <w:rPr>
                <w:noProof/>
                <w:webHidden/>
              </w:rPr>
              <w:instrText xml:space="preserve"> PAGEREF _Toc131080360 \h </w:instrText>
            </w:r>
            <w:r w:rsidR="001C41F1">
              <w:rPr>
                <w:noProof/>
                <w:webHidden/>
              </w:rPr>
            </w:r>
            <w:r w:rsidR="001C41F1">
              <w:rPr>
                <w:noProof/>
                <w:webHidden/>
              </w:rPr>
              <w:fldChar w:fldCharType="separate"/>
            </w:r>
            <w:r w:rsidR="001C41F1">
              <w:rPr>
                <w:noProof/>
                <w:webHidden/>
              </w:rPr>
              <w:t>6</w:t>
            </w:r>
            <w:r w:rsidR="001C41F1">
              <w:rPr>
                <w:noProof/>
                <w:webHidden/>
              </w:rPr>
              <w:fldChar w:fldCharType="end"/>
            </w:r>
          </w:hyperlink>
        </w:p>
        <w:p w14:paraId="461B6147" w14:textId="2EC5338C" w:rsidR="001C41F1" w:rsidRDefault="00000000">
          <w:pPr>
            <w:pStyle w:val="TOC1"/>
            <w:tabs>
              <w:tab w:val="right" w:leader="dot" w:pos="9016"/>
            </w:tabs>
            <w:rPr>
              <w:noProof/>
            </w:rPr>
          </w:pPr>
          <w:hyperlink w:anchor="_Toc131080361" w:history="1">
            <w:r w:rsidR="001C41F1" w:rsidRPr="007513FA">
              <w:rPr>
                <w:rStyle w:val="Hyperlink"/>
                <w:noProof/>
              </w:rPr>
              <w:t>Factors influencing the health and well-being of individuals with your chosen disease</w:t>
            </w:r>
            <w:r w:rsidR="001C41F1">
              <w:rPr>
                <w:noProof/>
                <w:webHidden/>
              </w:rPr>
              <w:tab/>
            </w:r>
            <w:r w:rsidR="001C41F1">
              <w:rPr>
                <w:noProof/>
                <w:webHidden/>
              </w:rPr>
              <w:fldChar w:fldCharType="begin"/>
            </w:r>
            <w:r w:rsidR="001C41F1">
              <w:rPr>
                <w:noProof/>
                <w:webHidden/>
              </w:rPr>
              <w:instrText xml:space="preserve"> PAGEREF _Toc131080361 \h </w:instrText>
            </w:r>
            <w:r w:rsidR="001C41F1">
              <w:rPr>
                <w:noProof/>
                <w:webHidden/>
              </w:rPr>
            </w:r>
            <w:r w:rsidR="001C41F1">
              <w:rPr>
                <w:noProof/>
                <w:webHidden/>
              </w:rPr>
              <w:fldChar w:fldCharType="separate"/>
            </w:r>
            <w:r w:rsidR="001C41F1">
              <w:rPr>
                <w:noProof/>
                <w:webHidden/>
              </w:rPr>
              <w:t>7</w:t>
            </w:r>
            <w:r w:rsidR="001C41F1">
              <w:rPr>
                <w:noProof/>
                <w:webHidden/>
              </w:rPr>
              <w:fldChar w:fldCharType="end"/>
            </w:r>
          </w:hyperlink>
        </w:p>
        <w:p w14:paraId="236FCBCB" w14:textId="5563565C" w:rsidR="001C41F1" w:rsidRDefault="00000000">
          <w:pPr>
            <w:pStyle w:val="TOC1"/>
            <w:tabs>
              <w:tab w:val="right" w:leader="dot" w:pos="9016"/>
            </w:tabs>
            <w:rPr>
              <w:noProof/>
            </w:rPr>
          </w:pPr>
          <w:hyperlink w:anchor="_Toc131080362" w:history="1">
            <w:r w:rsidR="001C41F1" w:rsidRPr="007513FA">
              <w:rPr>
                <w:rStyle w:val="Hyperlink"/>
                <w:noProof/>
              </w:rPr>
              <w:t>Conclusion</w:t>
            </w:r>
            <w:r w:rsidR="001C41F1">
              <w:rPr>
                <w:noProof/>
                <w:webHidden/>
              </w:rPr>
              <w:tab/>
            </w:r>
            <w:r w:rsidR="001C41F1">
              <w:rPr>
                <w:noProof/>
                <w:webHidden/>
              </w:rPr>
              <w:fldChar w:fldCharType="begin"/>
            </w:r>
            <w:r w:rsidR="001C41F1">
              <w:rPr>
                <w:noProof/>
                <w:webHidden/>
              </w:rPr>
              <w:instrText xml:space="preserve"> PAGEREF _Toc131080362 \h </w:instrText>
            </w:r>
            <w:r w:rsidR="001C41F1">
              <w:rPr>
                <w:noProof/>
                <w:webHidden/>
              </w:rPr>
            </w:r>
            <w:r w:rsidR="001C41F1">
              <w:rPr>
                <w:noProof/>
                <w:webHidden/>
              </w:rPr>
              <w:fldChar w:fldCharType="separate"/>
            </w:r>
            <w:r w:rsidR="001C41F1">
              <w:rPr>
                <w:noProof/>
                <w:webHidden/>
              </w:rPr>
              <w:t>8</w:t>
            </w:r>
            <w:r w:rsidR="001C41F1">
              <w:rPr>
                <w:noProof/>
                <w:webHidden/>
              </w:rPr>
              <w:fldChar w:fldCharType="end"/>
            </w:r>
          </w:hyperlink>
        </w:p>
        <w:p w14:paraId="12E9ECE9" w14:textId="722AE7C1" w:rsidR="001C41F1" w:rsidRDefault="00000000">
          <w:pPr>
            <w:pStyle w:val="TOC1"/>
            <w:tabs>
              <w:tab w:val="right" w:leader="dot" w:pos="9016"/>
            </w:tabs>
            <w:rPr>
              <w:noProof/>
            </w:rPr>
          </w:pPr>
          <w:hyperlink w:anchor="_Toc131080363" w:history="1">
            <w:r w:rsidR="001C41F1" w:rsidRPr="007513FA">
              <w:rPr>
                <w:rStyle w:val="Hyperlink"/>
                <w:noProof/>
              </w:rPr>
              <w:t>References:</w:t>
            </w:r>
            <w:r w:rsidR="001C41F1">
              <w:rPr>
                <w:noProof/>
                <w:webHidden/>
              </w:rPr>
              <w:tab/>
            </w:r>
            <w:r w:rsidR="001C41F1">
              <w:rPr>
                <w:noProof/>
                <w:webHidden/>
              </w:rPr>
              <w:fldChar w:fldCharType="begin"/>
            </w:r>
            <w:r w:rsidR="001C41F1">
              <w:rPr>
                <w:noProof/>
                <w:webHidden/>
              </w:rPr>
              <w:instrText xml:space="preserve"> PAGEREF _Toc131080363 \h </w:instrText>
            </w:r>
            <w:r w:rsidR="001C41F1">
              <w:rPr>
                <w:noProof/>
                <w:webHidden/>
              </w:rPr>
            </w:r>
            <w:r w:rsidR="001C41F1">
              <w:rPr>
                <w:noProof/>
                <w:webHidden/>
              </w:rPr>
              <w:fldChar w:fldCharType="separate"/>
            </w:r>
            <w:r w:rsidR="001C41F1">
              <w:rPr>
                <w:noProof/>
                <w:webHidden/>
              </w:rPr>
              <w:t>9</w:t>
            </w:r>
            <w:r w:rsidR="001C41F1">
              <w:rPr>
                <w:noProof/>
                <w:webHidden/>
              </w:rPr>
              <w:fldChar w:fldCharType="end"/>
            </w:r>
          </w:hyperlink>
        </w:p>
        <w:p w14:paraId="537DE5DE" w14:textId="6A3D62B6" w:rsidR="001C41F1" w:rsidRDefault="001C41F1">
          <w:r>
            <w:rPr>
              <w:b/>
              <w:bCs/>
              <w:noProof/>
            </w:rPr>
            <w:fldChar w:fldCharType="end"/>
          </w:r>
        </w:p>
      </w:sdtContent>
    </w:sdt>
    <w:p w14:paraId="5E57BEAD" w14:textId="673AD993" w:rsidR="001C41F1" w:rsidRDefault="001C41F1" w:rsidP="001C41F1">
      <w:pPr>
        <w:spacing w:line="360" w:lineRule="auto"/>
        <w:rPr>
          <w:rFonts w:ascii="Arial" w:hAnsi="Arial" w:cs="Arial"/>
          <w:sz w:val="22"/>
          <w:szCs w:val="22"/>
        </w:rPr>
      </w:pPr>
    </w:p>
    <w:p w14:paraId="57B9B75D" w14:textId="0ABC5842" w:rsidR="001C41F1" w:rsidRDefault="001C41F1" w:rsidP="0020036A">
      <w:pPr>
        <w:spacing w:line="360" w:lineRule="auto"/>
        <w:ind w:left="709"/>
        <w:rPr>
          <w:rFonts w:ascii="Arial" w:hAnsi="Arial" w:cs="Arial"/>
          <w:sz w:val="22"/>
          <w:szCs w:val="22"/>
        </w:rPr>
      </w:pPr>
    </w:p>
    <w:p w14:paraId="76929DE9" w14:textId="71C0EDDA" w:rsidR="001C41F1" w:rsidRDefault="001C41F1" w:rsidP="0020036A">
      <w:pPr>
        <w:spacing w:line="360" w:lineRule="auto"/>
        <w:ind w:left="709"/>
        <w:rPr>
          <w:rFonts w:ascii="Arial" w:hAnsi="Arial" w:cs="Arial"/>
          <w:sz w:val="22"/>
          <w:szCs w:val="22"/>
        </w:rPr>
      </w:pPr>
    </w:p>
    <w:p w14:paraId="1171A7EE" w14:textId="5043FFF2" w:rsidR="001C41F1" w:rsidRDefault="001C41F1" w:rsidP="0020036A">
      <w:pPr>
        <w:spacing w:line="360" w:lineRule="auto"/>
        <w:ind w:left="709"/>
        <w:rPr>
          <w:rFonts w:ascii="Arial" w:hAnsi="Arial" w:cs="Arial"/>
          <w:sz w:val="22"/>
          <w:szCs w:val="22"/>
        </w:rPr>
      </w:pPr>
    </w:p>
    <w:p w14:paraId="5BBEC061" w14:textId="77777777" w:rsidR="001C41F1" w:rsidRDefault="001C41F1" w:rsidP="0020036A">
      <w:pPr>
        <w:spacing w:line="360" w:lineRule="auto"/>
        <w:ind w:left="709"/>
        <w:rPr>
          <w:rFonts w:ascii="Arial" w:hAnsi="Arial" w:cs="Arial"/>
          <w:sz w:val="22"/>
          <w:szCs w:val="22"/>
        </w:rPr>
      </w:pPr>
    </w:p>
    <w:p w14:paraId="08A3F036" w14:textId="13B63821" w:rsidR="0020036A" w:rsidRDefault="0020036A" w:rsidP="0020036A">
      <w:pPr>
        <w:spacing w:line="360" w:lineRule="auto"/>
        <w:ind w:left="709"/>
        <w:rPr>
          <w:rFonts w:ascii="Arial" w:hAnsi="Arial" w:cs="Arial"/>
          <w:sz w:val="22"/>
          <w:szCs w:val="22"/>
        </w:rPr>
      </w:pPr>
    </w:p>
    <w:p w14:paraId="5093F6D5" w14:textId="57712B59" w:rsidR="001C41F1" w:rsidRDefault="001C41F1" w:rsidP="0020036A">
      <w:pPr>
        <w:spacing w:line="360" w:lineRule="auto"/>
        <w:ind w:left="709"/>
        <w:rPr>
          <w:rFonts w:ascii="Arial" w:hAnsi="Arial" w:cs="Arial"/>
          <w:sz w:val="22"/>
          <w:szCs w:val="22"/>
        </w:rPr>
      </w:pPr>
    </w:p>
    <w:p w14:paraId="2B98CEF3" w14:textId="2047FD0C" w:rsidR="001C41F1" w:rsidRDefault="001C41F1" w:rsidP="0020036A">
      <w:pPr>
        <w:spacing w:line="360" w:lineRule="auto"/>
        <w:ind w:left="709"/>
        <w:rPr>
          <w:rFonts w:ascii="Arial" w:hAnsi="Arial" w:cs="Arial"/>
          <w:sz w:val="22"/>
          <w:szCs w:val="22"/>
        </w:rPr>
      </w:pPr>
    </w:p>
    <w:p w14:paraId="04C374C1" w14:textId="5962B6DA" w:rsidR="001C41F1" w:rsidRDefault="001C41F1" w:rsidP="0020036A">
      <w:pPr>
        <w:spacing w:line="360" w:lineRule="auto"/>
        <w:ind w:left="709"/>
        <w:rPr>
          <w:rFonts w:ascii="Arial" w:hAnsi="Arial" w:cs="Arial"/>
          <w:sz w:val="22"/>
          <w:szCs w:val="22"/>
        </w:rPr>
      </w:pPr>
    </w:p>
    <w:p w14:paraId="3B0D9F83" w14:textId="77777777" w:rsidR="001C41F1" w:rsidRDefault="001C41F1" w:rsidP="0020036A">
      <w:pPr>
        <w:spacing w:line="360" w:lineRule="auto"/>
        <w:ind w:left="709"/>
        <w:rPr>
          <w:rFonts w:ascii="Arial" w:hAnsi="Arial" w:cs="Arial"/>
          <w:sz w:val="22"/>
          <w:szCs w:val="22"/>
        </w:rPr>
      </w:pPr>
    </w:p>
    <w:p w14:paraId="7D085E50" w14:textId="00E60CCE" w:rsidR="00886418" w:rsidRPr="0020036A" w:rsidRDefault="00886418" w:rsidP="0020036A">
      <w:pPr>
        <w:pStyle w:val="Heading1"/>
      </w:pPr>
      <w:bookmarkStart w:id="0" w:name="_Toc131080356"/>
      <w:r w:rsidRPr="0020036A">
        <w:lastRenderedPageBreak/>
        <w:t>Introduction</w:t>
      </w:r>
      <w:bookmarkEnd w:id="0"/>
      <w:r w:rsidRPr="0020036A">
        <w:t xml:space="preserve"> </w:t>
      </w:r>
    </w:p>
    <w:p w14:paraId="792790D1" w14:textId="77777777" w:rsidR="0020036A" w:rsidRPr="0020036A" w:rsidRDefault="0020036A" w:rsidP="0020036A">
      <w:pPr>
        <w:spacing w:line="360" w:lineRule="auto"/>
        <w:rPr>
          <w:rFonts w:ascii="Arial" w:hAnsi="Arial" w:cs="Arial"/>
          <w:sz w:val="22"/>
          <w:szCs w:val="22"/>
        </w:rPr>
      </w:pPr>
    </w:p>
    <w:p w14:paraId="11C31C3E" w14:textId="20FB73D4" w:rsidR="0020036A" w:rsidRPr="0020036A" w:rsidRDefault="0020036A" w:rsidP="0020036A">
      <w:pPr>
        <w:spacing w:line="360" w:lineRule="auto"/>
        <w:ind w:firstLine="709"/>
        <w:rPr>
          <w:rFonts w:ascii="Arial" w:hAnsi="Arial" w:cs="Arial"/>
          <w:sz w:val="22"/>
          <w:szCs w:val="22"/>
        </w:rPr>
      </w:pPr>
      <w:r w:rsidRPr="0020036A">
        <w:rPr>
          <w:rFonts w:ascii="Arial" w:hAnsi="Arial" w:cs="Arial"/>
          <w:sz w:val="22"/>
          <w:szCs w:val="22"/>
        </w:rPr>
        <w:t xml:space="preserve">Human Immunodeficiency Virus (HIV) is a viral infection that attacks the immune system, leading to </w:t>
      </w:r>
      <w:r w:rsidR="00DF56E7">
        <w:rPr>
          <w:rFonts w:ascii="Arial" w:hAnsi="Arial" w:cs="Arial"/>
          <w:sz w:val="22"/>
          <w:szCs w:val="22"/>
        </w:rPr>
        <w:t>an</w:t>
      </w:r>
      <w:r w:rsidRPr="0020036A">
        <w:rPr>
          <w:rFonts w:ascii="Arial" w:hAnsi="Arial" w:cs="Arial"/>
          <w:sz w:val="22"/>
          <w:szCs w:val="22"/>
        </w:rPr>
        <w:t xml:space="preserve"> immunodeficiency syndrome (AIDS) (WHO, 2021). HIV is transmitted </w:t>
      </w:r>
      <w:r w:rsidR="00DF56E7">
        <w:rPr>
          <w:rFonts w:ascii="Arial" w:hAnsi="Arial" w:cs="Arial"/>
          <w:sz w:val="22"/>
          <w:szCs w:val="22"/>
        </w:rPr>
        <w:t>by</w:t>
      </w:r>
      <w:r w:rsidRPr="0020036A">
        <w:rPr>
          <w:rFonts w:ascii="Arial" w:hAnsi="Arial" w:cs="Arial"/>
          <w:sz w:val="22"/>
          <w:szCs w:val="22"/>
        </w:rPr>
        <w:t xml:space="preserve"> contact with infected bodily fluids, such as blood, semen, vaginal fluids, and breast milk. HIV can be transmitted through sexual contact, sharing needles, and from mother to child </w:t>
      </w:r>
      <w:r w:rsidR="00DF56E7">
        <w:rPr>
          <w:rFonts w:ascii="Arial" w:hAnsi="Arial" w:cs="Arial"/>
          <w:sz w:val="22"/>
          <w:szCs w:val="22"/>
        </w:rPr>
        <w:t>during</w:t>
      </w:r>
      <w:r w:rsidRPr="0020036A">
        <w:rPr>
          <w:rFonts w:ascii="Arial" w:hAnsi="Arial" w:cs="Arial"/>
          <w:sz w:val="22"/>
          <w:szCs w:val="22"/>
        </w:rPr>
        <w:t xml:space="preserve"> pregnancy, </w:t>
      </w:r>
      <w:r w:rsidR="00DF56E7">
        <w:rPr>
          <w:rFonts w:ascii="Arial" w:hAnsi="Arial" w:cs="Arial"/>
          <w:sz w:val="22"/>
          <w:szCs w:val="22"/>
        </w:rPr>
        <w:t>while giving birth</w:t>
      </w:r>
      <w:r w:rsidRPr="0020036A">
        <w:rPr>
          <w:rFonts w:ascii="Arial" w:hAnsi="Arial" w:cs="Arial"/>
          <w:sz w:val="22"/>
          <w:szCs w:val="22"/>
        </w:rPr>
        <w:t>, or breastfeeding.</w:t>
      </w:r>
    </w:p>
    <w:p w14:paraId="051F2907" w14:textId="2DEC8054" w:rsidR="0020036A" w:rsidRPr="0020036A" w:rsidRDefault="0020036A" w:rsidP="0020036A">
      <w:pPr>
        <w:spacing w:line="360" w:lineRule="auto"/>
        <w:ind w:firstLine="709"/>
        <w:rPr>
          <w:rFonts w:ascii="Arial" w:hAnsi="Arial" w:cs="Arial"/>
          <w:sz w:val="22"/>
          <w:szCs w:val="22"/>
        </w:rPr>
      </w:pPr>
      <w:r w:rsidRPr="0020036A">
        <w:rPr>
          <w:rFonts w:ascii="Arial" w:hAnsi="Arial" w:cs="Arial"/>
          <w:sz w:val="22"/>
          <w:szCs w:val="22"/>
        </w:rPr>
        <w:t xml:space="preserve">Globally, HIV remains a significant public health concern, with an estimated 38 million people living with HIV in 2019 (UNAIDS, 2020). In the same year, there were 690,000 AIDS-related deaths. Sub-Saharan Africa is the most affected region, accounting for approximately two-thirds of all people living with HIV. However, there have been </w:t>
      </w:r>
      <w:r w:rsidR="00DF56E7">
        <w:rPr>
          <w:rFonts w:ascii="Arial" w:hAnsi="Arial" w:cs="Arial"/>
          <w:sz w:val="22"/>
          <w:szCs w:val="22"/>
        </w:rPr>
        <w:t xml:space="preserve">important </w:t>
      </w:r>
      <w:r w:rsidRPr="0020036A">
        <w:rPr>
          <w:rFonts w:ascii="Arial" w:hAnsi="Arial" w:cs="Arial"/>
          <w:sz w:val="22"/>
          <w:szCs w:val="22"/>
        </w:rPr>
        <w:t>gains in the fight against HIV, with a 23% reduction in new HIV infections since 2010.</w:t>
      </w:r>
    </w:p>
    <w:p w14:paraId="1775B55B" w14:textId="2A3B8F2E" w:rsidR="0020036A" w:rsidRPr="0020036A" w:rsidRDefault="0020036A" w:rsidP="0020036A">
      <w:pPr>
        <w:spacing w:line="360" w:lineRule="auto"/>
        <w:ind w:firstLine="709"/>
        <w:rPr>
          <w:rFonts w:ascii="Arial" w:hAnsi="Arial" w:cs="Arial"/>
          <w:sz w:val="22"/>
          <w:szCs w:val="22"/>
        </w:rPr>
      </w:pPr>
      <w:r w:rsidRPr="0020036A">
        <w:rPr>
          <w:rFonts w:ascii="Arial" w:hAnsi="Arial" w:cs="Arial"/>
          <w:sz w:val="22"/>
          <w:szCs w:val="22"/>
        </w:rPr>
        <w:t xml:space="preserve">In the UK, the number of new HIV diagnoses has decreased since the introduction of antiretroviral therapy (ART) in 1996. In 2019, there were 4,139 new HIV diagnoses, compared to the peak of 6,312 in 2014 (PHE, 2020). However, there are still an estimated 105,200 people </w:t>
      </w:r>
      <w:r w:rsidR="00DF56E7">
        <w:rPr>
          <w:rFonts w:ascii="Arial" w:hAnsi="Arial" w:cs="Arial"/>
          <w:sz w:val="22"/>
          <w:szCs w:val="22"/>
        </w:rPr>
        <w:t xml:space="preserve">that are living </w:t>
      </w:r>
      <w:r w:rsidRPr="0020036A">
        <w:rPr>
          <w:rFonts w:ascii="Arial" w:hAnsi="Arial" w:cs="Arial"/>
          <w:sz w:val="22"/>
          <w:szCs w:val="22"/>
        </w:rPr>
        <w:t xml:space="preserve">with HIV in the UK, with around 7,500 people living with undiagnosed HIV. Men who have sex with men </w:t>
      </w:r>
      <w:r w:rsidR="00DF56E7">
        <w:rPr>
          <w:rFonts w:ascii="Arial" w:hAnsi="Arial" w:cs="Arial"/>
          <w:sz w:val="22"/>
          <w:szCs w:val="22"/>
        </w:rPr>
        <w:t xml:space="preserve">are </w:t>
      </w:r>
      <w:r w:rsidRPr="0020036A">
        <w:rPr>
          <w:rFonts w:ascii="Arial" w:hAnsi="Arial" w:cs="Arial"/>
          <w:sz w:val="22"/>
          <w:szCs w:val="22"/>
        </w:rPr>
        <w:t xml:space="preserve">the group </w:t>
      </w:r>
      <w:r w:rsidR="00DF56E7">
        <w:rPr>
          <w:rFonts w:ascii="Arial" w:hAnsi="Arial" w:cs="Arial"/>
          <w:sz w:val="22"/>
          <w:szCs w:val="22"/>
        </w:rPr>
        <w:t xml:space="preserve">which is </w:t>
      </w:r>
      <w:r w:rsidRPr="0020036A">
        <w:rPr>
          <w:rFonts w:ascii="Arial" w:hAnsi="Arial" w:cs="Arial"/>
          <w:sz w:val="22"/>
          <w:szCs w:val="22"/>
        </w:rPr>
        <w:t>most affected by HIV in the UK.</w:t>
      </w:r>
    </w:p>
    <w:p w14:paraId="19BB264C" w14:textId="77777777" w:rsidR="0020036A" w:rsidRPr="0020036A" w:rsidRDefault="0020036A" w:rsidP="0020036A">
      <w:pPr>
        <w:spacing w:line="360" w:lineRule="auto"/>
        <w:ind w:firstLine="709"/>
        <w:rPr>
          <w:rFonts w:ascii="Arial" w:hAnsi="Arial" w:cs="Arial"/>
          <w:sz w:val="22"/>
          <w:szCs w:val="22"/>
        </w:rPr>
      </w:pPr>
      <w:r w:rsidRPr="0020036A">
        <w:rPr>
          <w:rFonts w:ascii="Arial" w:hAnsi="Arial" w:cs="Arial"/>
          <w:sz w:val="22"/>
          <w:szCs w:val="22"/>
        </w:rPr>
        <w:t>The incidence and prevalence of HIV demonstrate the severity of the health issue. HIV remains a significant global health concern, particularly in sub-Saharan Africa, where the burden of the disease is highest. However, there have been significant gains in the fight against HIV, with improved access to ART and prevention measures. In the UK, the number of new diagnoses has decreased, but there is still a need for continued efforts to improve prevention, testing, and treatment for those living with HIV.</w:t>
      </w:r>
    </w:p>
    <w:p w14:paraId="29614CE1" w14:textId="108FFA9A" w:rsidR="0020036A" w:rsidRPr="0020036A" w:rsidRDefault="0020036A" w:rsidP="0020036A">
      <w:pPr>
        <w:spacing w:line="360" w:lineRule="auto"/>
        <w:rPr>
          <w:rFonts w:ascii="Arial" w:hAnsi="Arial" w:cs="Arial"/>
          <w:sz w:val="22"/>
          <w:szCs w:val="22"/>
        </w:rPr>
      </w:pPr>
    </w:p>
    <w:p w14:paraId="7E8D94C6" w14:textId="402226E9" w:rsidR="0020036A" w:rsidRDefault="0020036A" w:rsidP="0020036A">
      <w:pPr>
        <w:spacing w:line="360" w:lineRule="auto"/>
        <w:rPr>
          <w:rFonts w:ascii="Arial" w:hAnsi="Arial" w:cs="Arial"/>
          <w:sz w:val="22"/>
          <w:szCs w:val="22"/>
        </w:rPr>
      </w:pPr>
    </w:p>
    <w:p w14:paraId="793B84FE" w14:textId="7B6A07FE" w:rsidR="0020036A" w:rsidRDefault="0020036A" w:rsidP="0020036A">
      <w:pPr>
        <w:spacing w:line="360" w:lineRule="auto"/>
        <w:rPr>
          <w:rFonts w:ascii="Arial" w:hAnsi="Arial" w:cs="Arial"/>
          <w:sz w:val="22"/>
          <w:szCs w:val="22"/>
        </w:rPr>
      </w:pPr>
    </w:p>
    <w:p w14:paraId="2DC1A811" w14:textId="79595356" w:rsidR="0020036A" w:rsidRDefault="0020036A" w:rsidP="0020036A">
      <w:pPr>
        <w:spacing w:line="360" w:lineRule="auto"/>
        <w:rPr>
          <w:rFonts w:ascii="Arial" w:hAnsi="Arial" w:cs="Arial"/>
          <w:sz w:val="22"/>
          <w:szCs w:val="22"/>
        </w:rPr>
      </w:pPr>
    </w:p>
    <w:p w14:paraId="72DF0F2A" w14:textId="7255A116" w:rsidR="0020036A" w:rsidRDefault="0020036A" w:rsidP="0020036A">
      <w:pPr>
        <w:spacing w:line="360" w:lineRule="auto"/>
        <w:rPr>
          <w:rFonts w:ascii="Arial" w:hAnsi="Arial" w:cs="Arial"/>
          <w:sz w:val="22"/>
          <w:szCs w:val="22"/>
        </w:rPr>
      </w:pPr>
    </w:p>
    <w:p w14:paraId="5A11B94F" w14:textId="74FEF053" w:rsidR="0020036A" w:rsidRDefault="0020036A" w:rsidP="0020036A">
      <w:pPr>
        <w:spacing w:line="360" w:lineRule="auto"/>
        <w:rPr>
          <w:rFonts w:ascii="Arial" w:hAnsi="Arial" w:cs="Arial"/>
          <w:sz w:val="22"/>
          <w:szCs w:val="22"/>
        </w:rPr>
      </w:pPr>
    </w:p>
    <w:p w14:paraId="73569E2E" w14:textId="5CFF38A1" w:rsidR="0020036A" w:rsidRDefault="0020036A" w:rsidP="0020036A">
      <w:pPr>
        <w:spacing w:line="360" w:lineRule="auto"/>
        <w:rPr>
          <w:rFonts w:ascii="Arial" w:hAnsi="Arial" w:cs="Arial"/>
          <w:sz w:val="22"/>
          <w:szCs w:val="22"/>
        </w:rPr>
      </w:pPr>
    </w:p>
    <w:p w14:paraId="462C644F" w14:textId="30111327" w:rsidR="0020036A" w:rsidRDefault="0020036A" w:rsidP="0020036A">
      <w:pPr>
        <w:spacing w:line="360" w:lineRule="auto"/>
        <w:rPr>
          <w:rFonts w:ascii="Arial" w:hAnsi="Arial" w:cs="Arial"/>
          <w:sz w:val="22"/>
          <w:szCs w:val="22"/>
        </w:rPr>
      </w:pPr>
    </w:p>
    <w:p w14:paraId="1A187A97" w14:textId="3823A7E8" w:rsidR="0020036A" w:rsidRDefault="0020036A" w:rsidP="0020036A">
      <w:pPr>
        <w:spacing w:line="360" w:lineRule="auto"/>
        <w:rPr>
          <w:rFonts w:ascii="Arial" w:hAnsi="Arial" w:cs="Arial"/>
          <w:sz w:val="22"/>
          <w:szCs w:val="22"/>
        </w:rPr>
      </w:pPr>
    </w:p>
    <w:p w14:paraId="4AED39D6" w14:textId="16F0D0BE" w:rsidR="0020036A" w:rsidRDefault="0020036A" w:rsidP="0020036A">
      <w:pPr>
        <w:spacing w:line="360" w:lineRule="auto"/>
        <w:rPr>
          <w:rFonts w:ascii="Arial" w:hAnsi="Arial" w:cs="Arial"/>
          <w:sz w:val="22"/>
          <w:szCs w:val="22"/>
        </w:rPr>
      </w:pPr>
    </w:p>
    <w:p w14:paraId="2F84CBDC" w14:textId="78A523AA" w:rsidR="001C41F1" w:rsidRDefault="001C41F1" w:rsidP="0020036A">
      <w:pPr>
        <w:spacing w:line="360" w:lineRule="auto"/>
        <w:rPr>
          <w:rFonts w:ascii="Arial" w:hAnsi="Arial" w:cs="Arial"/>
          <w:sz w:val="22"/>
          <w:szCs w:val="22"/>
        </w:rPr>
      </w:pPr>
    </w:p>
    <w:p w14:paraId="725629D7" w14:textId="77777777" w:rsidR="001C41F1" w:rsidRPr="0020036A" w:rsidRDefault="001C41F1" w:rsidP="0020036A">
      <w:pPr>
        <w:spacing w:line="360" w:lineRule="auto"/>
        <w:rPr>
          <w:rFonts w:ascii="Arial" w:hAnsi="Arial" w:cs="Arial"/>
          <w:sz w:val="22"/>
          <w:szCs w:val="22"/>
        </w:rPr>
      </w:pPr>
    </w:p>
    <w:p w14:paraId="12888B4C" w14:textId="4EF6A18A" w:rsidR="00886418" w:rsidRPr="0020036A" w:rsidRDefault="00886418" w:rsidP="0020036A">
      <w:pPr>
        <w:pStyle w:val="Heading1"/>
      </w:pPr>
      <w:bookmarkStart w:id="1" w:name="_Toc131080357"/>
      <w:r w:rsidRPr="0020036A">
        <w:lastRenderedPageBreak/>
        <w:t>Main Body</w:t>
      </w:r>
      <w:bookmarkEnd w:id="1"/>
      <w:r w:rsidRPr="0020036A">
        <w:t xml:space="preserve"> </w:t>
      </w:r>
    </w:p>
    <w:p w14:paraId="22F251E9" w14:textId="7F7264F9" w:rsidR="0020036A" w:rsidRPr="0020036A" w:rsidRDefault="0020036A" w:rsidP="0020036A">
      <w:pPr>
        <w:spacing w:line="360" w:lineRule="auto"/>
        <w:rPr>
          <w:rFonts w:ascii="Arial" w:hAnsi="Arial" w:cs="Arial"/>
          <w:sz w:val="22"/>
          <w:szCs w:val="22"/>
        </w:rPr>
      </w:pPr>
    </w:p>
    <w:p w14:paraId="06AE306F"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The UK has implemented various public health measures to manage and reduce the spread of HIV. These measures aim to reduce new HIV infections, improve access to testing and treatment, and support those living with HIV.</w:t>
      </w:r>
    </w:p>
    <w:p w14:paraId="6384C87F"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One of the key public health measures in the UK is the availability of HIV testing. HIV testing is available through various settings, including sexual health clinics, general practitioners, and community-based organizations. Testing is free, confidential, and accessible to everyone, regardless of their immigration status (PHE, 2020). Additionally, self-testing kits are now available, which provide an alternative option for those who may not feel comfortable accessing traditional testing services.</w:t>
      </w:r>
    </w:p>
    <w:p w14:paraId="780C967C"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Antiretroviral therapy (ART) is another important measure to control HIV in the UK. ART suppresses the replication of the virus, reducing the viral load to undetectable levels, and thus preventing transmission. The availability of ART has led to significant improvements in the health and life expectancy of those living with HIV (BHIVA, 2020). In the UK, ART is available to all those diagnosed with HIV, regardless of their CD4 count or clinical stage (PHE, 2020).</w:t>
      </w:r>
    </w:p>
    <w:p w14:paraId="15F617E6" w14:textId="2E38A3B0"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Pre-exposure prophylaxis (</w:t>
      </w:r>
      <w:proofErr w:type="spellStart"/>
      <w:r w:rsidRPr="0020036A">
        <w:rPr>
          <w:rFonts w:ascii="Arial" w:hAnsi="Arial" w:cs="Arial"/>
          <w:sz w:val="22"/>
          <w:szCs w:val="22"/>
        </w:rPr>
        <w:t>PrEP</w:t>
      </w:r>
      <w:proofErr w:type="spellEnd"/>
      <w:r w:rsidRPr="0020036A">
        <w:rPr>
          <w:rFonts w:ascii="Arial" w:hAnsi="Arial" w:cs="Arial"/>
          <w:sz w:val="22"/>
          <w:szCs w:val="22"/>
        </w:rPr>
        <w:t xml:space="preserve">) is another public health measure available in the UK. </w:t>
      </w:r>
      <w:proofErr w:type="spellStart"/>
      <w:r w:rsidRPr="0020036A">
        <w:rPr>
          <w:rFonts w:ascii="Arial" w:hAnsi="Arial" w:cs="Arial"/>
          <w:sz w:val="22"/>
          <w:szCs w:val="22"/>
        </w:rPr>
        <w:t>PrEP</w:t>
      </w:r>
      <w:proofErr w:type="spellEnd"/>
      <w:r w:rsidRPr="0020036A">
        <w:rPr>
          <w:rFonts w:ascii="Arial" w:hAnsi="Arial" w:cs="Arial"/>
          <w:sz w:val="22"/>
          <w:szCs w:val="22"/>
        </w:rPr>
        <w:t xml:space="preserve"> is a medication</w:t>
      </w:r>
      <w:r w:rsidR="00DF56E7">
        <w:rPr>
          <w:rFonts w:ascii="Arial" w:hAnsi="Arial" w:cs="Arial"/>
          <w:sz w:val="22"/>
          <w:szCs w:val="22"/>
        </w:rPr>
        <w:t>, which is used daily,</w:t>
      </w:r>
      <w:r w:rsidRPr="0020036A">
        <w:rPr>
          <w:rFonts w:ascii="Arial" w:hAnsi="Arial" w:cs="Arial"/>
          <w:sz w:val="22"/>
          <w:szCs w:val="22"/>
        </w:rPr>
        <w:t xml:space="preserve"> that can reduce the risk of HIV transmission by up to 99% when taken</w:t>
      </w:r>
      <w:r w:rsidR="00DF56E7">
        <w:rPr>
          <w:rFonts w:ascii="Arial" w:hAnsi="Arial" w:cs="Arial"/>
          <w:sz w:val="22"/>
          <w:szCs w:val="22"/>
        </w:rPr>
        <w:t xml:space="preserve"> with consistency</w:t>
      </w:r>
      <w:r w:rsidRPr="0020036A">
        <w:rPr>
          <w:rFonts w:ascii="Arial" w:hAnsi="Arial" w:cs="Arial"/>
          <w:sz w:val="22"/>
          <w:szCs w:val="22"/>
        </w:rPr>
        <w:t xml:space="preserve"> (Terrence Higgins Trust, 2021). </w:t>
      </w:r>
      <w:proofErr w:type="spellStart"/>
      <w:r w:rsidRPr="0020036A">
        <w:rPr>
          <w:rFonts w:ascii="Arial" w:hAnsi="Arial" w:cs="Arial"/>
          <w:sz w:val="22"/>
          <w:szCs w:val="22"/>
        </w:rPr>
        <w:t>PrEP</w:t>
      </w:r>
      <w:proofErr w:type="spellEnd"/>
      <w:r w:rsidRPr="0020036A">
        <w:rPr>
          <w:rFonts w:ascii="Arial" w:hAnsi="Arial" w:cs="Arial"/>
          <w:sz w:val="22"/>
          <w:szCs w:val="22"/>
        </w:rPr>
        <w:t xml:space="preserve"> is available through the National Health Service (NHS) in England, Scotland, and Wales, and through a trial in Northern Ireland.</w:t>
      </w:r>
    </w:p>
    <w:p w14:paraId="1CFF87FB"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Furthermore, condoms remain a critical public health measure in the prevention of HIV transmission. Condoms provide a barrier that prevents the exchange of bodily fluids during sexual activity, reducing the risk of HIV transmission. Condoms are widely available, and their use is promoted through various campaigns and initiatives (NHS, 2021).</w:t>
      </w:r>
    </w:p>
    <w:p w14:paraId="12106F38"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Finally, stigma and discrimination remain significant barriers to the management and control of HIV in the UK. Various initiatives aim to address and reduce stigma, including educational programs and campaigns, community-based interventions, and legal protections (BHIVA, 2018).</w:t>
      </w:r>
    </w:p>
    <w:p w14:paraId="2DD45082"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In conclusion, the UK has implemented various public health measures to manage and reduce the spread of HIV. These measures include the availability of free and confidential testing, access to ART, </w:t>
      </w:r>
      <w:proofErr w:type="spellStart"/>
      <w:r w:rsidRPr="0020036A">
        <w:rPr>
          <w:rFonts w:ascii="Arial" w:hAnsi="Arial" w:cs="Arial"/>
          <w:sz w:val="22"/>
          <w:szCs w:val="22"/>
        </w:rPr>
        <w:t>PrEP</w:t>
      </w:r>
      <w:proofErr w:type="spellEnd"/>
      <w:r w:rsidRPr="0020036A">
        <w:rPr>
          <w:rFonts w:ascii="Arial" w:hAnsi="Arial" w:cs="Arial"/>
          <w:sz w:val="22"/>
          <w:szCs w:val="22"/>
        </w:rPr>
        <w:t>, condoms, and initiatives aimed at reducing stigma and discrimination. These measures have contributed to a reduction in new HIV diagnoses and improvements in the health and life expectancy of those living with HIV in the UK.</w:t>
      </w:r>
    </w:p>
    <w:p w14:paraId="19C755CD" w14:textId="2D30ACAE" w:rsidR="0020036A" w:rsidRPr="0020036A" w:rsidRDefault="00886418" w:rsidP="0020036A">
      <w:pPr>
        <w:pStyle w:val="Heading1"/>
      </w:pPr>
      <w:bookmarkStart w:id="2" w:name="_Toc131080358"/>
      <w:r w:rsidRPr="0020036A">
        <w:lastRenderedPageBreak/>
        <w:t>The key determinants/risk factors of the chosen disease</w:t>
      </w:r>
      <w:bookmarkEnd w:id="2"/>
      <w:r w:rsidRPr="0020036A">
        <w:t xml:space="preserve"> </w:t>
      </w:r>
    </w:p>
    <w:p w14:paraId="3F5D5E56" w14:textId="77777777" w:rsidR="0020036A" w:rsidRPr="0020036A" w:rsidRDefault="0020036A" w:rsidP="0020036A">
      <w:pPr>
        <w:spacing w:line="360" w:lineRule="auto"/>
        <w:rPr>
          <w:rFonts w:ascii="Arial" w:hAnsi="Arial" w:cs="Arial"/>
          <w:sz w:val="22"/>
          <w:szCs w:val="22"/>
        </w:rPr>
      </w:pPr>
    </w:p>
    <w:p w14:paraId="724EE72D" w14:textId="6728A402"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Various factors increase the risk of HIV acquisition in the UK. These risk factors include sexual behaviour, injecting drug use, migration, and socioeconomic factors.</w:t>
      </w:r>
    </w:p>
    <w:p w14:paraId="580791DF" w14:textId="770F24D5"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Sexual behaviour is the most common mode of HIV transmission in the UK, accounting for around 90% of new HIV diagnoses (PHE, 2020). The risk of HIV transmission increases with unprotected sex, multiple sexual partners, and engaging in high-risk sexual practices such as group sex or sex work (NHS, 2021).</w:t>
      </w:r>
    </w:p>
    <w:p w14:paraId="357400D6"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Injecting drug use is another significant risk factor for HIV acquisition. Sharing needles and other injecting equipment increases the risk of HIV transmission, as well as other blood-borne viruses such as hepatitis C (PHE, 2020).</w:t>
      </w:r>
    </w:p>
    <w:p w14:paraId="3E50F001"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Migration is another determinant of HIV risk in the UK. People from countries with a high prevalence of HIV may be more likely to acquire HIV themselves, either before or after migration (NAT, 2021). Additionally, migration may lead to challenges in accessing healthcare, language barriers, and other socioeconomic factors that can impact HIV risk.</w:t>
      </w:r>
    </w:p>
    <w:p w14:paraId="42141D2C" w14:textId="35CE8038"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Socioeconomic factors such as poverty, social exclusion, and lack of education can also contribute to HIV risk. These factors can lead to limited access to healthcare, higher levels of risk-taking behaviours, and a lack of awareness of HIV and its transmission (BHIVA, 2020).</w:t>
      </w:r>
    </w:p>
    <w:p w14:paraId="18AFED6A"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Other factors that may increase HIV risk include being a man who has sex with men, being a transgender person, or having a sexually transmitted infection (STI) (NHS, 2021).</w:t>
      </w:r>
    </w:p>
    <w:p w14:paraId="3033B97A" w14:textId="54F5ED4B"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conclusion, various determinants increase the risk of HIV acquisition in the UK, including sexual behaviour, injecting drug use, migration, and socioeconomic factors. Addressing these determinants requires a comprehensive approach that includes access to healthcare, education, and targeted interventions aimed at reducing risk behaviours and increasing awareness of HIV and its transmission.</w:t>
      </w:r>
    </w:p>
    <w:p w14:paraId="7B21F80E" w14:textId="77777777" w:rsidR="0020036A" w:rsidRPr="0020036A" w:rsidRDefault="0020036A" w:rsidP="0020036A">
      <w:pPr>
        <w:spacing w:line="360" w:lineRule="auto"/>
        <w:rPr>
          <w:rFonts w:ascii="Arial" w:hAnsi="Arial" w:cs="Arial"/>
          <w:sz w:val="22"/>
          <w:szCs w:val="22"/>
        </w:rPr>
      </w:pPr>
    </w:p>
    <w:p w14:paraId="1E6E9671" w14:textId="77777777" w:rsidR="0020036A" w:rsidRPr="0020036A" w:rsidRDefault="0020036A" w:rsidP="0020036A">
      <w:pPr>
        <w:spacing w:line="360" w:lineRule="auto"/>
        <w:rPr>
          <w:rFonts w:ascii="Arial" w:hAnsi="Arial" w:cs="Arial"/>
          <w:sz w:val="22"/>
          <w:szCs w:val="22"/>
        </w:rPr>
      </w:pPr>
    </w:p>
    <w:p w14:paraId="7B3ED73C" w14:textId="5FF6E9A7" w:rsidR="0020036A" w:rsidRPr="0020036A" w:rsidRDefault="00886418" w:rsidP="0020036A">
      <w:pPr>
        <w:pStyle w:val="Heading1"/>
      </w:pPr>
      <w:bookmarkStart w:id="3" w:name="_Toc131080359"/>
      <w:r w:rsidRPr="0020036A">
        <w:t>Short-term public health consequences of the disease in a health or social care setting</w:t>
      </w:r>
      <w:bookmarkEnd w:id="3"/>
      <w:r w:rsidRPr="0020036A">
        <w:t xml:space="preserve"> </w:t>
      </w:r>
    </w:p>
    <w:p w14:paraId="720165E1" w14:textId="77777777" w:rsidR="0020036A" w:rsidRPr="0020036A" w:rsidRDefault="0020036A" w:rsidP="0020036A">
      <w:pPr>
        <w:spacing w:line="360" w:lineRule="auto"/>
        <w:rPr>
          <w:rFonts w:ascii="Arial" w:hAnsi="Arial" w:cs="Arial"/>
          <w:sz w:val="22"/>
          <w:szCs w:val="22"/>
        </w:rPr>
      </w:pPr>
    </w:p>
    <w:p w14:paraId="25D67830" w14:textId="47B7D208"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HIV can have various short-term public health consequences in a health or social care setting, including increased healthcare costs, staff absenteeism, and emotional distress among patients and staff.</w:t>
      </w:r>
    </w:p>
    <w:p w14:paraId="2FCD8981"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One of the significant short-term public health consequences of HIV in a health or social care setting is the increased healthcare costs. Patients living with HIV often require frequent </w:t>
      </w:r>
      <w:r w:rsidRPr="0020036A">
        <w:rPr>
          <w:rFonts w:ascii="Arial" w:hAnsi="Arial" w:cs="Arial"/>
          <w:sz w:val="22"/>
          <w:szCs w:val="22"/>
        </w:rPr>
        <w:lastRenderedPageBreak/>
        <w:t>medical visits, laboratory tests, and antiretroviral therapy, which can be costly for healthcare systems (WHO, 2021). These costs can impact the availability and affordability of healthcare services, particularly in low-resource settings.</w:t>
      </w:r>
    </w:p>
    <w:p w14:paraId="7B20D8F3"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HIV can also lead to staff absenteeism in healthcare settings, as healthcare workers may need to take time off work due to their own health concerns or caring for family members with HIV (WHO, 2021). This can lead to staffing shortages, which can affect the quality of care and increase the workload for remaining staff.</w:t>
      </w:r>
    </w:p>
    <w:p w14:paraId="362FE03C"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Another short-term public health consequence of HIV is emotional distress among patients and healthcare workers. A diagnosis of HIV can be emotionally challenging for patients, leading to feelings of fear, anxiety, and stigma (CDC, 2021). Healthcare workers may also experience emotional distress when caring for patients with HIV, particularly if they lack training or support to manage these complex emotional issues.</w:t>
      </w:r>
    </w:p>
    <w:p w14:paraId="65BA1E4F"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To mitigate these short-term consequences of HIV in a health or social care setting, various measures can be taken. For example, healthcare systems can develop cost-effective strategies for managing HIV, such as task-shifting and decentralization of care (WHO, 2021). Education and training programs can also help healthcare workers manage the emotional and psychological aspects of HIV care, improving patient outcomes and reducing staff absenteeism (UNAIDS, 2020).</w:t>
      </w:r>
    </w:p>
    <w:p w14:paraId="3029A59A"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conclusion, HIV can have significant short-term public health consequences in a health or social care setting, including increased healthcare costs, staff absenteeism, and emotional distress among patients and staff. Effective strategies to manage these consequences require a comprehensive approach that includes cost-effective care models, education and training programs for healthcare workers, and emotional support for patients living with HIV.</w:t>
      </w:r>
    </w:p>
    <w:p w14:paraId="61D93564" w14:textId="77777777" w:rsidR="0020036A" w:rsidRPr="0020036A" w:rsidRDefault="0020036A" w:rsidP="0020036A">
      <w:pPr>
        <w:pStyle w:val="ListParagraph"/>
        <w:spacing w:line="360" w:lineRule="auto"/>
        <w:ind w:left="1429"/>
        <w:rPr>
          <w:rFonts w:ascii="Arial" w:hAnsi="Arial" w:cs="Arial"/>
          <w:sz w:val="22"/>
          <w:szCs w:val="22"/>
        </w:rPr>
      </w:pPr>
    </w:p>
    <w:p w14:paraId="5140970D" w14:textId="77777777" w:rsidR="0020036A" w:rsidRPr="0020036A" w:rsidRDefault="0020036A" w:rsidP="0020036A">
      <w:pPr>
        <w:pStyle w:val="ListParagraph"/>
        <w:spacing w:line="360" w:lineRule="auto"/>
        <w:ind w:left="1429"/>
        <w:rPr>
          <w:rFonts w:ascii="Arial" w:hAnsi="Arial" w:cs="Arial"/>
          <w:sz w:val="22"/>
          <w:szCs w:val="22"/>
        </w:rPr>
      </w:pPr>
    </w:p>
    <w:p w14:paraId="47C28AB2" w14:textId="75EF9BE5" w:rsidR="00886418" w:rsidRPr="0020036A" w:rsidRDefault="00886418" w:rsidP="0020036A">
      <w:pPr>
        <w:pStyle w:val="Heading1"/>
      </w:pPr>
      <w:bookmarkStart w:id="4" w:name="_Toc131080360"/>
      <w:r w:rsidRPr="0020036A">
        <w:t>Long-term public health consequences of the disease in a health or social care setting</w:t>
      </w:r>
      <w:bookmarkEnd w:id="4"/>
      <w:r w:rsidRPr="0020036A">
        <w:t xml:space="preserve"> </w:t>
      </w:r>
    </w:p>
    <w:p w14:paraId="27D99879" w14:textId="6B375008" w:rsidR="0020036A" w:rsidRPr="0020036A" w:rsidRDefault="0020036A" w:rsidP="0020036A">
      <w:pPr>
        <w:spacing w:line="360" w:lineRule="auto"/>
        <w:rPr>
          <w:rFonts w:ascii="Arial" w:hAnsi="Arial" w:cs="Arial"/>
          <w:sz w:val="22"/>
          <w:szCs w:val="22"/>
        </w:rPr>
      </w:pPr>
    </w:p>
    <w:p w14:paraId="23ACE1F5" w14:textId="023A85AA"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HIV can have long-term public health consequences </w:t>
      </w:r>
      <w:r w:rsidR="00DF56E7">
        <w:rPr>
          <w:rFonts w:ascii="Arial" w:hAnsi="Arial" w:cs="Arial"/>
          <w:sz w:val="22"/>
          <w:szCs w:val="22"/>
        </w:rPr>
        <w:t>with regard to</w:t>
      </w:r>
      <w:r w:rsidRPr="0020036A">
        <w:rPr>
          <w:rFonts w:ascii="Arial" w:hAnsi="Arial" w:cs="Arial"/>
          <w:sz w:val="22"/>
          <w:szCs w:val="22"/>
        </w:rPr>
        <w:t xml:space="preserve"> a health </w:t>
      </w:r>
      <w:r w:rsidR="00DF56E7">
        <w:rPr>
          <w:rFonts w:ascii="Arial" w:hAnsi="Arial" w:cs="Arial"/>
          <w:sz w:val="22"/>
          <w:szCs w:val="22"/>
        </w:rPr>
        <w:t>and</w:t>
      </w:r>
      <w:r w:rsidRPr="0020036A">
        <w:rPr>
          <w:rFonts w:ascii="Arial" w:hAnsi="Arial" w:cs="Arial"/>
          <w:sz w:val="22"/>
          <w:szCs w:val="22"/>
        </w:rPr>
        <w:t xml:space="preserve"> social care setting, which can impact patient outcomes, healthcare systems, and society as a whole. Some of the key long-term consequences of HIV in a health or social care setting include increased morbidity and mortality, social stigma and discrimination, and healthcare system strain.</w:t>
      </w:r>
    </w:p>
    <w:p w14:paraId="3A6537AA"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One of the most significant long-term public health consequences of HIV in a health or social care setting is increased morbidity and mortality among patients living with HIV. </w:t>
      </w:r>
      <w:r w:rsidRPr="0020036A">
        <w:rPr>
          <w:rFonts w:ascii="Arial" w:hAnsi="Arial" w:cs="Arial"/>
          <w:sz w:val="22"/>
          <w:szCs w:val="22"/>
        </w:rPr>
        <w:lastRenderedPageBreak/>
        <w:t>Despite the availability of antiretroviral therapy, people living with HIV are at increased risk of developing opportunistic infections, cancers, and other chronic illnesses (UNAIDS, 2020). These conditions can reduce quality of life, increase healthcare costs, and shorten life expectancy.</w:t>
      </w:r>
    </w:p>
    <w:p w14:paraId="58154F6B"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HIV can also lead to social stigma and discrimination, which can have significant long-term consequences for individuals and society. People living with HIV may experience discrimination in employment, housing, and healthcare, which can lead to social isolation and mental health issues (UNAIDS, 2020). This stigma can also deter people from getting tested and seeking treatment, leading to increased transmission rates and worse health outcomes.</w:t>
      </w:r>
    </w:p>
    <w:p w14:paraId="4494B3D5"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addition, HIV can strain healthcare systems in the long term. As people with HIV age, they may require more complex care for chronic conditions, which can increase healthcare costs and reduce the availability of resources for other patients (UNAIDS, 2020). This strain can be particularly challenging in low-resource settings, where healthcare systems may already be struggling to meet the needs of their populations.</w:t>
      </w:r>
    </w:p>
    <w:p w14:paraId="17C3C4CE"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To mitigate these long-term consequences of HIV in a health or social care setting, various measures can be taken. For example, healthcare systems can prioritize early diagnosis and treatment of HIV, which can improve patient outcomes and reduce healthcare costs over time (UNAIDS, 2020). Advocacy and education efforts can also help reduce social stigma and discrimination against people living with HIV, improving their quality of </w:t>
      </w:r>
      <w:proofErr w:type="gramStart"/>
      <w:r w:rsidRPr="0020036A">
        <w:rPr>
          <w:rFonts w:ascii="Arial" w:hAnsi="Arial" w:cs="Arial"/>
          <w:sz w:val="22"/>
          <w:szCs w:val="22"/>
        </w:rPr>
        <w:t>life</w:t>
      </w:r>
      <w:proofErr w:type="gramEnd"/>
      <w:r w:rsidRPr="0020036A">
        <w:rPr>
          <w:rFonts w:ascii="Arial" w:hAnsi="Arial" w:cs="Arial"/>
          <w:sz w:val="22"/>
          <w:szCs w:val="22"/>
        </w:rPr>
        <w:t xml:space="preserve"> and encouraging more people to get tested and seek treatment.</w:t>
      </w:r>
    </w:p>
    <w:p w14:paraId="4C61BED2"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conclusion, HIV can have significant long-term public health consequences in a health or social care setting, including increased morbidity and mortality, social stigma and discrimination, and healthcare system strain. Effective strategies to manage these consequences require a comprehensive approach that includes early diagnosis and treatment, advocacy and education efforts, and support for people living with HIV.</w:t>
      </w:r>
    </w:p>
    <w:p w14:paraId="44062D74" w14:textId="11337AA8" w:rsidR="0020036A" w:rsidRPr="0020036A" w:rsidRDefault="0020036A" w:rsidP="0020036A">
      <w:pPr>
        <w:spacing w:line="360" w:lineRule="auto"/>
        <w:rPr>
          <w:rFonts w:ascii="Arial" w:hAnsi="Arial" w:cs="Arial"/>
          <w:sz w:val="22"/>
          <w:szCs w:val="22"/>
        </w:rPr>
      </w:pPr>
    </w:p>
    <w:p w14:paraId="4EAFAE9D" w14:textId="77777777" w:rsidR="0020036A" w:rsidRPr="0020036A" w:rsidRDefault="0020036A" w:rsidP="0020036A">
      <w:pPr>
        <w:spacing w:line="360" w:lineRule="auto"/>
        <w:rPr>
          <w:rFonts w:ascii="Arial" w:hAnsi="Arial" w:cs="Arial"/>
          <w:color w:val="373A3C"/>
          <w:sz w:val="22"/>
          <w:szCs w:val="22"/>
        </w:rPr>
      </w:pPr>
    </w:p>
    <w:p w14:paraId="0D4F9939" w14:textId="0E213300" w:rsidR="00886418" w:rsidRPr="0020036A" w:rsidRDefault="00886418" w:rsidP="0020036A">
      <w:pPr>
        <w:pStyle w:val="Heading1"/>
        <w:rPr>
          <w:color w:val="auto"/>
        </w:rPr>
      </w:pPr>
      <w:bookmarkStart w:id="5" w:name="_Toc131080361"/>
      <w:r w:rsidRPr="0020036A">
        <w:t>Factors influencing the health and well-being of individuals with your chosen disease</w:t>
      </w:r>
      <w:bookmarkEnd w:id="5"/>
      <w:r w:rsidRPr="0020036A">
        <w:t xml:space="preserve"> </w:t>
      </w:r>
    </w:p>
    <w:p w14:paraId="70EE919F" w14:textId="1BCD3845" w:rsidR="0020036A" w:rsidRPr="0020036A" w:rsidRDefault="0020036A" w:rsidP="0020036A">
      <w:pPr>
        <w:spacing w:line="360" w:lineRule="auto"/>
        <w:rPr>
          <w:rFonts w:ascii="Arial" w:hAnsi="Arial" w:cs="Arial"/>
          <w:sz w:val="22"/>
          <w:szCs w:val="22"/>
        </w:rPr>
      </w:pPr>
    </w:p>
    <w:p w14:paraId="4060F4F6"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Individuals with HIV can face a range of factors that can influence their health and well-being. These factors can include individual characteristics such as age and sex, as well as social determinants such as poverty, discrimination, and access to healthcare.</w:t>
      </w:r>
    </w:p>
    <w:p w14:paraId="62A25FDA"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 xml:space="preserve">Age is an important factor that can influence the health and well-being of individuals with HIV. Older adults living with HIV may be at increased risk of developing age-related </w:t>
      </w:r>
      <w:r w:rsidRPr="0020036A">
        <w:rPr>
          <w:rFonts w:ascii="Arial" w:hAnsi="Arial" w:cs="Arial"/>
          <w:sz w:val="22"/>
          <w:szCs w:val="22"/>
        </w:rPr>
        <w:lastRenderedPageBreak/>
        <w:t>chronic conditions, such as cardiovascular disease and osteoporosis, which can impact their overall health and quality of life (O'Brien et al., 2020). Sex is another important factor, as women living with HIV may face unique challenges related to reproductive health and gender-based violence, which can impact their physical and mental health (Gomez et al., 2020).</w:t>
      </w:r>
    </w:p>
    <w:p w14:paraId="0A4409E9"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Social determinants such as poverty, discrimination, and access to healthcare can also significantly influence the health and well-being of individuals with HIV. Poverty can limit access to healthy food, safe housing, and healthcare, which can impact health outcomes and increase the risk of developing comorbidities (CDC, 2020). Discrimination, stigma, and social isolation can also negatively impact mental health and quality of life among individuals with HIV (Earnshaw et al., 2020). Access to healthcare, including antiretroviral therapy, is critical for managing HIV and preventing transmission, but disparities in access to care can lead to worse outcomes for certain populations (UNAIDS, 2020).</w:t>
      </w:r>
    </w:p>
    <w:p w14:paraId="6F3CEFB5" w14:textId="77777777" w:rsidR="0020036A"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 conclusion, a range of factors can influence the health and well-being of individuals with HIV, including age, sex, poverty, discrimination, and access to healthcare. Addressing these factors through a comprehensive and inclusive approach can improve health outcomes and quality of life for individuals living with HIV.</w:t>
      </w:r>
    </w:p>
    <w:p w14:paraId="2AF480D1" w14:textId="77777777" w:rsidR="0020036A" w:rsidRPr="0020036A" w:rsidRDefault="0020036A" w:rsidP="0020036A">
      <w:pPr>
        <w:spacing w:line="360" w:lineRule="auto"/>
        <w:rPr>
          <w:rFonts w:ascii="Arial" w:hAnsi="Arial" w:cs="Arial"/>
          <w:sz w:val="22"/>
          <w:szCs w:val="22"/>
        </w:rPr>
      </w:pPr>
    </w:p>
    <w:p w14:paraId="75E9B576" w14:textId="6B11122F" w:rsidR="00886418" w:rsidRPr="0020036A" w:rsidRDefault="00886418" w:rsidP="0020036A">
      <w:pPr>
        <w:pStyle w:val="Heading1"/>
      </w:pPr>
      <w:bookmarkStart w:id="6" w:name="_Toc131080362"/>
      <w:r w:rsidRPr="0020036A">
        <w:t>Conclusion</w:t>
      </w:r>
      <w:bookmarkEnd w:id="6"/>
    </w:p>
    <w:p w14:paraId="2B9D27BE" w14:textId="77777777" w:rsidR="00886418" w:rsidRPr="0020036A" w:rsidRDefault="00886418" w:rsidP="0020036A">
      <w:pPr>
        <w:spacing w:line="360" w:lineRule="auto"/>
        <w:rPr>
          <w:rFonts w:ascii="Arial" w:hAnsi="Arial" w:cs="Arial"/>
          <w:sz w:val="22"/>
          <w:szCs w:val="22"/>
        </w:rPr>
      </w:pPr>
    </w:p>
    <w:p w14:paraId="484BC719" w14:textId="1B2DD253" w:rsidR="00886418" w:rsidRPr="0020036A" w:rsidRDefault="0020036A" w:rsidP="0020036A">
      <w:pPr>
        <w:spacing w:line="360" w:lineRule="auto"/>
        <w:ind w:firstLine="720"/>
        <w:rPr>
          <w:rFonts w:ascii="Arial" w:hAnsi="Arial" w:cs="Arial"/>
          <w:sz w:val="22"/>
          <w:szCs w:val="22"/>
        </w:rPr>
      </w:pPr>
      <w:r w:rsidRPr="0020036A">
        <w:rPr>
          <w:rFonts w:ascii="Arial" w:hAnsi="Arial" w:cs="Arial"/>
          <w:sz w:val="22"/>
          <w:szCs w:val="22"/>
        </w:rPr>
        <w:t>Individuals with HIV may face a range of factors that can influence their health and well-being. These factors can include age, sex, poverty, discrimination, and access to healthcare. Older adults with HIV may be at increased risk of developing age-related chronic conditions, while women with HIV may face unique challenges related to reproductive health and gender-based violence. Poverty can limit access to healthy food, safe housing, and healthcare, while discrimination, stigma, and social isolation can negatively impact mental health and quality of life. Access to healthcare, including antiretroviral therapy, is critical for managing HIV and preventing transmission, but disparities in access to care can lead to worse outcomes for certain populations. Addressing these factors through a comprehensive and inclusive approach can improve health outcomes and quality of life for individuals living with HIV.</w:t>
      </w:r>
    </w:p>
    <w:p w14:paraId="47EA81EF" w14:textId="0A87881E" w:rsidR="0020036A" w:rsidRPr="0020036A" w:rsidRDefault="0020036A" w:rsidP="0020036A">
      <w:pPr>
        <w:spacing w:line="360" w:lineRule="auto"/>
        <w:rPr>
          <w:rFonts w:ascii="Arial" w:hAnsi="Arial" w:cs="Arial"/>
          <w:sz w:val="22"/>
          <w:szCs w:val="22"/>
        </w:rPr>
      </w:pPr>
    </w:p>
    <w:p w14:paraId="0C7D95A8" w14:textId="48E30EB2" w:rsidR="0020036A" w:rsidRPr="0020036A" w:rsidRDefault="0020036A" w:rsidP="0020036A">
      <w:pPr>
        <w:spacing w:line="360" w:lineRule="auto"/>
        <w:rPr>
          <w:rFonts w:ascii="Arial" w:hAnsi="Arial" w:cs="Arial"/>
          <w:color w:val="374151"/>
          <w:sz w:val="22"/>
          <w:szCs w:val="22"/>
          <w:shd w:val="clear" w:color="auto" w:fill="F7F7F8"/>
        </w:rPr>
      </w:pPr>
    </w:p>
    <w:p w14:paraId="49B79323" w14:textId="69E1C85C" w:rsidR="0020036A" w:rsidRDefault="0020036A" w:rsidP="0020036A">
      <w:pPr>
        <w:spacing w:line="360" w:lineRule="auto"/>
        <w:rPr>
          <w:rFonts w:ascii="Arial" w:hAnsi="Arial" w:cs="Arial"/>
          <w:color w:val="374151"/>
          <w:sz w:val="22"/>
          <w:szCs w:val="22"/>
          <w:shd w:val="clear" w:color="auto" w:fill="F7F7F8"/>
        </w:rPr>
      </w:pPr>
    </w:p>
    <w:p w14:paraId="15D053A8" w14:textId="77777777" w:rsidR="0020036A" w:rsidRPr="0020036A" w:rsidRDefault="0020036A" w:rsidP="0020036A">
      <w:pPr>
        <w:spacing w:line="360" w:lineRule="auto"/>
        <w:rPr>
          <w:rFonts w:ascii="Arial" w:hAnsi="Arial" w:cs="Arial"/>
          <w:color w:val="374151"/>
          <w:sz w:val="22"/>
          <w:szCs w:val="22"/>
          <w:shd w:val="clear" w:color="auto" w:fill="F7F7F8"/>
        </w:rPr>
      </w:pPr>
    </w:p>
    <w:p w14:paraId="2717E8C7" w14:textId="52246399" w:rsidR="0020036A" w:rsidRPr="0020036A" w:rsidRDefault="0020036A" w:rsidP="0020036A">
      <w:pPr>
        <w:pStyle w:val="Heading1"/>
      </w:pPr>
      <w:bookmarkStart w:id="7" w:name="_Toc131080363"/>
      <w:r w:rsidRPr="0020036A">
        <w:lastRenderedPageBreak/>
        <w:t>References:</w:t>
      </w:r>
      <w:bookmarkEnd w:id="7"/>
    </w:p>
    <w:p w14:paraId="590DD4D3" w14:textId="77777777" w:rsidR="0020036A" w:rsidRPr="0020036A" w:rsidRDefault="0020036A" w:rsidP="0020036A">
      <w:pPr>
        <w:spacing w:line="360" w:lineRule="auto"/>
        <w:rPr>
          <w:rFonts w:ascii="Arial" w:hAnsi="Arial" w:cs="Arial"/>
          <w:sz w:val="22"/>
          <w:szCs w:val="22"/>
        </w:rPr>
      </w:pPr>
    </w:p>
    <w:p w14:paraId="62156712" w14:textId="39648FFC"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BHIVA. (2018). BHIVA position statement on stigma and HIV. </w:t>
      </w:r>
      <w:hyperlink r:id="rId8" w:tgtFrame="_new" w:history="1">
        <w:r w:rsidRPr="0020036A">
          <w:rPr>
            <w:rStyle w:val="Hyperlink"/>
            <w:rFonts w:ascii="Arial" w:hAnsi="Arial" w:cs="Arial"/>
            <w:sz w:val="22"/>
            <w:szCs w:val="22"/>
          </w:rPr>
          <w:t>https://www.bhiva.org/file/nDZKgqGoqBlSv/BHIVA-Position-Statement-on-Stigma-and-HIV-2018.pdf</w:t>
        </w:r>
      </w:hyperlink>
      <w:r w:rsidRPr="0020036A">
        <w:rPr>
          <w:rFonts w:ascii="Arial" w:hAnsi="Arial" w:cs="Arial"/>
          <w:sz w:val="22"/>
          <w:szCs w:val="22"/>
        </w:rPr>
        <w:t xml:space="preserve"> (Accessed at: 23 Mar 2023)</w:t>
      </w:r>
    </w:p>
    <w:p w14:paraId="6A1FFF65" w14:textId="77777777" w:rsidR="0020036A" w:rsidRPr="0020036A" w:rsidRDefault="0020036A" w:rsidP="0020036A">
      <w:pPr>
        <w:spacing w:line="360" w:lineRule="auto"/>
        <w:rPr>
          <w:rFonts w:ascii="Arial" w:hAnsi="Arial" w:cs="Arial"/>
          <w:sz w:val="22"/>
          <w:szCs w:val="22"/>
        </w:rPr>
      </w:pPr>
    </w:p>
    <w:p w14:paraId="6895A812" w14:textId="12552BF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BHIVA. (2020). Standards of care for people living with HIV. </w:t>
      </w:r>
      <w:hyperlink r:id="rId9" w:tgtFrame="_new" w:history="1">
        <w:r w:rsidRPr="0020036A">
          <w:rPr>
            <w:rStyle w:val="Hyperlink"/>
            <w:rFonts w:ascii="Arial" w:hAnsi="Arial" w:cs="Arial"/>
            <w:sz w:val="22"/>
            <w:szCs w:val="22"/>
          </w:rPr>
          <w:t>https://www.bhiva.org/standards-of-care-2020</w:t>
        </w:r>
      </w:hyperlink>
      <w:r w:rsidRPr="0020036A">
        <w:rPr>
          <w:rFonts w:ascii="Arial" w:hAnsi="Arial" w:cs="Arial"/>
          <w:sz w:val="22"/>
          <w:szCs w:val="22"/>
        </w:rPr>
        <w:t xml:space="preserve"> (Accessed at: 23 Mar 2023)</w:t>
      </w:r>
    </w:p>
    <w:p w14:paraId="4D5358AD" w14:textId="77777777" w:rsidR="0020036A" w:rsidRPr="0020036A" w:rsidRDefault="0020036A" w:rsidP="0020036A">
      <w:pPr>
        <w:spacing w:line="360" w:lineRule="auto"/>
        <w:rPr>
          <w:rFonts w:ascii="Arial" w:hAnsi="Arial" w:cs="Arial"/>
          <w:sz w:val="22"/>
          <w:szCs w:val="22"/>
        </w:rPr>
      </w:pPr>
    </w:p>
    <w:p w14:paraId="0DDC7168" w14:textId="1A4AF4FA"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CDC. (2021). HIV basics. </w:t>
      </w:r>
      <w:hyperlink r:id="rId10" w:tgtFrame="_new" w:history="1">
        <w:r w:rsidRPr="0020036A">
          <w:rPr>
            <w:rStyle w:val="Hyperlink"/>
            <w:rFonts w:ascii="Arial" w:hAnsi="Arial" w:cs="Arial"/>
            <w:sz w:val="22"/>
            <w:szCs w:val="22"/>
          </w:rPr>
          <w:t>https://www.cdc.gov/hiv/basics/index.html</w:t>
        </w:r>
      </w:hyperlink>
      <w:r w:rsidRPr="0020036A">
        <w:rPr>
          <w:rFonts w:ascii="Arial" w:hAnsi="Arial" w:cs="Arial"/>
          <w:sz w:val="22"/>
          <w:szCs w:val="22"/>
        </w:rPr>
        <w:t xml:space="preserve"> (Accessed at: 28 Mar 2023)</w:t>
      </w:r>
    </w:p>
    <w:p w14:paraId="45E1A034" w14:textId="77777777" w:rsidR="0020036A" w:rsidRPr="0020036A" w:rsidRDefault="0020036A" w:rsidP="0020036A">
      <w:pPr>
        <w:spacing w:line="360" w:lineRule="auto"/>
        <w:rPr>
          <w:rFonts w:ascii="Arial" w:hAnsi="Arial" w:cs="Arial"/>
          <w:sz w:val="22"/>
          <w:szCs w:val="22"/>
        </w:rPr>
      </w:pPr>
    </w:p>
    <w:p w14:paraId="5A31B911" w14:textId="537DA926"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CDC. (2020). Social determinants of health. </w:t>
      </w:r>
      <w:hyperlink r:id="rId11" w:tgtFrame="_new" w:history="1">
        <w:r w:rsidRPr="0020036A">
          <w:rPr>
            <w:rStyle w:val="Hyperlink"/>
            <w:rFonts w:ascii="Arial" w:hAnsi="Arial" w:cs="Arial"/>
            <w:sz w:val="22"/>
            <w:szCs w:val="22"/>
          </w:rPr>
          <w:t>https://www.cdc.gov/socialdeterminants/index.htm</w:t>
        </w:r>
      </w:hyperlink>
      <w:r w:rsidRPr="0020036A">
        <w:rPr>
          <w:rFonts w:ascii="Arial" w:hAnsi="Arial" w:cs="Arial"/>
          <w:sz w:val="22"/>
          <w:szCs w:val="22"/>
        </w:rPr>
        <w:t xml:space="preserve"> (Accessed at: 28 Mar 2023)</w:t>
      </w:r>
    </w:p>
    <w:p w14:paraId="1A0DB89F" w14:textId="6951573D" w:rsidR="0020036A" w:rsidRPr="0020036A" w:rsidRDefault="0020036A" w:rsidP="0020036A">
      <w:pPr>
        <w:spacing w:line="360" w:lineRule="auto"/>
        <w:rPr>
          <w:rFonts w:ascii="Arial" w:hAnsi="Arial" w:cs="Arial"/>
          <w:sz w:val="22"/>
          <w:szCs w:val="22"/>
        </w:rPr>
      </w:pPr>
    </w:p>
    <w:p w14:paraId="61F80B91"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Earnshaw, V. A., Smith, L. R., Cunningham, C. O., &amp; Copenhaver, M. M. (2020). Intersectionality of internalized HIV stigma and internalized substance use stigma: Implications for depressive symptoms. Journal of Health Psychology, 25(10-11), 1626-1637. </w:t>
      </w:r>
    </w:p>
    <w:p w14:paraId="708CBB3D" w14:textId="5EB24522" w:rsidR="0020036A" w:rsidRPr="0020036A" w:rsidRDefault="0020036A" w:rsidP="0020036A">
      <w:pPr>
        <w:spacing w:line="360" w:lineRule="auto"/>
        <w:rPr>
          <w:rFonts w:ascii="Arial" w:hAnsi="Arial" w:cs="Arial"/>
          <w:sz w:val="22"/>
          <w:szCs w:val="22"/>
        </w:rPr>
      </w:pPr>
    </w:p>
    <w:p w14:paraId="0FBB5A74"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Gomez, G. B., Frye, V., </w:t>
      </w:r>
      <w:proofErr w:type="spellStart"/>
      <w:r w:rsidRPr="0020036A">
        <w:rPr>
          <w:rFonts w:ascii="Arial" w:hAnsi="Arial" w:cs="Arial"/>
          <w:sz w:val="22"/>
          <w:szCs w:val="22"/>
        </w:rPr>
        <w:t>Nijhawan</w:t>
      </w:r>
      <w:proofErr w:type="spellEnd"/>
      <w:r w:rsidRPr="0020036A">
        <w:rPr>
          <w:rFonts w:ascii="Arial" w:hAnsi="Arial" w:cs="Arial"/>
          <w:sz w:val="22"/>
          <w:szCs w:val="22"/>
        </w:rPr>
        <w:t xml:space="preserve">, A. E., &amp; Chakrapani, V. (2020). HIV and women: Intersecting inequalities and implications for health. The Lancet HIV, 7(9), e635-e646. </w:t>
      </w:r>
    </w:p>
    <w:p w14:paraId="78131937" w14:textId="77777777" w:rsidR="0020036A" w:rsidRPr="0020036A" w:rsidRDefault="0020036A" w:rsidP="0020036A">
      <w:pPr>
        <w:spacing w:line="360" w:lineRule="auto"/>
        <w:rPr>
          <w:rFonts w:ascii="Arial" w:hAnsi="Arial" w:cs="Arial"/>
          <w:sz w:val="22"/>
          <w:szCs w:val="22"/>
        </w:rPr>
      </w:pPr>
    </w:p>
    <w:p w14:paraId="5C22ABE1" w14:textId="0CE1EA62"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NAT. (2021). HIV and migration. </w:t>
      </w:r>
      <w:hyperlink r:id="rId12" w:tgtFrame="_new" w:history="1">
        <w:r w:rsidRPr="0020036A">
          <w:rPr>
            <w:rStyle w:val="Hyperlink"/>
            <w:rFonts w:ascii="Arial" w:hAnsi="Arial" w:cs="Arial"/>
            <w:sz w:val="22"/>
            <w:szCs w:val="22"/>
          </w:rPr>
          <w:t>https://www.nat.org.uk/hiv-information/living-hiv/hiv-and-migration</w:t>
        </w:r>
      </w:hyperlink>
      <w:r w:rsidRPr="0020036A">
        <w:rPr>
          <w:rFonts w:ascii="Arial" w:hAnsi="Arial" w:cs="Arial"/>
          <w:sz w:val="22"/>
          <w:szCs w:val="22"/>
        </w:rPr>
        <w:t xml:space="preserve"> (Accessed at: 23 Mar 2023)</w:t>
      </w:r>
    </w:p>
    <w:p w14:paraId="6BA2F190" w14:textId="77777777" w:rsidR="0020036A" w:rsidRPr="0020036A" w:rsidRDefault="0020036A" w:rsidP="0020036A">
      <w:pPr>
        <w:spacing w:line="360" w:lineRule="auto"/>
        <w:rPr>
          <w:rFonts w:ascii="Arial" w:hAnsi="Arial" w:cs="Arial"/>
          <w:sz w:val="22"/>
          <w:szCs w:val="22"/>
        </w:rPr>
      </w:pPr>
    </w:p>
    <w:p w14:paraId="3C11B1CB" w14:textId="0421D305"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NHS. (2021). Condoms: male. </w:t>
      </w:r>
      <w:hyperlink r:id="rId13" w:tgtFrame="_new" w:history="1">
        <w:r w:rsidRPr="0020036A">
          <w:rPr>
            <w:rStyle w:val="Hyperlink"/>
            <w:rFonts w:ascii="Arial" w:hAnsi="Arial" w:cs="Arial"/>
            <w:sz w:val="22"/>
            <w:szCs w:val="22"/>
          </w:rPr>
          <w:t>https://www.nhs.uk/conditions/contraception/male-condoms/</w:t>
        </w:r>
      </w:hyperlink>
      <w:r w:rsidRPr="0020036A">
        <w:rPr>
          <w:rFonts w:ascii="Arial" w:hAnsi="Arial" w:cs="Arial"/>
          <w:sz w:val="22"/>
          <w:szCs w:val="22"/>
        </w:rPr>
        <w:t xml:space="preserve"> (Accessed at: 23 Mar 2023)</w:t>
      </w:r>
    </w:p>
    <w:p w14:paraId="20A918A5" w14:textId="77777777" w:rsidR="0020036A" w:rsidRPr="0020036A" w:rsidRDefault="0020036A" w:rsidP="0020036A">
      <w:pPr>
        <w:spacing w:line="360" w:lineRule="auto"/>
        <w:rPr>
          <w:rFonts w:ascii="Arial" w:hAnsi="Arial" w:cs="Arial"/>
          <w:sz w:val="22"/>
          <w:szCs w:val="22"/>
        </w:rPr>
      </w:pPr>
    </w:p>
    <w:p w14:paraId="668FD571" w14:textId="77777777"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O'Brien, K. K., Tynan, A. M., Nixon, S. A., Glazier, R. H., &amp; Effectiveness of Continuing Care, U. (2020). HIV and aging: Responding to an emerging challenge. Canadian Medical Association Journal, 192(1), E6-E7. </w:t>
      </w:r>
    </w:p>
    <w:p w14:paraId="0DDE80E8" w14:textId="77777777" w:rsidR="0020036A" w:rsidRPr="0020036A" w:rsidRDefault="0020036A" w:rsidP="0020036A">
      <w:pPr>
        <w:spacing w:line="360" w:lineRule="auto"/>
        <w:rPr>
          <w:rFonts w:ascii="Arial" w:hAnsi="Arial" w:cs="Arial"/>
          <w:sz w:val="22"/>
          <w:szCs w:val="22"/>
        </w:rPr>
      </w:pPr>
    </w:p>
    <w:p w14:paraId="2C03F4B0" w14:textId="619598EF"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PHE. (2020). HIV in the UK: 2019 report. </w:t>
      </w:r>
      <w:hyperlink r:id="rId14" w:tgtFrame="_new" w:history="1">
        <w:r w:rsidRPr="0020036A">
          <w:rPr>
            <w:rStyle w:val="Hyperlink"/>
            <w:rFonts w:ascii="Arial" w:hAnsi="Arial" w:cs="Arial"/>
            <w:sz w:val="22"/>
            <w:szCs w:val="22"/>
          </w:rPr>
          <w:t>https://www.gov.uk/government/publications/hiv-in-the-united-kingdom</w:t>
        </w:r>
      </w:hyperlink>
      <w:r w:rsidRPr="0020036A">
        <w:rPr>
          <w:rFonts w:ascii="Arial" w:hAnsi="Arial" w:cs="Arial"/>
          <w:sz w:val="22"/>
          <w:szCs w:val="22"/>
        </w:rPr>
        <w:t xml:space="preserve"> (Accessed at: 23 Mar 2023)</w:t>
      </w:r>
    </w:p>
    <w:p w14:paraId="2B061BDA" w14:textId="77777777" w:rsidR="0020036A" w:rsidRPr="0020036A" w:rsidRDefault="0020036A" w:rsidP="0020036A">
      <w:pPr>
        <w:spacing w:line="360" w:lineRule="auto"/>
        <w:rPr>
          <w:rFonts w:ascii="Arial" w:hAnsi="Arial" w:cs="Arial"/>
          <w:sz w:val="22"/>
          <w:szCs w:val="22"/>
        </w:rPr>
      </w:pPr>
    </w:p>
    <w:p w14:paraId="5E8F4FBA" w14:textId="19FE779C"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Terrence Higgins Trust. (2021). </w:t>
      </w:r>
      <w:proofErr w:type="spellStart"/>
      <w:r w:rsidRPr="0020036A">
        <w:rPr>
          <w:rFonts w:ascii="Arial" w:hAnsi="Arial" w:cs="Arial"/>
          <w:sz w:val="22"/>
          <w:szCs w:val="22"/>
        </w:rPr>
        <w:t>PrEP.</w:t>
      </w:r>
      <w:proofErr w:type="spellEnd"/>
      <w:r w:rsidRPr="0020036A">
        <w:rPr>
          <w:rFonts w:ascii="Arial" w:hAnsi="Arial" w:cs="Arial"/>
          <w:sz w:val="22"/>
          <w:szCs w:val="22"/>
        </w:rPr>
        <w:t xml:space="preserve"> </w:t>
      </w:r>
      <w:hyperlink r:id="rId15" w:tgtFrame="_new" w:history="1">
        <w:r w:rsidRPr="0020036A">
          <w:rPr>
            <w:rStyle w:val="Hyperlink"/>
            <w:rFonts w:ascii="Arial" w:hAnsi="Arial" w:cs="Arial"/>
            <w:sz w:val="22"/>
            <w:szCs w:val="22"/>
          </w:rPr>
          <w:t>https://www.tht.org.uk/hiv-and-sexual-health/prep-pre-exposure-prophylaxis</w:t>
        </w:r>
      </w:hyperlink>
      <w:r w:rsidRPr="0020036A">
        <w:rPr>
          <w:rFonts w:ascii="Arial" w:hAnsi="Arial" w:cs="Arial"/>
          <w:sz w:val="22"/>
          <w:szCs w:val="22"/>
        </w:rPr>
        <w:t xml:space="preserve"> (Accessed at: 23 Mar 2023)</w:t>
      </w:r>
    </w:p>
    <w:p w14:paraId="2E7B5BF8" w14:textId="77777777" w:rsidR="0020036A" w:rsidRPr="0020036A" w:rsidRDefault="0020036A" w:rsidP="0020036A">
      <w:pPr>
        <w:spacing w:line="360" w:lineRule="auto"/>
        <w:rPr>
          <w:rFonts w:ascii="Arial" w:hAnsi="Arial" w:cs="Arial"/>
          <w:sz w:val="22"/>
          <w:szCs w:val="22"/>
        </w:rPr>
      </w:pPr>
    </w:p>
    <w:p w14:paraId="74FC145D" w14:textId="4C0E13E3"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UNAIDS. (2020). Impact of the COVID-19 pandemic on HIV services in the Asia-Pacific region: A rapid assessment. </w:t>
      </w:r>
      <w:hyperlink r:id="rId16" w:tgtFrame="_new" w:history="1">
        <w:r w:rsidRPr="0020036A">
          <w:rPr>
            <w:rStyle w:val="Hyperlink"/>
            <w:rFonts w:ascii="Arial" w:hAnsi="Arial" w:cs="Arial"/>
            <w:sz w:val="22"/>
            <w:szCs w:val="22"/>
          </w:rPr>
          <w:t>https://www.unaids.org/sites/default/files/media_asset/impact-of-covid-19-pandemic-on-hiv-services-in-the-asia-pacific-region_en.pdf</w:t>
        </w:r>
      </w:hyperlink>
      <w:r w:rsidRPr="0020036A">
        <w:rPr>
          <w:rFonts w:ascii="Arial" w:hAnsi="Arial" w:cs="Arial"/>
          <w:sz w:val="22"/>
          <w:szCs w:val="22"/>
        </w:rPr>
        <w:t xml:space="preserve"> (Accessed at: 28 Mar 2023)</w:t>
      </w:r>
    </w:p>
    <w:p w14:paraId="53228E4C" w14:textId="77777777" w:rsidR="0020036A" w:rsidRPr="0020036A" w:rsidRDefault="0020036A" w:rsidP="0020036A">
      <w:pPr>
        <w:spacing w:line="360" w:lineRule="auto"/>
        <w:rPr>
          <w:rFonts w:ascii="Arial" w:hAnsi="Arial" w:cs="Arial"/>
          <w:sz w:val="22"/>
          <w:szCs w:val="22"/>
        </w:rPr>
      </w:pPr>
    </w:p>
    <w:p w14:paraId="553F7AF2" w14:textId="72BC9548"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UNAIDS. (2020). Global AIDS update 2020: Seizing the moment - tackling entrenched inequalities to end epidemics. </w:t>
      </w:r>
      <w:hyperlink r:id="rId17" w:tgtFrame="_new" w:history="1">
        <w:r w:rsidRPr="0020036A">
          <w:rPr>
            <w:rStyle w:val="Hyperlink"/>
            <w:rFonts w:ascii="Arial" w:hAnsi="Arial" w:cs="Arial"/>
            <w:sz w:val="22"/>
            <w:szCs w:val="22"/>
          </w:rPr>
          <w:t>https://www.unaids.org/sites/default/files/media_asset/2020_global-aids-report_en.pdf</w:t>
        </w:r>
      </w:hyperlink>
      <w:r w:rsidRPr="0020036A">
        <w:rPr>
          <w:rFonts w:ascii="Arial" w:hAnsi="Arial" w:cs="Arial"/>
          <w:sz w:val="22"/>
          <w:szCs w:val="22"/>
        </w:rPr>
        <w:t xml:space="preserve"> (Accessed at: 28 Mar 2023)</w:t>
      </w:r>
    </w:p>
    <w:p w14:paraId="7F5C887A" w14:textId="77777777" w:rsidR="0020036A" w:rsidRPr="0020036A" w:rsidRDefault="0020036A" w:rsidP="0020036A">
      <w:pPr>
        <w:spacing w:line="360" w:lineRule="auto"/>
        <w:rPr>
          <w:rFonts w:ascii="Arial" w:hAnsi="Arial" w:cs="Arial"/>
          <w:sz w:val="22"/>
          <w:szCs w:val="22"/>
        </w:rPr>
      </w:pPr>
    </w:p>
    <w:p w14:paraId="6BD6B11A" w14:textId="2655120E"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UNAIDS. (2020). Global HIV &amp; AIDS statistics — 2020 fact sheet. </w:t>
      </w:r>
      <w:hyperlink r:id="rId18" w:tgtFrame="_new" w:history="1">
        <w:r w:rsidRPr="0020036A">
          <w:rPr>
            <w:rStyle w:val="Hyperlink"/>
            <w:rFonts w:ascii="Arial" w:hAnsi="Arial" w:cs="Arial"/>
            <w:sz w:val="22"/>
            <w:szCs w:val="22"/>
          </w:rPr>
          <w:t>https://www.unaids.org/en/resources/fact-sheet</w:t>
        </w:r>
      </w:hyperlink>
      <w:r w:rsidRPr="0020036A">
        <w:rPr>
          <w:rFonts w:ascii="Arial" w:hAnsi="Arial" w:cs="Arial"/>
          <w:sz w:val="22"/>
          <w:szCs w:val="22"/>
        </w:rPr>
        <w:t xml:space="preserve"> (Accessed at: 23 Mar 2023)</w:t>
      </w:r>
    </w:p>
    <w:p w14:paraId="28A2743C" w14:textId="77777777" w:rsidR="0020036A" w:rsidRPr="0020036A" w:rsidRDefault="0020036A" w:rsidP="0020036A">
      <w:pPr>
        <w:spacing w:line="360" w:lineRule="auto"/>
        <w:rPr>
          <w:rFonts w:ascii="Arial" w:hAnsi="Arial" w:cs="Arial"/>
          <w:sz w:val="22"/>
          <w:szCs w:val="22"/>
        </w:rPr>
      </w:pPr>
    </w:p>
    <w:p w14:paraId="5B49D1E3" w14:textId="39786996" w:rsidR="0020036A" w:rsidRPr="0020036A" w:rsidRDefault="0020036A" w:rsidP="0020036A">
      <w:pPr>
        <w:spacing w:line="360" w:lineRule="auto"/>
        <w:rPr>
          <w:rFonts w:ascii="Arial" w:hAnsi="Arial" w:cs="Arial"/>
          <w:sz w:val="22"/>
          <w:szCs w:val="22"/>
        </w:rPr>
      </w:pPr>
      <w:r w:rsidRPr="0020036A">
        <w:rPr>
          <w:rFonts w:ascii="Arial" w:hAnsi="Arial" w:cs="Arial"/>
          <w:sz w:val="22"/>
          <w:szCs w:val="22"/>
        </w:rPr>
        <w:t xml:space="preserve">WHO. (2021). HIV/AIDS. </w:t>
      </w:r>
      <w:hyperlink r:id="rId19" w:tgtFrame="_new" w:history="1">
        <w:r w:rsidRPr="0020036A">
          <w:rPr>
            <w:rStyle w:val="Hyperlink"/>
            <w:rFonts w:ascii="Arial" w:hAnsi="Arial" w:cs="Arial"/>
            <w:sz w:val="22"/>
            <w:szCs w:val="22"/>
          </w:rPr>
          <w:t>https://www.who.int/news-room/q-a-detail/hiv-aids</w:t>
        </w:r>
      </w:hyperlink>
      <w:r w:rsidRPr="0020036A">
        <w:rPr>
          <w:rFonts w:ascii="Arial" w:hAnsi="Arial" w:cs="Arial"/>
          <w:sz w:val="22"/>
          <w:szCs w:val="22"/>
        </w:rPr>
        <w:t xml:space="preserve">  (Accessed at: 23 Mar 2023)</w:t>
      </w:r>
    </w:p>
    <w:p w14:paraId="620678FA" w14:textId="77777777" w:rsidR="0020036A" w:rsidRPr="0020036A" w:rsidRDefault="0020036A" w:rsidP="0020036A">
      <w:pPr>
        <w:spacing w:line="360" w:lineRule="auto"/>
        <w:rPr>
          <w:rFonts w:ascii="Arial" w:hAnsi="Arial" w:cs="Arial"/>
          <w:sz w:val="22"/>
          <w:szCs w:val="22"/>
        </w:rPr>
      </w:pPr>
    </w:p>
    <w:p w14:paraId="3666F6D4" w14:textId="7DC75FF5" w:rsidR="0020036A" w:rsidRPr="0020036A" w:rsidRDefault="0020036A" w:rsidP="0020036A">
      <w:pPr>
        <w:spacing w:line="360" w:lineRule="auto"/>
        <w:rPr>
          <w:rFonts w:ascii="Arial" w:hAnsi="Arial" w:cs="Arial"/>
          <w:sz w:val="22"/>
          <w:szCs w:val="22"/>
        </w:rPr>
      </w:pPr>
    </w:p>
    <w:p w14:paraId="117DCA14" w14:textId="77777777" w:rsidR="0020036A" w:rsidRPr="0020036A" w:rsidRDefault="0020036A" w:rsidP="0020036A">
      <w:pPr>
        <w:spacing w:line="360" w:lineRule="auto"/>
        <w:rPr>
          <w:rFonts w:ascii="Arial" w:hAnsi="Arial" w:cs="Arial"/>
          <w:sz w:val="22"/>
          <w:szCs w:val="22"/>
        </w:rPr>
      </w:pPr>
    </w:p>
    <w:sectPr w:rsidR="0020036A" w:rsidRPr="0020036A">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9B2A3" w14:textId="77777777" w:rsidR="00080C07" w:rsidRDefault="00080C07" w:rsidP="001C41F1">
      <w:r>
        <w:separator/>
      </w:r>
    </w:p>
  </w:endnote>
  <w:endnote w:type="continuationSeparator" w:id="0">
    <w:p w14:paraId="1DC8C07C" w14:textId="77777777" w:rsidR="00080C07" w:rsidRDefault="00080C07" w:rsidP="001C41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1319299"/>
      <w:docPartObj>
        <w:docPartGallery w:val="Page Numbers (Bottom of Page)"/>
        <w:docPartUnique/>
      </w:docPartObj>
    </w:sdtPr>
    <w:sdtContent>
      <w:p w14:paraId="67A21276" w14:textId="757467D2" w:rsidR="001C41F1" w:rsidRDefault="001C41F1" w:rsidP="004F4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A98D64" w14:textId="77777777" w:rsidR="001C41F1" w:rsidRDefault="001C41F1" w:rsidP="001C41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9481056"/>
      <w:docPartObj>
        <w:docPartGallery w:val="Page Numbers (Bottom of Page)"/>
        <w:docPartUnique/>
      </w:docPartObj>
    </w:sdtPr>
    <w:sdtContent>
      <w:p w14:paraId="3C1B69A0" w14:textId="77A78980" w:rsidR="001C41F1" w:rsidRDefault="001C41F1" w:rsidP="004F47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E17A3E" w14:textId="77777777" w:rsidR="001C41F1" w:rsidRDefault="001C41F1" w:rsidP="001C41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2D89A5" w14:textId="77777777" w:rsidR="00080C07" w:rsidRDefault="00080C07" w:rsidP="001C41F1">
      <w:r>
        <w:separator/>
      </w:r>
    </w:p>
  </w:footnote>
  <w:footnote w:type="continuationSeparator" w:id="0">
    <w:p w14:paraId="5943C56E" w14:textId="77777777" w:rsidR="00080C07" w:rsidRDefault="00080C07" w:rsidP="001C41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1"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753F4B5E"/>
    <w:multiLevelType w:val="hybridMultilevel"/>
    <w:tmpl w:val="19EA837E"/>
    <w:lvl w:ilvl="0" w:tplc="B322A52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8108833">
    <w:abstractNumId w:val="1"/>
  </w:num>
  <w:num w:numId="2" w16cid:durableId="1043559918">
    <w:abstractNumId w:val="0"/>
  </w:num>
  <w:num w:numId="3" w16cid:durableId="799111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418"/>
    <w:rsid w:val="00080C07"/>
    <w:rsid w:val="001C41F1"/>
    <w:rsid w:val="0020036A"/>
    <w:rsid w:val="00886418"/>
    <w:rsid w:val="00AF31AD"/>
    <w:rsid w:val="00DF56E7"/>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15C15F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418"/>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20036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418"/>
    <w:pPr>
      <w:ind w:left="720"/>
      <w:contextualSpacing/>
    </w:pPr>
  </w:style>
  <w:style w:type="paragraph" w:styleId="NormalWeb">
    <w:name w:val="Normal (Web)"/>
    <w:basedOn w:val="Normal"/>
    <w:uiPriority w:val="99"/>
    <w:semiHidden/>
    <w:unhideWhenUsed/>
    <w:rsid w:val="0020036A"/>
    <w:pPr>
      <w:spacing w:before="100" w:beforeAutospacing="1" w:after="100" w:afterAutospacing="1"/>
    </w:pPr>
    <w:rPr>
      <w:sz w:val="24"/>
      <w:szCs w:val="24"/>
      <w:lang w:val="en-RO"/>
    </w:rPr>
  </w:style>
  <w:style w:type="character" w:styleId="Hyperlink">
    <w:name w:val="Hyperlink"/>
    <w:basedOn w:val="DefaultParagraphFont"/>
    <w:uiPriority w:val="99"/>
    <w:unhideWhenUsed/>
    <w:rsid w:val="0020036A"/>
    <w:rPr>
      <w:color w:val="0000FF"/>
      <w:u w:val="single"/>
    </w:rPr>
  </w:style>
  <w:style w:type="character" w:customStyle="1" w:styleId="Heading1Char">
    <w:name w:val="Heading 1 Char"/>
    <w:basedOn w:val="DefaultParagraphFont"/>
    <w:link w:val="Heading1"/>
    <w:uiPriority w:val="9"/>
    <w:rsid w:val="0020036A"/>
    <w:rPr>
      <w:rFonts w:asciiTheme="majorHAnsi" w:eastAsiaTheme="majorEastAsia" w:hAnsiTheme="majorHAnsi" w:cstheme="majorBidi"/>
      <w:color w:val="2F5496" w:themeColor="accent1" w:themeShade="BF"/>
      <w:sz w:val="32"/>
      <w:szCs w:val="32"/>
      <w:lang w:val="en-GB" w:eastAsia="en-GB"/>
    </w:rPr>
  </w:style>
  <w:style w:type="paragraph" w:styleId="Footer">
    <w:name w:val="footer"/>
    <w:basedOn w:val="Normal"/>
    <w:link w:val="FooterChar"/>
    <w:uiPriority w:val="99"/>
    <w:unhideWhenUsed/>
    <w:rsid w:val="001C41F1"/>
    <w:pPr>
      <w:tabs>
        <w:tab w:val="center" w:pos="4513"/>
        <w:tab w:val="right" w:pos="9026"/>
      </w:tabs>
    </w:pPr>
  </w:style>
  <w:style w:type="character" w:customStyle="1" w:styleId="FooterChar">
    <w:name w:val="Footer Char"/>
    <w:basedOn w:val="DefaultParagraphFont"/>
    <w:link w:val="Footer"/>
    <w:uiPriority w:val="99"/>
    <w:rsid w:val="001C41F1"/>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1C41F1"/>
  </w:style>
  <w:style w:type="paragraph" w:styleId="TOCHeading">
    <w:name w:val="TOC Heading"/>
    <w:basedOn w:val="Heading1"/>
    <w:next w:val="Normal"/>
    <w:uiPriority w:val="39"/>
    <w:unhideWhenUsed/>
    <w:qFormat/>
    <w:rsid w:val="001C41F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C41F1"/>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1C41F1"/>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1C41F1"/>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1C41F1"/>
    <w:rPr>
      <w:rFonts w:asciiTheme="minorHAnsi" w:hAnsiTheme="minorHAnsi" w:cstheme="minorHAnsi"/>
      <w:sz w:val="22"/>
      <w:szCs w:val="22"/>
    </w:rPr>
  </w:style>
  <w:style w:type="paragraph" w:styleId="TOC5">
    <w:name w:val="toc 5"/>
    <w:basedOn w:val="Normal"/>
    <w:next w:val="Normal"/>
    <w:autoRedefine/>
    <w:uiPriority w:val="39"/>
    <w:semiHidden/>
    <w:unhideWhenUsed/>
    <w:rsid w:val="001C41F1"/>
    <w:rPr>
      <w:rFonts w:asciiTheme="minorHAnsi" w:hAnsiTheme="minorHAnsi" w:cstheme="minorHAnsi"/>
      <w:sz w:val="22"/>
      <w:szCs w:val="22"/>
    </w:rPr>
  </w:style>
  <w:style w:type="paragraph" w:styleId="TOC6">
    <w:name w:val="toc 6"/>
    <w:basedOn w:val="Normal"/>
    <w:next w:val="Normal"/>
    <w:autoRedefine/>
    <w:uiPriority w:val="39"/>
    <w:semiHidden/>
    <w:unhideWhenUsed/>
    <w:rsid w:val="001C41F1"/>
    <w:rPr>
      <w:rFonts w:asciiTheme="minorHAnsi" w:hAnsiTheme="minorHAnsi" w:cstheme="minorHAnsi"/>
      <w:sz w:val="22"/>
      <w:szCs w:val="22"/>
    </w:rPr>
  </w:style>
  <w:style w:type="paragraph" w:styleId="TOC7">
    <w:name w:val="toc 7"/>
    <w:basedOn w:val="Normal"/>
    <w:next w:val="Normal"/>
    <w:autoRedefine/>
    <w:uiPriority w:val="39"/>
    <w:semiHidden/>
    <w:unhideWhenUsed/>
    <w:rsid w:val="001C41F1"/>
    <w:rPr>
      <w:rFonts w:asciiTheme="minorHAnsi" w:hAnsiTheme="minorHAnsi" w:cstheme="minorHAnsi"/>
      <w:sz w:val="22"/>
      <w:szCs w:val="22"/>
    </w:rPr>
  </w:style>
  <w:style w:type="paragraph" w:styleId="TOC8">
    <w:name w:val="toc 8"/>
    <w:basedOn w:val="Normal"/>
    <w:next w:val="Normal"/>
    <w:autoRedefine/>
    <w:uiPriority w:val="39"/>
    <w:semiHidden/>
    <w:unhideWhenUsed/>
    <w:rsid w:val="001C41F1"/>
    <w:rPr>
      <w:rFonts w:asciiTheme="minorHAnsi" w:hAnsiTheme="minorHAnsi" w:cstheme="minorHAnsi"/>
      <w:sz w:val="22"/>
      <w:szCs w:val="22"/>
    </w:rPr>
  </w:style>
  <w:style w:type="paragraph" w:styleId="TOC9">
    <w:name w:val="toc 9"/>
    <w:basedOn w:val="Normal"/>
    <w:next w:val="Normal"/>
    <w:autoRedefine/>
    <w:uiPriority w:val="39"/>
    <w:semiHidden/>
    <w:unhideWhenUsed/>
    <w:rsid w:val="001C41F1"/>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441971">
      <w:bodyDiv w:val="1"/>
      <w:marLeft w:val="0"/>
      <w:marRight w:val="0"/>
      <w:marTop w:val="0"/>
      <w:marBottom w:val="0"/>
      <w:divBdr>
        <w:top w:val="none" w:sz="0" w:space="0" w:color="auto"/>
        <w:left w:val="none" w:sz="0" w:space="0" w:color="auto"/>
        <w:bottom w:val="none" w:sz="0" w:space="0" w:color="auto"/>
        <w:right w:val="none" w:sz="0" w:space="0" w:color="auto"/>
      </w:divBdr>
    </w:div>
    <w:div w:id="747384653">
      <w:bodyDiv w:val="1"/>
      <w:marLeft w:val="0"/>
      <w:marRight w:val="0"/>
      <w:marTop w:val="0"/>
      <w:marBottom w:val="0"/>
      <w:divBdr>
        <w:top w:val="none" w:sz="0" w:space="0" w:color="auto"/>
        <w:left w:val="none" w:sz="0" w:space="0" w:color="auto"/>
        <w:bottom w:val="none" w:sz="0" w:space="0" w:color="auto"/>
        <w:right w:val="none" w:sz="0" w:space="0" w:color="auto"/>
      </w:divBdr>
    </w:div>
    <w:div w:id="1379158775">
      <w:bodyDiv w:val="1"/>
      <w:marLeft w:val="0"/>
      <w:marRight w:val="0"/>
      <w:marTop w:val="0"/>
      <w:marBottom w:val="0"/>
      <w:divBdr>
        <w:top w:val="none" w:sz="0" w:space="0" w:color="auto"/>
        <w:left w:val="none" w:sz="0" w:space="0" w:color="auto"/>
        <w:bottom w:val="none" w:sz="0" w:space="0" w:color="auto"/>
        <w:right w:val="none" w:sz="0" w:space="0" w:color="auto"/>
      </w:divBdr>
    </w:div>
    <w:div w:id="1395928514">
      <w:bodyDiv w:val="1"/>
      <w:marLeft w:val="0"/>
      <w:marRight w:val="0"/>
      <w:marTop w:val="0"/>
      <w:marBottom w:val="0"/>
      <w:divBdr>
        <w:top w:val="none" w:sz="0" w:space="0" w:color="auto"/>
        <w:left w:val="none" w:sz="0" w:space="0" w:color="auto"/>
        <w:bottom w:val="none" w:sz="0" w:space="0" w:color="auto"/>
        <w:right w:val="none" w:sz="0" w:space="0" w:color="auto"/>
      </w:divBdr>
    </w:div>
    <w:div w:id="1710255185">
      <w:bodyDiv w:val="1"/>
      <w:marLeft w:val="0"/>
      <w:marRight w:val="0"/>
      <w:marTop w:val="0"/>
      <w:marBottom w:val="0"/>
      <w:divBdr>
        <w:top w:val="none" w:sz="0" w:space="0" w:color="auto"/>
        <w:left w:val="none" w:sz="0" w:space="0" w:color="auto"/>
        <w:bottom w:val="none" w:sz="0" w:space="0" w:color="auto"/>
        <w:right w:val="none" w:sz="0" w:space="0" w:color="auto"/>
      </w:divBdr>
    </w:div>
    <w:div w:id="192980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iva.org/file/nDZKgqGoqBlSv/BHIVA-Position-Statement-on-Stigma-and-HIV-2018.pdf" TargetMode="External"/><Relationship Id="rId13" Type="http://schemas.openxmlformats.org/officeDocument/2006/relationships/hyperlink" Target="https://www.nhs.uk/conditions/contraception/male-condoms/" TargetMode="External"/><Relationship Id="rId18" Type="http://schemas.openxmlformats.org/officeDocument/2006/relationships/hyperlink" Target="https://www.unaids.org/en/resources/fact-sheet"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nat.org.uk/hiv-information/living-hiv/hiv-and-migration" TargetMode="External"/><Relationship Id="rId17" Type="http://schemas.openxmlformats.org/officeDocument/2006/relationships/hyperlink" Target="https://www.unaids.org/sites/default/files/media_asset/2020_global-aids-report_en.pdf" TargetMode="External"/><Relationship Id="rId2" Type="http://schemas.openxmlformats.org/officeDocument/2006/relationships/numbering" Target="numbering.xml"/><Relationship Id="rId16" Type="http://schemas.openxmlformats.org/officeDocument/2006/relationships/hyperlink" Target="https://www.unaids.org/sites/default/files/media_asset/impact-of-covid-19-pandemic-on-hiv-services-in-the-asia-pacific-region_en.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socialdeterminants/index.htm" TargetMode="External"/><Relationship Id="rId5" Type="http://schemas.openxmlformats.org/officeDocument/2006/relationships/webSettings" Target="webSettings.xml"/><Relationship Id="rId15" Type="http://schemas.openxmlformats.org/officeDocument/2006/relationships/hyperlink" Target="https://www.tht.org.uk/hiv-and-sexual-health/prep-pre-exposure-prophylaxis" TargetMode="External"/><Relationship Id="rId23" Type="http://schemas.openxmlformats.org/officeDocument/2006/relationships/theme" Target="theme/theme1.xml"/><Relationship Id="rId10" Type="http://schemas.openxmlformats.org/officeDocument/2006/relationships/hyperlink" Target="https://www.cdc.gov/hiv/basics/index.html" TargetMode="External"/><Relationship Id="rId19" Type="http://schemas.openxmlformats.org/officeDocument/2006/relationships/hyperlink" Target="https://www.who.int/news-room/q-a-detail/hiv-aids" TargetMode="External"/><Relationship Id="rId4" Type="http://schemas.openxmlformats.org/officeDocument/2006/relationships/settings" Target="settings.xml"/><Relationship Id="rId9" Type="http://schemas.openxmlformats.org/officeDocument/2006/relationships/hyperlink" Target="https://www.bhiva.org/standards-of-care-2020" TargetMode="External"/><Relationship Id="rId14" Type="http://schemas.openxmlformats.org/officeDocument/2006/relationships/hyperlink" Target="https://www.gov.uk/government/publications/hiv-in-the-united-kingd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3EA73-C85A-E54E-B0A0-8A3E03326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10</Pages>
  <Words>2845</Words>
  <Characters>16222</Characters>
  <Application>Microsoft Office Word</Application>
  <DocSecurity>0</DocSecurity>
  <Lines>135</Lines>
  <Paragraphs>38</Paragraphs>
  <ScaleCrop>false</ScaleCrop>
  <Company/>
  <LinksUpToDate>false</LinksUpToDate>
  <CharactersWithSpaces>19029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2023-03-28T18:38:00Z</dcterms:created>
  <dcterms:modified xsi:type="dcterms:W3CDTF">2023-03-30T13:25:00Z</dcterms:modified>
</cp:coreProperties>
</file>