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4824A714" w14:textId="77777777" w:rsidR="006065C5" w:rsidRDefault="00000000">
      <w:pPr>
        <w:spacing w:before="240" w:after="240"/>
      </w:pPr>
      <w:bookmarkStart w:id="0" w:name="_Hlk156649830"/>
      <w:r>
        <w:rPr>
          <w:b/>
        </w:rPr>
        <w:t xml:space="preserve">Name: </w:t>
      </w:r>
      <w:r>
        <w:t>Helen Sanson</w:t>
      </w:r>
    </w:p>
    <w:p w14:paraId="412A8395" w14:textId="77777777" w:rsidR="006065C5" w:rsidRDefault="00000000">
      <w:pPr>
        <w:spacing w:before="240" w:after="240"/>
        <w:rPr>
          <w:color w:val="222222"/>
          <w:highlight w:val="white"/>
        </w:rPr>
      </w:pPr>
      <w:r>
        <w:rPr>
          <w:b/>
        </w:rPr>
        <w:t xml:space="preserve">Student Number: </w:t>
      </w:r>
      <w:r>
        <w:rPr>
          <w:color w:val="222222"/>
          <w:highlight w:val="white"/>
        </w:rPr>
        <w:t>2236588</w:t>
      </w:r>
    </w:p>
    <w:p w14:paraId="1706B263" w14:textId="77777777" w:rsidR="006065C5" w:rsidRDefault="00000000">
      <w:pPr>
        <w:spacing w:before="240" w:after="240"/>
      </w:pPr>
      <w:r>
        <w:rPr>
          <w:b/>
        </w:rPr>
        <w:t>Module Number:</w:t>
      </w:r>
      <w:r>
        <w:t xml:space="preserve"> BMPF7100</w:t>
      </w:r>
    </w:p>
    <w:p w14:paraId="3B034EA6" w14:textId="77777777" w:rsidR="00CF070D" w:rsidRDefault="00000000" w:rsidP="00CF070D">
      <w:r>
        <w:rPr>
          <w:b/>
        </w:rPr>
        <w:t xml:space="preserve">Title of Submission: </w:t>
      </w:r>
      <w:r w:rsidR="00CF070D" w:rsidRPr="00CF070D">
        <w:rPr>
          <w:bCs/>
        </w:rPr>
        <w:t>Evaluating Systems Thinking Practice in Academic Practitioner Practice: A Critical Literature Review</w:t>
      </w:r>
      <w:r w:rsidR="00CF070D">
        <w:t xml:space="preserve"> </w:t>
      </w:r>
    </w:p>
    <w:p w14:paraId="52D44FE4" w14:textId="77777777" w:rsidR="00CF070D" w:rsidRDefault="00CF070D">
      <w:pPr>
        <w:rPr>
          <w:b/>
        </w:rPr>
      </w:pPr>
    </w:p>
    <w:p w14:paraId="76F64FD6" w14:textId="3B833B4E" w:rsidR="006065C5" w:rsidRDefault="00CF070D">
      <w:pPr>
        <w:rPr>
          <w:b/>
        </w:rPr>
      </w:pPr>
      <w:r>
        <w:rPr>
          <w:b/>
        </w:rPr>
        <w:t xml:space="preserve">Module: </w:t>
      </w:r>
      <w:r w:rsidR="00000000">
        <w:t>Approaches to Research and Academic Communication</w:t>
      </w:r>
      <w:r w:rsidR="0038072A">
        <w:t xml:space="preserve"> (Written)</w:t>
      </w:r>
      <w:bookmarkEnd w:id="0"/>
      <w:r w:rsidR="00000000">
        <w:br w:type="page"/>
      </w:r>
    </w:p>
    <w:p w14:paraId="6261B6B5" w14:textId="77777777" w:rsidR="006065C5" w:rsidRDefault="00000000">
      <w:r>
        <w:rPr>
          <w:b/>
        </w:rPr>
        <w:lastRenderedPageBreak/>
        <w:t>Evaluating Systems Thinking Practice in Academic Practitioner Practice: A Critical Literature Review</w:t>
      </w:r>
      <w:r>
        <w:t xml:space="preserve"> </w:t>
      </w:r>
    </w:p>
    <w:p w14:paraId="59AB223B" w14:textId="77777777" w:rsidR="006065C5" w:rsidRDefault="006065C5"/>
    <w:p w14:paraId="154D2187" w14:textId="69258BF3" w:rsidR="006065C5" w:rsidRDefault="00000000">
      <w:r>
        <w:t>This critical literature review (CLR) examines Systems Thinking in Practice (STiP) research to explore if academic practitioners (AP) “practice what they preach” by asking, “To what extent is STiP a defined standardised practice?”</w:t>
      </w:r>
    </w:p>
    <w:p w14:paraId="4B0C07B1" w14:textId="77777777" w:rsidR="006065C5" w:rsidRDefault="006065C5"/>
    <w:p w14:paraId="278FEE5D" w14:textId="77777777" w:rsidR="006065C5" w:rsidRDefault="00000000">
      <w:pPr>
        <w:rPr>
          <w:b/>
        </w:rPr>
      </w:pPr>
      <w:r>
        <w:rPr>
          <w:b/>
        </w:rPr>
        <w:t>Introduction</w:t>
      </w:r>
    </w:p>
    <w:p w14:paraId="57B83030" w14:textId="77777777" w:rsidR="006065C5" w:rsidRDefault="006065C5"/>
    <w:p w14:paraId="501D8970" w14:textId="77777777" w:rsidR="006065C5" w:rsidRDefault="00000000">
      <w:r>
        <w:t xml:space="preserve">Systems Thinking (ST) is a term that, despite having set definitions, also means different things to different people, depending on how it arrived in someone’s life and their relationship to the notion; as Mark Twain said, “There is no such thing as an original idea”, as its origins can be traced back to antiquity. This CLR draws upon Goodman’s (2016) definition, “The discipline of systems thinking is more than just a collection of tools and methods – it’s also an underlying philosophy…a sensitivity to the circular nature of the world we live in; an awareness of the role of structure in creating the conditions we face; a recognition that there are powerful laws of systems operating that we are unaware of; a realization that there are consequences to our actions that we are oblivious to…moving from observing events or data, to identifying patterns of behavior overtime, to surfacing the underlying structures that drive those events and patterns…to see a situation more fully, to recognize that we are interrelated, to acknowledge that there are often multiple interventions to a complex problem, and to champion interventions that may not be popular”. The ability of ST to solve complex problems </w:t>
      </w:r>
      <w:proofErr w:type="gramStart"/>
      <w:r>
        <w:t>is seen</w:t>
      </w:r>
      <w:proofErr w:type="gramEnd"/>
      <w:r>
        <w:t xml:space="preserve"> as its strength, yet what it takes to practice is open to debate. Although the tools, approaches and methods have </w:t>
      </w:r>
      <w:proofErr w:type="gramStart"/>
      <w:r>
        <w:t>many</w:t>
      </w:r>
      <w:proofErr w:type="gramEnd"/>
      <w:r>
        <w:t xml:space="preserve"> papers and books to show what good application looks like, the same is not true as to what constitutes a practitioner. However, this changed in May 2020 when the Institute for Apprenticeships and Technical Education (IfAaTE) approved the Level 7 Systems Thinking Practitioner Apprenticeship (STPA).</w:t>
      </w:r>
    </w:p>
    <w:p w14:paraId="182E6C06" w14:textId="77777777" w:rsidR="006065C5" w:rsidRDefault="006065C5"/>
    <w:p w14:paraId="47F2EFF5" w14:textId="77777777" w:rsidR="006065C5" w:rsidRDefault="00000000">
      <w:r>
        <w:t xml:space="preserve">The STPA </w:t>
      </w:r>
      <w:proofErr w:type="gramStart"/>
      <w:r>
        <w:t>was conceived</w:t>
      </w:r>
      <w:proofErr w:type="gramEnd"/>
      <w:r>
        <w:t xml:space="preserve"> by a trailblazer group (leading figures such as APs) for “an employee… &lt;who&gt; interacts with decision-makers, strategists and policy-makers, often in senior roles …or… change agents and consultants... They typically have </w:t>
      </w:r>
      <w:proofErr w:type="gramStart"/>
      <w:r>
        <w:t>high levels</w:t>
      </w:r>
      <w:proofErr w:type="gramEnd"/>
      <w:r>
        <w:t xml:space="preserve"> of autonomy, enabling them to engage widely with individuals and groups around the system they operate in.”  (IfAaTE, 2023). Additionally, the apprenticeship </w:t>
      </w:r>
      <w:proofErr w:type="gramStart"/>
      <w:r>
        <w:t>was written</w:t>
      </w:r>
      <w:proofErr w:type="gramEnd"/>
      <w:r>
        <w:t xml:space="preserve"> pre-pandemic, so it focuses on in-person practices, which differ when working remotely. However, since 2021, when the apprenticeship started, across all the providers, the apprentices have come from mid-management, who primarily work remotely, are not senior and have limited autonomy. Midgley (2023) stated,” Most people learning about systems methodologies are middle managers, and they are not the decision-makers on either service development or systemic intervention/evaluation....the assumption in all systems methodologies is that they are </w:t>
      </w:r>
      <w:proofErr w:type="gramStart"/>
      <w:r>
        <w:t>being used</w:t>
      </w:r>
      <w:proofErr w:type="gramEnd"/>
      <w:r>
        <w:t xml:space="preserve"> by people in consulting or decision-making roles. However</w:t>
      </w:r>
      <w:proofErr w:type="gramStart"/>
      <w:r>
        <w:t>, for the most part, this</w:t>
      </w:r>
      <w:proofErr w:type="gramEnd"/>
      <w:r>
        <w:t xml:space="preserve"> is just not the case – they are used by people without sufficient autonomy to exercise the critical thought they might like to exercise.”</w:t>
      </w:r>
    </w:p>
    <w:p w14:paraId="4DEC524F" w14:textId="77777777" w:rsidR="006065C5" w:rsidRDefault="006065C5"/>
    <w:p w14:paraId="7E1E8566" w14:textId="3990FEDA" w:rsidR="006065C5" w:rsidRDefault="00000000">
      <w:pPr>
        <w:rPr>
          <w:color w:val="222222"/>
          <w:highlight w:val="white"/>
        </w:rPr>
      </w:pPr>
      <w:r>
        <w:t xml:space="preserve">In addition, an apprenticeship is usually vocational and geared towards work-based and workplace learning, focusing on an identifiable occupation such as podiatry or tree surgery. However, no such occupation exists as a ‘Systems Thinking Practitioner’ (STP). Instead, the assessment circumvents this by saying, “The broad purpose of the occupation is to support </w:t>
      </w:r>
      <w:r>
        <w:lastRenderedPageBreak/>
        <w:t xml:space="preserve">decision-makers in strategic and leadership roles to understand and address complex and sometimes even ‘wicked’ problems through the provision of expert systemic analysis, </w:t>
      </w:r>
      <w:proofErr w:type="gramStart"/>
      <w:r>
        <w:t>advice</w:t>
      </w:r>
      <w:proofErr w:type="gramEnd"/>
      <w:r>
        <w:t xml:space="preserve"> and facilitation.” (IfAaTE, 2023). This underscores that STiP is analytical for problem-solving and not a stand-alone occupation. As such, this surfaces a critical issue. The premise of an apprenticeship is that the apprentice will be employed in the occupation, and so will their manager or mentors, who will </w:t>
      </w:r>
      <w:r w:rsidR="00E80E8A">
        <w:t>function as</w:t>
      </w:r>
      <w:r>
        <w:t xml:space="preserve"> a bridge between theory and practice. However, this is rarely the case since it is not an occupation and STiP for problem-solving is niche compared to the widespread use of project management techniques such as PRINCE2 or Agile. Therefore, to create this bridge, the students </w:t>
      </w:r>
      <w:proofErr w:type="gramStart"/>
      <w:r>
        <w:t>are provided</w:t>
      </w:r>
      <w:proofErr w:type="gramEnd"/>
      <w:r>
        <w:t xml:space="preserve"> with AP research to </w:t>
      </w:r>
      <w:r w:rsidR="00E80E8A">
        <w:t>highlight</w:t>
      </w:r>
      <w:r>
        <w:t xml:space="preserve"> the effectiveness of STiP, which is supposed to be relatable to their work. However, there is a vast difference between an AP and someone embedding ST into their nine-to-five job. Instead, the use of this research has led students to ask to “see</w:t>
      </w:r>
      <w:r>
        <w:rPr>
          <w:color w:val="222222"/>
          <w:highlight w:val="white"/>
        </w:rPr>
        <w:t xml:space="preserve"> some examples of systems thinking models in real-life use…as there is a big difference between using these approaches with colleagues (working within an organisational boundary) and using them as an academic, researcher or consultant (invited into an organisational boundary).” (Harrison, 2023). </w:t>
      </w:r>
    </w:p>
    <w:p w14:paraId="73F09F0D" w14:textId="77777777" w:rsidR="006065C5" w:rsidRDefault="006065C5"/>
    <w:p w14:paraId="71129F72" w14:textId="77777777" w:rsidR="006065C5" w:rsidRDefault="00000000">
      <w:r>
        <w:t>Alongside the claim that ST is an occupation is the notion that it is an embodied practice. Lazlo, (2012) claims that it “involves embodying a new consciousness, an expanded sense of self, a recognition that we cannot survive alone, that a future that works for humanity needs also to work for other species and the planet.” The apprenticeship encourages students to “balance the needs of stakeholders regardless of personal biases, embrace diversity and inclusion, listen to multiple perspectives, be reflexive, reflective, self-aware, empathetic and humble, and encourage this in others.” (IfAaTE, 2023)</w:t>
      </w:r>
      <w:proofErr w:type="gramStart"/>
      <w:r>
        <w:t xml:space="preserve">.  </w:t>
      </w:r>
      <w:proofErr w:type="gramEnd"/>
      <w:r>
        <w:t xml:space="preserve">However, the question is how much of this happens in practice when, as Midgely, (2023) says, “it is rare for a middle manager to be given the time to do the approaches, and we need to stop teaching methodologies as if they can be practised as whole entities…it’s why most people who learn systems approaches at university don’t practice them in the outside world: it’s only people like us, in consultancy or practitioner academic roles, who have the ‘luxury’ doing systemic thinking in the ways we might desire.” </w:t>
      </w:r>
    </w:p>
    <w:p w14:paraId="727BBDA4" w14:textId="77777777" w:rsidR="006065C5" w:rsidRDefault="006065C5"/>
    <w:p w14:paraId="102725B5" w14:textId="77777777" w:rsidR="006065C5" w:rsidRDefault="00000000">
      <w:r>
        <w:t xml:space="preserve">Consequently, this CLR </w:t>
      </w:r>
      <w:proofErr w:type="gramStart"/>
      <w:r>
        <w:t>opens up</w:t>
      </w:r>
      <w:proofErr w:type="gramEnd"/>
      <w:r>
        <w:t xml:space="preserve"> a debate as to what extent STiP is a standardised, embodied, and contextual practice that apprentices can readily embed in their work. The aim is to evaluate how APs have conducted their STiP research by contrasting it to the apprenticeship. It then recommends what STiP looks like by exploring how much a unified “good” practice applies to both AP and vocational practice (VP). The review will draw out general themes concerning STiP to highlight the implications of AP practice </w:t>
      </w:r>
      <w:proofErr w:type="gramStart"/>
      <w:r>
        <w:t>being conflated</w:t>
      </w:r>
      <w:proofErr w:type="gramEnd"/>
      <w:r>
        <w:t xml:space="preserve"> with VP and assess strategies to create a crossover. This review is vital as despite the growth of STiP and the increase in its influence in business and management fields; there is no critique of practitioners and how they practice. Most research, where it is critical, focuses on applying approaches and overlooks the practice context, which implies that STiP is standardised and can </w:t>
      </w:r>
      <w:proofErr w:type="gramStart"/>
      <w:r>
        <w:t>be undertaken</w:t>
      </w:r>
      <w:proofErr w:type="gramEnd"/>
      <w:r>
        <w:t xml:space="preserve"> in a “cookie cutter” way.</w:t>
      </w:r>
    </w:p>
    <w:p w14:paraId="48DE3E3C" w14:textId="77777777" w:rsidR="006065C5" w:rsidRDefault="006065C5"/>
    <w:p w14:paraId="11066774" w14:textId="77777777" w:rsidR="006065C5" w:rsidRDefault="00000000">
      <w:r>
        <w:t xml:space="preserve">The CLR comes from a constructive/interpretive ontological and epistemological lens by understanding that we make meaning from behaviour patterns, such as feelings, in professional practice. It takes the viewpoint that professional practice is based on how knowledge is organised, </w:t>
      </w:r>
      <w:proofErr w:type="gramStart"/>
      <w:r>
        <w:t>managed</w:t>
      </w:r>
      <w:proofErr w:type="gramEnd"/>
      <w:r>
        <w:t xml:space="preserve"> and evaluated, so through this learning, it develops, validates and grows. However, “what we know to be true or real is always a product of the </w:t>
      </w:r>
      <w:r>
        <w:lastRenderedPageBreak/>
        <w:t xml:space="preserve">culture and historical period in which we exist.” (Newman, 2022) as “Our perception of reality is not an exact representation of the objective truth but rather a combination of sensory inputs and the brain’s interpretation of these signals. This interpretation </w:t>
      </w:r>
      <w:proofErr w:type="gramStart"/>
      <w:r>
        <w:t>is influenced</w:t>
      </w:r>
      <w:proofErr w:type="gramEnd"/>
      <w:r>
        <w:t xml:space="preserve"> by past experiences and is often predictive, with the brain creating categories of similar instances to anticipate future events.” (Feldman Barrett, 2023). This stance provides a way of producing new insights into the debate about what constitutes STiP. Central to the debate is the difficulty in understanding how to be a practitioner, as there are differing ways of knowing what ST is, how people arrive at it and how they are situated and positioned in their work and life. Thus, despite the STPA encouraging apprentices to conform to a set of practices that apply to all STPs, it comes from a particular knowledge-production perspective, i.e. that of the AP, which does not easily sit alongside the apprentices' “middle leader” roles. </w:t>
      </w:r>
    </w:p>
    <w:p w14:paraId="3DBB96F2" w14:textId="77777777" w:rsidR="006065C5" w:rsidRDefault="006065C5"/>
    <w:p w14:paraId="609A9888" w14:textId="33A77B71" w:rsidR="006065C5" w:rsidRDefault="00000000">
      <w:r>
        <w:t xml:space="preserve">Part of the CLR delves into the relationship between knowledge production and practice and how this makes certain aspects more dominant than others. This will shift the focus away from applying ST tools, </w:t>
      </w:r>
      <w:proofErr w:type="gramStart"/>
      <w:r>
        <w:t>approaches</w:t>
      </w:r>
      <w:proofErr w:type="gramEnd"/>
      <w:r>
        <w:t xml:space="preserve"> and methods towards what must be considered and recognised as good STiP. The paper is in three parts. The first part reviews the debate on adopting STiP by organisational decision-makers through the papers “Found Difficult and Left Untried Why Senior Managers Seem Reluctant to Engage with Systems Thinking” (Armson, 2008), “Civil Servant and Expert Perspectives on Drivers, Values, Challenges and Successes in Adopting Systems Thinking in Policy-Making”  (Nguyen et al. 2023) and Putting Systems Theory To Work - The Synergy Between Theory And Practice (Ormerod, 1999). This long-standing debate within the ST community focuses on two issues: how an organisation’s environment and culture prevent STiP from taking hold and how it poses a challenge to that environment and culture. The second part analyses eight papers using STiP by APs</w:t>
      </w:r>
      <w:proofErr w:type="gramStart"/>
      <w:r>
        <w:t xml:space="preserve">.  </w:t>
      </w:r>
      <w:proofErr w:type="gramEnd"/>
      <w:r>
        <w:t xml:space="preserve">These explore the relationship between being an AP and a VP. From this, the paper frames the debate through the disconnect between the two forms of practice. Lastly, the paper explores the potential reasons for the disconnection between APs and VPs. </w:t>
      </w:r>
    </w:p>
    <w:p w14:paraId="25DA7259" w14:textId="77777777" w:rsidR="006065C5" w:rsidRDefault="006065C5"/>
    <w:p w14:paraId="48618B1C" w14:textId="79601038" w:rsidR="006065C5" w:rsidRDefault="00000000">
      <w:r>
        <w:t xml:space="preserve">Overall, this CLR aims to question the taken-for-granted discourse that STiP can become standardised through the STPA. It looks at the inherent tensions and ambiguities resulting from the underlying assumptions of how STiP works. It asks if the AP is a realistic embodiment of STiP and if the act of practice should be the focus of research rather than the application of ST to encourage uptake and a more diverse range of perspectives and people. It shows how the understanding of what constitutes STiP </w:t>
      </w:r>
      <w:proofErr w:type="gramStart"/>
      <w:r>
        <w:t>is forged</w:t>
      </w:r>
      <w:proofErr w:type="gramEnd"/>
      <w:r>
        <w:t xml:space="preserve"> solely through the lens of the AP. Therefore, the standardisation in the STPA highlights that the disconnect between the AP and VP comes from the </w:t>
      </w:r>
      <w:proofErr w:type="gramStart"/>
      <w:r>
        <w:t>particular knowledge-production</w:t>
      </w:r>
      <w:proofErr w:type="gramEnd"/>
      <w:r>
        <w:t xml:space="preserve"> perspectives each has, which creates the differing ways their practice is constructed. However, as the dominant voice, the practice of the AP </w:t>
      </w:r>
      <w:proofErr w:type="gramStart"/>
      <w:r>
        <w:t>is seen</w:t>
      </w:r>
      <w:proofErr w:type="gramEnd"/>
      <w:r>
        <w:t xml:space="preserve"> as normative in all contexts, making some see it as a gold standard that all STP</w:t>
      </w:r>
      <w:r w:rsidR="003116AF">
        <w:t>s</w:t>
      </w:r>
      <w:r>
        <w:t xml:space="preserve"> should achieve, such as the apprentices. However, the CLR argues that if ST is to become a practitioner’s tool beyond academia through the apprenticeship, then space </w:t>
      </w:r>
      <w:r w:rsidR="00E80E8A">
        <w:t>must</w:t>
      </w:r>
      <w:r>
        <w:t xml:space="preserve"> </w:t>
      </w:r>
      <w:proofErr w:type="gramStart"/>
      <w:r>
        <w:t>be given</w:t>
      </w:r>
      <w:proofErr w:type="gramEnd"/>
      <w:r>
        <w:t xml:space="preserve"> to the apprentice’s voice in research and that of other VPs who use it. The CLR finishes by offering suggestions for new directions for STiP research by providing a unique focus on STiP and its limitations so that it can be advanced, expanded and adopted across a broader range of practitioners and workplaces. </w:t>
      </w:r>
    </w:p>
    <w:p w14:paraId="612295A6" w14:textId="77777777" w:rsidR="006065C5" w:rsidRDefault="006065C5"/>
    <w:p w14:paraId="06D3F167" w14:textId="77777777" w:rsidR="006065C5" w:rsidRDefault="00000000">
      <w:pPr>
        <w:rPr>
          <w:b/>
        </w:rPr>
      </w:pPr>
      <w:r>
        <w:rPr>
          <w:b/>
        </w:rPr>
        <w:t>Debates in STiP</w:t>
      </w:r>
    </w:p>
    <w:p w14:paraId="0BE0A5B5" w14:textId="74D8D375" w:rsidR="006065C5" w:rsidRDefault="00000000">
      <w:r>
        <w:t xml:space="preserve">ST is </w:t>
      </w:r>
      <w:r w:rsidR="00E80E8A">
        <w:t>typically</w:t>
      </w:r>
      <w:r>
        <w:t xml:space="preserve"> seen as a management tool for solving complex problems in soft systems such as services, social </w:t>
      </w:r>
      <w:proofErr w:type="gramStart"/>
      <w:r>
        <w:t>issues</w:t>
      </w:r>
      <w:proofErr w:type="gramEnd"/>
      <w:r>
        <w:t xml:space="preserve"> or the workplace. However, ST also explores complex hard </w:t>
      </w:r>
      <w:r>
        <w:lastRenderedPageBreak/>
        <w:t xml:space="preserve">systems in manufacturing, </w:t>
      </w:r>
      <w:proofErr w:type="gramStart"/>
      <w:r>
        <w:t>software</w:t>
      </w:r>
      <w:proofErr w:type="gramEnd"/>
      <w:r>
        <w:t xml:space="preserve"> or engineering. Regardless of the field of application, the books, </w:t>
      </w:r>
      <w:proofErr w:type="gramStart"/>
      <w:r>
        <w:t>articles</w:t>
      </w:r>
      <w:proofErr w:type="gramEnd"/>
      <w:r>
        <w:t xml:space="preserve"> and research about STiP mainly originate from APs, i.e. academics whose practice as a consultant is part of their research. However, their “day job” as an academic ranges from lecturing to supervising, </w:t>
      </w:r>
      <w:proofErr w:type="gramStart"/>
      <w:r>
        <w:t>marking</w:t>
      </w:r>
      <w:proofErr w:type="gramEnd"/>
      <w:r>
        <w:t xml:space="preserve"> and writing papers. As their AP is an extension of their research, the way ST is applied is led by this need, which already places them in </w:t>
      </w:r>
      <w:proofErr w:type="gramStart"/>
      <w:r>
        <w:t>a very different</w:t>
      </w:r>
      <w:proofErr w:type="gramEnd"/>
      <w:r>
        <w:t xml:space="preserve"> realm than someone in regular employment, such as an apprentice. Ormerod (1999) observed, "The ability of academic consultants to give an unbiased account is prejudiced by their intellectual and emotional engagement in the events studied.”  </w:t>
      </w:r>
    </w:p>
    <w:p w14:paraId="4441C774" w14:textId="77777777" w:rsidR="006065C5" w:rsidRDefault="006065C5"/>
    <w:p w14:paraId="2A8D778C" w14:textId="3C79C43E" w:rsidR="006065C5" w:rsidRDefault="00000000">
      <w:r>
        <w:t xml:space="preserve">STP, therefore, is set by academics with </w:t>
      </w:r>
      <w:r w:rsidR="00E80E8A">
        <w:t>a personal stake</w:t>
      </w:r>
      <w:r>
        <w:t xml:space="preserve"> in practising it in a certain way, which may explain why it has a slow adoption rate, as it is difficult to replicate its practices</w:t>
      </w:r>
      <w:proofErr w:type="gramStart"/>
      <w:r>
        <w:t xml:space="preserve">.  </w:t>
      </w:r>
      <w:proofErr w:type="gramEnd"/>
      <w:r>
        <w:t xml:space="preserve">Armson (2008) stated, “The simplest hypothesis is that senior managers, by the nature of their circumstances, genuinely do not have the time, </w:t>
      </w:r>
      <w:proofErr w:type="gramStart"/>
      <w:r>
        <w:t>energy</w:t>
      </w:r>
      <w:proofErr w:type="gramEnd"/>
      <w:r>
        <w:t xml:space="preserve"> or enthusiasm for learning Systems. If, as a systems community, we have not yet persuaded managers to invest time to make time, then the community must address this in its presentation of Systems Thinking’s benefits.” However, Nguyen et al. (2023) found that civil servants were acutely aware of the benefits of ST to understand complex problems and use multiple perspectives to gain an expansive viewpoint, yet like Armson, found “two thirds of interviewees asserted that time and resource constraints prevented policy-makers from engaging with systems thinking”. This resonates with the comments from Midgely (2023) that only ”practitioner academic roles, have the ‘luxury’ doing systemic thinking in the ways we might desire” as in-built into their consultancy is time, which will give them the head space to focus, which most workers do not have. </w:t>
      </w:r>
    </w:p>
    <w:p w14:paraId="102FF780" w14:textId="77777777" w:rsidR="006065C5" w:rsidRDefault="006065C5"/>
    <w:p w14:paraId="1B36A179" w14:textId="101568C2" w:rsidR="006065C5" w:rsidRDefault="00000000">
      <w:r>
        <w:t>What is a consistent recurrent theme in the debate is the “mismatch between the simplicity of the theoretical ideas and the challenge and difficulty of using them” (Armson, 2008) as “the demands, intellectual, perceptual, epistemological and emotional are..., challenging and difficult in the doing.” For an AP, using the language and tools of ST in their purest form is essential as it “goes against the grain of the original conception of the methods and can weaken some of their powerful features.” (Ormerod, 1999)</w:t>
      </w:r>
      <w:proofErr w:type="gramStart"/>
      <w:r>
        <w:t xml:space="preserve">.  </w:t>
      </w:r>
      <w:proofErr w:type="gramEnd"/>
      <w:r>
        <w:t xml:space="preserve">However, for an apprentice trying to adopt STiP, the idea of purity is problematic because “if you just talk in terms of systems and systems thinking and causal maps and stuff, you can exclude a whole bunch of other people.” (Nguyen 2023). Given that Armson’s paper was written over sixteen years ago, it shows how little </w:t>
      </w:r>
      <w:r w:rsidR="00E80E8A">
        <w:t>has</w:t>
      </w:r>
      <w:r>
        <w:t xml:space="preserve"> changed as she describes the language of ST as “both unwelcoming and </w:t>
      </w:r>
      <w:r w:rsidR="00A02D5C">
        <w:t>repellant</w:t>
      </w:r>
      <w:proofErr w:type="gramStart"/>
      <w:r>
        <w:t>”.</w:t>
      </w:r>
      <w:proofErr w:type="gramEnd"/>
      <w:r>
        <w:t xml:space="preserve"> </w:t>
      </w:r>
    </w:p>
    <w:p w14:paraId="19DD6CBC" w14:textId="77777777" w:rsidR="006065C5" w:rsidRDefault="006065C5"/>
    <w:p w14:paraId="5EA1309A" w14:textId="25ED54E6" w:rsidR="006065C5" w:rsidRDefault="00000000">
      <w:r>
        <w:t xml:space="preserve">Although all three papers focus on practice, there needs to be more discussion of what makes for a good STP and how to practice as a practitioner. There are general nods to this through the key concepts such as listening to multiple perspectives or reflecting; however, details about who would be good at this, what skills are needed, or how to make it an embodied practice still need to </w:t>
      </w:r>
      <w:proofErr w:type="gramStart"/>
      <w:r>
        <w:t>be included</w:t>
      </w:r>
      <w:proofErr w:type="gramEnd"/>
      <w:r>
        <w:t xml:space="preserve">. Armson (2008) alludes to “the emotional challenge inherent in breaking through to a style of thinking that we would recognize as Systems Thinking, stimulated by the learner’s own need to solve a problem. We also recognize…the underlying emotioning that enables or disables new ways of knowing.” The lack of focus is, however, unsurprising because, as Lazlo (2012) comments, there are ”two types of systems thinkers: those who cognitively understand and can ‘talk the systems talk’,“ who are dominant perspective in the literature and “and those who appreciate and can feel what it means to embrace a systems view, even if they do not know (or care about) formal </w:t>
      </w:r>
      <w:r>
        <w:lastRenderedPageBreak/>
        <w:t xml:space="preserve">systems concepts.”, whose voices are missing. However, as APs write the bulk of </w:t>
      </w:r>
      <w:r w:rsidR="00A02D5C">
        <w:t xml:space="preserve">ST </w:t>
      </w:r>
      <w:proofErr w:type="gramStart"/>
      <w:r>
        <w:t>papers</w:t>
      </w:r>
      <w:proofErr w:type="gramEnd"/>
      <w:r>
        <w:t xml:space="preserve"> they have to demonstrate that they know and care about formal systems concepts to show that the “methods have been demonstrated to be effective” (Omerod, 1999) so the system works against other types of practitioner.</w:t>
      </w:r>
    </w:p>
    <w:p w14:paraId="68D268A6" w14:textId="77777777" w:rsidR="006065C5" w:rsidRDefault="006065C5"/>
    <w:p w14:paraId="6B0586F0" w14:textId="77777777" w:rsidR="006065C5" w:rsidRDefault="00000000">
      <w:r>
        <w:t xml:space="preserve">The irony is that ST is touted </w:t>
      </w:r>
      <w:proofErr w:type="gramStart"/>
      <w:r>
        <w:t>as a way to</w:t>
      </w:r>
      <w:proofErr w:type="gramEnd"/>
      <w:r>
        <w:t xml:space="preserve"> deal with complex problems, yet it has one of its own. It has been over twenty years since Omerod’s paper, and the field has failed to address how it should </w:t>
      </w:r>
      <w:proofErr w:type="gramStart"/>
      <w:r>
        <w:t>be practised</w:t>
      </w:r>
      <w:proofErr w:type="gramEnd"/>
      <w:r>
        <w:t xml:space="preserve"> by over-focusing on how the tools and approaches are applied instead of what practice is. This is possibly due to how the “blame” for the lack of </w:t>
      </w:r>
      <w:proofErr w:type="gramStart"/>
      <w:r>
        <w:t>adoption</w:t>
      </w:r>
      <w:proofErr w:type="gramEnd"/>
      <w:r>
        <w:t xml:space="preserve"> or the challenges faced by VPs is unconsciously juxtaposed to that of the AP, meaning that theirs is the standard to attain and if they can do it, so should anyone else. This can </w:t>
      </w:r>
      <w:proofErr w:type="gramStart"/>
      <w:r>
        <w:t>be seen</w:t>
      </w:r>
      <w:proofErr w:type="gramEnd"/>
      <w:r>
        <w:t xml:space="preserve"> in Omerod (1999), who is an AP, in his “Evolution of Practice”, where he states that “the field trials formed a series of interventions over an extended period provided an example of the evolution of a strand of practice” which he believes helps “translate theory into action”. However, even he concedes that “the difficulty of translating theory into action should not be underestimated.” </w:t>
      </w:r>
    </w:p>
    <w:p w14:paraId="4E168ED6" w14:textId="77777777" w:rsidR="006065C5" w:rsidRDefault="006065C5"/>
    <w:p w14:paraId="52728613" w14:textId="77777777" w:rsidR="006065C5" w:rsidRDefault="00000000">
      <w:r>
        <w:t xml:space="preserve">Yet, this is </w:t>
      </w:r>
      <w:proofErr w:type="gramStart"/>
      <w:r>
        <w:t>being attempted</w:t>
      </w:r>
      <w:proofErr w:type="gramEnd"/>
      <w:r>
        <w:t xml:space="preserve"> through the apprenticeship. Like Armson (2008), the answers are </w:t>
      </w:r>
      <w:proofErr w:type="gramStart"/>
      <w:r>
        <w:t>being sought</w:t>
      </w:r>
      <w:proofErr w:type="gramEnd"/>
      <w:r>
        <w:t xml:space="preserve"> by trying to understand apprentices' behaviours “in ways that allow action-for-improvement” rather than seeing that ST is hard to translate into everyday work practice. There is a world of difference between an AP and a VP. Potentially, this is why comments such as this: “I do tend to think that systems thinking is still seen as the preserve of certain experts or certain people who’ve used that approach rather than it being something that all of the civil services should be working with routinely” (Nguyen, 2023) are common because there is a failure of APs to do something they preach- listen to multiple perspectives and reflect. If they did, this debate would </w:t>
      </w:r>
      <w:proofErr w:type="gramStart"/>
      <w:r>
        <w:t>perhaps abate</w:t>
      </w:r>
      <w:proofErr w:type="gramEnd"/>
      <w:r>
        <w:t xml:space="preserve"> since there would be a realisation that they might be at fault. </w:t>
      </w:r>
    </w:p>
    <w:p w14:paraId="0E8E7B0B" w14:textId="77777777" w:rsidR="006065C5" w:rsidRDefault="006065C5"/>
    <w:p w14:paraId="0B131D4E" w14:textId="77777777" w:rsidR="006065C5" w:rsidRDefault="00000000">
      <w:r>
        <w:rPr>
          <w:b/>
        </w:rPr>
        <w:t>Methodology of the Critical Literature Review</w:t>
      </w:r>
    </w:p>
    <w:p w14:paraId="7757F7AC" w14:textId="77777777" w:rsidR="006065C5" w:rsidRDefault="00000000">
      <w:r>
        <w:t xml:space="preserve">Initially, a database search using the Open University library (as it has the broadest access to ST resources) </w:t>
      </w:r>
      <w:proofErr w:type="gramStart"/>
      <w:r>
        <w:t>was undertaken</w:t>
      </w:r>
      <w:proofErr w:type="gramEnd"/>
      <w:r>
        <w:t xml:space="preserve"> to find relevant research papers to be included in the CLR. Rather than focusing on the leading APs such as Ison, Midgely, Reynolds, or Jackson, the search </w:t>
      </w:r>
      <w:proofErr w:type="gramStart"/>
      <w:r>
        <w:t>was widened</w:t>
      </w:r>
      <w:proofErr w:type="gramEnd"/>
      <w:r>
        <w:t xml:space="preserve"> to look for those who use ST but in fields that align more with the apprentices. </w:t>
      </w:r>
    </w:p>
    <w:p w14:paraId="04C5867C" w14:textId="77777777" w:rsidR="006065C5" w:rsidRDefault="006065C5"/>
    <w:p w14:paraId="28C50669" w14:textId="77777777" w:rsidR="006065C5" w:rsidRDefault="00000000">
      <w:r>
        <w:t>Using the STPA as a benchmark and the apprentices’ occupations, the search for eight papers focused on the following:</w:t>
      </w:r>
    </w:p>
    <w:p w14:paraId="2993A8F0" w14:textId="77777777" w:rsidR="006065C5" w:rsidRDefault="006065C5"/>
    <w:p w14:paraId="20C4BAE8" w14:textId="77777777" w:rsidR="006065C5" w:rsidRDefault="00000000">
      <w:pPr>
        <w:numPr>
          <w:ilvl w:val="0"/>
          <w:numId w:val="1"/>
        </w:numPr>
      </w:pPr>
      <w:r>
        <w:t xml:space="preserve">Two papers per model which </w:t>
      </w:r>
      <w:proofErr w:type="gramStart"/>
      <w:r>
        <w:t>are mentioned</w:t>
      </w:r>
      <w:proofErr w:type="gramEnd"/>
      <w:r>
        <w:t xml:space="preserve"> in the standard: The Viable Systems Model (VSM), Soft Systems Methodology (SSM), Critical Systems Heuristics (CSH) and Systems Dynamics (SD)</w:t>
      </w:r>
    </w:p>
    <w:p w14:paraId="36432734" w14:textId="77777777" w:rsidR="006065C5" w:rsidRDefault="00000000">
      <w:pPr>
        <w:numPr>
          <w:ilvl w:val="0"/>
          <w:numId w:val="1"/>
        </w:numPr>
      </w:pPr>
      <w:r>
        <w:t>Located in the public sector, preferably within</w:t>
      </w:r>
    </w:p>
    <w:p w14:paraId="4943D653" w14:textId="77777777" w:rsidR="006065C5" w:rsidRDefault="00000000">
      <w:pPr>
        <w:numPr>
          <w:ilvl w:val="1"/>
          <w:numId w:val="1"/>
        </w:numPr>
      </w:pPr>
      <w:r>
        <w:t>Local authorities</w:t>
      </w:r>
    </w:p>
    <w:p w14:paraId="4A81FF39" w14:textId="77777777" w:rsidR="006065C5" w:rsidRDefault="00000000">
      <w:pPr>
        <w:numPr>
          <w:ilvl w:val="1"/>
          <w:numId w:val="1"/>
        </w:numPr>
      </w:pPr>
      <w:r>
        <w:t>NHS</w:t>
      </w:r>
    </w:p>
    <w:p w14:paraId="78291C13" w14:textId="77777777" w:rsidR="006065C5" w:rsidRDefault="00000000">
      <w:pPr>
        <w:numPr>
          <w:ilvl w:val="1"/>
          <w:numId w:val="1"/>
        </w:numPr>
      </w:pPr>
      <w:r>
        <w:t>Civil Service</w:t>
      </w:r>
    </w:p>
    <w:p w14:paraId="5C26F418" w14:textId="77777777" w:rsidR="006065C5" w:rsidRDefault="00000000">
      <w:pPr>
        <w:numPr>
          <w:ilvl w:val="1"/>
          <w:numId w:val="1"/>
        </w:numPr>
      </w:pPr>
      <w:r>
        <w:t>Similar institutions worldwide</w:t>
      </w:r>
    </w:p>
    <w:p w14:paraId="5D6F2BD6" w14:textId="77777777" w:rsidR="006065C5" w:rsidRDefault="00000000">
      <w:pPr>
        <w:numPr>
          <w:ilvl w:val="0"/>
          <w:numId w:val="1"/>
        </w:numPr>
      </w:pPr>
      <w:r>
        <w:t>A practice-based response to the above settings</w:t>
      </w:r>
    </w:p>
    <w:p w14:paraId="0CF198E5" w14:textId="77777777" w:rsidR="006065C5" w:rsidRDefault="00000000">
      <w:pPr>
        <w:numPr>
          <w:ilvl w:val="0"/>
          <w:numId w:val="1"/>
        </w:numPr>
      </w:pPr>
      <w:r>
        <w:t>Papers published within the last ten years (give or take 1 - 2 years)</w:t>
      </w:r>
    </w:p>
    <w:p w14:paraId="2B834F1A" w14:textId="77777777" w:rsidR="006065C5" w:rsidRDefault="006065C5"/>
    <w:p w14:paraId="677E5DFA" w14:textId="20608424" w:rsidR="006065C5" w:rsidRDefault="00000000">
      <w:r>
        <w:t xml:space="preserve">The conventional wisdom would be to focus on ST journals such as Systems Research and Behavioural Science or the Journal of the Operational Research Society, as technically, they should offer the widest breadth of research. However, ST has several schools of thought, </w:t>
      </w:r>
      <w:proofErr w:type="gramStart"/>
      <w:r>
        <w:t>branches</w:t>
      </w:r>
      <w:proofErr w:type="gramEnd"/>
      <w:r>
        <w:t xml:space="preserve"> and traditions, especially in the UK and USA. As such, limiting the searches to these journals could have resulted in only </w:t>
      </w:r>
      <w:proofErr w:type="gramStart"/>
      <w:r>
        <w:t>a few</w:t>
      </w:r>
      <w:proofErr w:type="gramEnd"/>
      <w:r>
        <w:t xml:space="preserve"> papers that matched the criteria. Therefore, the search was open to all publications regardless of their discipline. As papers were hard to come by, Google Scholar, ReserachGate, and Academia Edu </w:t>
      </w:r>
      <w:proofErr w:type="gramStart"/>
      <w:r>
        <w:t>were also used</w:t>
      </w:r>
      <w:proofErr w:type="gramEnd"/>
      <w:r>
        <w:t xml:space="preserve"> because they allowed for other papers that would more likely fit the criteria to be found. The first searches centred on the names of the models in the title, abstract, keywords or subject. Then, the other keywords were used to </w:t>
      </w:r>
      <w:proofErr w:type="gramStart"/>
      <w:r>
        <w:t>hone in on</w:t>
      </w:r>
      <w:proofErr w:type="gramEnd"/>
      <w:r>
        <w:t xml:space="preserve"> research in the specific public sector areas needed. Research in the required fields and practice emerged only by targeting the searches this way. </w:t>
      </w:r>
    </w:p>
    <w:p w14:paraId="75E82F3C" w14:textId="77777777" w:rsidR="006065C5" w:rsidRDefault="006065C5"/>
    <w:p w14:paraId="676914D2" w14:textId="77777777" w:rsidR="006065C5" w:rsidRDefault="00000000">
      <w:pPr>
        <w:rPr>
          <w:b/>
        </w:rPr>
      </w:pPr>
      <w:r>
        <w:rPr>
          <w:b/>
        </w:rPr>
        <w:t>Defining Practice Through Research</w:t>
      </w:r>
    </w:p>
    <w:p w14:paraId="4550983A" w14:textId="31BA0C41" w:rsidR="006065C5" w:rsidRDefault="00000000">
      <w:r>
        <w:t>Usually, in CLRs, the subject and findings are the focus, as the aim is to further research in a particular field. Very rarely are questions asked about the researchers. For this CLR, the subject area and the findings are not the focus, nor are the ST methods. Instead, CLR examines how the AP</w:t>
      </w:r>
      <w:r w:rsidR="003116AF">
        <w:t>s</w:t>
      </w:r>
      <w:r>
        <w:t xml:space="preserve"> understand themselves as STPs to reveal their STiP. However, unlike other practitioners such as lawyers, doctors, or teachers, there is no definition of a STP's attributes. Therefore, to create a baseline to analyse practice in the papers, the IfAaTE’s STPA standard (2023) </w:t>
      </w:r>
      <w:proofErr w:type="gramStart"/>
      <w:r>
        <w:t>was used</w:t>
      </w:r>
      <w:proofErr w:type="gramEnd"/>
      <w:r>
        <w:t xml:space="preserve"> to identify the main facets of a practitioner and create a framework. The framework </w:t>
      </w:r>
      <w:proofErr w:type="gramStart"/>
      <w:r>
        <w:t>is also pegged</w:t>
      </w:r>
      <w:proofErr w:type="gramEnd"/>
      <w:r>
        <w:t xml:space="preserve"> against the research approaches as “every researcher has his/her own view of what constitutes truth and knowledge. These views guide our thinking, our beliefs, and our assumptions about society and ourselves, and they frame how we view the world around us, which is what social scientists call a paradigm (Schwandt 2001, cited in Chilisa and Kawulich 2012)”. As such, how they have chosen to undertake their research is also part of who they are as practitioners. </w:t>
      </w:r>
    </w:p>
    <w:p w14:paraId="3FECBE0A" w14:textId="77777777" w:rsidR="006065C5" w:rsidRDefault="006065C5"/>
    <w:tbl>
      <w:tblPr>
        <w:tblStyle w:val="a"/>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3"/>
        <w:gridCol w:w="4513"/>
      </w:tblGrid>
      <w:tr w:rsidR="006065C5" w14:paraId="49BDB4F9" w14:textId="77777777">
        <w:trPr>
          <w:trHeight w:val="420"/>
        </w:trPr>
        <w:tc>
          <w:tcPr>
            <w:tcW w:w="9026" w:type="dxa"/>
            <w:gridSpan w:val="2"/>
            <w:shd w:val="clear" w:color="auto" w:fill="auto"/>
            <w:tcMar>
              <w:top w:w="100" w:type="dxa"/>
              <w:left w:w="100" w:type="dxa"/>
              <w:bottom w:w="100" w:type="dxa"/>
              <w:right w:w="100" w:type="dxa"/>
            </w:tcMar>
          </w:tcPr>
          <w:p w14:paraId="78435EB8" w14:textId="77777777" w:rsidR="006065C5" w:rsidRDefault="00000000">
            <w:pPr>
              <w:widowControl w:val="0"/>
              <w:spacing w:line="240" w:lineRule="auto"/>
              <w:jc w:val="center"/>
              <w:rPr>
                <w:b/>
              </w:rPr>
            </w:pPr>
            <w:r>
              <w:rPr>
                <w:b/>
              </w:rPr>
              <w:t>Weltanschauung (Worldview)</w:t>
            </w:r>
          </w:p>
          <w:p w14:paraId="4B95B7EC" w14:textId="77777777" w:rsidR="006065C5" w:rsidRDefault="00000000">
            <w:pPr>
              <w:widowControl w:val="0"/>
              <w:spacing w:line="240" w:lineRule="auto"/>
              <w:jc w:val="center"/>
            </w:pPr>
            <w:r>
              <w:t>Takes a ‘real-world’ approach to the application of system models and to the design of interventions. Appreciative of constraints affecting the situation of interest. IfAaTE (2023)</w:t>
            </w:r>
          </w:p>
        </w:tc>
      </w:tr>
      <w:tr w:rsidR="006065C5" w14:paraId="30D0982D" w14:textId="77777777">
        <w:tc>
          <w:tcPr>
            <w:tcW w:w="4513" w:type="dxa"/>
            <w:shd w:val="clear" w:color="auto" w:fill="auto"/>
            <w:tcMar>
              <w:top w:w="100" w:type="dxa"/>
              <w:left w:w="100" w:type="dxa"/>
              <w:bottom w:w="100" w:type="dxa"/>
              <w:right w:w="100" w:type="dxa"/>
            </w:tcMar>
          </w:tcPr>
          <w:p w14:paraId="0DD47EF0" w14:textId="77777777" w:rsidR="006065C5" w:rsidRDefault="00000000">
            <w:pPr>
              <w:widowControl w:val="0"/>
              <w:spacing w:line="240" w:lineRule="auto"/>
              <w:jc w:val="center"/>
              <w:rPr>
                <w:b/>
              </w:rPr>
            </w:pPr>
            <w:r>
              <w:rPr>
                <w:b/>
              </w:rPr>
              <w:t xml:space="preserve">You </w:t>
            </w:r>
          </w:p>
          <w:p w14:paraId="2C1685CB" w14:textId="77777777" w:rsidR="006065C5" w:rsidRDefault="00000000">
            <w:pPr>
              <w:widowControl w:val="0"/>
              <w:spacing w:line="240" w:lineRule="auto"/>
              <w:jc w:val="center"/>
            </w:pPr>
            <w:r>
              <w:rPr>
                <w:i/>
              </w:rPr>
              <w:t>Who are they as systems thinking practitioners?</w:t>
            </w:r>
          </w:p>
        </w:tc>
        <w:tc>
          <w:tcPr>
            <w:tcW w:w="4513" w:type="dxa"/>
            <w:shd w:val="clear" w:color="auto" w:fill="auto"/>
            <w:tcMar>
              <w:top w:w="100" w:type="dxa"/>
              <w:left w:w="100" w:type="dxa"/>
              <w:bottom w:w="100" w:type="dxa"/>
              <w:right w:w="100" w:type="dxa"/>
            </w:tcMar>
          </w:tcPr>
          <w:p w14:paraId="771796F5" w14:textId="77777777" w:rsidR="006065C5" w:rsidRDefault="00000000">
            <w:pPr>
              <w:widowControl w:val="0"/>
              <w:pBdr>
                <w:top w:val="nil"/>
                <w:left w:val="nil"/>
                <w:bottom w:val="nil"/>
                <w:right w:val="nil"/>
                <w:between w:val="nil"/>
              </w:pBdr>
              <w:spacing w:line="240" w:lineRule="auto"/>
              <w:jc w:val="center"/>
              <w:rPr>
                <w:b/>
              </w:rPr>
            </w:pPr>
            <w:r>
              <w:rPr>
                <w:b/>
              </w:rPr>
              <w:t>Ontology</w:t>
            </w:r>
          </w:p>
          <w:p w14:paraId="5F072984" w14:textId="77777777" w:rsidR="006065C5" w:rsidRDefault="00000000">
            <w:pPr>
              <w:widowControl w:val="0"/>
              <w:pBdr>
                <w:top w:val="nil"/>
                <w:left w:val="nil"/>
                <w:bottom w:val="nil"/>
                <w:right w:val="nil"/>
                <w:between w:val="nil"/>
              </w:pBdr>
              <w:spacing w:line="240" w:lineRule="auto"/>
              <w:jc w:val="center"/>
              <w:rPr>
                <w:i/>
              </w:rPr>
            </w:pPr>
            <w:r>
              <w:rPr>
                <w:i/>
              </w:rPr>
              <w:t>How do they see reality?</w:t>
            </w:r>
          </w:p>
        </w:tc>
      </w:tr>
      <w:tr w:rsidR="006065C5" w14:paraId="770C753B" w14:textId="77777777">
        <w:tc>
          <w:tcPr>
            <w:tcW w:w="4513" w:type="dxa"/>
            <w:shd w:val="clear" w:color="auto" w:fill="auto"/>
            <w:tcMar>
              <w:top w:w="100" w:type="dxa"/>
              <w:left w:w="100" w:type="dxa"/>
              <w:bottom w:w="100" w:type="dxa"/>
              <w:right w:w="100" w:type="dxa"/>
            </w:tcMar>
          </w:tcPr>
          <w:p w14:paraId="4D6ACD6A" w14:textId="77777777" w:rsidR="006065C5" w:rsidRDefault="00000000">
            <w:pPr>
              <w:widowControl w:val="0"/>
              <w:spacing w:line="240" w:lineRule="auto"/>
              <w:jc w:val="center"/>
              <w:rPr>
                <w:b/>
              </w:rPr>
            </w:pPr>
            <w:r>
              <w:rPr>
                <w:b/>
              </w:rPr>
              <w:t xml:space="preserve">Theory </w:t>
            </w:r>
          </w:p>
          <w:p w14:paraId="155737E6" w14:textId="77777777" w:rsidR="006065C5" w:rsidRDefault="00000000">
            <w:pPr>
              <w:widowControl w:val="0"/>
              <w:spacing w:line="240" w:lineRule="auto"/>
              <w:jc w:val="center"/>
              <w:rPr>
                <w:i/>
              </w:rPr>
            </w:pPr>
            <w:r>
              <w:rPr>
                <w:i/>
              </w:rPr>
              <w:t>What do they need to know as a Systems Thinking Practitioner?</w:t>
            </w:r>
          </w:p>
        </w:tc>
        <w:tc>
          <w:tcPr>
            <w:tcW w:w="4513" w:type="dxa"/>
            <w:shd w:val="clear" w:color="auto" w:fill="auto"/>
            <w:tcMar>
              <w:top w:w="100" w:type="dxa"/>
              <w:left w:w="100" w:type="dxa"/>
              <w:bottom w:w="100" w:type="dxa"/>
              <w:right w:w="100" w:type="dxa"/>
            </w:tcMar>
          </w:tcPr>
          <w:p w14:paraId="4E08249B" w14:textId="77777777" w:rsidR="006065C5" w:rsidRDefault="00000000">
            <w:pPr>
              <w:widowControl w:val="0"/>
              <w:pBdr>
                <w:top w:val="nil"/>
                <w:left w:val="nil"/>
                <w:bottom w:val="nil"/>
                <w:right w:val="nil"/>
                <w:between w:val="nil"/>
              </w:pBdr>
              <w:spacing w:line="240" w:lineRule="auto"/>
              <w:jc w:val="center"/>
              <w:rPr>
                <w:b/>
              </w:rPr>
            </w:pPr>
            <w:r>
              <w:rPr>
                <w:b/>
              </w:rPr>
              <w:t xml:space="preserve">Epistemology </w:t>
            </w:r>
          </w:p>
          <w:p w14:paraId="29713509" w14:textId="77777777" w:rsidR="006065C5" w:rsidRDefault="00000000">
            <w:pPr>
              <w:widowControl w:val="0"/>
              <w:pBdr>
                <w:top w:val="nil"/>
                <w:left w:val="nil"/>
                <w:bottom w:val="nil"/>
                <w:right w:val="nil"/>
                <w:between w:val="nil"/>
              </w:pBdr>
              <w:spacing w:line="240" w:lineRule="auto"/>
              <w:jc w:val="center"/>
              <w:rPr>
                <w:i/>
              </w:rPr>
            </w:pPr>
            <w:r>
              <w:rPr>
                <w:i/>
              </w:rPr>
              <w:t>How do they know what they know?</w:t>
            </w:r>
          </w:p>
        </w:tc>
      </w:tr>
      <w:tr w:rsidR="006065C5" w14:paraId="2358974C" w14:textId="77777777">
        <w:trPr>
          <w:trHeight w:val="420"/>
        </w:trPr>
        <w:tc>
          <w:tcPr>
            <w:tcW w:w="9026" w:type="dxa"/>
            <w:gridSpan w:val="2"/>
            <w:shd w:val="clear" w:color="auto" w:fill="auto"/>
            <w:tcMar>
              <w:top w:w="100" w:type="dxa"/>
              <w:left w:w="100" w:type="dxa"/>
              <w:bottom w:w="100" w:type="dxa"/>
              <w:right w:w="100" w:type="dxa"/>
            </w:tcMar>
          </w:tcPr>
          <w:p w14:paraId="33FA45E8" w14:textId="77777777" w:rsidR="006065C5" w:rsidRDefault="00000000">
            <w:pPr>
              <w:widowControl w:val="0"/>
              <w:spacing w:line="240" w:lineRule="auto"/>
              <w:jc w:val="center"/>
            </w:pPr>
            <w:r>
              <w:t>“Understands provenance of Systems Thinking methodologies and approaches in the context of ‘schools’ of systems thinking and own ontology and epistemology.” IfAaTE (2023)</w:t>
            </w:r>
          </w:p>
        </w:tc>
      </w:tr>
      <w:tr w:rsidR="006065C5" w14:paraId="2E1BBC75" w14:textId="77777777">
        <w:tc>
          <w:tcPr>
            <w:tcW w:w="4513" w:type="dxa"/>
            <w:shd w:val="clear" w:color="auto" w:fill="auto"/>
            <w:tcMar>
              <w:top w:w="100" w:type="dxa"/>
              <w:left w:w="100" w:type="dxa"/>
              <w:bottom w:w="100" w:type="dxa"/>
              <w:right w:w="100" w:type="dxa"/>
            </w:tcMar>
          </w:tcPr>
          <w:p w14:paraId="18B0F310" w14:textId="77777777" w:rsidR="006065C5" w:rsidRDefault="00000000">
            <w:pPr>
              <w:widowControl w:val="0"/>
              <w:spacing w:line="240" w:lineRule="auto"/>
              <w:jc w:val="center"/>
              <w:rPr>
                <w:b/>
              </w:rPr>
            </w:pPr>
            <w:r>
              <w:rPr>
                <w:b/>
              </w:rPr>
              <w:t xml:space="preserve">Practice </w:t>
            </w:r>
          </w:p>
          <w:p w14:paraId="576965FB" w14:textId="77777777" w:rsidR="006065C5" w:rsidRDefault="00000000">
            <w:pPr>
              <w:widowControl w:val="0"/>
              <w:spacing w:line="240" w:lineRule="auto"/>
              <w:jc w:val="center"/>
              <w:rPr>
                <w:i/>
              </w:rPr>
            </w:pPr>
            <w:r>
              <w:rPr>
                <w:i/>
              </w:rPr>
              <w:t>What do they need to be able to do as a Systems Thinking Practitioner?</w:t>
            </w:r>
          </w:p>
        </w:tc>
        <w:tc>
          <w:tcPr>
            <w:tcW w:w="4513" w:type="dxa"/>
            <w:shd w:val="clear" w:color="auto" w:fill="auto"/>
            <w:tcMar>
              <w:top w:w="100" w:type="dxa"/>
              <w:left w:w="100" w:type="dxa"/>
              <w:bottom w:w="100" w:type="dxa"/>
              <w:right w:w="100" w:type="dxa"/>
            </w:tcMar>
          </w:tcPr>
          <w:p w14:paraId="017A3EBB" w14:textId="77777777" w:rsidR="006065C5" w:rsidRDefault="00000000">
            <w:pPr>
              <w:widowControl w:val="0"/>
              <w:pBdr>
                <w:top w:val="nil"/>
                <w:left w:val="nil"/>
                <w:bottom w:val="nil"/>
                <w:right w:val="nil"/>
                <w:between w:val="nil"/>
              </w:pBdr>
              <w:spacing w:line="240" w:lineRule="auto"/>
              <w:jc w:val="center"/>
              <w:rPr>
                <w:b/>
              </w:rPr>
            </w:pPr>
            <w:r>
              <w:rPr>
                <w:b/>
              </w:rPr>
              <w:t>Methodology</w:t>
            </w:r>
          </w:p>
          <w:p w14:paraId="49C538AA" w14:textId="77777777" w:rsidR="006065C5" w:rsidRDefault="00000000">
            <w:pPr>
              <w:widowControl w:val="0"/>
              <w:pBdr>
                <w:top w:val="nil"/>
                <w:left w:val="nil"/>
                <w:bottom w:val="nil"/>
                <w:right w:val="nil"/>
                <w:between w:val="nil"/>
              </w:pBdr>
              <w:spacing w:line="240" w:lineRule="auto"/>
              <w:jc w:val="center"/>
              <w:rPr>
                <w:i/>
              </w:rPr>
            </w:pPr>
            <w:r>
              <w:rPr>
                <w:i/>
              </w:rPr>
              <w:t>How do they proceed to acquire knowledge?</w:t>
            </w:r>
          </w:p>
        </w:tc>
      </w:tr>
      <w:tr w:rsidR="006065C5" w14:paraId="69001A9D" w14:textId="77777777">
        <w:trPr>
          <w:trHeight w:val="420"/>
        </w:trPr>
        <w:tc>
          <w:tcPr>
            <w:tcW w:w="9026" w:type="dxa"/>
            <w:gridSpan w:val="2"/>
            <w:shd w:val="clear" w:color="auto" w:fill="auto"/>
            <w:tcMar>
              <w:top w:w="100" w:type="dxa"/>
              <w:left w:w="100" w:type="dxa"/>
              <w:bottom w:w="100" w:type="dxa"/>
              <w:right w:w="100" w:type="dxa"/>
            </w:tcMar>
          </w:tcPr>
          <w:p w14:paraId="7919AC9E" w14:textId="2B657899" w:rsidR="006065C5" w:rsidRDefault="00000000">
            <w:pPr>
              <w:widowControl w:val="0"/>
              <w:spacing w:line="240" w:lineRule="auto"/>
              <w:jc w:val="center"/>
            </w:pPr>
            <w:r>
              <w:lastRenderedPageBreak/>
              <w:t xml:space="preserve"> “Uses facilitative processes empathetically to engage stakeholders in change processes and decision-making. Aware of the effect of own and others' biases and of the mirroring effect of clients’ problems.</w:t>
            </w:r>
            <w:r w:rsidR="00A02D5C">
              <w:t xml:space="preserve"> </w:t>
            </w:r>
            <w:proofErr w:type="gramStart"/>
            <w:r>
              <w:t>Seeks</w:t>
            </w:r>
            <w:proofErr w:type="gramEnd"/>
            <w:r>
              <w:t xml:space="preserve"> to balance the needs of different stakeholders irrespective of personal bias. Seeks out and engages with marginalised </w:t>
            </w:r>
            <w:proofErr w:type="gramStart"/>
            <w:r>
              <w:t>viewpoints;</w:t>
            </w:r>
            <w:proofErr w:type="gramEnd"/>
            <w:r>
              <w:t xml:space="preserve"> counters the dynamics of marginalization. Is participative and inclusive of others; sensitive to relational dynamics” IfAaTE (2023)</w:t>
            </w:r>
          </w:p>
        </w:tc>
      </w:tr>
      <w:tr w:rsidR="006065C5" w14:paraId="087822A9" w14:textId="77777777">
        <w:tc>
          <w:tcPr>
            <w:tcW w:w="4513" w:type="dxa"/>
            <w:shd w:val="clear" w:color="auto" w:fill="auto"/>
            <w:tcMar>
              <w:top w:w="100" w:type="dxa"/>
              <w:left w:w="100" w:type="dxa"/>
              <w:bottom w:w="100" w:type="dxa"/>
              <w:right w:w="100" w:type="dxa"/>
            </w:tcMar>
          </w:tcPr>
          <w:p w14:paraId="4409E48F" w14:textId="77777777" w:rsidR="006065C5" w:rsidRDefault="00000000">
            <w:pPr>
              <w:widowControl w:val="0"/>
              <w:spacing w:line="240" w:lineRule="auto"/>
              <w:jc w:val="center"/>
              <w:rPr>
                <w:b/>
              </w:rPr>
            </w:pPr>
            <w:r>
              <w:rPr>
                <w:b/>
              </w:rPr>
              <w:t xml:space="preserve">Context </w:t>
            </w:r>
          </w:p>
          <w:p w14:paraId="4A920E87" w14:textId="77777777" w:rsidR="006065C5" w:rsidRDefault="00000000">
            <w:pPr>
              <w:widowControl w:val="0"/>
              <w:spacing w:line="240" w:lineRule="auto"/>
              <w:jc w:val="center"/>
            </w:pPr>
            <w:r>
              <w:rPr>
                <w:i/>
              </w:rPr>
              <w:t>What does their reality and that of the problem look like?</w:t>
            </w:r>
          </w:p>
        </w:tc>
        <w:tc>
          <w:tcPr>
            <w:tcW w:w="4513" w:type="dxa"/>
            <w:shd w:val="clear" w:color="auto" w:fill="auto"/>
            <w:tcMar>
              <w:top w:w="100" w:type="dxa"/>
              <w:left w:w="100" w:type="dxa"/>
              <w:bottom w:w="100" w:type="dxa"/>
              <w:right w:w="100" w:type="dxa"/>
            </w:tcMar>
          </w:tcPr>
          <w:p w14:paraId="60441CF2" w14:textId="77777777" w:rsidR="006065C5" w:rsidRDefault="00000000">
            <w:pPr>
              <w:widowControl w:val="0"/>
              <w:spacing w:line="240" w:lineRule="auto"/>
              <w:jc w:val="center"/>
              <w:rPr>
                <w:b/>
              </w:rPr>
            </w:pPr>
            <w:r>
              <w:rPr>
                <w:b/>
              </w:rPr>
              <w:t>Axiology and Positionality</w:t>
            </w:r>
          </w:p>
          <w:p w14:paraId="301749D4" w14:textId="77777777" w:rsidR="006065C5" w:rsidRDefault="00000000">
            <w:pPr>
              <w:widowControl w:val="0"/>
              <w:spacing w:line="240" w:lineRule="auto"/>
              <w:jc w:val="center"/>
              <w:rPr>
                <w:i/>
              </w:rPr>
            </w:pPr>
            <w:r>
              <w:rPr>
                <w:i/>
              </w:rPr>
              <w:t xml:space="preserve">How do they know </w:t>
            </w:r>
            <w:proofErr w:type="gramStart"/>
            <w:r>
              <w:rPr>
                <w:i/>
              </w:rPr>
              <w:t>it's</w:t>
            </w:r>
            <w:proofErr w:type="gramEnd"/>
            <w:r>
              <w:rPr>
                <w:i/>
              </w:rPr>
              <w:t xml:space="preserve"> true based on their situation? </w:t>
            </w:r>
          </w:p>
        </w:tc>
      </w:tr>
      <w:tr w:rsidR="006065C5" w14:paraId="519FC492" w14:textId="77777777">
        <w:trPr>
          <w:trHeight w:val="420"/>
        </w:trPr>
        <w:tc>
          <w:tcPr>
            <w:tcW w:w="9026" w:type="dxa"/>
            <w:gridSpan w:val="2"/>
            <w:shd w:val="clear" w:color="auto" w:fill="auto"/>
            <w:tcMar>
              <w:top w:w="100" w:type="dxa"/>
              <w:left w:w="100" w:type="dxa"/>
              <w:bottom w:w="100" w:type="dxa"/>
              <w:right w:w="100" w:type="dxa"/>
            </w:tcMar>
          </w:tcPr>
          <w:p w14:paraId="03D65C4E" w14:textId="77777777" w:rsidR="006065C5" w:rsidRDefault="00000000">
            <w:pPr>
              <w:widowControl w:val="0"/>
              <w:spacing w:line="240" w:lineRule="auto"/>
              <w:jc w:val="center"/>
            </w:pPr>
            <w:r>
              <w:t xml:space="preserve">“Engages in structured reflection, monitoring and regulating own thought processes and understanding. Regularly assesses ethical issues in interventions. Applies techniques for structured personal reflexive practice, to monitor and develop knowledge, </w:t>
            </w:r>
            <w:proofErr w:type="gramStart"/>
            <w:r>
              <w:t>skills</w:t>
            </w:r>
            <w:proofErr w:type="gramEnd"/>
            <w:r>
              <w:t xml:space="preserve"> and self-awareness. Presents systems models, insights and intervention contributions in a way that is understandable in the real world.” IfAaTE (2023)</w:t>
            </w:r>
          </w:p>
        </w:tc>
      </w:tr>
    </w:tbl>
    <w:p w14:paraId="794503A1" w14:textId="77777777" w:rsidR="006065C5" w:rsidRDefault="006065C5"/>
    <w:p w14:paraId="67A93B96" w14:textId="49097981" w:rsidR="006065C5" w:rsidRDefault="00000000">
      <w:r>
        <w:t xml:space="preserve">Each paper </w:t>
      </w:r>
      <w:proofErr w:type="gramStart"/>
      <w:r>
        <w:t xml:space="preserve">was </w:t>
      </w:r>
      <w:r w:rsidR="00A02D5C">
        <w:t>analysed</w:t>
      </w:r>
      <w:proofErr w:type="gramEnd"/>
      <w:r>
        <w:t xml:space="preserve"> using the framework to explore the extent to which they display the attributes of a STP to examine the relationship between being an AP and a VP.</w:t>
      </w:r>
    </w:p>
    <w:p w14:paraId="625FCC52" w14:textId="77777777" w:rsidR="006065C5" w:rsidRDefault="006065C5"/>
    <w:p w14:paraId="102E5609" w14:textId="77777777" w:rsidR="006065C5" w:rsidRDefault="00000000">
      <w:pPr>
        <w:rPr>
          <w:b/>
        </w:rPr>
      </w:pPr>
      <w:r>
        <w:rPr>
          <w:b/>
        </w:rPr>
        <w:t>Deconstructing Practice and Research</w:t>
      </w:r>
    </w:p>
    <w:p w14:paraId="5CA74E7E" w14:textId="270596CE" w:rsidR="006065C5" w:rsidRDefault="00000000">
      <w:r>
        <w:t>All research start</w:t>
      </w:r>
      <w:r w:rsidR="00A02D5C">
        <w:t>s</w:t>
      </w:r>
      <w:r>
        <w:t xml:space="preserve"> from the AP’s Weltanschauung or worldview, i.e., their way of knowing, being, seeing, </w:t>
      </w:r>
      <w:proofErr w:type="gramStart"/>
      <w:r>
        <w:t>thinking</w:t>
      </w:r>
      <w:proofErr w:type="gramEnd"/>
      <w:r>
        <w:t xml:space="preserve"> and doing, based on previous experiences that shape their beliefs, norms, biases, values and emotions. This worldview conditions the research paradigm and the philosophical framework the AP will use to explore their topic. The relationship between worldview and the paradigm is crucial to examining the Situation of Interest (SoI). Knowing the worldview of the research is the first key to unlocking who the APs are since it tells us the position from which they characteristically see the world because of their previous experience. As research is supposed to be “neutral</w:t>
      </w:r>
      <w:proofErr w:type="gramStart"/>
      <w:r w:rsidR="00A02D5C">
        <w:t>”</w:t>
      </w:r>
      <w:r w:rsidR="00E80E8A">
        <w:t>,</w:t>
      </w:r>
      <w:proofErr w:type="gramEnd"/>
      <w:r>
        <w:t xml:space="preserve"> the idea of the AP having a worldview is often left unmentioned. However, given that their worldviews relate to how they perceive reality, they will shape the research lens, SoI, and how they make decisions, problem-solve, and respond to the research findings. </w:t>
      </w:r>
    </w:p>
    <w:p w14:paraId="197B0C98" w14:textId="77777777" w:rsidR="006065C5" w:rsidRDefault="006065C5"/>
    <w:p w14:paraId="209EEE60" w14:textId="3E62B98B" w:rsidR="006065C5" w:rsidRDefault="00000000">
      <w:r>
        <w:t xml:space="preserve">Therefore, identifying the role of the AP’s worldview is vital since it informs the basis of the research question, which </w:t>
      </w:r>
      <w:proofErr w:type="gramStart"/>
      <w:r>
        <w:t>is used</w:t>
      </w:r>
      <w:proofErr w:type="gramEnd"/>
      <w:r>
        <w:t xml:space="preserve"> to inquire about the nature of the systems and informs their STiP. Thus, the inquiry question the AP will use to examine systems using a ST approach will reveal the ontology of the research. For example, Emes et al. (2017) used SSM to ask, “Why do patients with complex needs often spend longer on the wards than is necessary?” and Akmal et al. (2021) explored “Why is Quality Improvement so Challenging?” using the VSM</w:t>
      </w:r>
      <w:r w:rsidR="003116AF">
        <w:t>.</w:t>
      </w:r>
    </w:p>
    <w:p w14:paraId="0C2B9379" w14:textId="77777777" w:rsidR="006065C5" w:rsidRDefault="006065C5"/>
    <w:p w14:paraId="7EC53E14" w14:textId="5981C016" w:rsidR="006065C5" w:rsidRDefault="00000000">
      <w:r>
        <w:t xml:space="preserve">Although the ontology of the research is a key tenet to the construction of the question </w:t>
      </w:r>
      <w:proofErr w:type="gramStart"/>
      <w:r>
        <w:t>being asked</w:t>
      </w:r>
      <w:proofErr w:type="gramEnd"/>
      <w:r>
        <w:t xml:space="preserve"> by the AP, none of the papers has deeply thought about the relationship between the research ontology and the AP’s worldview and how this, in turn, affects the epistemology. However, an apprentice must " Understand the provenance of Systems Thinking methodologies and approaches in the context of ‘schools’ of systems thinking and own ontology and epistemology” (IfAaTE, 2023). All the papers, except one, fail to consider the ontology and epistemology of the research. However, by doing this, the research falls into a trap as they fail to see that they have two ontological positions. The first position comes from </w:t>
      </w:r>
      <w:r>
        <w:lastRenderedPageBreak/>
        <w:t xml:space="preserve">the field of research. Although the papers are from various social and health fields, the construction of the questions posed would place them in a positivist paradigm as they explore human behaviour, which means they see the systems they are </w:t>
      </w:r>
      <w:r w:rsidR="003116AF">
        <w:t>investigating</w:t>
      </w:r>
      <w:r>
        <w:t xml:space="preserve"> as being “real” and measurable; therefore, the ontology is “realism</w:t>
      </w:r>
      <w:proofErr w:type="gramStart"/>
      <w:r>
        <w:t>”.</w:t>
      </w:r>
      <w:proofErr w:type="gramEnd"/>
      <w:r>
        <w:t xml:space="preserve"> </w:t>
      </w:r>
    </w:p>
    <w:p w14:paraId="6FEB7D26" w14:textId="77777777" w:rsidR="006065C5" w:rsidRDefault="006065C5"/>
    <w:p w14:paraId="382D0C9F" w14:textId="76E50E9B" w:rsidR="006065C5" w:rsidRDefault="00000000">
      <w:r>
        <w:t xml:space="preserve">By seeing systems through the ontology of realism, Reynolds (2011) argues that it “promotes systems practice as an essentially regulatory function”. This is because only hard systems </w:t>
      </w:r>
      <w:proofErr w:type="gramStart"/>
      <w:r>
        <w:t>approaches</w:t>
      </w:r>
      <w:proofErr w:type="gramEnd"/>
      <w:r>
        <w:t xml:space="preserve">, i.e. those that see problems as having a singular solution and are well formed, use realism as an ontology. This brings us to where the second ontology comes from- the ST approach. All the papers use soft systems approaches, which see problems as having </w:t>
      </w:r>
      <w:proofErr w:type="gramStart"/>
      <w:r>
        <w:t>several</w:t>
      </w:r>
      <w:proofErr w:type="gramEnd"/>
      <w:r>
        <w:t xml:space="preserve"> ill-defined solutions, so their ontology, according to Reynolds (2011), is “nominalism”. This is where systems represent the meaning of ideas or things visually, </w:t>
      </w:r>
      <w:proofErr w:type="gramStart"/>
      <w:r>
        <w:t>orally</w:t>
      </w:r>
      <w:proofErr w:type="gramEnd"/>
      <w:r>
        <w:t xml:space="preserve"> or aurally. Oligia (1988, cited in Reynolds, 2011) states that “practitioners neglect the influence of social structural factors on the formation, maintenance and articulation of worldviews when they perpetuate ontological realism at the theoretical level”. Reynolds (2011) argues that this could affect epistemology since realism as an ontological stance means problems will </w:t>
      </w:r>
      <w:proofErr w:type="gramStart"/>
      <w:r>
        <w:t>be seen</w:t>
      </w:r>
      <w:proofErr w:type="gramEnd"/>
      <w:r>
        <w:t xml:space="preserve"> as relativistic through ST approaches, i.e. all beliefs, opinions, and worldviews are equally true and good; thus, there is no better system than any other. However, despite the questions being positivistic and ontology realism, it can </w:t>
      </w:r>
      <w:proofErr w:type="gramStart"/>
      <w:r>
        <w:t>be deduced</w:t>
      </w:r>
      <w:proofErr w:type="gramEnd"/>
      <w:r>
        <w:t xml:space="preserve"> that the epistemology is interpretive or constructive interpretive. This is because depending on which soft ST method is used, they are either one or the other</w:t>
      </w:r>
      <w:proofErr w:type="gramStart"/>
      <w:r>
        <w:t xml:space="preserve">.  </w:t>
      </w:r>
      <w:proofErr w:type="gramEnd"/>
      <w:r>
        <w:t>Akmal et al. (2021) and Freeman et al. (2014) explicitly state that their studies use an interpretive approach, whereas Tavella (2023), Hopkin et al. (2016)</w:t>
      </w:r>
      <w:r w:rsidR="003116AF">
        <w:t>,</w:t>
      </w:r>
      <w:r>
        <w:t xml:space="preserve"> Emes et al. (2017) only </w:t>
      </w:r>
      <w:r w:rsidR="00A02D5C">
        <w:t>allude</w:t>
      </w:r>
      <w:r>
        <w:t xml:space="preserve"> to it. A constructivist/interpretive epistemology fits because it, too, sees reality as socially constructed and understood through live experiences, </w:t>
      </w:r>
      <w:proofErr w:type="gramStart"/>
      <w:r>
        <w:t>many</w:t>
      </w:r>
      <w:proofErr w:type="gramEnd"/>
      <w:r>
        <w:t xml:space="preserve"> of which are shared, to which we assign meaning. This mitigates Reynolds’ argument as the findings will be interpreted through sense and </w:t>
      </w:r>
      <w:proofErr w:type="gramStart"/>
      <w:r>
        <w:t>meaning-making</w:t>
      </w:r>
      <w:proofErr w:type="gramEnd"/>
      <w:r>
        <w:t>, i.e., how our worldviews are connected to our lived experiences and perception of reality.</w:t>
      </w:r>
    </w:p>
    <w:p w14:paraId="334A064E" w14:textId="77777777" w:rsidR="006065C5" w:rsidRDefault="006065C5"/>
    <w:p w14:paraId="39E0B04F" w14:textId="3192E518" w:rsidR="006065C5" w:rsidRDefault="00000000">
      <w:r>
        <w:t>Scharmer (2014) said, “</w:t>
      </w:r>
      <w:proofErr w:type="gramStart"/>
      <w:r>
        <w:t>he was told by Bill O'Brien</w:t>
      </w:r>
      <w:proofErr w:type="gramEnd"/>
      <w:r>
        <w:t>, ‘The success of an intervention depends on the interior condition of the intervenor." Therefore, the success of any ST intervention</w:t>
      </w:r>
      <w:r w:rsidR="003116AF">
        <w:t>,</w:t>
      </w:r>
      <w:r>
        <w:t xml:space="preserve"> i.e. the improvements </w:t>
      </w:r>
      <w:proofErr w:type="gramStart"/>
      <w:r>
        <w:t>being sought</w:t>
      </w:r>
      <w:proofErr w:type="gramEnd"/>
      <w:r>
        <w:t xml:space="preserve">, is based upon the AP’s worldview as the ‘interior condition’ refers to </w:t>
      </w:r>
      <w:r w:rsidR="003116AF">
        <w:t>how</w:t>
      </w:r>
      <w:r>
        <w:t xml:space="preserve"> they see the world and how change will occur. Thus, the AP's worldview affects ontology, epistemology, and how ST approaches </w:t>
      </w:r>
      <w:proofErr w:type="gramStart"/>
      <w:r>
        <w:t>are facilitated</w:t>
      </w:r>
      <w:proofErr w:type="gramEnd"/>
      <w:r>
        <w:t>. Apprentices are asked to be “aware of their own bias</w:t>
      </w:r>
      <w:proofErr w:type="gramStart"/>
      <w:r>
        <w:t>”,</w:t>
      </w:r>
      <w:proofErr w:type="gramEnd"/>
      <w:r>
        <w:t xml:space="preserve"> which means reflecting upon and overcoming the imbalance of power in facilitation since, as </w:t>
      </w:r>
      <w:r w:rsidR="003116AF">
        <w:t>STPs</w:t>
      </w:r>
      <w:r>
        <w:t xml:space="preserve">, they are the conduit for creating the conditions for conversation and change. However, there is no recognition of the AP biases or power in the papers, even in the few that mention ethics. This omission goes against one of the </w:t>
      </w:r>
      <w:r w:rsidR="003116AF">
        <w:t>vital</w:t>
      </w:r>
      <w:r>
        <w:t xml:space="preserve"> core concepts of ST- boundaries. We </w:t>
      </w:r>
      <w:proofErr w:type="gramStart"/>
      <w:r>
        <w:t>are conditioned</w:t>
      </w:r>
      <w:proofErr w:type="gramEnd"/>
      <w:r>
        <w:t xml:space="preserve"> by how we place boundaries around our thinking, seeing, doing and being. Boundaries are contextual and unique, as we all perceive reality differently. All research, therefore, is bounded by our realities, which means the epistemology, in this case, interpretivism, </w:t>
      </w:r>
      <w:proofErr w:type="gramStart"/>
      <w:r>
        <w:t>is heavily influenced</w:t>
      </w:r>
      <w:proofErr w:type="gramEnd"/>
      <w:r>
        <w:t xml:space="preserve"> by our perception; thus, our worldview is not divorced from how we interpret it. </w:t>
      </w:r>
    </w:p>
    <w:p w14:paraId="7BD89598" w14:textId="77777777" w:rsidR="006065C5" w:rsidRDefault="006065C5"/>
    <w:p w14:paraId="3EEFF2B0" w14:textId="5B1D6203" w:rsidR="006065C5" w:rsidRDefault="00000000">
      <w:r>
        <w:t xml:space="preserve">Although the AP’s reality is overlooked, the papers give some indication of the context of their practice; for example, Emes et al. (2017) explain that they worked with a hospital in Surrey, </w:t>
      </w:r>
      <w:r w:rsidR="00A02D5C">
        <w:t>Macmillan</w:t>
      </w:r>
      <w:r>
        <w:t xml:space="preserve"> et al.’s work (2016)  was done “in partnership with government, nongovernment, industry, community, and academic stakeholders”, and Akmal et al. (2021) </w:t>
      </w:r>
      <w:r>
        <w:lastRenderedPageBreak/>
        <w:t xml:space="preserve">the study was part of New Zealand’s healthcare system. However, there is no reflection about this. The closest is Freeman et al. (2014), who says the “views expressed in this work are those of the authors and do not necessarily reflect those of Defra”. Some admit they faced challenges; for example, Emes et al. (2017) state that “not all of the interviewees were able to attend” and “no junior doctors responded to our request to be interviewed”, but overall, the STiP in all the papers is perfect and ran smoothly, which seems unlikely.  Also, </w:t>
      </w:r>
      <w:proofErr w:type="gramStart"/>
      <w:r>
        <w:t>some</w:t>
      </w:r>
      <w:proofErr w:type="gramEnd"/>
      <w:r>
        <w:t xml:space="preserve"> APs were embedded in their setting, such as Gadsby, Wistow and Billings (2022), where “the lead author here was a participant observer in the steering group which met fifteen times”. Yet, it is never clear how affected any APs are by the day-to-day realities of their context. What is clear from the language used, such as referring to the “steering group” as a separate entity, is that they see themselves as outsiders looking in, which implies they are ‘neutral</w:t>
      </w:r>
      <w:proofErr w:type="gramStart"/>
      <w:r>
        <w:t>’.</w:t>
      </w:r>
      <w:proofErr w:type="gramEnd"/>
      <w:r>
        <w:t xml:space="preserve"> </w:t>
      </w:r>
    </w:p>
    <w:p w14:paraId="163E1731" w14:textId="77777777" w:rsidR="006065C5" w:rsidRDefault="006065C5"/>
    <w:p w14:paraId="670C70B1" w14:textId="1DE8DC71" w:rsidR="006065C5" w:rsidRDefault="00000000">
      <w:r>
        <w:t>However, as mentioned, as AP</w:t>
      </w:r>
      <w:r w:rsidR="003116AF">
        <w:t>s</w:t>
      </w:r>
      <w:r>
        <w:t xml:space="preserve"> have a worldview they cannot shake off, it will affect every aspect of their practice, especially how they include and interpret the stakeholders' perspectives. Listening to stakeholders' perspectives is another </w:t>
      </w:r>
      <w:r w:rsidR="003116AF">
        <w:t>critical</w:t>
      </w:r>
      <w:r>
        <w:t xml:space="preserve"> concept of STP, as is identifying and including marginalised voices, which is also a </w:t>
      </w:r>
      <w:r w:rsidR="003116AF">
        <w:t>prominent</w:t>
      </w:r>
      <w:r>
        <w:t xml:space="preserve"> aspect of the STPA. When considering marginalisation, Reynolds (2011) argues that “systems practitioners have a responsibility to create space for, and help support the framing of, better systems, rather than perpetuating the myth that these are some God-given realities that we need to simply live with”. Yet, Gadsby, Wistow and Billings (2022) are the only ones who mention it concerning practice; however, what is said is very brief and focuses on the application of CSH rather than their practice, as it can “make transparent a fuller range of stakeholder interests and values, including those of older people”. This would indicate that few APs actively “</w:t>
      </w:r>
      <w:r w:rsidR="003116AF">
        <w:t>s</w:t>
      </w:r>
      <w:r>
        <w:t>eek out and engage with marginalised viewpoints” (IfAaTE, 2023).</w:t>
      </w:r>
    </w:p>
    <w:p w14:paraId="634C117D" w14:textId="77777777" w:rsidR="006065C5" w:rsidRDefault="006065C5"/>
    <w:p w14:paraId="7847C46B" w14:textId="55CF433F" w:rsidR="006065C5" w:rsidRDefault="00000000">
      <w:r>
        <w:t xml:space="preserve">Going back to the concept of boundaries, the last area of practice that is not fully reconciled in the research is the ethical tension between the context, especially the axiology and positionality of the AP, who is from a university, a separate organisation to the one they are working with and the stakeholders. They </w:t>
      </w:r>
      <w:proofErr w:type="gramStart"/>
      <w:r>
        <w:t>are far removed</w:t>
      </w:r>
      <w:proofErr w:type="gramEnd"/>
      <w:r>
        <w:t xml:space="preserve"> from each other, yet from the studies, there is little sense of this; for example, Wynn (2012) used “a selection of stakeholders within the local authority”, indicating that she is an outsider. However, how the relationships </w:t>
      </w:r>
      <w:proofErr w:type="gramStart"/>
      <w:r>
        <w:t>are described</w:t>
      </w:r>
      <w:proofErr w:type="gramEnd"/>
      <w:r>
        <w:t xml:space="preserve"> at other times makes the AP indistinguishable from the organisation, as if they are from the same system. For example, MacMillan et al. (2016) state, “the research team knew many </w:t>
      </w:r>
      <w:r w:rsidR="00001296">
        <w:t xml:space="preserve">of the </w:t>
      </w:r>
      <w:r>
        <w:t>stakeholders who fitted the sampling frame”</w:t>
      </w:r>
      <w:proofErr w:type="gramStart"/>
      <w:r>
        <w:t xml:space="preserve">.  </w:t>
      </w:r>
      <w:proofErr w:type="gramEnd"/>
      <w:r>
        <w:t>By contrast, apprentices must “</w:t>
      </w:r>
      <w:r w:rsidR="003116AF">
        <w:t>r</w:t>
      </w:r>
      <w:r>
        <w:t xml:space="preserve">egularly </w:t>
      </w:r>
      <w:r w:rsidR="003116AF">
        <w:t>assess</w:t>
      </w:r>
      <w:r>
        <w:t xml:space="preserve"> ethical issues in interventions” (IfAaTE, 2023) through reflection. STPs are asked to have an internal dialogue about their positionality and the boundaries this creates between their conceptual construct of reality (or worldview), that of the systems they are engaged in (including the stakeholders) and any judgements being made, especially as each part only ever gives a partial understanding of the situation. The aim is to triangulate the STP’s thoughts to explore the boundaries of these viewpoints to challenge and overcome ethical and power issues and use any ambiguities, </w:t>
      </w:r>
      <w:proofErr w:type="gramStart"/>
      <w:r>
        <w:t>uncertainty</w:t>
      </w:r>
      <w:proofErr w:type="gramEnd"/>
      <w:r>
        <w:t xml:space="preserve"> and disruption to create new learning. Gadsby, Wistow and Billings (2022) make this comment: “The mechanisms by which some knowledges and ethics maintain dominance while others remain suppressed are both dictated by and work to perpetuate existing power relationships, as is demonstrated by the medical definition underpinning Continuing Health Care”, yet all the rest fail to discuss the philosophical aspects of axiology and positionality and the clue as to why comes from Macmillan et al. (2014): “The research was exempt from requiring formal </w:t>
      </w:r>
      <w:r>
        <w:lastRenderedPageBreak/>
        <w:t xml:space="preserve">ethics approval”. Beyond mentioning regulatory codes of ethics, i.e., Wynn (2012), ‘The Planning Act’ or Freeman et al. (2014) ‘The Waste Framework Directive’, each study has overlooked ethical considerations. The AP’s worldview, ontology, epistemology, ethics, and positionality are relational to the research and the stakeholders because they transform how we see and learn about the problem to make change. Instead, the studies focus on ethics through codes of regulation that </w:t>
      </w:r>
      <w:proofErr w:type="gramStart"/>
      <w:r>
        <w:t>are recognised</w:t>
      </w:r>
      <w:proofErr w:type="gramEnd"/>
      <w:r>
        <w:t xml:space="preserve"> solely as constraints rather than the ethics that emerge from the evolution of learning from co-created STiP. </w:t>
      </w:r>
    </w:p>
    <w:p w14:paraId="74473F2B" w14:textId="77777777" w:rsidR="006065C5" w:rsidRDefault="006065C5"/>
    <w:p w14:paraId="6C4F5007" w14:textId="77777777" w:rsidR="006065C5" w:rsidRDefault="00000000">
      <w:r>
        <w:t xml:space="preserve">Lastly, evidence of ST as an embodied practice is non-existent in the papers; therefore, conceptualising what it means to STiP is impossible. There is no consideration of how the AP’s perception shaped their practice and how it influenced communication, </w:t>
      </w:r>
      <w:proofErr w:type="gramStart"/>
      <w:r>
        <w:t>responsiveness</w:t>
      </w:r>
      <w:proofErr w:type="gramEnd"/>
      <w:r>
        <w:t xml:space="preserve"> or expectations. </w:t>
      </w:r>
    </w:p>
    <w:p w14:paraId="39BDFCAD" w14:textId="77777777" w:rsidR="006065C5" w:rsidRDefault="006065C5"/>
    <w:p w14:paraId="4893547C" w14:textId="77777777" w:rsidR="006065C5" w:rsidRDefault="00000000">
      <w:pPr>
        <w:rPr>
          <w:b/>
        </w:rPr>
      </w:pPr>
      <w:r>
        <w:rPr>
          <w:b/>
        </w:rPr>
        <w:t>Interpreting the Deconstruction of Practice</w:t>
      </w:r>
    </w:p>
    <w:p w14:paraId="571CF881" w14:textId="1CFFDBBD" w:rsidR="006065C5" w:rsidRDefault="00000000">
      <w:r>
        <w:t xml:space="preserve">“An effective systems approach to managing real world complex situations embodies all three aspects of systems thinking in practice: understanding relationships, surfacing contrasting perspectives and exploring ethical and power relations.” (Reynolds, 2011). There is an apparent disconnect between the AP’s STiP and the teaching and practice required through the STPA. There is no </w:t>
      </w:r>
      <w:proofErr w:type="gramStart"/>
      <w:r>
        <w:t>strong sense</w:t>
      </w:r>
      <w:proofErr w:type="gramEnd"/>
      <w:r>
        <w:t xml:space="preserve"> of a standardised practice amongst APs. There are few common traits across the papers, meaning STP </w:t>
      </w:r>
      <w:proofErr w:type="gramStart"/>
      <w:r>
        <w:t>is never consistently applied</w:t>
      </w:r>
      <w:proofErr w:type="gramEnd"/>
      <w:r>
        <w:t xml:space="preserve">- even worldwide (two papers are not UK-based). This may have been different if well-known STPs </w:t>
      </w:r>
      <w:proofErr w:type="gramStart"/>
      <w:r>
        <w:t>were used</w:t>
      </w:r>
      <w:proofErr w:type="gramEnd"/>
      <w:r>
        <w:t xml:space="preserve">, but that does not mean STiP would be more standardised. What comes across strongly is that the ontological and epistemological perspectives are a product of the field of studies rather than from ST. These studies have focused, as they should, on using ST methods to interpret </w:t>
      </w:r>
      <w:r w:rsidR="003116AF">
        <w:t>or</w:t>
      </w:r>
      <w:r>
        <w:t xml:space="preserve"> extrapolate the appropriate qualitative and quantitative data to understand their SoI further. However, the different fields do not account for the variation in STP. This </w:t>
      </w:r>
      <w:r w:rsidR="00A02D5C">
        <w:t>is</w:t>
      </w:r>
      <w:r>
        <w:t xml:space="preserve"> due to the lack of a common shared practice, which creates a high</w:t>
      </w:r>
      <w:r w:rsidR="003116AF">
        <w:t xml:space="preserve"> </w:t>
      </w:r>
      <w:r>
        <w:t xml:space="preserve">differentiation in the use of ST. This raises questions about the replicability of STiP and studies that use it. </w:t>
      </w:r>
      <w:r w:rsidR="00A02D5C">
        <w:t>C</w:t>
      </w:r>
      <w:r>
        <w:t xml:space="preserve">omplexity means a problem will never </w:t>
      </w:r>
      <w:proofErr w:type="gramStart"/>
      <w:r>
        <w:t>be seen</w:t>
      </w:r>
      <w:proofErr w:type="gramEnd"/>
      <w:r>
        <w:t xml:space="preserve"> the same way at any given time due to context</w:t>
      </w:r>
      <w:r w:rsidR="00A02D5C">
        <w:t>; it</w:t>
      </w:r>
      <w:r>
        <w:t xml:space="preserve"> can only </w:t>
      </w:r>
      <w:r w:rsidR="003116AF">
        <w:t>be</w:t>
      </w:r>
      <w:r>
        <w:t xml:space="preserve"> seen as a snapshot of a perception of reality. With no standardised STiP, replicating the findings to obtain </w:t>
      </w:r>
      <w:r w:rsidR="00A02D5C">
        <w:t>equivalent results</w:t>
      </w:r>
      <w:r>
        <w:t xml:space="preserve"> would be difficult.</w:t>
      </w:r>
    </w:p>
    <w:p w14:paraId="0D765671" w14:textId="77777777" w:rsidR="006065C5" w:rsidRDefault="006065C5"/>
    <w:p w14:paraId="0FDEDDE8" w14:textId="77777777" w:rsidR="006065C5" w:rsidRDefault="00000000">
      <w:pPr>
        <w:rPr>
          <w:b/>
        </w:rPr>
      </w:pPr>
      <w:r>
        <w:rPr>
          <w:b/>
        </w:rPr>
        <w:t xml:space="preserve">What can </w:t>
      </w:r>
      <w:proofErr w:type="gramStart"/>
      <w:r>
        <w:rPr>
          <w:b/>
        </w:rPr>
        <w:t>be done</w:t>
      </w:r>
      <w:proofErr w:type="gramEnd"/>
      <w:r>
        <w:rPr>
          <w:b/>
        </w:rPr>
        <w:t>?</w:t>
      </w:r>
    </w:p>
    <w:p w14:paraId="73F3D13D" w14:textId="77777777" w:rsidR="006065C5" w:rsidRDefault="00000000">
      <w:r>
        <w:t xml:space="preserve">The STiP within the papers is opaque, yet they will </w:t>
      </w:r>
      <w:proofErr w:type="gramStart"/>
      <w:r>
        <w:t>be used</w:t>
      </w:r>
      <w:proofErr w:type="gramEnd"/>
      <w:r>
        <w:t xml:space="preserve"> by people such as apprentices to learn. Having the AP’s practice set out would be helpful so readers can see the whole picture of STiP. This might increase the uptake of ST, especially as these papers are </w:t>
      </w:r>
      <w:proofErr w:type="gramStart"/>
      <w:r>
        <w:t>relatively jargon-free</w:t>
      </w:r>
      <w:proofErr w:type="gramEnd"/>
      <w:r>
        <w:t xml:space="preserve">, which, as noted earlier, is off-putting. As one of the core concepts of STiP is the STP’s ethical and positional stance, making practice explicit would improve this aspect as it would acknowledge the relational qualities between the STP and the SoI. A legitimate standardised practice can only emerge if STiP is </w:t>
      </w:r>
      <w:proofErr w:type="gramStart"/>
      <w:r>
        <w:t>consistent</w:t>
      </w:r>
      <w:proofErr w:type="gramEnd"/>
      <w:r>
        <w:t xml:space="preserve"> and APs discuss their worldview. APs need to document how they practised and brought about change so that the STPA truly reflects what it takes to be a STP. As the STPA is here to stay, APs must challenge themselves so that STiP is appropriately standardised and reflect on how APs maintain the situation described in the debates. However, if apprentices gain a voice, then the change will come from them, as, unlike APs, they have more to gain by highlighting what makes a STP, as their careers </w:t>
      </w:r>
      <w:proofErr w:type="gramStart"/>
      <w:r>
        <w:t>are not threatened</w:t>
      </w:r>
      <w:proofErr w:type="gramEnd"/>
      <w:r>
        <w:t xml:space="preserve"> by preserving the status quo. </w:t>
      </w:r>
    </w:p>
    <w:p w14:paraId="1036C540" w14:textId="77777777" w:rsidR="00CF070D" w:rsidRDefault="00CF070D"/>
    <w:p w14:paraId="6BAF07B2" w14:textId="77777777" w:rsidR="006065C5" w:rsidRDefault="006065C5"/>
    <w:p w14:paraId="34C71F4A" w14:textId="77777777" w:rsidR="006065C5" w:rsidRDefault="00000000">
      <w:pPr>
        <w:rPr>
          <w:b/>
        </w:rPr>
      </w:pPr>
      <w:r>
        <w:rPr>
          <w:b/>
        </w:rPr>
        <w:lastRenderedPageBreak/>
        <w:t>Conclusion</w:t>
      </w:r>
    </w:p>
    <w:p w14:paraId="56083BD0" w14:textId="5ACFDB74" w:rsidR="006065C5" w:rsidRDefault="00000000">
      <w:r>
        <w:t xml:space="preserve">This CLR set out to contribute to ongoing debates about what constitutes appropriate STP by comparing AP to the VP of the STPA. The aim was not to pick apart the research findings and the ST approaches used. Instead, it sought to analyse the nature of AP. Using a constructive/interpretive approach, the CLR analysed the inconsistencies of STiP in contrast to the standardised STPA. Therefore, this CLR makes three significant contributions to STP. Firstly, it identifies the disconnect between AP and the STPA. The practices of the AP </w:t>
      </w:r>
      <w:r w:rsidR="00A02D5C">
        <w:t>must</w:t>
      </w:r>
      <w:r>
        <w:t xml:space="preserve"> surface to clarify STiP, which in turn will help STP to become accepted and standardised. The second contribution is that AP overlooks the relationships between worldviews, ontology, epistemology, ethics, and positionality, which are fundamental to the core concepts of STP yet </w:t>
      </w:r>
      <w:r w:rsidR="00AB131A">
        <w:t>must</w:t>
      </w:r>
      <w:r>
        <w:t xml:space="preserve"> </w:t>
      </w:r>
      <w:proofErr w:type="gramStart"/>
      <w:r>
        <w:t>be recognised</w:t>
      </w:r>
      <w:proofErr w:type="gramEnd"/>
      <w:r>
        <w:t xml:space="preserve"> by apprentices. APs must be more reflective and self-aware about their embodied systems thinking practice. This is the only way to mitigate bias, make participation inclusive, and overcome marginalisation. Lastly, the CLR's unique perspective shows why the critical evaluation of AP </w:t>
      </w:r>
      <w:proofErr w:type="gramStart"/>
      <w:r>
        <w:t>is needed</w:t>
      </w:r>
      <w:proofErr w:type="gramEnd"/>
      <w:r>
        <w:t xml:space="preserve">, focusing more on what makes a </w:t>
      </w:r>
      <w:r w:rsidR="00E80E8A">
        <w:t>STP</w:t>
      </w:r>
      <w:r>
        <w:t xml:space="preserve"> than how </w:t>
      </w:r>
      <w:r w:rsidR="00AB131A">
        <w:t xml:space="preserve">ST </w:t>
      </w:r>
      <w:r>
        <w:t xml:space="preserve">approaches are applied. </w:t>
      </w:r>
    </w:p>
    <w:p w14:paraId="14EB83EA" w14:textId="77777777" w:rsidR="006065C5" w:rsidRDefault="006065C5"/>
    <w:p w14:paraId="2A306A52" w14:textId="22C94A3C" w:rsidR="006065C5" w:rsidRDefault="004603ED">
      <w:r>
        <w:t>Word Count: 597</w:t>
      </w:r>
      <w:r w:rsidR="00001296">
        <w:t>2</w:t>
      </w:r>
    </w:p>
    <w:p w14:paraId="1E6B9C1D" w14:textId="77777777" w:rsidR="006065C5" w:rsidRDefault="006065C5"/>
    <w:p w14:paraId="2150D396" w14:textId="77777777" w:rsidR="006065C5" w:rsidRDefault="006065C5"/>
    <w:p w14:paraId="34D1ED2C" w14:textId="77777777" w:rsidR="006065C5" w:rsidRDefault="006065C5"/>
    <w:p w14:paraId="748475FE" w14:textId="77777777" w:rsidR="006065C5" w:rsidRDefault="006065C5"/>
    <w:p w14:paraId="18AF7648" w14:textId="77777777" w:rsidR="006065C5" w:rsidRDefault="006065C5"/>
    <w:p w14:paraId="1E5955F1" w14:textId="77777777" w:rsidR="006065C5" w:rsidRDefault="006065C5"/>
    <w:p w14:paraId="6442B15A" w14:textId="77777777" w:rsidR="006065C5" w:rsidRDefault="006065C5"/>
    <w:p w14:paraId="6D9AA960" w14:textId="77777777" w:rsidR="006065C5" w:rsidRDefault="006065C5"/>
    <w:p w14:paraId="6160C65A" w14:textId="77777777" w:rsidR="006065C5" w:rsidRDefault="006065C5"/>
    <w:p w14:paraId="58A65BE9" w14:textId="77777777" w:rsidR="006065C5" w:rsidRDefault="006065C5"/>
    <w:p w14:paraId="0120E519" w14:textId="77777777" w:rsidR="006065C5" w:rsidRDefault="006065C5"/>
    <w:p w14:paraId="66018F53" w14:textId="77777777" w:rsidR="006065C5" w:rsidRDefault="006065C5"/>
    <w:p w14:paraId="64E4598A" w14:textId="77777777" w:rsidR="006065C5" w:rsidRDefault="006065C5"/>
    <w:p w14:paraId="274BE823" w14:textId="77777777" w:rsidR="006065C5" w:rsidRDefault="006065C5"/>
    <w:p w14:paraId="26155ADC" w14:textId="77777777" w:rsidR="006065C5" w:rsidRDefault="006065C5"/>
    <w:p w14:paraId="1C4B8317" w14:textId="77777777" w:rsidR="006065C5" w:rsidRDefault="006065C5"/>
    <w:p w14:paraId="17F0C2AE" w14:textId="77777777" w:rsidR="006065C5" w:rsidRDefault="006065C5"/>
    <w:p w14:paraId="0A693EF8" w14:textId="77777777" w:rsidR="006065C5" w:rsidRDefault="006065C5"/>
    <w:p w14:paraId="02A15497" w14:textId="77777777" w:rsidR="006065C5" w:rsidRDefault="006065C5"/>
    <w:p w14:paraId="0236C395" w14:textId="77777777" w:rsidR="006065C5" w:rsidRDefault="006065C5"/>
    <w:p w14:paraId="09F9CA61" w14:textId="77777777" w:rsidR="006065C5" w:rsidRDefault="006065C5"/>
    <w:p w14:paraId="4ED5ABE5" w14:textId="77777777" w:rsidR="006065C5" w:rsidRDefault="006065C5"/>
    <w:p w14:paraId="76305F67" w14:textId="77777777" w:rsidR="006065C5" w:rsidRDefault="006065C5"/>
    <w:p w14:paraId="38C8D9AC" w14:textId="77777777" w:rsidR="006065C5" w:rsidRDefault="006065C5"/>
    <w:p w14:paraId="0C535AA7" w14:textId="77777777" w:rsidR="006065C5" w:rsidRDefault="006065C5"/>
    <w:p w14:paraId="74C970DC" w14:textId="77777777" w:rsidR="006065C5" w:rsidRDefault="006065C5"/>
    <w:p w14:paraId="6EFBB0F7" w14:textId="77777777" w:rsidR="006065C5" w:rsidRDefault="006065C5"/>
    <w:p w14:paraId="48C0D61C" w14:textId="77777777" w:rsidR="006065C5" w:rsidRDefault="006065C5"/>
    <w:p w14:paraId="28E2DD0B" w14:textId="77777777" w:rsidR="006065C5" w:rsidRDefault="006065C5"/>
    <w:p w14:paraId="2246C5EA" w14:textId="77777777" w:rsidR="006065C5" w:rsidRDefault="006065C5"/>
    <w:p w14:paraId="10237076" w14:textId="77777777" w:rsidR="006065C5" w:rsidRDefault="006065C5"/>
    <w:p w14:paraId="3A9E1929" w14:textId="77777777" w:rsidR="006065C5" w:rsidRDefault="006065C5"/>
    <w:p w14:paraId="5E381FDF" w14:textId="77777777" w:rsidR="006065C5" w:rsidRDefault="00000000">
      <w:pPr>
        <w:rPr>
          <w:b/>
        </w:rPr>
      </w:pPr>
      <w:r>
        <w:rPr>
          <w:b/>
        </w:rPr>
        <w:t>References and Bibliography</w:t>
      </w:r>
    </w:p>
    <w:p w14:paraId="2A2B9005" w14:textId="77777777" w:rsidR="006065C5" w:rsidRDefault="006065C5">
      <w:pPr>
        <w:rPr>
          <w:b/>
        </w:rPr>
      </w:pPr>
    </w:p>
    <w:p w14:paraId="6440D9C5" w14:textId="77777777" w:rsidR="006065C5" w:rsidRDefault="00000000">
      <w:pPr>
        <w:spacing w:after="220" w:line="324" w:lineRule="auto"/>
      </w:pPr>
      <w:r>
        <w:t xml:space="preserve">Akmal, A., </w:t>
      </w:r>
      <w:proofErr w:type="spellStart"/>
      <w:r>
        <w:t>Podgorodnichenko</w:t>
      </w:r>
      <w:proofErr w:type="spellEnd"/>
      <w:r>
        <w:t xml:space="preserve">, Nataliya., Foote, Jeff., </w:t>
      </w:r>
      <w:proofErr w:type="spellStart"/>
      <w:r>
        <w:t>Greatbanks</w:t>
      </w:r>
      <w:proofErr w:type="spellEnd"/>
      <w:r>
        <w:t>, R., Stokes, T.</w:t>
      </w:r>
      <w:proofErr w:type="gramStart"/>
      <w:r>
        <w:t>,  Gauld</w:t>
      </w:r>
      <w:proofErr w:type="gramEnd"/>
      <w:r>
        <w:t xml:space="preserve">, R. (2021) ‘Why is Quality Improvement so Challenging? A Viable Systems Model Perspective to Understand the Frustrations of Healthcare Quality Improvement </w:t>
      </w:r>
      <w:proofErr w:type="spellStart"/>
      <w:r>
        <w:t>Managers,’Health</w:t>
      </w:r>
      <w:proofErr w:type="spellEnd"/>
      <w:r>
        <w:t xml:space="preserve"> Policy, Volume 125, Issue 5, Pages 658-664, ISSN 0168-8510, Available at: https://doi.org/10.1016/j.healthpol.2021.03.015.</w:t>
      </w:r>
    </w:p>
    <w:p w14:paraId="26EF3F1F" w14:textId="77777777" w:rsidR="006065C5" w:rsidRDefault="00000000">
      <w:pPr>
        <w:spacing w:after="220" w:line="324" w:lineRule="auto"/>
      </w:pPr>
      <w:r>
        <w:t xml:space="preserve">Armson, R. (2008) ‘Found Difficult and Left Untried: why senior managers seem reluctant to engage with Systems Thinking’ The 14th ANZSYS Australia New Zealand Systems Society Conference Available at: </w:t>
      </w:r>
      <w:proofErr w:type="gramStart"/>
      <w:r>
        <w:t>https://anzsys.org/conferences/anzsys08/ANZSYS08%20Proceedings%20and%20abstracts%20of%2014th%20ANZSYS%20Conference.pdf</w:t>
      </w:r>
      <w:proofErr w:type="gramEnd"/>
    </w:p>
    <w:p w14:paraId="435558F6" w14:textId="77777777" w:rsidR="006065C5" w:rsidRDefault="00000000">
      <w:pPr>
        <w:spacing w:after="220" w:line="324" w:lineRule="auto"/>
      </w:pPr>
      <w:proofErr w:type="spellStart"/>
      <w:r>
        <w:t>Avenier</w:t>
      </w:r>
      <w:proofErr w:type="spellEnd"/>
      <w:r>
        <w:t xml:space="preserve">, M.-J. and Thomas, C. (2015) ‘Finding one’s way around various methodological guidelines for doing rigorous case studies: A comparison of four epistemological frameworks:’, </w:t>
      </w:r>
      <w:proofErr w:type="spellStart"/>
      <w:r>
        <w:rPr>
          <w:i/>
        </w:rPr>
        <w:t>Systèmes</w:t>
      </w:r>
      <w:proofErr w:type="spellEnd"/>
      <w:r>
        <w:rPr>
          <w:i/>
        </w:rPr>
        <w:t xml:space="preserve"> </w:t>
      </w:r>
      <w:proofErr w:type="spellStart"/>
      <w:r>
        <w:rPr>
          <w:i/>
        </w:rPr>
        <w:t>d’information</w:t>
      </w:r>
      <w:proofErr w:type="spellEnd"/>
      <w:r>
        <w:rPr>
          <w:i/>
        </w:rPr>
        <w:t xml:space="preserve"> &amp; management</w:t>
      </w:r>
      <w:r>
        <w:t>, Volume 20(1), pp. 61–98. Available at:</w:t>
      </w:r>
      <w:hyperlink r:id="rId7">
        <w:r>
          <w:t xml:space="preserve"> </w:t>
        </w:r>
      </w:hyperlink>
      <w:hyperlink r:id="rId8">
        <w:r>
          <w:rPr>
            <w:color w:val="1155CC"/>
            <w:u w:val="single"/>
          </w:rPr>
          <w:t>https://doi.org/10.3917/sim.151.0061</w:t>
        </w:r>
      </w:hyperlink>
      <w:r>
        <w:t>.</w:t>
      </w:r>
    </w:p>
    <w:p w14:paraId="3C42A0E5" w14:textId="77777777" w:rsidR="006065C5" w:rsidRDefault="00000000">
      <w:pPr>
        <w:spacing w:after="220" w:line="324" w:lineRule="auto"/>
      </w:pPr>
      <w:r>
        <w:t xml:space="preserve">Buckle Henning, P, Wilmshurst, J &amp; </w:t>
      </w:r>
      <w:proofErr w:type="spellStart"/>
      <w:r>
        <w:t>Yearworth</w:t>
      </w:r>
      <w:proofErr w:type="spellEnd"/>
      <w:r>
        <w:t xml:space="preserve">, M 2012, Understanding systems thinking: an agenda for applied research in industry. in J </w:t>
      </w:r>
      <w:proofErr w:type="spellStart"/>
      <w:r>
        <w:t>Wilby</w:t>
      </w:r>
      <w:proofErr w:type="spellEnd"/>
      <w:r>
        <w:t xml:space="preserve"> (ed.), Proceedings of the 56th Annual Meeting of the ISSS - 2012, San Jose, CA, USA. &lt;http://journals.isss.org/index.php/proceedings56th/article/viewFile/1909/612&gt;</w:t>
      </w:r>
    </w:p>
    <w:p w14:paraId="63234EA0" w14:textId="77777777" w:rsidR="006065C5" w:rsidRDefault="00000000">
      <w:pPr>
        <w:spacing w:after="220" w:line="324" w:lineRule="auto"/>
      </w:pPr>
      <w:r>
        <w:t xml:space="preserve">Chilisa, B. and Kawulich, B. (2012) ‘Selecting a Research Approach: Paradigm, Methodology and </w:t>
      </w:r>
      <w:proofErr w:type="spellStart"/>
      <w:r>
        <w:t>Methods</w:t>
      </w:r>
      <w:proofErr w:type="gramStart"/>
      <w:r>
        <w:t>’.Doing</w:t>
      </w:r>
      <w:proofErr w:type="spellEnd"/>
      <w:proofErr w:type="gramEnd"/>
      <w:r>
        <w:t xml:space="preserve"> Social Research: A global context (pp.51-61)Chapter: </w:t>
      </w:r>
      <w:r>
        <w:rPr>
          <w:i/>
        </w:rPr>
        <w:t xml:space="preserve">Selecting a research approach: Paradigm, methodology and methods </w:t>
      </w:r>
      <w:r>
        <w:t xml:space="preserve">Publisher: McGraw </w:t>
      </w:r>
      <w:proofErr w:type="spellStart"/>
      <w:r>
        <w:t>HillEditors</w:t>
      </w:r>
      <w:proofErr w:type="spellEnd"/>
      <w:r>
        <w:t>: C. Wagner, B. Kawulich, M. Garner</w:t>
      </w:r>
    </w:p>
    <w:p w14:paraId="5C8C3D5E" w14:textId="77777777" w:rsidR="006065C5" w:rsidRDefault="00000000">
      <w:pPr>
        <w:spacing w:after="220" w:line="324" w:lineRule="auto"/>
      </w:pPr>
      <w:r>
        <w:t xml:space="preserve">Eker, S. </w:t>
      </w:r>
      <w:r>
        <w:rPr>
          <w:i/>
        </w:rPr>
        <w:t>et al.</w:t>
      </w:r>
      <w:r>
        <w:t xml:space="preserve"> (2018) ‘Participatory system dynamics modelling for housing, energy and wellbeing interactions’, </w:t>
      </w:r>
      <w:r>
        <w:rPr>
          <w:i/>
        </w:rPr>
        <w:t>Building Research &amp; Information</w:t>
      </w:r>
      <w:r>
        <w:t>, 46(7), pp. 738–754. Available at:</w:t>
      </w:r>
      <w:hyperlink r:id="rId9">
        <w:r>
          <w:t xml:space="preserve"> </w:t>
        </w:r>
      </w:hyperlink>
      <w:hyperlink r:id="rId10">
        <w:r>
          <w:rPr>
            <w:color w:val="1155CC"/>
            <w:u w:val="single"/>
          </w:rPr>
          <w:t>https://doi.org/10.1080/09613218.2017.1362919</w:t>
        </w:r>
      </w:hyperlink>
      <w:r>
        <w:t>.</w:t>
      </w:r>
    </w:p>
    <w:p w14:paraId="0B1B38E9" w14:textId="77777777" w:rsidR="006065C5" w:rsidRDefault="00000000">
      <w:pPr>
        <w:spacing w:after="220" w:line="324" w:lineRule="auto"/>
      </w:pPr>
      <w:r>
        <w:t xml:space="preserve">Emes, M., Smith, S., Ward, S., Smith, A., and Ming, </w:t>
      </w:r>
      <w:proofErr w:type="gramStart"/>
      <w:r>
        <w:t xml:space="preserve">T.  </w:t>
      </w:r>
      <w:proofErr w:type="gramEnd"/>
      <w:r>
        <w:t xml:space="preserve">(2017) ‘Care and Flow: Using Soft Systems Methodology to understand tensions in the patient discharge process’, </w:t>
      </w:r>
      <w:r>
        <w:rPr>
          <w:i/>
        </w:rPr>
        <w:t>Health Systems</w:t>
      </w:r>
      <w:r>
        <w:t>, 6:3, 260-278, Available at:</w:t>
      </w:r>
      <w:hyperlink r:id="rId11">
        <w:r>
          <w:t xml:space="preserve"> </w:t>
        </w:r>
      </w:hyperlink>
      <w:hyperlink r:id="rId12">
        <w:r>
          <w:rPr>
            <w:color w:val="1155CC"/>
            <w:u w:val="single"/>
          </w:rPr>
          <w:t>https://doi.org/10.1057/s41306-017-0027-6</w:t>
        </w:r>
      </w:hyperlink>
      <w:r>
        <w:t>.</w:t>
      </w:r>
    </w:p>
    <w:p w14:paraId="2E62FC7E" w14:textId="77777777" w:rsidR="006065C5" w:rsidRDefault="00000000">
      <w:pPr>
        <w:spacing w:after="220" w:line="324" w:lineRule="auto"/>
      </w:pPr>
      <w:r>
        <w:t xml:space="preserve">End-point assessment plan for Systems Thinking Practitioner apprenticeship standard (2023) </w:t>
      </w:r>
      <w:r>
        <w:rPr>
          <w:i/>
        </w:rPr>
        <w:t>Institute for Apprenticeships and Technical Education</w:t>
      </w:r>
      <w:r>
        <w:t xml:space="preserve">. Available at: </w:t>
      </w:r>
      <w:hyperlink r:id="rId13">
        <w:r>
          <w:rPr>
            <w:color w:val="1155CC"/>
            <w:u w:val="single"/>
          </w:rPr>
          <w:t>https://www.instituteforapprenticeships.org/media/qixdc2cm/st0787_l7_systems-thinking-practitioner_epa-plan_22062023.pdf</w:t>
        </w:r>
      </w:hyperlink>
      <w:r>
        <w:t xml:space="preserve"> (Accessed: 19 January 2024)</w:t>
      </w:r>
    </w:p>
    <w:p w14:paraId="267D29F1" w14:textId="77777777" w:rsidR="006065C5" w:rsidRDefault="00000000">
      <w:pPr>
        <w:spacing w:after="220" w:line="324" w:lineRule="auto"/>
      </w:pPr>
      <w:r>
        <w:lastRenderedPageBreak/>
        <w:t xml:space="preserve">Feldman Barrett, L. (2023) ‘How your brain creates reality, explained by a neuroscientist’, </w:t>
      </w:r>
      <w:r>
        <w:rPr>
          <w:i/>
        </w:rPr>
        <w:t>Big Think</w:t>
      </w:r>
      <w:r>
        <w:t>, July. Available at:</w:t>
      </w:r>
      <w:hyperlink r:id="rId14">
        <w:r>
          <w:t xml:space="preserve"> </w:t>
        </w:r>
      </w:hyperlink>
      <w:hyperlink r:id="rId15">
        <w:r>
          <w:rPr>
            <w:color w:val="1155CC"/>
            <w:u w:val="single"/>
          </w:rPr>
          <w:t>https://bigthink.com/the-well/what-is-reality/</w:t>
        </w:r>
      </w:hyperlink>
      <w:r>
        <w:t xml:space="preserve"> (Accessed: 22 December 2023).</w:t>
      </w:r>
    </w:p>
    <w:p w14:paraId="2ABED6EC" w14:textId="77777777" w:rsidR="006065C5" w:rsidRDefault="00000000">
      <w:pPr>
        <w:spacing w:after="220" w:line="324" w:lineRule="auto"/>
      </w:pPr>
      <w:r>
        <w:t xml:space="preserve">Freeman, P.R., Jones, L., </w:t>
      </w:r>
      <w:proofErr w:type="spellStart"/>
      <w:r>
        <w:t>Yearworth</w:t>
      </w:r>
      <w:proofErr w:type="spellEnd"/>
      <w:r>
        <w:t xml:space="preserve">, M., </w:t>
      </w:r>
      <w:proofErr w:type="spellStart"/>
      <w:r>
        <w:t>Cherruault</w:t>
      </w:r>
      <w:proofErr w:type="spellEnd"/>
      <w:r>
        <w:t>, J-Y. (2014) ‘Systems Thinking and System Dynamics to Support Policy Making in Defra – Project Final Report’. P</w:t>
      </w:r>
      <w:r>
        <w:rPr>
          <w:i/>
        </w:rPr>
        <w:t>repared for the Department for Environment, Food and Rural Affairs</w:t>
      </w:r>
      <w:r>
        <w:t xml:space="preserve"> Available at: DOI:10.13140/RG.2.2.30980.22408</w:t>
      </w:r>
    </w:p>
    <w:p w14:paraId="7647E370" w14:textId="77777777" w:rsidR="006065C5" w:rsidRDefault="00000000">
      <w:pPr>
        <w:spacing w:after="220" w:line="324" w:lineRule="auto"/>
      </w:pPr>
      <w:r>
        <w:t xml:space="preserve">Gadsby, E., Hotham, S. and Merritt, R. (2023) ‘The theoretical and practical difficulties of evaluating a community-based “whole systems” obesity prevention intervention: a research team’s critical reflection’, </w:t>
      </w:r>
      <w:r>
        <w:rPr>
          <w:i/>
        </w:rPr>
        <w:t>Perspectives in Public Health</w:t>
      </w:r>
      <w:r>
        <w:t>, p. 17579139231195700. Available at:</w:t>
      </w:r>
      <w:hyperlink r:id="rId16">
        <w:r>
          <w:t xml:space="preserve"> </w:t>
        </w:r>
      </w:hyperlink>
      <w:hyperlink r:id="rId17">
        <w:r>
          <w:rPr>
            <w:color w:val="1155CC"/>
            <w:u w:val="single"/>
          </w:rPr>
          <w:t>https://doi.org/10.1177/17579139231195700</w:t>
        </w:r>
      </w:hyperlink>
      <w:r>
        <w:t>.</w:t>
      </w:r>
    </w:p>
    <w:p w14:paraId="3EED395F" w14:textId="77777777" w:rsidR="006065C5" w:rsidRDefault="00000000">
      <w:pPr>
        <w:spacing w:after="220" w:line="324" w:lineRule="auto"/>
      </w:pPr>
      <w:r>
        <w:t xml:space="preserve">Gadsby, E.W., Wistow, G. and Billings, J. (2022) ‘A critical systems evaluation of the introduction of a “discharge to assess” service in Kent’, </w:t>
      </w:r>
      <w:r>
        <w:rPr>
          <w:i/>
        </w:rPr>
        <w:t>Critical Social Policy</w:t>
      </w:r>
      <w:r>
        <w:t>, 42(4), pp. 671–694. Available at:</w:t>
      </w:r>
      <w:hyperlink r:id="rId18">
        <w:r>
          <w:t xml:space="preserve"> </w:t>
        </w:r>
      </w:hyperlink>
      <w:hyperlink r:id="rId19">
        <w:r>
          <w:rPr>
            <w:color w:val="1155CC"/>
            <w:u w:val="single"/>
          </w:rPr>
          <w:t>https://doi.org/10.1177/02610183211065028</w:t>
        </w:r>
      </w:hyperlink>
      <w:r>
        <w:t>.</w:t>
      </w:r>
    </w:p>
    <w:p w14:paraId="2DBECAC1" w14:textId="77777777" w:rsidR="006065C5" w:rsidRDefault="00000000">
      <w:pPr>
        <w:spacing w:after="220" w:line="324" w:lineRule="auto"/>
      </w:pPr>
      <w:r>
        <w:t xml:space="preserve">Goodman, M. (2016) </w:t>
      </w:r>
      <w:r>
        <w:rPr>
          <w:i/>
        </w:rPr>
        <w:t xml:space="preserve">Systems Thinking: What, Why, When, Where, and </w:t>
      </w:r>
      <w:proofErr w:type="gramStart"/>
      <w:r>
        <w:rPr>
          <w:i/>
        </w:rPr>
        <w:t>How?</w:t>
      </w:r>
      <w:r>
        <w:t>,</w:t>
      </w:r>
      <w:proofErr w:type="gramEnd"/>
      <w:r>
        <w:t xml:space="preserve"> </w:t>
      </w:r>
      <w:r>
        <w:rPr>
          <w:i/>
        </w:rPr>
        <w:t>The Systems Thinker</w:t>
      </w:r>
      <w:r>
        <w:t>. Available at:</w:t>
      </w:r>
      <w:hyperlink r:id="rId20">
        <w:r>
          <w:t xml:space="preserve"> </w:t>
        </w:r>
      </w:hyperlink>
      <w:hyperlink r:id="rId21">
        <w:r>
          <w:rPr>
            <w:color w:val="1155CC"/>
            <w:u w:val="single"/>
          </w:rPr>
          <w:t>https://thesystemsthinker.com/systems-thinking-what-why-when-where-and-how/</w:t>
        </w:r>
      </w:hyperlink>
      <w:r>
        <w:t xml:space="preserve"> (Accessed: 22 December 2023).</w:t>
      </w:r>
    </w:p>
    <w:p w14:paraId="0B750E68" w14:textId="77777777" w:rsidR="006065C5" w:rsidRDefault="00000000">
      <w:pPr>
        <w:spacing w:after="220" w:line="324" w:lineRule="auto"/>
      </w:pPr>
      <w:r>
        <w:t xml:space="preserve">Grix, J. (2002) ‘Introducing Students to the Generic Terminology of Social Research’, </w:t>
      </w:r>
      <w:r>
        <w:rPr>
          <w:i/>
        </w:rPr>
        <w:t>Politics</w:t>
      </w:r>
      <w:r>
        <w:t>, 22(3), pp. 175–186. Available at:</w:t>
      </w:r>
      <w:hyperlink r:id="rId22">
        <w:r>
          <w:t xml:space="preserve"> </w:t>
        </w:r>
      </w:hyperlink>
      <w:hyperlink r:id="rId23">
        <w:r>
          <w:rPr>
            <w:color w:val="1155CC"/>
            <w:u w:val="single"/>
          </w:rPr>
          <w:t>https://doi.org/10.1111/1467-9256.00173</w:t>
        </w:r>
      </w:hyperlink>
      <w:r>
        <w:t>.</w:t>
      </w:r>
    </w:p>
    <w:p w14:paraId="24B6596A" w14:textId="77777777" w:rsidR="006065C5" w:rsidRDefault="00000000">
      <w:pPr>
        <w:spacing w:after="220" w:line="324" w:lineRule="auto"/>
      </w:pPr>
      <w:r>
        <w:t xml:space="preserve">Harrison, A. (2023) Email to Helen Sanson ‘Coaching resources and case </w:t>
      </w:r>
      <w:proofErr w:type="gramStart"/>
      <w:r>
        <w:t>materials’</w:t>
      </w:r>
      <w:proofErr w:type="gramEnd"/>
      <w:r>
        <w:t>.</w:t>
      </w:r>
    </w:p>
    <w:p w14:paraId="029102BD" w14:textId="77777777" w:rsidR="006065C5" w:rsidRDefault="00000000">
      <w:pPr>
        <w:spacing w:after="220" w:line="324" w:lineRule="auto"/>
      </w:pPr>
      <w:r>
        <w:t>Hopkin, T., Lu, S.-</w:t>
      </w:r>
      <w:proofErr w:type="gramStart"/>
      <w:r>
        <w:t>L.,</w:t>
      </w:r>
      <w:proofErr w:type="spellStart"/>
      <w:r>
        <w:t>Rogers</w:t>
      </w:r>
      <w:proofErr w:type="gramEnd"/>
      <w:r>
        <w:t>,P</w:t>
      </w:r>
      <w:proofErr w:type="spellEnd"/>
      <w:r>
        <w:t xml:space="preserve"> and Sexton, M</w:t>
      </w:r>
      <w:r>
        <w:rPr>
          <w:i/>
        </w:rPr>
        <w:t>.</w:t>
      </w:r>
      <w:r>
        <w:t xml:space="preserve"> (2016) ‘a Soft Systems Methodology Approach To The Improvement Of A Housing Association’s Defects Management And Learning Systems’.32nd ARCOM Conference, 5th – 7th September, Manchester, UK, pp. 1283-1292. Available at: http://centaur.reading.ac.uk/67077/</w:t>
      </w:r>
    </w:p>
    <w:p w14:paraId="1022CE3A" w14:textId="77777777" w:rsidR="006065C5" w:rsidRDefault="00000000">
      <w:pPr>
        <w:spacing w:after="220" w:line="324" w:lineRule="auto"/>
      </w:pPr>
      <w:r>
        <w:t xml:space="preserve">Jesson, J. and Lacey, F. (2006) ‘How to do (or not to do) a critical literature review’, </w:t>
      </w:r>
      <w:r>
        <w:rPr>
          <w:i/>
        </w:rPr>
        <w:t>Pharmacy Education</w:t>
      </w:r>
      <w:r>
        <w:t>, 6(2), pp. 139–148. Available at:</w:t>
      </w:r>
      <w:hyperlink r:id="rId24">
        <w:r>
          <w:t xml:space="preserve"> </w:t>
        </w:r>
      </w:hyperlink>
      <w:hyperlink r:id="rId25">
        <w:r>
          <w:rPr>
            <w:color w:val="1155CC"/>
            <w:u w:val="single"/>
          </w:rPr>
          <w:t>https://doi.org/10.1080/15602210600616218</w:t>
        </w:r>
      </w:hyperlink>
      <w:r>
        <w:t>.</w:t>
      </w:r>
    </w:p>
    <w:p w14:paraId="224E3814" w14:textId="77777777" w:rsidR="006065C5" w:rsidRDefault="00000000">
      <w:pPr>
        <w:spacing w:after="220" w:line="324" w:lineRule="auto"/>
      </w:pPr>
      <w:r>
        <w:t xml:space="preserve">Laszlo, K.C. (2012) ‘From systems thinking to systems being: The embodiment of evolutionary leadership’, </w:t>
      </w:r>
      <w:r>
        <w:rPr>
          <w:i/>
        </w:rPr>
        <w:t>Journal of Organisational Transformation &amp; Social Change</w:t>
      </w:r>
      <w:r>
        <w:t>, 9(2), pp. 95–108. Available at:</w:t>
      </w:r>
      <w:hyperlink r:id="rId26">
        <w:r>
          <w:t xml:space="preserve"> </w:t>
        </w:r>
      </w:hyperlink>
      <w:hyperlink r:id="rId27">
        <w:r>
          <w:rPr>
            <w:color w:val="1155CC"/>
            <w:u w:val="single"/>
          </w:rPr>
          <w:t>https://doi.org/10.1386/jots.9.2.95_1</w:t>
        </w:r>
      </w:hyperlink>
      <w:r>
        <w:t>.</w:t>
      </w:r>
    </w:p>
    <w:p w14:paraId="2DCA19CE" w14:textId="77777777" w:rsidR="006065C5" w:rsidRDefault="00000000">
      <w:pPr>
        <w:spacing w:after="220" w:line="324" w:lineRule="auto"/>
      </w:pPr>
      <w:r>
        <w:t xml:space="preserve">Macmillan, A. </w:t>
      </w:r>
      <w:r>
        <w:rPr>
          <w:i/>
        </w:rPr>
        <w:t>et al.</w:t>
      </w:r>
      <w:r>
        <w:t xml:space="preserve"> (2016) ‘Integrated decision-making about housing, energy and wellbeing: a qualitative system dynamics model’, </w:t>
      </w:r>
      <w:r>
        <w:rPr>
          <w:i/>
        </w:rPr>
        <w:t>Environmental Health</w:t>
      </w:r>
      <w:r>
        <w:t>, 15(S1), p. S37. Available at:</w:t>
      </w:r>
      <w:hyperlink r:id="rId28">
        <w:r>
          <w:t xml:space="preserve"> </w:t>
        </w:r>
      </w:hyperlink>
      <w:hyperlink r:id="rId29">
        <w:r>
          <w:rPr>
            <w:color w:val="1155CC"/>
            <w:u w:val="single"/>
          </w:rPr>
          <w:t>https://doi.org/10.1186/s12940-016-0098-z</w:t>
        </w:r>
      </w:hyperlink>
      <w:r>
        <w:t>.</w:t>
      </w:r>
    </w:p>
    <w:p w14:paraId="3D4CB2B4" w14:textId="77777777" w:rsidR="006065C5" w:rsidRDefault="00000000">
      <w:pPr>
        <w:spacing w:after="220" w:line="324" w:lineRule="auto"/>
      </w:pPr>
      <w:r>
        <w:t>Midgley, G. (2023) Email to Helen Sanson ‘FW: CSH and Evaluation’.</w:t>
      </w:r>
    </w:p>
    <w:p w14:paraId="42706614" w14:textId="77777777" w:rsidR="006065C5" w:rsidRDefault="00000000">
      <w:pPr>
        <w:spacing w:after="220" w:line="324" w:lineRule="auto"/>
      </w:pPr>
      <w:r>
        <w:lastRenderedPageBreak/>
        <w:t xml:space="preserve">Newman, D. M., (2022), Exploring the Architecture of Everyday Life 14th </w:t>
      </w:r>
      <w:proofErr w:type="spellStart"/>
      <w:r>
        <w:t>Ediction</w:t>
      </w:r>
      <w:proofErr w:type="spellEnd"/>
      <w:r>
        <w:t xml:space="preserve">, </w:t>
      </w:r>
      <w:r>
        <w:rPr>
          <w:i/>
        </w:rPr>
        <w:t>SAGE Publications, Inc.</w:t>
      </w:r>
      <w:r>
        <w:t xml:space="preserve"> </w:t>
      </w:r>
    </w:p>
    <w:p w14:paraId="6D08DA11" w14:textId="77777777" w:rsidR="006065C5" w:rsidRDefault="00000000">
      <w:pPr>
        <w:spacing w:after="220" w:line="324" w:lineRule="auto"/>
      </w:pPr>
      <w:r>
        <w:t xml:space="preserve">Nguyen, L.K.N., Kumar, C. Shah, M. B., Chilvers, A. Stevens, </w:t>
      </w:r>
      <w:proofErr w:type="gramStart"/>
      <w:r>
        <w:t>I,,</w:t>
      </w:r>
      <w:proofErr w:type="gramEnd"/>
      <w:r>
        <w:t xml:space="preserve"> Hardy, R., Sarell, C. Zimmerman, Z</w:t>
      </w:r>
      <w:r>
        <w:rPr>
          <w:i/>
        </w:rPr>
        <w:t>.</w:t>
      </w:r>
      <w:r>
        <w:t xml:space="preserve"> (2023) ‘Civil Servant and Expert Perspectives on Drivers, Values, Challenges and Successes in Adopting Systems Thinking in Policy-Making’, </w:t>
      </w:r>
      <w:r>
        <w:rPr>
          <w:i/>
        </w:rPr>
        <w:t>Systems</w:t>
      </w:r>
      <w:r>
        <w:t>, 11(4), p. 193. Available at:</w:t>
      </w:r>
      <w:hyperlink r:id="rId30">
        <w:r>
          <w:t xml:space="preserve"> </w:t>
        </w:r>
      </w:hyperlink>
      <w:hyperlink r:id="rId31">
        <w:r>
          <w:rPr>
            <w:color w:val="1155CC"/>
            <w:u w:val="single"/>
          </w:rPr>
          <w:t>https://doi.org/10.3390/systems11040193</w:t>
        </w:r>
      </w:hyperlink>
      <w:r>
        <w:t>.</w:t>
      </w:r>
    </w:p>
    <w:p w14:paraId="07A29EFD" w14:textId="77777777" w:rsidR="006065C5" w:rsidRDefault="00000000">
      <w:pPr>
        <w:spacing w:after="220" w:line="324" w:lineRule="auto"/>
      </w:pPr>
      <w:r>
        <w:rPr>
          <w:i/>
        </w:rPr>
        <w:t>Ontology</w:t>
      </w:r>
      <w:r>
        <w:t xml:space="preserve"> (2017). Warwick Education Studies Available at:</w:t>
      </w:r>
      <w:hyperlink r:id="rId32">
        <w:r>
          <w:t xml:space="preserve"> </w:t>
        </w:r>
      </w:hyperlink>
      <w:hyperlink r:id="rId33">
        <w:r>
          <w:rPr>
            <w:color w:val="1155CC"/>
            <w:u w:val="single"/>
          </w:rPr>
          <w:t>https://warwick.ac.uk/fac/soc/ces/research/current/socialtheory/maps/ology/</w:t>
        </w:r>
      </w:hyperlink>
      <w:r>
        <w:t xml:space="preserve"> (Accessed: 19 January 2024).</w:t>
      </w:r>
    </w:p>
    <w:p w14:paraId="04B9F71A" w14:textId="77777777" w:rsidR="006065C5" w:rsidRDefault="00000000">
      <w:pPr>
        <w:spacing w:after="220" w:line="324" w:lineRule="auto"/>
      </w:pPr>
      <w:r>
        <w:t xml:space="preserve">Omerod, R. (1999) Putting systems theory to work - The synergy between theory and practice Working </w:t>
      </w:r>
      <w:proofErr w:type="gramStart"/>
      <w:r>
        <w:t>With</w:t>
      </w:r>
      <w:proofErr w:type="gramEnd"/>
      <w:r>
        <w:t xml:space="preserve"> Systems In The 21st Century. In: 6th International Conference of the United-Kingdom-Systems-Society on Synergy Matters, Lincoln, England, Jul 05-09, 1999. Published in: Synergy Matters Working with Systems in the 21st Century pp. 19-24. ISBN 0-306-46186-2.</w:t>
      </w:r>
    </w:p>
    <w:p w14:paraId="6D4953D8" w14:textId="77777777" w:rsidR="006065C5" w:rsidRDefault="00000000">
      <w:pPr>
        <w:spacing w:after="220" w:line="324" w:lineRule="auto"/>
      </w:pPr>
      <w:r>
        <w:t xml:space="preserve">Reynolds, Martin (2011). Critical thinking and systems </w:t>
      </w:r>
      <w:proofErr w:type="gramStart"/>
      <w:r>
        <w:t>thinking:</w:t>
      </w:r>
      <w:proofErr w:type="gramEnd"/>
      <w:r>
        <w:t xml:space="preserve"> towards a critical literacy for systems thinking in practice. In: Horvath, Christopher P. and Forte, James M. eds. </w:t>
      </w:r>
      <w:r>
        <w:rPr>
          <w:i/>
        </w:rPr>
        <w:t>Critical Thinking</w:t>
      </w:r>
      <w:r>
        <w:t xml:space="preserve">. New York, USA: Nova Science Publishers, pp. 37–68. </w:t>
      </w:r>
    </w:p>
    <w:p w14:paraId="31227689" w14:textId="77777777" w:rsidR="006065C5" w:rsidRDefault="00000000">
      <w:pPr>
        <w:spacing w:after="220" w:line="324" w:lineRule="auto"/>
      </w:pPr>
      <w:r>
        <w:t xml:space="preserve">Scharmer, O. (2014) </w:t>
      </w:r>
      <w:r>
        <w:rPr>
          <w:i/>
        </w:rPr>
        <w:t>Collective Mindfulness: The Leader’s New Work</w:t>
      </w:r>
      <w:r>
        <w:t xml:space="preserve"> </w:t>
      </w:r>
      <w:r>
        <w:rPr>
          <w:i/>
        </w:rPr>
        <w:t>HuffPost</w:t>
      </w:r>
      <w:r>
        <w:t>. Available at:</w:t>
      </w:r>
      <w:hyperlink r:id="rId34">
        <w:r>
          <w:t xml:space="preserve"> </w:t>
        </w:r>
      </w:hyperlink>
      <w:hyperlink r:id="rId35">
        <w:r>
          <w:rPr>
            <w:color w:val="1155CC"/>
            <w:u w:val="single"/>
          </w:rPr>
          <w:t>https://www.huffpost.com/entry/collective-mindfulness-th_b_4732429</w:t>
        </w:r>
      </w:hyperlink>
      <w:r>
        <w:t xml:space="preserve"> (Accessed: 14 January 2024).</w:t>
      </w:r>
    </w:p>
    <w:p w14:paraId="122A435C" w14:textId="77777777" w:rsidR="006065C5" w:rsidRDefault="00000000">
      <w:pPr>
        <w:spacing w:after="220" w:line="324" w:lineRule="auto"/>
      </w:pPr>
      <w:r>
        <w:t>Tavella, E. (2023) ‘“And what did you do about my emotions during Covid-19?” Making sense of negative emotions at work through institutional logics and Critical Systems Heuristics</w:t>
      </w:r>
      <w:proofErr w:type="gramStart"/>
      <w:r>
        <w:t>’,</w:t>
      </w:r>
      <w:proofErr w:type="gramEnd"/>
      <w:r>
        <w:t xml:space="preserve"> </w:t>
      </w:r>
      <w:r>
        <w:rPr>
          <w:i/>
        </w:rPr>
        <w:t xml:space="preserve">Systems Research and </w:t>
      </w:r>
      <w:proofErr w:type="spellStart"/>
      <w:r>
        <w:rPr>
          <w:i/>
        </w:rPr>
        <w:t>Behavioral</w:t>
      </w:r>
      <w:proofErr w:type="spellEnd"/>
      <w:r>
        <w:rPr>
          <w:i/>
        </w:rPr>
        <w:t xml:space="preserve"> Science</w:t>
      </w:r>
      <w:r>
        <w:t>, n/a(n/a). Available at:</w:t>
      </w:r>
      <w:hyperlink r:id="rId36">
        <w:r>
          <w:t xml:space="preserve"> </w:t>
        </w:r>
      </w:hyperlink>
      <w:hyperlink r:id="rId37">
        <w:r>
          <w:rPr>
            <w:color w:val="1155CC"/>
            <w:u w:val="single"/>
          </w:rPr>
          <w:t>https://doi.org/10.1002/sres.2952</w:t>
        </w:r>
      </w:hyperlink>
      <w:r>
        <w:t>.</w:t>
      </w:r>
    </w:p>
    <w:p w14:paraId="7A66CEE0" w14:textId="77777777" w:rsidR="006065C5" w:rsidRDefault="00000000">
      <w:pPr>
        <w:spacing w:line="324" w:lineRule="auto"/>
      </w:pPr>
      <w:r>
        <w:t xml:space="preserve">Wright, A. and </w:t>
      </w:r>
      <w:proofErr w:type="spellStart"/>
      <w:r>
        <w:t>Michailova</w:t>
      </w:r>
      <w:proofErr w:type="spellEnd"/>
      <w:r>
        <w:t xml:space="preserve">, S. (2023) ‘Critical literature reviews: A critique and actionable advice’, </w:t>
      </w:r>
      <w:r>
        <w:rPr>
          <w:i/>
        </w:rPr>
        <w:t>Management Learning</w:t>
      </w:r>
      <w:r>
        <w:t>, 54(2), pp. 177–197. Available at:</w:t>
      </w:r>
      <w:hyperlink r:id="rId38">
        <w:r>
          <w:t xml:space="preserve"> </w:t>
        </w:r>
      </w:hyperlink>
      <w:hyperlink r:id="rId39">
        <w:r>
          <w:rPr>
            <w:color w:val="1155CC"/>
            <w:u w:val="single"/>
          </w:rPr>
          <w:t>https://doi.org/10.1177/13505076211073961</w:t>
        </w:r>
      </w:hyperlink>
      <w:r>
        <w:t>.</w:t>
      </w:r>
    </w:p>
    <w:p w14:paraId="551B58E4" w14:textId="77777777" w:rsidR="006065C5" w:rsidRDefault="006065C5">
      <w:pPr>
        <w:spacing w:line="324" w:lineRule="auto"/>
      </w:pPr>
    </w:p>
    <w:p w14:paraId="152E03DD" w14:textId="77777777" w:rsidR="006065C5" w:rsidRDefault="00000000">
      <w:pPr>
        <w:spacing w:line="324" w:lineRule="auto"/>
      </w:pPr>
      <w:r>
        <w:t>Wynn, C. (2012) ‘A Viable Systems Analysis of Development Control Services in English Local Planning Authorities’. Available at https://shura.shu.ac.uk/16562/</w:t>
      </w:r>
    </w:p>
    <w:sectPr w:rsidR="006065C5">
      <w:footerReference w:type="default" r:id="rId40"/>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77F809" w14:textId="77777777" w:rsidR="005C5691" w:rsidRDefault="005C5691">
      <w:pPr>
        <w:spacing w:line="240" w:lineRule="auto"/>
      </w:pPr>
      <w:r>
        <w:separator/>
      </w:r>
    </w:p>
  </w:endnote>
  <w:endnote w:type="continuationSeparator" w:id="0">
    <w:p w14:paraId="62F26D73" w14:textId="77777777" w:rsidR="005C5691" w:rsidRDefault="005C569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1F9E91" w14:textId="77777777" w:rsidR="006065C5" w:rsidRDefault="00000000">
    <w:pPr>
      <w:jc w:val="right"/>
    </w:pPr>
    <w:r>
      <w:fldChar w:fldCharType="begin"/>
    </w:r>
    <w:r>
      <w:instrText>PAGE</w:instrText>
    </w:r>
    <w:r>
      <w:fldChar w:fldCharType="separate"/>
    </w:r>
    <w:r w:rsidR="003116AF">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9B659F" w14:textId="77777777" w:rsidR="005C5691" w:rsidRDefault="005C5691">
      <w:pPr>
        <w:spacing w:line="240" w:lineRule="auto"/>
      </w:pPr>
      <w:r>
        <w:separator/>
      </w:r>
    </w:p>
  </w:footnote>
  <w:footnote w:type="continuationSeparator" w:id="0">
    <w:p w14:paraId="2205D3A3" w14:textId="77777777" w:rsidR="005C5691" w:rsidRDefault="005C569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DE87363"/>
    <w:multiLevelType w:val="multilevel"/>
    <w:tmpl w:val="E4400B3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9613006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12"/>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065C5"/>
    <w:rsid w:val="00001296"/>
    <w:rsid w:val="003116AF"/>
    <w:rsid w:val="00320242"/>
    <w:rsid w:val="0038072A"/>
    <w:rsid w:val="004603ED"/>
    <w:rsid w:val="005C5691"/>
    <w:rsid w:val="006065C5"/>
    <w:rsid w:val="00A02D5C"/>
    <w:rsid w:val="00AB131A"/>
    <w:rsid w:val="00CF070D"/>
    <w:rsid w:val="00E80E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1D8F17E"/>
  <w15:docId w15:val="{20D7DC98-5E1D-4F10-9E74-B7D1276367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F070D"/>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doi.org/10.3917/sim.151.0061" TargetMode="External"/><Relationship Id="rId13" Type="http://schemas.openxmlformats.org/officeDocument/2006/relationships/hyperlink" Target="https://www.instituteforapprenticeships.org/media/qixdc2cm/st0787_l7_systems-thinking-practitioner_epa-plan_22062023.pdf" TargetMode="External"/><Relationship Id="rId18" Type="http://schemas.openxmlformats.org/officeDocument/2006/relationships/hyperlink" Target="https://doi.org/10.1177/02610183211065028" TargetMode="External"/><Relationship Id="rId26" Type="http://schemas.openxmlformats.org/officeDocument/2006/relationships/hyperlink" Target="https://doi.org/10.1386/jots.9.2.95_1" TargetMode="External"/><Relationship Id="rId39" Type="http://schemas.openxmlformats.org/officeDocument/2006/relationships/hyperlink" Target="https://doi.org/10.1177/13505076211073961" TargetMode="External"/><Relationship Id="rId3" Type="http://schemas.openxmlformats.org/officeDocument/2006/relationships/settings" Target="settings.xml"/><Relationship Id="rId21" Type="http://schemas.openxmlformats.org/officeDocument/2006/relationships/hyperlink" Target="https://thesystemsthinker.com/systems-thinking-what-why-when-where-and-how/" TargetMode="External"/><Relationship Id="rId34" Type="http://schemas.openxmlformats.org/officeDocument/2006/relationships/hyperlink" Target="https://www.huffpost.com/entry/collective-mindfulness-th_b_4732429" TargetMode="External"/><Relationship Id="rId42" Type="http://schemas.openxmlformats.org/officeDocument/2006/relationships/theme" Target="theme/theme1.xml"/><Relationship Id="rId7" Type="http://schemas.openxmlformats.org/officeDocument/2006/relationships/hyperlink" Target="https://doi.org/10.3917/sim.151.0061" TargetMode="External"/><Relationship Id="rId12" Type="http://schemas.openxmlformats.org/officeDocument/2006/relationships/hyperlink" Target="https://doi.org/10.1057/s41306-017-0027-6" TargetMode="External"/><Relationship Id="rId17" Type="http://schemas.openxmlformats.org/officeDocument/2006/relationships/hyperlink" Target="https://doi.org/10.1177/17579139231195700" TargetMode="External"/><Relationship Id="rId25" Type="http://schemas.openxmlformats.org/officeDocument/2006/relationships/hyperlink" Target="https://doi.org/10.1080/15602210600616218" TargetMode="External"/><Relationship Id="rId33" Type="http://schemas.openxmlformats.org/officeDocument/2006/relationships/hyperlink" Target="https://warwick.ac.uk/fac/soc/ces/research/current/socialtheory/maps/ology/" TargetMode="External"/><Relationship Id="rId38" Type="http://schemas.openxmlformats.org/officeDocument/2006/relationships/hyperlink" Target="https://doi.org/10.1177/13505076211073961" TargetMode="External"/><Relationship Id="rId2" Type="http://schemas.openxmlformats.org/officeDocument/2006/relationships/styles" Target="styles.xml"/><Relationship Id="rId16" Type="http://schemas.openxmlformats.org/officeDocument/2006/relationships/hyperlink" Target="https://doi.org/10.1177/17579139231195700" TargetMode="External"/><Relationship Id="rId20" Type="http://schemas.openxmlformats.org/officeDocument/2006/relationships/hyperlink" Target="https://thesystemsthinker.com/systems-thinking-what-why-when-where-and-how/" TargetMode="External"/><Relationship Id="rId29" Type="http://schemas.openxmlformats.org/officeDocument/2006/relationships/hyperlink" Target="https://doi.org/10.1186/s12940-016-0098-z" TargetMode="External"/><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57/s41306-017-0027-6" TargetMode="External"/><Relationship Id="rId24" Type="http://schemas.openxmlformats.org/officeDocument/2006/relationships/hyperlink" Target="https://doi.org/10.1080/15602210600616218" TargetMode="External"/><Relationship Id="rId32" Type="http://schemas.openxmlformats.org/officeDocument/2006/relationships/hyperlink" Target="https://warwick.ac.uk/fac/soc/ces/research/current/socialtheory/maps/ology/" TargetMode="External"/><Relationship Id="rId37" Type="http://schemas.openxmlformats.org/officeDocument/2006/relationships/hyperlink" Target="https://doi.org/10.1002/sres.2952" TargetMode="External"/><Relationship Id="rId40"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bigthink.com/the-well/what-is-reality/" TargetMode="External"/><Relationship Id="rId23" Type="http://schemas.openxmlformats.org/officeDocument/2006/relationships/hyperlink" Target="https://doi.org/10.1111/1467-9256.00173" TargetMode="External"/><Relationship Id="rId28" Type="http://schemas.openxmlformats.org/officeDocument/2006/relationships/hyperlink" Target="https://doi.org/10.1186/s12940-016-0098-z" TargetMode="External"/><Relationship Id="rId36" Type="http://schemas.openxmlformats.org/officeDocument/2006/relationships/hyperlink" Target="https://doi.org/10.1002/sres.2952" TargetMode="External"/><Relationship Id="rId10" Type="http://schemas.openxmlformats.org/officeDocument/2006/relationships/hyperlink" Target="https://doi.org/10.1080/09613218.2017.1362919" TargetMode="External"/><Relationship Id="rId19" Type="http://schemas.openxmlformats.org/officeDocument/2006/relationships/hyperlink" Target="https://doi.org/10.1177/02610183211065028" TargetMode="External"/><Relationship Id="rId31" Type="http://schemas.openxmlformats.org/officeDocument/2006/relationships/hyperlink" Target="https://doi.org/10.3390/systems11040193" TargetMode="External"/><Relationship Id="rId4" Type="http://schemas.openxmlformats.org/officeDocument/2006/relationships/webSettings" Target="webSettings.xml"/><Relationship Id="rId9" Type="http://schemas.openxmlformats.org/officeDocument/2006/relationships/hyperlink" Target="https://doi.org/10.1080/09613218.2017.1362919" TargetMode="External"/><Relationship Id="rId14" Type="http://schemas.openxmlformats.org/officeDocument/2006/relationships/hyperlink" Target="https://bigthink.com/the-well/what-is-reality/" TargetMode="External"/><Relationship Id="rId22" Type="http://schemas.openxmlformats.org/officeDocument/2006/relationships/hyperlink" Target="https://doi.org/10.1111/1467-9256.00173" TargetMode="External"/><Relationship Id="rId27" Type="http://schemas.openxmlformats.org/officeDocument/2006/relationships/hyperlink" Target="https://doi.org/10.1386/jots.9.2.95_1" TargetMode="External"/><Relationship Id="rId30" Type="http://schemas.openxmlformats.org/officeDocument/2006/relationships/hyperlink" Target="https://doi.org/10.3390/systems11040193" TargetMode="External"/><Relationship Id="rId35" Type="http://schemas.openxmlformats.org/officeDocument/2006/relationships/hyperlink" Target="https://www.huffpost.com/entry/collective-mindfulness-th_b_473242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42</TotalTime>
  <Pages>15</Pages>
  <Words>6841</Words>
  <Characters>37911</Characters>
  <Application>Microsoft Office Word</Application>
  <DocSecurity>0</DocSecurity>
  <Lines>639</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Helen Sanson</cp:lastModifiedBy>
  <cp:revision>6</cp:revision>
  <dcterms:created xsi:type="dcterms:W3CDTF">2024-01-20T13:08:00Z</dcterms:created>
  <dcterms:modified xsi:type="dcterms:W3CDTF">2024-01-20T14:16:00Z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927057de99f7e6291d9757ba08c1e96b61e93e3ff13ffb2732c5de3a581bbbf5</vt:lpwstr>
  </property>
</Properties>
</file>